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5DD383" w14:textId="77777777" w:rsidR="009022BC" w:rsidRPr="00B13B9A" w:rsidRDefault="009022BC" w:rsidP="009022BC">
      <w:pPr>
        <w:tabs>
          <w:tab w:val="left" w:pos="720"/>
        </w:tabs>
        <w:spacing w:after="0" w:line="276" w:lineRule="auto"/>
        <w:jc w:val="right"/>
        <w:rPr>
          <w:rFonts w:asciiTheme="majorHAnsi" w:eastAsia="Times New Roman" w:hAnsiTheme="majorHAnsi" w:cstheme="majorHAnsi"/>
          <w:bCs/>
          <w:sz w:val="24"/>
          <w:szCs w:val="24"/>
          <w:lang w:val="ro-MD"/>
        </w:rPr>
      </w:pPr>
      <w:bookmarkStart w:id="0" w:name="_GoBack"/>
      <w:bookmarkEnd w:id="0"/>
      <w:r w:rsidRPr="00B13B9A">
        <w:rPr>
          <w:rFonts w:asciiTheme="majorHAnsi" w:eastAsia="Times New Roman" w:hAnsiTheme="majorHAnsi" w:cstheme="majorHAnsi"/>
          <w:bCs/>
          <w:sz w:val="24"/>
          <w:szCs w:val="24"/>
          <w:lang w:val="ro-MD"/>
        </w:rPr>
        <w:t xml:space="preserve">Anexă </w:t>
      </w:r>
    </w:p>
    <w:p w14:paraId="61880342" w14:textId="1B3DFE91" w:rsidR="009022BC" w:rsidRPr="00B13B9A" w:rsidRDefault="009022BC" w:rsidP="009022BC">
      <w:pPr>
        <w:tabs>
          <w:tab w:val="left" w:pos="720"/>
        </w:tabs>
        <w:spacing w:after="0" w:line="276" w:lineRule="auto"/>
        <w:jc w:val="right"/>
        <w:rPr>
          <w:rFonts w:asciiTheme="majorHAnsi" w:eastAsia="Times New Roman" w:hAnsiTheme="majorHAnsi" w:cstheme="majorHAnsi"/>
          <w:bCs/>
          <w:sz w:val="24"/>
          <w:szCs w:val="24"/>
          <w:lang w:val="ro-MD"/>
        </w:rPr>
      </w:pPr>
      <w:r w:rsidRPr="00B13B9A">
        <w:rPr>
          <w:rFonts w:asciiTheme="majorHAnsi" w:eastAsia="Times New Roman" w:hAnsiTheme="majorHAnsi" w:cstheme="majorHAnsi"/>
          <w:bCs/>
          <w:sz w:val="24"/>
          <w:szCs w:val="24"/>
          <w:lang w:val="ro-MD"/>
        </w:rPr>
        <w:t>la Hotărârea Cur</w:t>
      </w:r>
      <w:r w:rsidR="00B13B9A" w:rsidRPr="00B13B9A">
        <w:rPr>
          <w:rFonts w:asciiTheme="majorHAnsi" w:eastAsia="Times New Roman" w:hAnsiTheme="majorHAnsi" w:cstheme="majorHAnsi"/>
          <w:bCs/>
          <w:sz w:val="24"/>
          <w:szCs w:val="24"/>
          <w:lang w:val="ro-MD"/>
        </w:rPr>
        <w:t>ț</w:t>
      </w:r>
      <w:r w:rsidRPr="00B13B9A">
        <w:rPr>
          <w:rFonts w:asciiTheme="majorHAnsi" w:eastAsia="Times New Roman" w:hAnsiTheme="majorHAnsi" w:cstheme="majorHAnsi"/>
          <w:bCs/>
          <w:sz w:val="24"/>
          <w:szCs w:val="24"/>
          <w:lang w:val="ro-MD"/>
        </w:rPr>
        <w:t xml:space="preserve">ii de Conturi </w:t>
      </w:r>
    </w:p>
    <w:p w14:paraId="39F1DD6F" w14:textId="1A46F3F4" w:rsidR="009022BC" w:rsidRPr="00B13B9A" w:rsidRDefault="009022BC" w:rsidP="009022BC">
      <w:pPr>
        <w:tabs>
          <w:tab w:val="left" w:pos="720"/>
        </w:tabs>
        <w:spacing w:after="0" w:line="276" w:lineRule="auto"/>
        <w:jc w:val="right"/>
        <w:rPr>
          <w:rFonts w:asciiTheme="majorHAnsi" w:eastAsia="Times New Roman" w:hAnsiTheme="majorHAnsi" w:cstheme="majorHAnsi"/>
          <w:bCs/>
          <w:color w:val="1F4E79" w:themeColor="accent1" w:themeShade="80"/>
          <w:sz w:val="24"/>
          <w:szCs w:val="24"/>
          <w:lang w:val="ro-MD"/>
        </w:rPr>
      </w:pPr>
      <w:r w:rsidRPr="00B13B9A">
        <w:rPr>
          <w:rFonts w:asciiTheme="majorHAnsi" w:eastAsia="Times New Roman" w:hAnsiTheme="majorHAnsi" w:cstheme="majorHAnsi"/>
          <w:bCs/>
          <w:sz w:val="24"/>
          <w:szCs w:val="24"/>
          <w:lang w:val="ro-MD"/>
        </w:rPr>
        <w:t>nr.</w:t>
      </w:r>
      <w:r w:rsidR="009371DC" w:rsidRPr="00B13B9A">
        <w:rPr>
          <w:rFonts w:asciiTheme="majorHAnsi" w:eastAsia="Times New Roman" w:hAnsiTheme="majorHAnsi" w:cstheme="majorHAnsi"/>
          <w:bCs/>
          <w:sz w:val="24"/>
          <w:szCs w:val="24"/>
          <w:lang w:val="ro-MD"/>
        </w:rPr>
        <w:t>56</w:t>
      </w:r>
      <w:r w:rsidRPr="00B13B9A">
        <w:rPr>
          <w:rFonts w:asciiTheme="majorHAnsi" w:eastAsia="Times New Roman" w:hAnsiTheme="majorHAnsi" w:cstheme="majorHAnsi"/>
          <w:bCs/>
          <w:sz w:val="24"/>
          <w:szCs w:val="24"/>
          <w:lang w:val="ro-MD"/>
        </w:rPr>
        <w:t xml:space="preserve"> din 15.12.2023</w:t>
      </w:r>
    </w:p>
    <w:p w14:paraId="0EC8B8BA" w14:textId="77777777" w:rsidR="009022BC" w:rsidRPr="00B13B9A" w:rsidRDefault="009022BC" w:rsidP="009022BC">
      <w:pPr>
        <w:spacing w:after="0" w:line="276" w:lineRule="auto"/>
        <w:rPr>
          <w:rFonts w:asciiTheme="majorHAnsi" w:hAnsiTheme="majorHAnsi" w:cstheme="majorHAnsi"/>
          <w:sz w:val="24"/>
          <w:szCs w:val="24"/>
          <w:lang w:val="ro-MD"/>
        </w:rPr>
      </w:pPr>
    </w:p>
    <w:p w14:paraId="45638366" w14:textId="77777777" w:rsidR="009022BC" w:rsidRPr="00B13B9A" w:rsidRDefault="009022BC" w:rsidP="009022BC">
      <w:pPr>
        <w:spacing w:after="0" w:line="276" w:lineRule="auto"/>
        <w:rPr>
          <w:rFonts w:asciiTheme="majorHAnsi" w:hAnsiTheme="majorHAnsi" w:cstheme="majorHAnsi"/>
          <w:sz w:val="24"/>
          <w:szCs w:val="24"/>
          <w:lang w:val="ro-MD"/>
        </w:rPr>
      </w:pPr>
    </w:p>
    <w:p w14:paraId="15B4B301" w14:textId="77777777" w:rsidR="009022BC" w:rsidRPr="00B13B9A" w:rsidRDefault="009022BC" w:rsidP="009022BC">
      <w:pPr>
        <w:spacing w:after="0" w:line="276" w:lineRule="auto"/>
        <w:rPr>
          <w:rFonts w:asciiTheme="majorHAnsi" w:hAnsiTheme="majorHAnsi" w:cstheme="majorHAnsi"/>
          <w:sz w:val="24"/>
          <w:szCs w:val="24"/>
          <w:lang w:val="ro-MD"/>
        </w:rPr>
      </w:pPr>
    </w:p>
    <w:p w14:paraId="5043E3C3" w14:textId="77777777" w:rsidR="009022BC" w:rsidRPr="00B13B9A" w:rsidRDefault="009022BC" w:rsidP="009022BC">
      <w:pPr>
        <w:spacing w:after="0" w:line="276" w:lineRule="auto"/>
        <w:rPr>
          <w:rFonts w:asciiTheme="majorHAnsi" w:hAnsiTheme="majorHAnsi" w:cstheme="majorHAnsi"/>
          <w:sz w:val="24"/>
          <w:szCs w:val="24"/>
          <w:lang w:val="ro-MD"/>
        </w:rPr>
      </w:pPr>
    </w:p>
    <w:p w14:paraId="578584BC" w14:textId="77777777" w:rsidR="009022BC" w:rsidRPr="00B13B9A" w:rsidRDefault="009022BC" w:rsidP="009022BC">
      <w:pPr>
        <w:spacing w:after="0" w:line="276" w:lineRule="auto"/>
        <w:jc w:val="center"/>
        <w:rPr>
          <w:rFonts w:asciiTheme="majorHAnsi" w:hAnsiTheme="majorHAnsi" w:cstheme="majorHAnsi"/>
          <w:b/>
          <w:sz w:val="24"/>
          <w:szCs w:val="24"/>
          <w:lang w:val="ro-MD"/>
        </w:rPr>
      </w:pPr>
      <w:r w:rsidRPr="00B13B9A">
        <w:rPr>
          <w:rFonts w:asciiTheme="majorHAnsi" w:hAnsiTheme="majorHAnsi" w:cstheme="majorHAnsi"/>
          <w:noProof/>
          <w:sz w:val="24"/>
          <w:szCs w:val="24"/>
          <w:lang w:val="ru-RU" w:eastAsia="ru-RU"/>
        </w:rPr>
        <w:drawing>
          <wp:inline distT="0" distB="0" distL="0" distR="0" wp14:anchorId="0C2DFA53" wp14:editId="5AE908F5">
            <wp:extent cx="944880" cy="944880"/>
            <wp:effectExtent l="0" t="0" r="7620" b="7620"/>
            <wp:docPr id="2" name="Picture 2" descr="embl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a"/>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44880" cy="944880"/>
                    </a:xfrm>
                    <a:prstGeom prst="rect">
                      <a:avLst/>
                    </a:prstGeom>
                    <a:noFill/>
                    <a:ln>
                      <a:noFill/>
                    </a:ln>
                  </pic:spPr>
                </pic:pic>
              </a:graphicData>
            </a:graphic>
          </wp:inline>
        </w:drawing>
      </w:r>
    </w:p>
    <w:p w14:paraId="3841F26B" w14:textId="77777777" w:rsidR="009022BC" w:rsidRPr="00B13B9A" w:rsidRDefault="009022BC" w:rsidP="009022BC">
      <w:pPr>
        <w:spacing w:after="0" w:line="276" w:lineRule="auto"/>
        <w:jc w:val="center"/>
        <w:rPr>
          <w:rFonts w:asciiTheme="majorHAnsi" w:hAnsiTheme="majorHAnsi" w:cstheme="majorHAnsi"/>
          <w:b/>
          <w:sz w:val="24"/>
          <w:szCs w:val="24"/>
          <w:lang w:val="ro-MD"/>
        </w:rPr>
      </w:pPr>
    </w:p>
    <w:p w14:paraId="54FDCFB5" w14:textId="77777777" w:rsidR="009022BC" w:rsidRPr="00B13B9A" w:rsidRDefault="009022BC" w:rsidP="009022BC">
      <w:pPr>
        <w:spacing w:after="0" w:line="276" w:lineRule="auto"/>
        <w:jc w:val="center"/>
        <w:rPr>
          <w:rFonts w:asciiTheme="majorHAnsi" w:hAnsiTheme="majorHAnsi" w:cstheme="majorHAnsi"/>
          <w:b/>
          <w:sz w:val="24"/>
          <w:szCs w:val="24"/>
          <w:lang w:val="ro-MD"/>
        </w:rPr>
      </w:pPr>
      <w:r w:rsidRPr="00B13B9A">
        <w:rPr>
          <w:rFonts w:asciiTheme="majorHAnsi" w:hAnsiTheme="majorHAnsi" w:cstheme="majorHAnsi"/>
          <w:b/>
          <w:sz w:val="24"/>
          <w:szCs w:val="24"/>
          <w:lang w:val="ro-MD"/>
        </w:rPr>
        <w:t>CURTEA DE CONTURI A REPUBLICII MOLDOVA</w:t>
      </w:r>
    </w:p>
    <w:p w14:paraId="28162E9E" w14:textId="77777777" w:rsidR="009022BC" w:rsidRPr="00B13B9A" w:rsidRDefault="009022BC" w:rsidP="009022BC">
      <w:pPr>
        <w:spacing w:after="0" w:line="276" w:lineRule="auto"/>
        <w:rPr>
          <w:rFonts w:asciiTheme="majorHAnsi" w:hAnsiTheme="majorHAnsi" w:cstheme="majorHAnsi"/>
          <w:sz w:val="24"/>
          <w:szCs w:val="24"/>
          <w:lang w:val="ro-MD"/>
        </w:rPr>
      </w:pPr>
    </w:p>
    <w:p w14:paraId="76073165" w14:textId="77777777" w:rsidR="009022BC" w:rsidRPr="00B13B9A" w:rsidRDefault="009022BC" w:rsidP="009022BC">
      <w:pPr>
        <w:tabs>
          <w:tab w:val="left" w:pos="720"/>
        </w:tabs>
        <w:spacing w:after="0" w:line="276" w:lineRule="auto"/>
        <w:jc w:val="right"/>
        <w:rPr>
          <w:rFonts w:asciiTheme="majorHAnsi" w:eastAsia="Times New Roman" w:hAnsiTheme="majorHAnsi" w:cstheme="majorHAnsi"/>
          <w:b/>
          <w:bCs/>
          <w:color w:val="1F4E79" w:themeColor="accent1" w:themeShade="80"/>
          <w:sz w:val="24"/>
          <w:szCs w:val="24"/>
          <w:lang w:val="ro-MD"/>
        </w:rPr>
      </w:pPr>
    </w:p>
    <w:p w14:paraId="0CFEF345" w14:textId="77777777" w:rsidR="009022BC" w:rsidRPr="00B13B9A" w:rsidRDefault="009022BC" w:rsidP="009022BC">
      <w:pPr>
        <w:tabs>
          <w:tab w:val="left" w:pos="720"/>
        </w:tabs>
        <w:spacing w:after="0" w:line="276" w:lineRule="auto"/>
        <w:jc w:val="right"/>
        <w:rPr>
          <w:rFonts w:asciiTheme="majorHAnsi" w:eastAsia="Times New Roman" w:hAnsiTheme="majorHAnsi" w:cstheme="majorHAnsi"/>
          <w:b/>
          <w:bCs/>
          <w:color w:val="1F4E79" w:themeColor="accent1" w:themeShade="80"/>
          <w:sz w:val="24"/>
          <w:szCs w:val="24"/>
          <w:lang w:val="ro-MD"/>
        </w:rPr>
      </w:pPr>
    </w:p>
    <w:tbl>
      <w:tblPr>
        <w:tblStyle w:val="a3"/>
        <w:tblW w:w="0" w:type="auto"/>
        <w:tblBorders>
          <w:top w:val="thinThickSmallGap" w:sz="12" w:space="0" w:color="auto"/>
          <w:left w:val="none" w:sz="0" w:space="0" w:color="auto"/>
          <w:bottom w:val="thickThinSmallGap" w:sz="12"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022BC" w:rsidRPr="00B13B9A" w14:paraId="4CBBEC32" w14:textId="77777777" w:rsidTr="00D313F8">
        <w:trPr>
          <w:trHeight w:val="435"/>
        </w:trPr>
        <w:tc>
          <w:tcPr>
            <w:tcW w:w="9350" w:type="dxa"/>
          </w:tcPr>
          <w:p w14:paraId="2BC7500C" w14:textId="7C572ED2" w:rsidR="009022BC" w:rsidRPr="00B13B9A" w:rsidRDefault="009022BC" w:rsidP="00D313F8">
            <w:pPr>
              <w:tabs>
                <w:tab w:val="left" w:pos="720"/>
              </w:tabs>
              <w:spacing w:line="276" w:lineRule="auto"/>
              <w:jc w:val="center"/>
              <w:rPr>
                <w:rFonts w:asciiTheme="majorHAnsi" w:hAnsiTheme="majorHAnsi" w:cstheme="majorHAnsi"/>
                <w:sz w:val="20"/>
                <w:szCs w:val="24"/>
                <w:lang w:val="ro-MD"/>
              </w:rPr>
            </w:pPr>
            <w:r w:rsidRPr="00B13B9A">
              <w:rPr>
                <w:rFonts w:asciiTheme="majorHAnsi" w:hAnsiTheme="majorHAnsi" w:cstheme="majorHAnsi"/>
                <w:sz w:val="20"/>
                <w:szCs w:val="24"/>
                <w:lang w:val="ro-MD"/>
              </w:rPr>
              <w:t>MD-2001, mun. Chi</w:t>
            </w:r>
            <w:r w:rsidR="00B13B9A" w:rsidRPr="00B13B9A">
              <w:rPr>
                <w:rFonts w:asciiTheme="majorHAnsi" w:hAnsiTheme="majorHAnsi" w:cstheme="majorHAnsi"/>
                <w:sz w:val="20"/>
                <w:szCs w:val="24"/>
                <w:lang w:val="ro-MD"/>
              </w:rPr>
              <w:t>ș</w:t>
            </w:r>
            <w:r w:rsidRPr="00B13B9A">
              <w:rPr>
                <w:rFonts w:asciiTheme="majorHAnsi" w:hAnsiTheme="majorHAnsi" w:cstheme="majorHAnsi"/>
                <w:sz w:val="20"/>
                <w:szCs w:val="24"/>
                <w:lang w:val="ro-MD"/>
              </w:rPr>
              <w:t xml:space="preserve">inău, bd. </w:t>
            </w:r>
            <w:r w:rsidR="00B13B9A" w:rsidRPr="00B13B9A">
              <w:rPr>
                <w:rFonts w:asciiTheme="majorHAnsi" w:hAnsiTheme="majorHAnsi" w:cstheme="majorHAnsi"/>
                <w:sz w:val="20"/>
                <w:szCs w:val="24"/>
                <w:lang w:val="ro-MD"/>
              </w:rPr>
              <w:t>Ș</w:t>
            </w:r>
            <w:r w:rsidRPr="00B13B9A">
              <w:rPr>
                <w:rFonts w:asciiTheme="majorHAnsi" w:hAnsiTheme="majorHAnsi" w:cstheme="majorHAnsi"/>
                <w:sz w:val="20"/>
                <w:szCs w:val="24"/>
                <w:lang w:val="ro-MD"/>
              </w:rPr>
              <w:t xml:space="preserve">tefan cel Mare </w:t>
            </w:r>
            <w:r w:rsidR="00B13B9A" w:rsidRPr="00B13B9A">
              <w:rPr>
                <w:rFonts w:asciiTheme="majorHAnsi" w:hAnsiTheme="majorHAnsi" w:cstheme="majorHAnsi"/>
                <w:sz w:val="20"/>
                <w:szCs w:val="24"/>
                <w:lang w:val="ro-MD"/>
              </w:rPr>
              <w:t>ș</w:t>
            </w:r>
            <w:r w:rsidRPr="00B13B9A">
              <w:rPr>
                <w:rFonts w:asciiTheme="majorHAnsi" w:hAnsiTheme="majorHAnsi" w:cstheme="majorHAnsi"/>
                <w:sz w:val="20"/>
                <w:szCs w:val="24"/>
                <w:lang w:val="ro-MD"/>
              </w:rPr>
              <w:t>i Sfânt nr.69, tel.: (+373 22) 26 60 02, fax: (+373 22) 26 61 00,</w:t>
            </w:r>
          </w:p>
          <w:p w14:paraId="185695C2" w14:textId="77777777" w:rsidR="009022BC" w:rsidRPr="00B13B9A" w:rsidRDefault="009022BC" w:rsidP="00D313F8">
            <w:pPr>
              <w:tabs>
                <w:tab w:val="left" w:pos="720"/>
              </w:tabs>
              <w:spacing w:line="276" w:lineRule="auto"/>
              <w:jc w:val="center"/>
              <w:rPr>
                <w:rFonts w:asciiTheme="majorHAnsi" w:hAnsiTheme="majorHAnsi" w:cstheme="majorHAnsi"/>
                <w:b/>
                <w:color w:val="0563C1" w:themeColor="hyperlink"/>
                <w:sz w:val="20"/>
                <w:szCs w:val="24"/>
                <w:u w:val="single"/>
                <w:lang w:val="ro-MD"/>
              </w:rPr>
            </w:pPr>
            <w:r w:rsidRPr="00B13B9A">
              <w:rPr>
                <w:rFonts w:asciiTheme="majorHAnsi" w:hAnsiTheme="majorHAnsi" w:cstheme="majorHAnsi"/>
                <w:sz w:val="20"/>
                <w:szCs w:val="24"/>
                <w:lang w:val="ro-MD"/>
              </w:rPr>
              <w:t xml:space="preserve">web: </w:t>
            </w:r>
            <w:hyperlink r:id="rId10" w:history="1">
              <w:r w:rsidRPr="00B13B9A">
                <w:rPr>
                  <w:rStyle w:val="a4"/>
                  <w:rFonts w:asciiTheme="majorHAnsi" w:hAnsiTheme="majorHAnsi" w:cstheme="majorHAnsi"/>
                  <w:b/>
                  <w:sz w:val="20"/>
                  <w:szCs w:val="24"/>
                  <w:lang w:val="ro-MD"/>
                </w:rPr>
                <w:t>www.ccrm.md</w:t>
              </w:r>
            </w:hyperlink>
            <w:r w:rsidRPr="00B13B9A">
              <w:rPr>
                <w:rStyle w:val="a4"/>
                <w:rFonts w:asciiTheme="majorHAnsi" w:hAnsiTheme="majorHAnsi" w:cstheme="majorHAnsi"/>
                <w:color w:val="4472C4" w:themeColor="accent5"/>
                <w:sz w:val="20"/>
                <w:szCs w:val="24"/>
                <w:u w:val="none"/>
                <w:lang w:val="ro-MD"/>
              </w:rPr>
              <w:t xml:space="preserve">, </w:t>
            </w:r>
            <w:r w:rsidRPr="00B13B9A">
              <w:rPr>
                <w:rFonts w:asciiTheme="majorHAnsi" w:hAnsiTheme="majorHAnsi" w:cstheme="majorHAnsi"/>
                <w:sz w:val="20"/>
                <w:szCs w:val="24"/>
                <w:lang w:val="ro-MD"/>
              </w:rPr>
              <w:t xml:space="preserve">e-mail: </w:t>
            </w:r>
            <w:hyperlink r:id="rId11" w:history="1">
              <w:r w:rsidRPr="00B13B9A">
                <w:rPr>
                  <w:rStyle w:val="a4"/>
                  <w:rFonts w:asciiTheme="majorHAnsi" w:hAnsiTheme="majorHAnsi" w:cstheme="majorHAnsi"/>
                  <w:b/>
                  <w:sz w:val="20"/>
                  <w:szCs w:val="24"/>
                  <w:lang w:val="ro-MD"/>
                </w:rPr>
                <w:t>ccrm@</w:t>
              </w:r>
              <w:r w:rsidRPr="00B13B9A">
                <w:rPr>
                  <w:rStyle w:val="a4"/>
                  <w:rFonts w:asciiTheme="majorHAnsi" w:hAnsiTheme="majorHAnsi" w:cstheme="majorHAnsi"/>
                  <w:b/>
                  <w:color w:val="4472C4" w:themeColor="accent5"/>
                  <w:sz w:val="20"/>
                  <w:szCs w:val="24"/>
                  <w:lang w:val="ro-MD"/>
                </w:rPr>
                <w:t>ccrm</w:t>
              </w:r>
              <w:r w:rsidRPr="00B13B9A">
                <w:rPr>
                  <w:rStyle w:val="a4"/>
                  <w:rFonts w:asciiTheme="majorHAnsi" w:hAnsiTheme="majorHAnsi" w:cstheme="majorHAnsi"/>
                  <w:b/>
                  <w:sz w:val="20"/>
                  <w:szCs w:val="24"/>
                  <w:lang w:val="ro-MD"/>
                </w:rPr>
                <w:t>.md</w:t>
              </w:r>
            </w:hyperlink>
          </w:p>
        </w:tc>
      </w:tr>
    </w:tbl>
    <w:p w14:paraId="60612742" w14:textId="77777777" w:rsidR="009022BC" w:rsidRPr="00B13B9A" w:rsidRDefault="009022BC" w:rsidP="009022BC">
      <w:pPr>
        <w:tabs>
          <w:tab w:val="left" w:pos="720"/>
        </w:tabs>
        <w:spacing w:after="0" w:line="276" w:lineRule="auto"/>
        <w:jc w:val="right"/>
        <w:rPr>
          <w:rFonts w:asciiTheme="majorHAnsi" w:eastAsia="Times New Roman" w:hAnsiTheme="majorHAnsi" w:cstheme="majorHAnsi"/>
          <w:b/>
          <w:bCs/>
          <w:color w:val="1F4E79" w:themeColor="accent1" w:themeShade="80"/>
          <w:sz w:val="24"/>
          <w:szCs w:val="24"/>
          <w:lang w:val="ro-MD"/>
        </w:rPr>
      </w:pPr>
    </w:p>
    <w:p w14:paraId="0A2BFACD" w14:textId="77777777" w:rsidR="009022BC" w:rsidRPr="00B13B9A" w:rsidRDefault="009022BC" w:rsidP="009022BC">
      <w:pPr>
        <w:tabs>
          <w:tab w:val="left" w:pos="720"/>
        </w:tabs>
        <w:spacing w:after="0" w:line="276" w:lineRule="auto"/>
        <w:jc w:val="right"/>
        <w:rPr>
          <w:rFonts w:asciiTheme="majorHAnsi" w:eastAsia="Times New Roman" w:hAnsiTheme="majorHAnsi" w:cstheme="majorHAnsi"/>
          <w:b/>
          <w:bCs/>
          <w:color w:val="1F4E79" w:themeColor="accent1" w:themeShade="80"/>
          <w:sz w:val="24"/>
          <w:szCs w:val="24"/>
          <w:lang w:val="ro-MD"/>
        </w:rPr>
      </w:pPr>
    </w:p>
    <w:p w14:paraId="54414C8F" w14:textId="77777777" w:rsidR="009022BC" w:rsidRPr="00B13B9A" w:rsidRDefault="009022BC" w:rsidP="009022BC">
      <w:pPr>
        <w:tabs>
          <w:tab w:val="left" w:pos="720"/>
        </w:tabs>
        <w:spacing w:after="0" w:line="276" w:lineRule="auto"/>
        <w:ind w:firstLine="720"/>
        <w:jc w:val="center"/>
        <w:rPr>
          <w:rFonts w:asciiTheme="majorHAnsi" w:eastAsia="Times New Roman" w:hAnsiTheme="majorHAnsi" w:cstheme="majorHAnsi"/>
          <w:b/>
          <w:bCs/>
          <w:sz w:val="24"/>
          <w:szCs w:val="24"/>
          <w:lang w:val="ro-MD"/>
        </w:rPr>
      </w:pPr>
    </w:p>
    <w:p w14:paraId="6822EBBA" w14:textId="77777777" w:rsidR="009022BC" w:rsidRPr="00B13B9A" w:rsidRDefault="009022BC" w:rsidP="009022BC">
      <w:pPr>
        <w:tabs>
          <w:tab w:val="left" w:pos="720"/>
        </w:tabs>
        <w:spacing w:after="0" w:line="276" w:lineRule="auto"/>
        <w:jc w:val="center"/>
        <w:rPr>
          <w:rFonts w:asciiTheme="majorHAnsi" w:eastAsia="Times New Roman" w:hAnsiTheme="majorHAnsi" w:cstheme="majorHAnsi"/>
          <w:b/>
          <w:bCs/>
          <w:sz w:val="24"/>
          <w:szCs w:val="24"/>
          <w:lang w:val="ro-MD"/>
        </w:rPr>
      </w:pPr>
      <w:r w:rsidRPr="00B13B9A">
        <w:rPr>
          <w:rFonts w:asciiTheme="majorHAnsi" w:eastAsia="Times New Roman" w:hAnsiTheme="majorHAnsi" w:cstheme="majorHAnsi"/>
          <w:b/>
          <w:bCs/>
          <w:sz w:val="24"/>
          <w:szCs w:val="24"/>
          <w:lang w:val="ro-MD"/>
        </w:rPr>
        <w:t xml:space="preserve">RAPORTUL </w:t>
      </w:r>
    </w:p>
    <w:p w14:paraId="1EBA4059" w14:textId="3F851209" w:rsidR="009022BC" w:rsidRPr="00B13B9A" w:rsidRDefault="009022BC" w:rsidP="009022BC">
      <w:pPr>
        <w:spacing w:after="0" w:line="276" w:lineRule="auto"/>
        <w:jc w:val="center"/>
        <w:rPr>
          <w:rFonts w:asciiTheme="majorHAnsi" w:hAnsiTheme="majorHAnsi" w:cstheme="majorHAnsi"/>
          <w:b/>
          <w:sz w:val="24"/>
          <w:szCs w:val="24"/>
          <w:lang w:val="ro-MD"/>
        </w:rPr>
      </w:pPr>
      <w:r w:rsidRPr="00B13B9A">
        <w:rPr>
          <w:rFonts w:asciiTheme="majorHAnsi" w:hAnsiTheme="majorHAnsi" w:cstheme="majorHAnsi"/>
          <w:b/>
          <w:sz w:val="24"/>
          <w:szCs w:val="24"/>
          <w:lang w:val="ro-MD"/>
        </w:rPr>
        <w:t>auditului conformită</w:t>
      </w:r>
      <w:r w:rsidR="00B13B9A" w:rsidRPr="00B13B9A">
        <w:rPr>
          <w:rFonts w:asciiTheme="majorHAnsi" w:hAnsiTheme="majorHAnsi" w:cstheme="majorHAnsi"/>
          <w:b/>
          <w:sz w:val="24"/>
          <w:szCs w:val="24"/>
          <w:lang w:val="ro-MD"/>
        </w:rPr>
        <w:t>ț</w:t>
      </w:r>
      <w:r w:rsidRPr="00B13B9A">
        <w:rPr>
          <w:rFonts w:asciiTheme="majorHAnsi" w:hAnsiTheme="majorHAnsi" w:cstheme="majorHAnsi"/>
          <w:b/>
          <w:sz w:val="24"/>
          <w:szCs w:val="24"/>
          <w:lang w:val="ro-MD"/>
        </w:rPr>
        <w:t xml:space="preserve">ii privind gestionarea patrimoniului public </w:t>
      </w:r>
      <w:r w:rsidR="00B13B9A" w:rsidRPr="00B13B9A">
        <w:rPr>
          <w:rFonts w:asciiTheme="majorHAnsi" w:hAnsiTheme="majorHAnsi" w:cstheme="majorHAnsi"/>
          <w:b/>
          <w:sz w:val="24"/>
          <w:szCs w:val="24"/>
          <w:lang w:val="ro-MD"/>
        </w:rPr>
        <w:t>ș</w:t>
      </w:r>
      <w:r w:rsidRPr="00B13B9A">
        <w:rPr>
          <w:rFonts w:asciiTheme="majorHAnsi" w:hAnsiTheme="majorHAnsi" w:cstheme="majorHAnsi"/>
          <w:b/>
          <w:sz w:val="24"/>
          <w:szCs w:val="24"/>
          <w:lang w:val="ro-MD"/>
        </w:rPr>
        <w:t>i a resurselor financiare de către IMSP Institutul de Ftiziopneumologie „Chiril Draganiuc” în anii 2021-2023 (6 luni)</w:t>
      </w:r>
      <w:r w:rsidRPr="00B13B9A">
        <w:rPr>
          <w:rFonts w:asciiTheme="majorHAnsi" w:hAnsiTheme="majorHAnsi" w:cstheme="majorHAnsi"/>
          <w:b/>
          <w:sz w:val="24"/>
          <w:szCs w:val="24"/>
          <w:lang w:val="ro-MD"/>
        </w:rPr>
        <w:br w:type="page"/>
      </w:r>
    </w:p>
    <w:sdt>
      <w:sdtPr>
        <w:rPr>
          <w:rFonts w:asciiTheme="minorHAnsi" w:eastAsiaTheme="minorHAnsi" w:hAnsiTheme="minorHAnsi" w:cstheme="minorBidi"/>
          <w:color w:val="auto"/>
          <w:sz w:val="22"/>
          <w:szCs w:val="22"/>
          <w:lang w:val="ro-MD"/>
        </w:rPr>
        <w:id w:val="-1011058803"/>
        <w:docPartObj>
          <w:docPartGallery w:val="Table of Contents"/>
          <w:docPartUnique/>
        </w:docPartObj>
      </w:sdtPr>
      <w:sdtEndPr>
        <w:rPr>
          <w:b/>
          <w:bCs/>
          <w:noProof/>
        </w:rPr>
      </w:sdtEndPr>
      <w:sdtContent>
        <w:p w14:paraId="6A4360E2" w14:textId="563127C3" w:rsidR="00FA7B71" w:rsidRPr="005522BF" w:rsidRDefault="00FA7B71" w:rsidP="00506777">
          <w:pPr>
            <w:pStyle w:val="af7"/>
            <w:spacing w:before="0" w:line="240" w:lineRule="auto"/>
            <w:jc w:val="both"/>
            <w:rPr>
              <w:rFonts w:cstheme="majorHAnsi"/>
              <w:sz w:val="20"/>
              <w:szCs w:val="20"/>
              <w:lang w:val="ro-MD"/>
            </w:rPr>
          </w:pPr>
          <w:r w:rsidRPr="005522BF">
            <w:rPr>
              <w:rFonts w:cstheme="majorHAnsi"/>
              <w:lang w:val="ro-MD"/>
            </w:rPr>
            <w:t>Cuprins</w:t>
          </w:r>
          <w:r w:rsidR="00F03991" w:rsidRPr="005522BF">
            <w:rPr>
              <w:rFonts w:cstheme="majorHAnsi"/>
              <w:lang w:val="ro-MD"/>
            </w:rPr>
            <w:t xml:space="preserve"> </w:t>
          </w:r>
        </w:p>
        <w:p w14:paraId="5C827FE0" w14:textId="6BF454FE" w:rsidR="005522BF" w:rsidRPr="005522BF" w:rsidRDefault="00FA7B71" w:rsidP="00506777">
          <w:pPr>
            <w:pStyle w:val="11"/>
            <w:tabs>
              <w:tab w:val="right" w:leader="dot" w:pos="9771"/>
            </w:tabs>
            <w:jc w:val="both"/>
            <w:rPr>
              <w:rFonts w:asciiTheme="majorHAnsi" w:eastAsiaTheme="minorEastAsia" w:hAnsiTheme="majorHAnsi" w:cstheme="majorHAnsi"/>
              <w:noProof/>
            </w:rPr>
          </w:pPr>
          <w:r w:rsidRPr="005522BF">
            <w:rPr>
              <w:rFonts w:asciiTheme="majorHAnsi" w:hAnsiTheme="majorHAnsi" w:cstheme="majorHAnsi"/>
              <w:sz w:val="20"/>
              <w:szCs w:val="20"/>
              <w:lang w:val="ro-MD"/>
            </w:rPr>
            <w:fldChar w:fldCharType="begin"/>
          </w:r>
          <w:r w:rsidRPr="005522BF">
            <w:rPr>
              <w:rFonts w:asciiTheme="majorHAnsi" w:hAnsiTheme="majorHAnsi" w:cstheme="majorHAnsi"/>
              <w:sz w:val="20"/>
              <w:szCs w:val="20"/>
              <w:lang w:val="ro-MD"/>
            </w:rPr>
            <w:instrText xml:space="preserve"> TOC \o "1-3" \h \z \u </w:instrText>
          </w:r>
          <w:r w:rsidRPr="005522BF">
            <w:rPr>
              <w:rFonts w:asciiTheme="majorHAnsi" w:hAnsiTheme="majorHAnsi" w:cstheme="majorHAnsi"/>
              <w:sz w:val="20"/>
              <w:szCs w:val="20"/>
              <w:lang w:val="ro-MD"/>
            </w:rPr>
            <w:fldChar w:fldCharType="separate"/>
          </w:r>
          <w:hyperlink w:anchor="_Toc154562482" w:history="1">
            <w:r w:rsidR="005522BF" w:rsidRPr="005522BF">
              <w:rPr>
                <w:rStyle w:val="a4"/>
                <w:rFonts w:asciiTheme="majorHAnsi" w:eastAsia="Times New Roman" w:hAnsiTheme="majorHAnsi" w:cstheme="majorHAnsi"/>
                <w:b/>
                <w:bCs/>
                <w:noProof/>
                <w:lang w:val="ro-MD"/>
              </w:rPr>
              <w:t>LISTA ACRONIMELOR</w:t>
            </w:r>
            <w:r w:rsidR="005522BF" w:rsidRPr="005522BF">
              <w:rPr>
                <w:rFonts w:asciiTheme="majorHAnsi" w:hAnsiTheme="majorHAnsi" w:cstheme="majorHAnsi"/>
                <w:noProof/>
                <w:webHidden/>
              </w:rPr>
              <w:tab/>
            </w:r>
            <w:r w:rsidR="005522BF" w:rsidRPr="005522BF">
              <w:rPr>
                <w:rFonts w:asciiTheme="majorHAnsi" w:hAnsiTheme="majorHAnsi" w:cstheme="majorHAnsi"/>
                <w:noProof/>
                <w:webHidden/>
              </w:rPr>
              <w:fldChar w:fldCharType="begin"/>
            </w:r>
            <w:r w:rsidR="005522BF" w:rsidRPr="005522BF">
              <w:rPr>
                <w:rFonts w:asciiTheme="majorHAnsi" w:hAnsiTheme="majorHAnsi" w:cstheme="majorHAnsi"/>
                <w:noProof/>
                <w:webHidden/>
              </w:rPr>
              <w:instrText xml:space="preserve"> PAGEREF _Toc154562482 \h </w:instrText>
            </w:r>
            <w:r w:rsidR="005522BF" w:rsidRPr="005522BF">
              <w:rPr>
                <w:rFonts w:asciiTheme="majorHAnsi" w:hAnsiTheme="majorHAnsi" w:cstheme="majorHAnsi"/>
                <w:noProof/>
                <w:webHidden/>
              </w:rPr>
            </w:r>
            <w:r w:rsidR="005522BF" w:rsidRPr="005522BF">
              <w:rPr>
                <w:rFonts w:asciiTheme="majorHAnsi" w:hAnsiTheme="majorHAnsi" w:cstheme="majorHAnsi"/>
                <w:noProof/>
                <w:webHidden/>
              </w:rPr>
              <w:fldChar w:fldCharType="separate"/>
            </w:r>
            <w:r w:rsidR="005522BF" w:rsidRPr="005522BF">
              <w:rPr>
                <w:rFonts w:asciiTheme="majorHAnsi" w:hAnsiTheme="majorHAnsi" w:cstheme="majorHAnsi"/>
                <w:noProof/>
                <w:webHidden/>
              </w:rPr>
              <w:t>5</w:t>
            </w:r>
            <w:r w:rsidR="005522BF" w:rsidRPr="005522BF">
              <w:rPr>
                <w:rFonts w:asciiTheme="majorHAnsi" w:hAnsiTheme="majorHAnsi" w:cstheme="majorHAnsi"/>
                <w:noProof/>
                <w:webHidden/>
              </w:rPr>
              <w:fldChar w:fldCharType="end"/>
            </w:r>
          </w:hyperlink>
        </w:p>
        <w:p w14:paraId="15708BD2" w14:textId="1E019A41" w:rsidR="005522BF" w:rsidRPr="005522BF" w:rsidRDefault="0053077D" w:rsidP="00506777">
          <w:pPr>
            <w:pStyle w:val="11"/>
            <w:tabs>
              <w:tab w:val="right" w:leader="dot" w:pos="9771"/>
            </w:tabs>
            <w:jc w:val="both"/>
            <w:rPr>
              <w:rFonts w:asciiTheme="majorHAnsi" w:eastAsiaTheme="minorEastAsia" w:hAnsiTheme="majorHAnsi" w:cstheme="majorHAnsi"/>
              <w:noProof/>
            </w:rPr>
          </w:pPr>
          <w:hyperlink w:anchor="_Toc154562483" w:history="1">
            <w:r w:rsidR="005522BF" w:rsidRPr="005522BF">
              <w:rPr>
                <w:rStyle w:val="a4"/>
                <w:rFonts w:asciiTheme="majorHAnsi" w:eastAsia="Times New Roman" w:hAnsiTheme="majorHAnsi" w:cstheme="majorHAnsi"/>
                <w:b/>
                <w:bCs/>
                <w:noProof/>
                <w:lang w:val="ro-MD"/>
              </w:rPr>
              <w:t>GLOSAR</w:t>
            </w:r>
            <w:r w:rsidR="005522BF" w:rsidRPr="005522BF">
              <w:rPr>
                <w:rFonts w:asciiTheme="majorHAnsi" w:hAnsiTheme="majorHAnsi" w:cstheme="majorHAnsi"/>
                <w:noProof/>
                <w:webHidden/>
              </w:rPr>
              <w:tab/>
            </w:r>
            <w:r w:rsidR="005522BF" w:rsidRPr="005522BF">
              <w:rPr>
                <w:rFonts w:asciiTheme="majorHAnsi" w:hAnsiTheme="majorHAnsi" w:cstheme="majorHAnsi"/>
                <w:noProof/>
                <w:webHidden/>
              </w:rPr>
              <w:fldChar w:fldCharType="begin"/>
            </w:r>
            <w:r w:rsidR="005522BF" w:rsidRPr="005522BF">
              <w:rPr>
                <w:rFonts w:asciiTheme="majorHAnsi" w:hAnsiTheme="majorHAnsi" w:cstheme="majorHAnsi"/>
                <w:noProof/>
                <w:webHidden/>
              </w:rPr>
              <w:instrText xml:space="preserve"> PAGEREF _Toc154562483 \h </w:instrText>
            </w:r>
            <w:r w:rsidR="005522BF" w:rsidRPr="005522BF">
              <w:rPr>
                <w:rFonts w:asciiTheme="majorHAnsi" w:hAnsiTheme="majorHAnsi" w:cstheme="majorHAnsi"/>
                <w:noProof/>
                <w:webHidden/>
              </w:rPr>
            </w:r>
            <w:r w:rsidR="005522BF" w:rsidRPr="005522BF">
              <w:rPr>
                <w:rFonts w:asciiTheme="majorHAnsi" w:hAnsiTheme="majorHAnsi" w:cstheme="majorHAnsi"/>
                <w:noProof/>
                <w:webHidden/>
              </w:rPr>
              <w:fldChar w:fldCharType="separate"/>
            </w:r>
            <w:r w:rsidR="005522BF" w:rsidRPr="005522BF">
              <w:rPr>
                <w:rFonts w:asciiTheme="majorHAnsi" w:hAnsiTheme="majorHAnsi" w:cstheme="majorHAnsi"/>
                <w:noProof/>
                <w:webHidden/>
              </w:rPr>
              <w:t>6</w:t>
            </w:r>
            <w:r w:rsidR="005522BF" w:rsidRPr="005522BF">
              <w:rPr>
                <w:rFonts w:asciiTheme="majorHAnsi" w:hAnsiTheme="majorHAnsi" w:cstheme="majorHAnsi"/>
                <w:noProof/>
                <w:webHidden/>
              </w:rPr>
              <w:fldChar w:fldCharType="end"/>
            </w:r>
          </w:hyperlink>
        </w:p>
        <w:p w14:paraId="19B0A9CB" w14:textId="29405B10" w:rsidR="005522BF" w:rsidRPr="005522BF" w:rsidRDefault="0053077D" w:rsidP="00506777">
          <w:pPr>
            <w:pStyle w:val="11"/>
            <w:tabs>
              <w:tab w:val="left" w:pos="440"/>
              <w:tab w:val="right" w:leader="dot" w:pos="9771"/>
            </w:tabs>
            <w:jc w:val="both"/>
            <w:rPr>
              <w:rFonts w:asciiTheme="majorHAnsi" w:eastAsiaTheme="minorEastAsia" w:hAnsiTheme="majorHAnsi" w:cstheme="majorHAnsi"/>
              <w:noProof/>
            </w:rPr>
          </w:pPr>
          <w:hyperlink w:anchor="_Toc154562484" w:history="1">
            <w:r w:rsidR="005522BF" w:rsidRPr="005522BF">
              <w:rPr>
                <w:rStyle w:val="a4"/>
                <w:rFonts w:asciiTheme="majorHAnsi" w:eastAsia="Times New Roman" w:hAnsiTheme="majorHAnsi" w:cstheme="majorHAnsi"/>
                <w:b/>
                <w:bCs/>
                <w:caps/>
                <w:noProof/>
                <w:lang w:val="ro-MD"/>
              </w:rPr>
              <w:t>I.</w:t>
            </w:r>
            <w:r w:rsidR="005522BF" w:rsidRPr="005522BF">
              <w:rPr>
                <w:rFonts w:asciiTheme="majorHAnsi" w:eastAsiaTheme="minorEastAsia" w:hAnsiTheme="majorHAnsi" w:cstheme="majorHAnsi"/>
                <w:noProof/>
              </w:rPr>
              <w:tab/>
            </w:r>
            <w:r w:rsidR="005522BF" w:rsidRPr="005522BF">
              <w:rPr>
                <w:rStyle w:val="a4"/>
                <w:rFonts w:asciiTheme="majorHAnsi" w:eastAsia="Times New Roman" w:hAnsiTheme="majorHAnsi" w:cstheme="majorHAnsi"/>
                <w:b/>
                <w:bCs/>
                <w:caps/>
                <w:noProof/>
                <w:lang w:val="ro-MD"/>
              </w:rPr>
              <w:t>SINTEZA</w:t>
            </w:r>
            <w:r w:rsidR="005522BF" w:rsidRPr="005522BF">
              <w:rPr>
                <w:rFonts w:asciiTheme="majorHAnsi" w:hAnsiTheme="majorHAnsi" w:cstheme="majorHAnsi"/>
                <w:noProof/>
                <w:webHidden/>
              </w:rPr>
              <w:tab/>
            </w:r>
            <w:r w:rsidR="005522BF" w:rsidRPr="005522BF">
              <w:rPr>
                <w:rFonts w:asciiTheme="majorHAnsi" w:hAnsiTheme="majorHAnsi" w:cstheme="majorHAnsi"/>
                <w:noProof/>
                <w:webHidden/>
              </w:rPr>
              <w:fldChar w:fldCharType="begin"/>
            </w:r>
            <w:r w:rsidR="005522BF" w:rsidRPr="005522BF">
              <w:rPr>
                <w:rFonts w:asciiTheme="majorHAnsi" w:hAnsiTheme="majorHAnsi" w:cstheme="majorHAnsi"/>
                <w:noProof/>
                <w:webHidden/>
              </w:rPr>
              <w:instrText xml:space="preserve"> PAGEREF _Toc154562484 \h </w:instrText>
            </w:r>
            <w:r w:rsidR="005522BF" w:rsidRPr="005522BF">
              <w:rPr>
                <w:rFonts w:asciiTheme="majorHAnsi" w:hAnsiTheme="majorHAnsi" w:cstheme="majorHAnsi"/>
                <w:noProof/>
                <w:webHidden/>
              </w:rPr>
            </w:r>
            <w:r w:rsidR="005522BF" w:rsidRPr="005522BF">
              <w:rPr>
                <w:rFonts w:asciiTheme="majorHAnsi" w:hAnsiTheme="majorHAnsi" w:cstheme="majorHAnsi"/>
                <w:noProof/>
                <w:webHidden/>
              </w:rPr>
              <w:fldChar w:fldCharType="separate"/>
            </w:r>
            <w:r w:rsidR="005522BF" w:rsidRPr="005522BF">
              <w:rPr>
                <w:rFonts w:asciiTheme="majorHAnsi" w:hAnsiTheme="majorHAnsi" w:cstheme="majorHAnsi"/>
                <w:noProof/>
                <w:webHidden/>
              </w:rPr>
              <w:t>7</w:t>
            </w:r>
            <w:r w:rsidR="005522BF" w:rsidRPr="005522BF">
              <w:rPr>
                <w:rFonts w:asciiTheme="majorHAnsi" w:hAnsiTheme="majorHAnsi" w:cstheme="majorHAnsi"/>
                <w:noProof/>
                <w:webHidden/>
              </w:rPr>
              <w:fldChar w:fldCharType="end"/>
            </w:r>
          </w:hyperlink>
        </w:p>
        <w:p w14:paraId="296E948F" w14:textId="62B70F8E" w:rsidR="005522BF" w:rsidRPr="005522BF" w:rsidRDefault="0053077D" w:rsidP="00506777">
          <w:pPr>
            <w:pStyle w:val="11"/>
            <w:tabs>
              <w:tab w:val="left" w:pos="440"/>
              <w:tab w:val="right" w:leader="dot" w:pos="9771"/>
            </w:tabs>
            <w:jc w:val="both"/>
            <w:rPr>
              <w:rFonts w:asciiTheme="majorHAnsi" w:eastAsiaTheme="minorEastAsia" w:hAnsiTheme="majorHAnsi" w:cstheme="majorHAnsi"/>
              <w:noProof/>
            </w:rPr>
          </w:pPr>
          <w:hyperlink w:anchor="_Toc154562485" w:history="1">
            <w:r w:rsidR="005522BF" w:rsidRPr="005522BF">
              <w:rPr>
                <w:rStyle w:val="a4"/>
                <w:rFonts w:asciiTheme="majorHAnsi" w:eastAsia="Times New Roman" w:hAnsiTheme="majorHAnsi" w:cstheme="majorHAnsi"/>
                <w:b/>
                <w:bCs/>
                <w:caps/>
                <w:noProof/>
                <w:lang w:val="ro-MD"/>
              </w:rPr>
              <w:t>II.</w:t>
            </w:r>
            <w:r w:rsidR="005522BF" w:rsidRPr="005522BF">
              <w:rPr>
                <w:rFonts w:asciiTheme="majorHAnsi" w:eastAsiaTheme="minorEastAsia" w:hAnsiTheme="majorHAnsi" w:cstheme="majorHAnsi"/>
                <w:noProof/>
              </w:rPr>
              <w:tab/>
            </w:r>
            <w:r w:rsidR="005522BF" w:rsidRPr="005522BF">
              <w:rPr>
                <w:rStyle w:val="a4"/>
                <w:rFonts w:asciiTheme="majorHAnsi" w:eastAsia="Times New Roman" w:hAnsiTheme="majorHAnsi" w:cstheme="majorHAnsi"/>
                <w:b/>
                <w:bCs/>
                <w:caps/>
                <w:noProof/>
                <w:lang w:val="ro-MD"/>
              </w:rPr>
              <w:t>Prezentare generală</w:t>
            </w:r>
            <w:r w:rsidR="005522BF" w:rsidRPr="005522BF">
              <w:rPr>
                <w:rFonts w:asciiTheme="majorHAnsi" w:hAnsiTheme="majorHAnsi" w:cstheme="majorHAnsi"/>
                <w:noProof/>
                <w:webHidden/>
              </w:rPr>
              <w:tab/>
            </w:r>
            <w:r w:rsidR="005522BF" w:rsidRPr="005522BF">
              <w:rPr>
                <w:rFonts w:asciiTheme="majorHAnsi" w:hAnsiTheme="majorHAnsi" w:cstheme="majorHAnsi"/>
                <w:noProof/>
                <w:webHidden/>
              </w:rPr>
              <w:fldChar w:fldCharType="begin"/>
            </w:r>
            <w:r w:rsidR="005522BF" w:rsidRPr="005522BF">
              <w:rPr>
                <w:rFonts w:asciiTheme="majorHAnsi" w:hAnsiTheme="majorHAnsi" w:cstheme="majorHAnsi"/>
                <w:noProof/>
                <w:webHidden/>
              </w:rPr>
              <w:instrText xml:space="preserve"> PAGEREF _Toc154562485 \h </w:instrText>
            </w:r>
            <w:r w:rsidR="005522BF" w:rsidRPr="005522BF">
              <w:rPr>
                <w:rFonts w:asciiTheme="majorHAnsi" w:hAnsiTheme="majorHAnsi" w:cstheme="majorHAnsi"/>
                <w:noProof/>
                <w:webHidden/>
              </w:rPr>
            </w:r>
            <w:r w:rsidR="005522BF" w:rsidRPr="005522BF">
              <w:rPr>
                <w:rFonts w:asciiTheme="majorHAnsi" w:hAnsiTheme="majorHAnsi" w:cstheme="majorHAnsi"/>
                <w:noProof/>
                <w:webHidden/>
              </w:rPr>
              <w:fldChar w:fldCharType="separate"/>
            </w:r>
            <w:r w:rsidR="005522BF" w:rsidRPr="005522BF">
              <w:rPr>
                <w:rFonts w:asciiTheme="majorHAnsi" w:hAnsiTheme="majorHAnsi" w:cstheme="majorHAnsi"/>
                <w:noProof/>
                <w:webHidden/>
              </w:rPr>
              <w:t>8</w:t>
            </w:r>
            <w:r w:rsidR="005522BF" w:rsidRPr="005522BF">
              <w:rPr>
                <w:rFonts w:asciiTheme="majorHAnsi" w:hAnsiTheme="majorHAnsi" w:cstheme="majorHAnsi"/>
                <w:noProof/>
                <w:webHidden/>
              </w:rPr>
              <w:fldChar w:fldCharType="end"/>
            </w:r>
          </w:hyperlink>
        </w:p>
        <w:p w14:paraId="1245F430" w14:textId="60F8ECFF" w:rsidR="005522BF" w:rsidRPr="005522BF" w:rsidRDefault="0053077D" w:rsidP="00506777">
          <w:pPr>
            <w:pStyle w:val="22"/>
            <w:tabs>
              <w:tab w:val="right" w:leader="dot" w:pos="9771"/>
            </w:tabs>
            <w:jc w:val="both"/>
            <w:rPr>
              <w:rFonts w:asciiTheme="majorHAnsi" w:eastAsiaTheme="minorEastAsia" w:hAnsiTheme="majorHAnsi" w:cstheme="majorHAnsi"/>
              <w:noProof/>
            </w:rPr>
          </w:pPr>
          <w:hyperlink w:anchor="_Toc154562486" w:history="1">
            <w:r w:rsidR="005522BF" w:rsidRPr="005522BF">
              <w:rPr>
                <w:rStyle w:val="a4"/>
                <w:rFonts w:asciiTheme="majorHAnsi" w:hAnsiTheme="majorHAnsi" w:cstheme="majorHAnsi"/>
                <w:b/>
                <w:noProof/>
                <w:lang w:val="ro-MD"/>
              </w:rPr>
              <w:t>Informații generale privind rolul și activitatea IMSP IFP „Chiril Draganiuc”</w:t>
            </w:r>
            <w:r w:rsidR="005522BF" w:rsidRPr="005522BF">
              <w:rPr>
                <w:rFonts w:asciiTheme="majorHAnsi" w:hAnsiTheme="majorHAnsi" w:cstheme="majorHAnsi"/>
                <w:noProof/>
                <w:webHidden/>
              </w:rPr>
              <w:tab/>
            </w:r>
            <w:r w:rsidR="005522BF" w:rsidRPr="005522BF">
              <w:rPr>
                <w:rFonts w:asciiTheme="majorHAnsi" w:hAnsiTheme="majorHAnsi" w:cstheme="majorHAnsi"/>
                <w:noProof/>
                <w:webHidden/>
              </w:rPr>
              <w:fldChar w:fldCharType="begin"/>
            </w:r>
            <w:r w:rsidR="005522BF" w:rsidRPr="005522BF">
              <w:rPr>
                <w:rFonts w:asciiTheme="majorHAnsi" w:hAnsiTheme="majorHAnsi" w:cstheme="majorHAnsi"/>
                <w:noProof/>
                <w:webHidden/>
              </w:rPr>
              <w:instrText xml:space="preserve"> PAGEREF _Toc154562486 \h </w:instrText>
            </w:r>
            <w:r w:rsidR="005522BF" w:rsidRPr="005522BF">
              <w:rPr>
                <w:rFonts w:asciiTheme="majorHAnsi" w:hAnsiTheme="majorHAnsi" w:cstheme="majorHAnsi"/>
                <w:noProof/>
                <w:webHidden/>
              </w:rPr>
            </w:r>
            <w:r w:rsidR="005522BF" w:rsidRPr="005522BF">
              <w:rPr>
                <w:rFonts w:asciiTheme="majorHAnsi" w:hAnsiTheme="majorHAnsi" w:cstheme="majorHAnsi"/>
                <w:noProof/>
                <w:webHidden/>
              </w:rPr>
              <w:fldChar w:fldCharType="separate"/>
            </w:r>
            <w:r w:rsidR="005522BF" w:rsidRPr="005522BF">
              <w:rPr>
                <w:rFonts w:asciiTheme="majorHAnsi" w:hAnsiTheme="majorHAnsi" w:cstheme="majorHAnsi"/>
                <w:noProof/>
                <w:webHidden/>
              </w:rPr>
              <w:t>8</w:t>
            </w:r>
            <w:r w:rsidR="005522BF" w:rsidRPr="005522BF">
              <w:rPr>
                <w:rFonts w:asciiTheme="majorHAnsi" w:hAnsiTheme="majorHAnsi" w:cstheme="majorHAnsi"/>
                <w:noProof/>
                <w:webHidden/>
              </w:rPr>
              <w:fldChar w:fldCharType="end"/>
            </w:r>
          </w:hyperlink>
        </w:p>
        <w:p w14:paraId="20B59ECB" w14:textId="39CC8925" w:rsidR="005522BF" w:rsidRPr="005522BF" w:rsidRDefault="0053077D" w:rsidP="00506777">
          <w:pPr>
            <w:pStyle w:val="22"/>
            <w:tabs>
              <w:tab w:val="right" w:leader="dot" w:pos="9771"/>
            </w:tabs>
            <w:jc w:val="both"/>
            <w:rPr>
              <w:rFonts w:asciiTheme="majorHAnsi" w:eastAsiaTheme="minorEastAsia" w:hAnsiTheme="majorHAnsi" w:cstheme="majorHAnsi"/>
              <w:noProof/>
            </w:rPr>
          </w:pPr>
          <w:hyperlink w:anchor="_Toc154562487" w:history="1">
            <w:r w:rsidR="005522BF" w:rsidRPr="005522BF">
              <w:rPr>
                <w:rStyle w:val="a4"/>
                <w:rFonts w:asciiTheme="majorHAnsi" w:hAnsiTheme="majorHAnsi" w:cstheme="majorHAnsi"/>
                <w:b/>
                <w:noProof/>
                <w:lang w:val="ro-MD"/>
              </w:rPr>
              <w:t>Patrimoniul gestionat</w:t>
            </w:r>
            <w:r w:rsidR="005522BF" w:rsidRPr="005522BF">
              <w:rPr>
                <w:rFonts w:asciiTheme="majorHAnsi" w:hAnsiTheme="majorHAnsi" w:cstheme="majorHAnsi"/>
                <w:noProof/>
                <w:webHidden/>
              </w:rPr>
              <w:tab/>
            </w:r>
            <w:r w:rsidR="005522BF" w:rsidRPr="005522BF">
              <w:rPr>
                <w:rFonts w:asciiTheme="majorHAnsi" w:hAnsiTheme="majorHAnsi" w:cstheme="majorHAnsi"/>
                <w:noProof/>
                <w:webHidden/>
              </w:rPr>
              <w:fldChar w:fldCharType="begin"/>
            </w:r>
            <w:r w:rsidR="005522BF" w:rsidRPr="005522BF">
              <w:rPr>
                <w:rFonts w:asciiTheme="majorHAnsi" w:hAnsiTheme="majorHAnsi" w:cstheme="majorHAnsi"/>
                <w:noProof/>
                <w:webHidden/>
              </w:rPr>
              <w:instrText xml:space="preserve"> PAGEREF _Toc154562487 \h </w:instrText>
            </w:r>
            <w:r w:rsidR="005522BF" w:rsidRPr="005522BF">
              <w:rPr>
                <w:rFonts w:asciiTheme="majorHAnsi" w:hAnsiTheme="majorHAnsi" w:cstheme="majorHAnsi"/>
                <w:noProof/>
                <w:webHidden/>
              </w:rPr>
            </w:r>
            <w:r w:rsidR="005522BF" w:rsidRPr="005522BF">
              <w:rPr>
                <w:rFonts w:asciiTheme="majorHAnsi" w:hAnsiTheme="majorHAnsi" w:cstheme="majorHAnsi"/>
                <w:noProof/>
                <w:webHidden/>
              </w:rPr>
              <w:fldChar w:fldCharType="separate"/>
            </w:r>
            <w:r w:rsidR="005522BF" w:rsidRPr="005522BF">
              <w:rPr>
                <w:rFonts w:asciiTheme="majorHAnsi" w:hAnsiTheme="majorHAnsi" w:cstheme="majorHAnsi"/>
                <w:noProof/>
                <w:webHidden/>
              </w:rPr>
              <w:t>9</w:t>
            </w:r>
            <w:r w:rsidR="005522BF" w:rsidRPr="005522BF">
              <w:rPr>
                <w:rFonts w:asciiTheme="majorHAnsi" w:hAnsiTheme="majorHAnsi" w:cstheme="majorHAnsi"/>
                <w:noProof/>
                <w:webHidden/>
              </w:rPr>
              <w:fldChar w:fldCharType="end"/>
            </w:r>
          </w:hyperlink>
        </w:p>
        <w:p w14:paraId="7299A4EA" w14:textId="40886E68" w:rsidR="005522BF" w:rsidRPr="005522BF" w:rsidRDefault="0053077D" w:rsidP="00506777">
          <w:pPr>
            <w:pStyle w:val="22"/>
            <w:tabs>
              <w:tab w:val="right" w:leader="dot" w:pos="9771"/>
            </w:tabs>
            <w:jc w:val="both"/>
            <w:rPr>
              <w:rFonts w:asciiTheme="majorHAnsi" w:eastAsiaTheme="minorEastAsia" w:hAnsiTheme="majorHAnsi" w:cstheme="majorHAnsi"/>
              <w:noProof/>
            </w:rPr>
          </w:pPr>
          <w:hyperlink w:anchor="_Toc154562488" w:history="1">
            <w:r w:rsidR="005522BF" w:rsidRPr="005522BF">
              <w:rPr>
                <w:rStyle w:val="a4"/>
                <w:rFonts w:asciiTheme="majorHAnsi" w:hAnsiTheme="majorHAnsi" w:cstheme="majorHAnsi"/>
                <w:b/>
                <w:noProof/>
                <w:lang w:val="ro-MD"/>
              </w:rPr>
              <w:t>Responsabilitățile conducerii într-un audit de conformitate</w:t>
            </w:r>
            <w:r w:rsidR="005522BF" w:rsidRPr="005522BF">
              <w:rPr>
                <w:rFonts w:asciiTheme="majorHAnsi" w:hAnsiTheme="majorHAnsi" w:cstheme="majorHAnsi"/>
                <w:noProof/>
                <w:webHidden/>
              </w:rPr>
              <w:tab/>
            </w:r>
            <w:r w:rsidR="005522BF" w:rsidRPr="005522BF">
              <w:rPr>
                <w:rFonts w:asciiTheme="majorHAnsi" w:hAnsiTheme="majorHAnsi" w:cstheme="majorHAnsi"/>
                <w:noProof/>
                <w:webHidden/>
              </w:rPr>
              <w:fldChar w:fldCharType="begin"/>
            </w:r>
            <w:r w:rsidR="005522BF" w:rsidRPr="005522BF">
              <w:rPr>
                <w:rFonts w:asciiTheme="majorHAnsi" w:hAnsiTheme="majorHAnsi" w:cstheme="majorHAnsi"/>
                <w:noProof/>
                <w:webHidden/>
              </w:rPr>
              <w:instrText xml:space="preserve"> PAGEREF _Toc154562488 \h </w:instrText>
            </w:r>
            <w:r w:rsidR="005522BF" w:rsidRPr="005522BF">
              <w:rPr>
                <w:rFonts w:asciiTheme="majorHAnsi" w:hAnsiTheme="majorHAnsi" w:cstheme="majorHAnsi"/>
                <w:noProof/>
                <w:webHidden/>
              </w:rPr>
            </w:r>
            <w:r w:rsidR="005522BF" w:rsidRPr="005522BF">
              <w:rPr>
                <w:rFonts w:asciiTheme="majorHAnsi" w:hAnsiTheme="majorHAnsi" w:cstheme="majorHAnsi"/>
                <w:noProof/>
                <w:webHidden/>
              </w:rPr>
              <w:fldChar w:fldCharType="separate"/>
            </w:r>
            <w:r w:rsidR="005522BF" w:rsidRPr="005522BF">
              <w:rPr>
                <w:rFonts w:asciiTheme="majorHAnsi" w:hAnsiTheme="majorHAnsi" w:cstheme="majorHAnsi"/>
                <w:noProof/>
                <w:webHidden/>
              </w:rPr>
              <w:t>10</w:t>
            </w:r>
            <w:r w:rsidR="005522BF" w:rsidRPr="005522BF">
              <w:rPr>
                <w:rFonts w:asciiTheme="majorHAnsi" w:hAnsiTheme="majorHAnsi" w:cstheme="majorHAnsi"/>
                <w:noProof/>
                <w:webHidden/>
              </w:rPr>
              <w:fldChar w:fldCharType="end"/>
            </w:r>
          </w:hyperlink>
        </w:p>
        <w:p w14:paraId="0B5896AD" w14:textId="16C7E846" w:rsidR="005522BF" w:rsidRPr="005522BF" w:rsidRDefault="0053077D" w:rsidP="00506777">
          <w:pPr>
            <w:pStyle w:val="11"/>
            <w:tabs>
              <w:tab w:val="left" w:pos="440"/>
              <w:tab w:val="right" w:leader="dot" w:pos="9771"/>
            </w:tabs>
            <w:jc w:val="both"/>
            <w:rPr>
              <w:rFonts w:asciiTheme="majorHAnsi" w:eastAsiaTheme="minorEastAsia" w:hAnsiTheme="majorHAnsi" w:cstheme="majorHAnsi"/>
              <w:noProof/>
            </w:rPr>
          </w:pPr>
          <w:hyperlink w:anchor="_Toc154562489" w:history="1">
            <w:r w:rsidR="005522BF" w:rsidRPr="005522BF">
              <w:rPr>
                <w:rStyle w:val="a4"/>
                <w:rFonts w:asciiTheme="majorHAnsi" w:hAnsiTheme="majorHAnsi" w:cstheme="majorHAnsi"/>
                <w:b/>
                <w:noProof/>
                <w:lang w:val="ro-MD"/>
              </w:rPr>
              <w:t>III.</w:t>
            </w:r>
            <w:r w:rsidR="005522BF" w:rsidRPr="005522BF">
              <w:rPr>
                <w:rFonts w:asciiTheme="majorHAnsi" w:eastAsiaTheme="minorEastAsia" w:hAnsiTheme="majorHAnsi" w:cstheme="majorHAnsi"/>
                <w:noProof/>
              </w:rPr>
              <w:tab/>
            </w:r>
            <w:r w:rsidR="005522BF" w:rsidRPr="005522BF">
              <w:rPr>
                <w:rStyle w:val="a4"/>
                <w:rFonts w:asciiTheme="majorHAnsi" w:hAnsiTheme="majorHAnsi" w:cstheme="majorHAnsi"/>
                <w:b/>
                <w:noProof/>
                <w:shd w:val="clear" w:color="auto" w:fill="FFFFFF"/>
                <w:lang w:val="ro-MD"/>
              </w:rPr>
              <w:t>SFERA ȘI ABORDAREA AUDITULUI</w:t>
            </w:r>
            <w:r w:rsidR="005522BF" w:rsidRPr="005522BF">
              <w:rPr>
                <w:rFonts w:asciiTheme="majorHAnsi" w:hAnsiTheme="majorHAnsi" w:cstheme="majorHAnsi"/>
                <w:noProof/>
                <w:webHidden/>
              </w:rPr>
              <w:tab/>
            </w:r>
            <w:r w:rsidR="005522BF" w:rsidRPr="005522BF">
              <w:rPr>
                <w:rFonts w:asciiTheme="majorHAnsi" w:hAnsiTheme="majorHAnsi" w:cstheme="majorHAnsi"/>
                <w:noProof/>
                <w:webHidden/>
              </w:rPr>
              <w:fldChar w:fldCharType="begin"/>
            </w:r>
            <w:r w:rsidR="005522BF" w:rsidRPr="005522BF">
              <w:rPr>
                <w:rFonts w:asciiTheme="majorHAnsi" w:hAnsiTheme="majorHAnsi" w:cstheme="majorHAnsi"/>
                <w:noProof/>
                <w:webHidden/>
              </w:rPr>
              <w:instrText xml:space="preserve"> PAGEREF _Toc154562489 \h </w:instrText>
            </w:r>
            <w:r w:rsidR="005522BF" w:rsidRPr="005522BF">
              <w:rPr>
                <w:rFonts w:asciiTheme="majorHAnsi" w:hAnsiTheme="majorHAnsi" w:cstheme="majorHAnsi"/>
                <w:noProof/>
                <w:webHidden/>
              </w:rPr>
            </w:r>
            <w:r w:rsidR="005522BF" w:rsidRPr="005522BF">
              <w:rPr>
                <w:rFonts w:asciiTheme="majorHAnsi" w:hAnsiTheme="majorHAnsi" w:cstheme="majorHAnsi"/>
                <w:noProof/>
                <w:webHidden/>
              </w:rPr>
              <w:fldChar w:fldCharType="separate"/>
            </w:r>
            <w:r w:rsidR="005522BF" w:rsidRPr="005522BF">
              <w:rPr>
                <w:rFonts w:asciiTheme="majorHAnsi" w:hAnsiTheme="majorHAnsi" w:cstheme="majorHAnsi"/>
                <w:noProof/>
                <w:webHidden/>
              </w:rPr>
              <w:t>11</w:t>
            </w:r>
            <w:r w:rsidR="005522BF" w:rsidRPr="005522BF">
              <w:rPr>
                <w:rFonts w:asciiTheme="majorHAnsi" w:hAnsiTheme="majorHAnsi" w:cstheme="majorHAnsi"/>
                <w:noProof/>
                <w:webHidden/>
              </w:rPr>
              <w:fldChar w:fldCharType="end"/>
            </w:r>
          </w:hyperlink>
        </w:p>
        <w:p w14:paraId="60993374" w14:textId="1A8C50B1" w:rsidR="005522BF" w:rsidRPr="005522BF" w:rsidRDefault="0053077D" w:rsidP="00506777">
          <w:pPr>
            <w:pStyle w:val="32"/>
            <w:tabs>
              <w:tab w:val="right" w:leader="dot" w:pos="9771"/>
            </w:tabs>
            <w:jc w:val="both"/>
            <w:rPr>
              <w:rFonts w:asciiTheme="majorHAnsi" w:eastAsiaTheme="minorEastAsia" w:hAnsiTheme="majorHAnsi" w:cstheme="majorHAnsi"/>
              <w:noProof/>
            </w:rPr>
          </w:pPr>
          <w:hyperlink w:anchor="_Toc154562490" w:history="1">
            <w:r w:rsidR="005522BF" w:rsidRPr="005522BF">
              <w:rPr>
                <w:rStyle w:val="a4"/>
                <w:rFonts w:asciiTheme="majorHAnsi" w:hAnsiTheme="majorHAnsi" w:cstheme="majorHAnsi"/>
                <w:b/>
                <w:noProof/>
                <w:shd w:val="clear" w:color="auto" w:fill="FFFFFF"/>
              </w:rPr>
              <w:t>3.1. Mandatul legal și scopul auditului</w:t>
            </w:r>
            <w:r w:rsidR="005522BF" w:rsidRPr="005522BF">
              <w:rPr>
                <w:rFonts w:asciiTheme="majorHAnsi" w:hAnsiTheme="majorHAnsi" w:cstheme="majorHAnsi"/>
                <w:noProof/>
                <w:webHidden/>
              </w:rPr>
              <w:tab/>
            </w:r>
            <w:r w:rsidR="005522BF" w:rsidRPr="005522BF">
              <w:rPr>
                <w:rFonts w:asciiTheme="majorHAnsi" w:hAnsiTheme="majorHAnsi" w:cstheme="majorHAnsi"/>
                <w:noProof/>
                <w:webHidden/>
              </w:rPr>
              <w:fldChar w:fldCharType="begin"/>
            </w:r>
            <w:r w:rsidR="005522BF" w:rsidRPr="005522BF">
              <w:rPr>
                <w:rFonts w:asciiTheme="majorHAnsi" w:hAnsiTheme="majorHAnsi" w:cstheme="majorHAnsi"/>
                <w:noProof/>
                <w:webHidden/>
              </w:rPr>
              <w:instrText xml:space="preserve"> PAGEREF _Toc154562490 \h </w:instrText>
            </w:r>
            <w:r w:rsidR="005522BF" w:rsidRPr="005522BF">
              <w:rPr>
                <w:rFonts w:asciiTheme="majorHAnsi" w:hAnsiTheme="majorHAnsi" w:cstheme="majorHAnsi"/>
                <w:noProof/>
                <w:webHidden/>
              </w:rPr>
            </w:r>
            <w:r w:rsidR="005522BF" w:rsidRPr="005522BF">
              <w:rPr>
                <w:rFonts w:asciiTheme="majorHAnsi" w:hAnsiTheme="majorHAnsi" w:cstheme="majorHAnsi"/>
                <w:noProof/>
                <w:webHidden/>
              </w:rPr>
              <w:fldChar w:fldCharType="separate"/>
            </w:r>
            <w:r w:rsidR="005522BF" w:rsidRPr="005522BF">
              <w:rPr>
                <w:rFonts w:asciiTheme="majorHAnsi" w:hAnsiTheme="majorHAnsi" w:cstheme="majorHAnsi"/>
                <w:noProof/>
                <w:webHidden/>
              </w:rPr>
              <w:t>11</w:t>
            </w:r>
            <w:r w:rsidR="005522BF" w:rsidRPr="005522BF">
              <w:rPr>
                <w:rFonts w:asciiTheme="majorHAnsi" w:hAnsiTheme="majorHAnsi" w:cstheme="majorHAnsi"/>
                <w:noProof/>
                <w:webHidden/>
              </w:rPr>
              <w:fldChar w:fldCharType="end"/>
            </w:r>
          </w:hyperlink>
        </w:p>
        <w:p w14:paraId="7057C35A" w14:textId="20207C85" w:rsidR="005522BF" w:rsidRPr="005522BF" w:rsidRDefault="0053077D" w:rsidP="00506777">
          <w:pPr>
            <w:pStyle w:val="32"/>
            <w:tabs>
              <w:tab w:val="right" w:leader="dot" w:pos="9771"/>
            </w:tabs>
            <w:jc w:val="both"/>
            <w:rPr>
              <w:rFonts w:asciiTheme="majorHAnsi" w:eastAsiaTheme="minorEastAsia" w:hAnsiTheme="majorHAnsi" w:cstheme="majorHAnsi"/>
              <w:noProof/>
            </w:rPr>
          </w:pPr>
          <w:hyperlink w:anchor="_Toc154562491" w:history="1">
            <w:r w:rsidR="005522BF" w:rsidRPr="005522BF">
              <w:rPr>
                <w:rStyle w:val="a4"/>
                <w:rFonts w:asciiTheme="majorHAnsi" w:hAnsiTheme="majorHAnsi" w:cstheme="majorHAnsi"/>
                <w:b/>
                <w:noProof/>
                <w:shd w:val="clear" w:color="auto" w:fill="FFFFFF"/>
              </w:rPr>
              <w:t>3.2. Abordarea auditului</w:t>
            </w:r>
            <w:r w:rsidR="005522BF" w:rsidRPr="005522BF">
              <w:rPr>
                <w:rFonts w:asciiTheme="majorHAnsi" w:hAnsiTheme="majorHAnsi" w:cstheme="majorHAnsi"/>
                <w:noProof/>
                <w:webHidden/>
              </w:rPr>
              <w:tab/>
            </w:r>
            <w:r w:rsidR="005522BF" w:rsidRPr="005522BF">
              <w:rPr>
                <w:rFonts w:asciiTheme="majorHAnsi" w:hAnsiTheme="majorHAnsi" w:cstheme="majorHAnsi"/>
                <w:noProof/>
                <w:webHidden/>
              </w:rPr>
              <w:fldChar w:fldCharType="begin"/>
            </w:r>
            <w:r w:rsidR="005522BF" w:rsidRPr="005522BF">
              <w:rPr>
                <w:rFonts w:asciiTheme="majorHAnsi" w:hAnsiTheme="majorHAnsi" w:cstheme="majorHAnsi"/>
                <w:noProof/>
                <w:webHidden/>
              </w:rPr>
              <w:instrText xml:space="preserve"> PAGEREF _Toc154562491 \h </w:instrText>
            </w:r>
            <w:r w:rsidR="005522BF" w:rsidRPr="005522BF">
              <w:rPr>
                <w:rFonts w:asciiTheme="majorHAnsi" w:hAnsiTheme="majorHAnsi" w:cstheme="majorHAnsi"/>
                <w:noProof/>
                <w:webHidden/>
              </w:rPr>
            </w:r>
            <w:r w:rsidR="005522BF" w:rsidRPr="005522BF">
              <w:rPr>
                <w:rFonts w:asciiTheme="majorHAnsi" w:hAnsiTheme="majorHAnsi" w:cstheme="majorHAnsi"/>
                <w:noProof/>
                <w:webHidden/>
              </w:rPr>
              <w:fldChar w:fldCharType="separate"/>
            </w:r>
            <w:r w:rsidR="005522BF" w:rsidRPr="005522BF">
              <w:rPr>
                <w:rFonts w:asciiTheme="majorHAnsi" w:hAnsiTheme="majorHAnsi" w:cstheme="majorHAnsi"/>
                <w:noProof/>
                <w:webHidden/>
              </w:rPr>
              <w:t>11</w:t>
            </w:r>
            <w:r w:rsidR="005522BF" w:rsidRPr="005522BF">
              <w:rPr>
                <w:rFonts w:asciiTheme="majorHAnsi" w:hAnsiTheme="majorHAnsi" w:cstheme="majorHAnsi"/>
                <w:noProof/>
                <w:webHidden/>
              </w:rPr>
              <w:fldChar w:fldCharType="end"/>
            </w:r>
          </w:hyperlink>
        </w:p>
        <w:p w14:paraId="71EE4835" w14:textId="55014C5A" w:rsidR="005522BF" w:rsidRPr="005522BF" w:rsidRDefault="0053077D" w:rsidP="00506777">
          <w:pPr>
            <w:pStyle w:val="32"/>
            <w:tabs>
              <w:tab w:val="right" w:leader="dot" w:pos="9771"/>
            </w:tabs>
            <w:jc w:val="both"/>
            <w:rPr>
              <w:rFonts w:asciiTheme="majorHAnsi" w:eastAsiaTheme="minorEastAsia" w:hAnsiTheme="majorHAnsi" w:cstheme="majorHAnsi"/>
              <w:noProof/>
            </w:rPr>
          </w:pPr>
          <w:hyperlink w:anchor="_Toc154562492" w:history="1">
            <w:r w:rsidR="005522BF" w:rsidRPr="005522BF">
              <w:rPr>
                <w:rStyle w:val="a4"/>
                <w:rFonts w:asciiTheme="majorHAnsi" w:hAnsiTheme="majorHAnsi" w:cstheme="majorHAnsi"/>
                <w:b/>
                <w:noProof/>
                <w:shd w:val="clear" w:color="auto" w:fill="FFFFFF"/>
              </w:rPr>
              <w:t>3.3. Responsabilitatea echipei de audit</w:t>
            </w:r>
            <w:r w:rsidR="005522BF" w:rsidRPr="005522BF">
              <w:rPr>
                <w:rFonts w:asciiTheme="majorHAnsi" w:hAnsiTheme="majorHAnsi" w:cstheme="majorHAnsi"/>
                <w:noProof/>
                <w:webHidden/>
              </w:rPr>
              <w:tab/>
            </w:r>
            <w:r w:rsidR="005522BF" w:rsidRPr="005522BF">
              <w:rPr>
                <w:rFonts w:asciiTheme="majorHAnsi" w:hAnsiTheme="majorHAnsi" w:cstheme="majorHAnsi"/>
                <w:noProof/>
                <w:webHidden/>
              </w:rPr>
              <w:fldChar w:fldCharType="begin"/>
            </w:r>
            <w:r w:rsidR="005522BF" w:rsidRPr="005522BF">
              <w:rPr>
                <w:rFonts w:asciiTheme="majorHAnsi" w:hAnsiTheme="majorHAnsi" w:cstheme="majorHAnsi"/>
                <w:noProof/>
                <w:webHidden/>
              </w:rPr>
              <w:instrText xml:space="preserve"> PAGEREF _Toc154562492 \h </w:instrText>
            </w:r>
            <w:r w:rsidR="005522BF" w:rsidRPr="005522BF">
              <w:rPr>
                <w:rFonts w:asciiTheme="majorHAnsi" w:hAnsiTheme="majorHAnsi" w:cstheme="majorHAnsi"/>
                <w:noProof/>
                <w:webHidden/>
              </w:rPr>
            </w:r>
            <w:r w:rsidR="005522BF" w:rsidRPr="005522BF">
              <w:rPr>
                <w:rFonts w:asciiTheme="majorHAnsi" w:hAnsiTheme="majorHAnsi" w:cstheme="majorHAnsi"/>
                <w:noProof/>
                <w:webHidden/>
              </w:rPr>
              <w:fldChar w:fldCharType="separate"/>
            </w:r>
            <w:r w:rsidR="005522BF" w:rsidRPr="005522BF">
              <w:rPr>
                <w:rFonts w:asciiTheme="majorHAnsi" w:hAnsiTheme="majorHAnsi" w:cstheme="majorHAnsi"/>
                <w:noProof/>
                <w:webHidden/>
              </w:rPr>
              <w:t>11</w:t>
            </w:r>
            <w:r w:rsidR="005522BF" w:rsidRPr="005522BF">
              <w:rPr>
                <w:rFonts w:asciiTheme="majorHAnsi" w:hAnsiTheme="majorHAnsi" w:cstheme="majorHAnsi"/>
                <w:noProof/>
                <w:webHidden/>
              </w:rPr>
              <w:fldChar w:fldCharType="end"/>
            </w:r>
          </w:hyperlink>
        </w:p>
        <w:p w14:paraId="5D55047A" w14:textId="7F7ADA77" w:rsidR="005522BF" w:rsidRPr="005522BF" w:rsidRDefault="0053077D" w:rsidP="00506777">
          <w:pPr>
            <w:pStyle w:val="11"/>
            <w:tabs>
              <w:tab w:val="left" w:pos="660"/>
              <w:tab w:val="right" w:leader="dot" w:pos="9771"/>
            </w:tabs>
            <w:jc w:val="both"/>
            <w:rPr>
              <w:rFonts w:asciiTheme="majorHAnsi" w:eastAsiaTheme="minorEastAsia" w:hAnsiTheme="majorHAnsi" w:cstheme="majorHAnsi"/>
              <w:noProof/>
            </w:rPr>
          </w:pPr>
          <w:hyperlink w:anchor="_Toc154562493" w:history="1">
            <w:r w:rsidR="005522BF" w:rsidRPr="005522BF">
              <w:rPr>
                <w:rStyle w:val="a4"/>
                <w:rFonts w:asciiTheme="majorHAnsi" w:eastAsia="Times New Roman" w:hAnsiTheme="majorHAnsi" w:cstheme="majorHAnsi"/>
                <w:b/>
                <w:bCs/>
                <w:caps/>
                <w:noProof/>
                <w:lang w:val="ro-MD"/>
              </w:rPr>
              <w:t>IV.</w:t>
            </w:r>
            <w:r w:rsidR="005522BF" w:rsidRPr="005522BF">
              <w:rPr>
                <w:rFonts w:asciiTheme="majorHAnsi" w:eastAsiaTheme="minorEastAsia" w:hAnsiTheme="majorHAnsi" w:cstheme="majorHAnsi"/>
                <w:noProof/>
              </w:rPr>
              <w:tab/>
            </w:r>
            <w:r w:rsidR="005522BF" w:rsidRPr="005522BF">
              <w:rPr>
                <w:rStyle w:val="a4"/>
                <w:rFonts w:asciiTheme="majorHAnsi" w:eastAsia="Times New Roman" w:hAnsiTheme="majorHAnsi" w:cstheme="majorHAnsi"/>
                <w:b/>
                <w:bCs/>
                <w:caps/>
                <w:noProof/>
                <w:lang w:val="ro-MD"/>
              </w:rPr>
              <w:t>Constatări</w:t>
            </w:r>
            <w:r w:rsidR="005522BF" w:rsidRPr="005522BF">
              <w:rPr>
                <w:rFonts w:asciiTheme="majorHAnsi" w:hAnsiTheme="majorHAnsi" w:cstheme="majorHAnsi"/>
                <w:noProof/>
                <w:webHidden/>
              </w:rPr>
              <w:tab/>
            </w:r>
            <w:r w:rsidR="005522BF" w:rsidRPr="005522BF">
              <w:rPr>
                <w:rFonts w:asciiTheme="majorHAnsi" w:hAnsiTheme="majorHAnsi" w:cstheme="majorHAnsi"/>
                <w:noProof/>
                <w:webHidden/>
              </w:rPr>
              <w:fldChar w:fldCharType="begin"/>
            </w:r>
            <w:r w:rsidR="005522BF" w:rsidRPr="005522BF">
              <w:rPr>
                <w:rFonts w:asciiTheme="majorHAnsi" w:hAnsiTheme="majorHAnsi" w:cstheme="majorHAnsi"/>
                <w:noProof/>
                <w:webHidden/>
              </w:rPr>
              <w:instrText xml:space="preserve"> PAGEREF _Toc154562493 \h </w:instrText>
            </w:r>
            <w:r w:rsidR="005522BF" w:rsidRPr="005522BF">
              <w:rPr>
                <w:rFonts w:asciiTheme="majorHAnsi" w:hAnsiTheme="majorHAnsi" w:cstheme="majorHAnsi"/>
                <w:noProof/>
                <w:webHidden/>
              </w:rPr>
            </w:r>
            <w:r w:rsidR="005522BF" w:rsidRPr="005522BF">
              <w:rPr>
                <w:rFonts w:asciiTheme="majorHAnsi" w:hAnsiTheme="majorHAnsi" w:cstheme="majorHAnsi"/>
                <w:noProof/>
                <w:webHidden/>
              </w:rPr>
              <w:fldChar w:fldCharType="separate"/>
            </w:r>
            <w:r w:rsidR="005522BF" w:rsidRPr="005522BF">
              <w:rPr>
                <w:rFonts w:asciiTheme="majorHAnsi" w:hAnsiTheme="majorHAnsi" w:cstheme="majorHAnsi"/>
                <w:noProof/>
                <w:webHidden/>
              </w:rPr>
              <w:t>12</w:t>
            </w:r>
            <w:r w:rsidR="005522BF" w:rsidRPr="005522BF">
              <w:rPr>
                <w:rFonts w:asciiTheme="majorHAnsi" w:hAnsiTheme="majorHAnsi" w:cstheme="majorHAnsi"/>
                <w:noProof/>
                <w:webHidden/>
              </w:rPr>
              <w:fldChar w:fldCharType="end"/>
            </w:r>
          </w:hyperlink>
        </w:p>
        <w:p w14:paraId="21999377" w14:textId="6F07C005" w:rsidR="005522BF" w:rsidRPr="005522BF" w:rsidRDefault="0053077D" w:rsidP="00506777">
          <w:pPr>
            <w:pStyle w:val="22"/>
            <w:tabs>
              <w:tab w:val="right" w:leader="dot" w:pos="9771"/>
            </w:tabs>
            <w:jc w:val="both"/>
            <w:rPr>
              <w:rFonts w:asciiTheme="majorHAnsi" w:eastAsiaTheme="minorEastAsia" w:hAnsiTheme="majorHAnsi" w:cstheme="majorHAnsi"/>
              <w:noProof/>
            </w:rPr>
          </w:pPr>
          <w:hyperlink w:anchor="_Toc154562494" w:history="1">
            <w:r w:rsidR="005522BF" w:rsidRPr="005522BF">
              <w:rPr>
                <w:rStyle w:val="a4"/>
                <w:rFonts w:asciiTheme="majorHAnsi" w:hAnsiTheme="majorHAnsi" w:cstheme="majorHAnsi"/>
                <w:b/>
                <w:noProof/>
                <w:lang w:val="ro-MD"/>
              </w:rPr>
              <w:t>4.1. Managementul gestionării patrimoniului public necesită a fi consolidat, pentru a asigura  înregistrarea contabilă conformă a tuturor elementelor patrimoniale, precum și fortificarea activităților aferente gestionării conforme a dispozitivelor medicale.</w:t>
            </w:r>
            <w:r w:rsidR="005522BF" w:rsidRPr="005522BF">
              <w:rPr>
                <w:rFonts w:asciiTheme="majorHAnsi" w:hAnsiTheme="majorHAnsi" w:cstheme="majorHAnsi"/>
                <w:noProof/>
                <w:webHidden/>
              </w:rPr>
              <w:tab/>
            </w:r>
            <w:r w:rsidR="005522BF" w:rsidRPr="005522BF">
              <w:rPr>
                <w:rFonts w:asciiTheme="majorHAnsi" w:hAnsiTheme="majorHAnsi" w:cstheme="majorHAnsi"/>
                <w:noProof/>
                <w:webHidden/>
              </w:rPr>
              <w:fldChar w:fldCharType="begin"/>
            </w:r>
            <w:r w:rsidR="005522BF" w:rsidRPr="005522BF">
              <w:rPr>
                <w:rFonts w:asciiTheme="majorHAnsi" w:hAnsiTheme="majorHAnsi" w:cstheme="majorHAnsi"/>
                <w:noProof/>
                <w:webHidden/>
              </w:rPr>
              <w:instrText xml:space="preserve"> PAGEREF _Toc154562494 \h </w:instrText>
            </w:r>
            <w:r w:rsidR="005522BF" w:rsidRPr="005522BF">
              <w:rPr>
                <w:rFonts w:asciiTheme="majorHAnsi" w:hAnsiTheme="majorHAnsi" w:cstheme="majorHAnsi"/>
                <w:noProof/>
                <w:webHidden/>
              </w:rPr>
            </w:r>
            <w:r w:rsidR="005522BF" w:rsidRPr="005522BF">
              <w:rPr>
                <w:rFonts w:asciiTheme="majorHAnsi" w:hAnsiTheme="majorHAnsi" w:cstheme="majorHAnsi"/>
                <w:noProof/>
                <w:webHidden/>
              </w:rPr>
              <w:fldChar w:fldCharType="separate"/>
            </w:r>
            <w:r w:rsidR="005522BF" w:rsidRPr="005522BF">
              <w:rPr>
                <w:rFonts w:asciiTheme="majorHAnsi" w:hAnsiTheme="majorHAnsi" w:cstheme="majorHAnsi"/>
                <w:noProof/>
                <w:webHidden/>
              </w:rPr>
              <w:t>12</w:t>
            </w:r>
            <w:r w:rsidR="005522BF" w:rsidRPr="005522BF">
              <w:rPr>
                <w:rFonts w:asciiTheme="majorHAnsi" w:hAnsiTheme="majorHAnsi" w:cstheme="majorHAnsi"/>
                <w:noProof/>
                <w:webHidden/>
              </w:rPr>
              <w:fldChar w:fldCharType="end"/>
            </w:r>
          </w:hyperlink>
        </w:p>
        <w:p w14:paraId="1BBAF93A" w14:textId="33678747" w:rsidR="005522BF" w:rsidRPr="005522BF" w:rsidRDefault="0053077D" w:rsidP="00506777">
          <w:pPr>
            <w:pStyle w:val="32"/>
            <w:tabs>
              <w:tab w:val="left" w:pos="1320"/>
              <w:tab w:val="right" w:leader="dot" w:pos="9771"/>
            </w:tabs>
            <w:jc w:val="both"/>
            <w:rPr>
              <w:rFonts w:asciiTheme="majorHAnsi" w:eastAsiaTheme="minorEastAsia" w:hAnsiTheme="majorHAnsi" w:cstheme="majorHAnsi"/>
              <w:noProof/>
            </w:rPr>
          </w:pPr>
          <w:hyperlink w:anchor="_Toc154562495" w:history="1">
            <w:r w:rsidR="005522BF" w:rsidRPr="005522BF">
              <w:rPr>
                <w:rStyle w:val="a4"/>
                <w:rFonts w:asciiTheme="majorHAnsi" w:hAnsiTheme="majorHAnsi" w:cstheme="majorHAnsi"/>
                <w:b/>
                <w:noProof/>
                <w:lang w:val="ro-MD"/>
              </w:rPr>
              <w:t>4.1.1.</w:t>
            </w:r>
            <w:r w:rsidR="005522BF" w:rsidRPr="005522BF">
              <w:rPr>
                <w:rFonts w:asciiTheme="majorHAnsi" w:eastAsiaTheme="minorEastAsia" w:hAnsiTheme="majorHAnsi" w:cstheme="majorHAnsi"/>
                <w:noProof/>
              </w:rPr>
              <w:tab/>
            </w:r>
            <w:r w:rsidR="005522BF" w:rsidRPr="005522BF">
              <w:rPr>
                <w:rStyle w:val="a4"/>
                <w:rFonts w:asciiTheme="majorHAnsi" w:hAnsiTheme="majorHAnsi" w:cstheme="majorHAnsi"/>
                <w:b/>
                <w:noProof/>
                <w:shd w:val="clear" w:color="auto" w:fill="FFFFFF"/>
                <w:lang w:val="ro-MD"/>
              </w:rPr>
              <w:t xml:space="preserve">Procesul de </w:t>
            </w:r>
            <w:r w:rsidR="005522BF" w:rsidRPr="005522BF">
              <w:rPr>
                <w:rStyle w:val="a4"/>
                <w:rFonts w:asciiTheme="majorHAnsi" w:hAnsiTheme="majorHAnsi" w:cstheme="majorHAnsi"/>
                <w:b/>
                <w:noProof/>
                <w:lang w:val="ro-MD"/>
              </w:rPr>
              <w:t>delimitare a proprietății publice</w:t>
            </w:r>
            <w:r w:rsidR="005522BF" w:rsidRPr="005522BF">
              <w:rPr>
                <w:rStyle w:val="a4"/>
                <w:rFonts w:asciiTheme="majorHAnsi" w:hAnsiTheme="majorHAnsi" w:cstheme="majorHAnsi"/>
                <w:b/>
                <w:noProof/>
                <w:shd w:val="clear" w:color="auto" w:fill="FFFFFF"/>
                <w:lang w:val="ro-MD"/>
              </w:rPr>
              <w:t xml:space="preserve"> nu este finalizat conform, ceea ce indică unele deficiențe aferente înregistrării dreptului de proprietate asupra acesteia</w:t>
            </w:r>
            <w:r w:rsidR="005522BF" w:rsidRPr="005522BF">
              <w:rPr>
                <w:rStyle w:val="a4"/>
                <w:rFonts w:asciiTheme="majorHAnsi" w:hAnsiTheme="majorHAnsi" w:cstheme="majorHAnsi"/>
                <w:b/>
                <w:noProof/>
                <w:lang w:val="ro-MD"/>
              </w:rPr>
              <w:t>.</w:t>
            </w:r>
            <w:r w:rsidR="005522BF" w:rsidRPr="005522BF">
              <w:rPr>
                <w:rFonts w:asciiTheme="majorHAnsi" w:hAnsiTheme="majorHAnsi" w:cstheme="majorHAnsi"/>
                <w:noProof/>
                <w:webHidden/>
              </w:rPr>
              <w:tab/>
            </w:r>
            <w:r w:rsidR="005522BF" w:rsidRPr="005522BF">
              <w:rPr>
                <w:rFonts w:asciiTheme="majorHAnsi" w:hAnsiTheme="majorHAnsi" w:cstheme="majorHAnsi"/>
                <w:noProof/>
                <w:webHidden/>
              </w:rPr>
              <w:fldChar w:fldCharType="begin"/>
            </w:r>
            <w:r w:rsidR="005522BF" w:rsidRPr="005522BF">
              <w:rPr>
                <w:rFonts w:asciiTheme="majorHAnsi" w:hAnsiTheme="majorHAnsi" w:cstheme="majorHAnsi"/>
                <w:noProof/>
                <w:webHidden/>
              </w:rPr>
              <w:instrText xml:space="preserve"> PAGEREF _Toc154562495 \h </w:instrText>
            </w:r>
            <w:r w:rsidR="005522BF" w:rsidRPr="005522BF">
              <w:rPr>
                <w:rFonts w:asciiTheme="majorHAnsi" w:hAnsiTheme="majorHAnsi" w:cstheme="majorHAnsi"/>
                <w:noProof/>
                <w:webHidden/>
              </w:rPr>
            </w:r>
            <w:r w:rsidR="005522BF" w:rsidRPr="005522BF">
              <w:rPr>
                <w:rFonts w:asciiTheme="majorHAnsi" w:hAnsiTheme="majorHAnsi" w:cstheme="majorHAnsi"/>
                <w:noProof/>
                <w:webHidden/>
              </w:rPr>
              <w:fldChar w:fldCharType="separate"/>
            </w:r>
            <w:r w:rsidR="005522BF" w:rsidRPr="005522BF">
              <w:rPr>
                <w:rFonts w:asciiTheme="majorHAnsi" w:hAnsiTheme="majorHAnsi" w:cstheme="majorHAnsi"/>
                <w:noProof/>
                <w:webHidden/>
              </w:rPr>
              <w:t>13</w:t>
            </w:r>
            <w:r w:rsidR="005522BF" w:rsidRPr="005522BF">
              <w:rPr>
                <w:rFonts w:asciiTheme="majorHAnsi" w:hAnsiTheme="majorHAnsi" w:cstheme="majorHAnsi"/>
                <w:noProof/>
                <w:webHidden/>
              </w:rPr>
              <w:fldChar w:fldCharType="end"/>
            </w:r>
          </w:hyperlink>
        </w:p>
        <w:p w14:paraId="6EF7D400" w14:textId="4807AABD" w:rsidR="005522BF" w:rsidRPr="005522BF" w:rsidRDefault="0053077D" w:rsidP="00506777">
          <w:pPr>
            <w:pStyle w:val="32"/>
            <w:tabs>
              <w:tab w:val="left" w:pos="1320"/>
              <w:tab w:val="right" w:leader="dot" w:pos="9771"/>
            </w:tabs>
            <w:jc w:val="both"/>
            <w:rPr>
              <w:rFonts w:asciiTheme="majorHAnsi" w:eastAsiaTheme="minorEastAsia" w:hAnsiTheme="majorHAnsi" w:cstheme="majorHAnsi"/>
              <w:noProof/>
            </w:rPr>
          </w:pPr>
          <w:hyperlink w:anchor="_Toc154562496" w:history="1">
            <w:r w:rsidR="005522BF" w:rsidRPr="005522BF">
              <w:rPr>
                <w:rStyle w:val="a4"/>
                <w:rFonts w:asciiTheme="majorHAnsi" w:hAnsiTheme="majorHAnsi" w:cstheme="majorHAnsi"/>
                <w:b/>
                <w:noProof/>
                <w:lang w:val="ro-MD"/>
              </w:rPr>
              <w:t>4.1.2.</w:t>
            </w:r>
            <w:r w:rsidR="005522BF" w:rsidRPr="005522BF">
              <w:rPr>
                <w:rFonts w:asciiTheme="majorHAnsi" w:eastAsiaTheme="minorEastAsia" w:hAnsiTheme="majorHAnsi" w:cstheme="majorHAnsi"/>
                <w:noProof/>
              </w:rPr>
              <w:tab/>
            </w:r>
            <w:r w:rsidR="005522BF" w:rsidRPr="005522BF">
              <w:rPr>
                <w:rStyle w:val="a4"/>
                <w:rFonts w:asciiTheme="majorHAnsi" w:hAnsiTheme="majorHAnsi" w:cstheme="majorHAnsi"/>
                <w:b/>
                <w:noProof/>
                <w:lang w:val="ro-MD"/>
              </w:rPr>
              <w:t>Entitatea nu a aplicat pe deplin reglementările privind imobilizările corporale neutilizate în activitatea operațională, ceea ce poate influența costul serviciului prestat, precum și reflectarea neconformă a informațiilor/situațiilor raportate.</w:t>
            </w:r>
            <w:r w:rsidR="005522BF" w:rsidRPr="005522BF">
              <w:rPr>
                <w:rFonts w:asciiTheme="majorHAnsi" w:hAnsiTheme="majorHAnsi" w:cstheme="majorHAnsi"/>
                <w:noProof/>
                <w:webHidden/>
              </w:rPr>
              <w:tab/>
            </w:r>
            <w:r w:rsidR="005522BF" w:rsidRPr="005522BF">
              <w:rPr>
                <w:rFonts w:asciiTheme="majorHAnsi" w:hAnsiTheme="majorHAnsi" w:cstheme="majorHAnsi"/>
                <w:noProof/>
                <w:webHidden/>
              </w:rPr>
              <w:fldChar w:fldCharType="begin"/>
            </w:r>
            <w:r w:rsidR="005522BF" w:rsidRPr="005522BF">
              <w:rPr>
                <w:rFonts w:asciiTheme="majorHAnsi" w:hAnsiTheme="majorHAnsi" w:cstheme="majorHAnsi"/>
                <w:noProof/>
                <w:webHidden/>
              </w:rPr>
              <w:instrText xml:space="preserve"> PAGEREF _Toc154562496 \h </w:instrText>
            </w:r>
            <w:r w:rsidR="005522BF" w:rsidRPr="005522BF">
              <w:rPr>
                <w:rFonts w:asciiTheme="majorHAnsi" w:hAnsiTheme="majorHAnsi" w:cstheme="majorHAnsi"/>
                <w:noProof/>
                <w:webHidden/>
              </w:rPr>
            </w:r>
            <w:r w:rsidR="005522BF" w:rsidRPr="005522BF">
              <w:rPr>
                <w:rFonts w:asciiTheme="majorHAnsi" w:hAnsiTheme="majorHAnsi" w:cstheme="majorHAnsi"/>
                <w:noProof/>
                <w:webHidden/>
              </w:rPr>
              <w:fldChar w:fldCharType="separate"/>
            </w:r>
            <w:r w:rsidR="005522BF" w:rsidRPr="005522BF">
              <w:rPr>
                <w:rFonts w:asciiTheme="majorHAnsi" w:hAnsiTheme="majorHAnsi" w:cstheme="majorHAnsi"/>
                <w:noProof/>
                <w:webHidden/>
              </w:rPr>
              <w:t>14</w:t>
            </w:r>
            <w:r w:rsidR="005522BF" w:rsidRPr="005522BF">
              <w:rPr>
                <w:rFonts w:asciiTheme="majorHAnsi" w:hAnsiTheme="majorHAnsi" w:cstheme="majorHAnsi"/>
                <w:noProof/>
                <w:webHidden/>
              </w:rPr>
              <w:fldChar w:fldCharType="end"/>
            </w:r>
          </w:hyperlink>
        </w:p>
        <w:p w14:paraId="348CEB1A" w14:textId="068B1407" w:rsidR="005522BF" w:rsidRPr="005522BF" w:rsidRDefault="0053077D" w:rsidP="00506777">
          <w:pPr>
            <w:pStyle w:val="32"/>
            <w:tabs>
              <w:tab w:val="left" w:pos="1320"/>
              <w:tab w:val="right" w:leader="dot" w:pos="9771"/>
            </w:tabs>
            <w:jc w:val="both"/>
            <w:rPr>
              <w:rFonts w:asciiTheme="majorHAnsi" w:eastAsiaTheme="minorEastAsia" w:hAnsiTheme="majorHAnsi" w:cstheme="majorHAnsi"/>
              <w:noProof/>
            </w:rPr>
          </w:pPr>
          <w:hyperlink w:anchor="_Toc154562497" w:history="1">
            <w:r w:rsidR="005522BF" w:rsidRPr="005522BF">
              <w:rPr>
                <w:rStyle w:val="a4"/>
                <w:rFonts w:asciiTheme="majorHAnsi" w:hAnsiTheme="majorHAnsi" w:cstheme="majorHAnsi"/>
                <w:b/>
                <w:noProof/>
                <w:lang w:val="ro-MD"/>
              </w:rPr>
              <w:t>4.1.3.</w:t>
            </w:r>
            <w:r w:rsidR="005522BF" w:rsidRPr="005522BF">
              <w:rPr>
                <w:rFonts w:asciiTheme="majorHAnsi" w:eastAsiaTheme="minorEastAsia" w:hAnsiTheme="majorHAnsi" w:cstheme="majorHAnsi"/>
                <w:noProof/>
              </w:rPr>
              <w:tab/>
            </w:r>
            <w:r w:rsidR="005522BF" w:rsidRPr="005522BF">
              <w:rPr>
                <w:rStyle w:val="a4"/>
                <w:rFonts w:asciiTheme="majorHAnsi" w:hAnsiTheme="majorHAnsi" w:cstheme="majorHAnsi"/>
                <w:b/>
                <w:noProof/>
                <w:lang w:val="ro-MD"/>
              </w:rPr>
              <w:t>Lipsa documentelor confirmative ce atestă privatizarea apartamentelor nu asigură evidența conformă a caselor de locuit deținute de IMSP.</w:t>
            </w:r>
            <w:r w:rsidR="005522BF" w:rsidRPr="005522BF">
              <w:rPr>
                <w:rFonts w:asciiTheme="majorHAnsi" w:hAnsiTheme="majorHAnsi" w:cstheme="majorHAnsi"/>
                <w:noProof/>
                <w:webHidden/>
              </w:rPr>
              <w:tab/>
            </w:r>
            <w:r w:rsidR="005522BF" w:rsidRPr="005522BF">
              <w:rPr>
                <w:rFonts w:asciiTheme="majorHAnsi" w:hAnsiTheme="majorHAnsi" w:cstheme="majorHAnsi"/>
                <w:noProof/>
                <w:webHidden/>
              </w:rPr>
              <w:fldChar w:fldCharType="begin"/>
            </w:r>
            <w:r w:rsidR="005522BF" w:rsidRPr="005522BF">
              <w:rPr>
                <w:rFonts w:asciiTheme="majorHAnsi" w:hAnsiTheme="majorHAnsi" w:cstheme="majorHAnsi"/>
                <w:noProof/>
                <w:webHidden/>
              </w:rPr>
              <w:instrText xml:space="preserve"> PAGEREF _Toc154562497 \h </w:instrText>
            </w:r>
            <w:r w:rsidR="005522BF" w:rsidRPr="005522BF">
              <w:rPr>
                <w:rFonts w:asciiTheme="majorHAnsi" w:hAnsiTheme="majorHAnsi" w:cstheme="majorHAnsi"/>
                <w:noProof/>
                <w:webHidden/>
              </w:rPr>
            </w:r>
            <w:r w:rsidR="005522BF" w:rsidRPr="005522BF">
              <w:rPr>
                <w:rFonts w:asciiTheme="majorHAnsi" w:hAnsiTheme="majorHAnsi" w:cstheme="majorHAnsi"/>
                <w:noProof/>
                <w:webHidden/>
              </w:rPr>
              <w:fldChar w:fldCharType="separate"/>
            </w:r>
            <w:r w:rsidR="005522BF" w:rsidRPr="005522BF">
              <w:rPr>
                <w:rFonts w:asciiTheme="majorHAnsi" w:hAnsiTheme="majorHAnsi" w:cstheme="majorHAnsi"/>
                <w:noProof/>
                <w:webHidden/>
              </w:rPr>
              <w:t>14</w:t>
            </w:r>
            <w:r w:rsidR="005522BF" w:rsidRPr="005522BF">
              <w:rPr>
                <w:rFonts w:asciiTheme="majorHAnsi" w:hAnsiTheme="majorHAnsi" w:cstheme="majorHAnsi"/>
                <w:noProof/>
                <w:webHidden/>
              </w:rPr>
              <w:fldChar w:fldCharType="end"/>
            </w:r>
          </w:hyperlink>
        </w:p>
        <w:p w14:paraId="1D241BE4" w14:textId="00E0CA65" w:rsidR="005522BF" w:rsidRPr="005522BF" w:rsidRDefault="0053077D" w:rsidP="00506777">
          <w:pPr>
            <w:pStyle w:val="32"/>
            <w:tabs>
              <w:tab w:val="left" w:pos="1320"/>
              <w:tab w:val="right" w:leader="dot" w:pos="9771"/>
            </w:tabs>
            <w:jc w:val="both"/>
            <w:rPr>
              <w:rFonts w:asciiTheme="majorHAnsi" w:eastAsiaTheme="minorEastAsia" w:hAnsiTheme="majorHAnsi" w:cstheme="majorHAnsi"/>
              <w:noProof/>
            </w:rPr>
          </w:pPr>
          <w:hyperlink w:anchor="_Toc154562498" w:history="1">
            <w:r w:rsidR="005522BF" w:rsidRPr="005522BF">
              <w:rPr>
                <w:rStyle w:val="a4"/>
                <w:rFonts w:asciiTheme="majorHAnsi" w:hAnsiTheme="majorHAnsi" w:cstheme="majorHAnsi"/>
                <w:b/>
                <w:noProof/>
                <w:lang w:val="ro-MD"/>
              </w:rPr>
              <w:t>4.1.4.</w:t>
            </w:r>
            <w:r w:rsidR="005522BF" w:rsidRPr="005522BF">
              <w:rPr>
                <w:rFonts w:asciiTheme="majorHAnsi" w:eastAsiaTheme="minorEastAsia" w:hAnsiTheme="majorHAnsi" w:cstheme="majorHAnsi"/>
                <w:noProof/>
              </w:rPr>
              <w:tab/>
            </w:r>
            <w:r w:rsidR="005522BF" w:rsidRPr="005522BF">
              <w:rPr>
                <w:rStyle w:val="a4"/>
                <w:rFonts w:asciiTheme="majorHAnsi" w:hAnsiTheme="majorHAnsi" w:cstheme="majorHAnsi"/>
                <w:b/>
                <w:noProof/>
                <w:lang w:val="ro-MD"/>
              </w:rPr>
              <w:t>Procedura de transmitere a terenurilor în gestiune economică nu a fost finalizată, fapt ce nu asigură evidența conformă a acestora, actualizarea valorii acestora cu cca 102 635,0 mii lei nefiind efectuată.</w:t>
            </w:r>
            <w:r w:rsidR="005522BF" w:rsidRPr="005522BF">
              <w:rPr>
                <w:rFonts w:asciiTheme="majorHAnsi" w:hAnsiTheme="majorHAnsi" w:cstheme="majorHAnsi"/>
                <w:noProof/>
                <w:webHidden/>
              </w:rPr>
              <w:tab/>
            </w:r>
            <w:r w:rsidR="005522BF" w:rsidRPr="005522BF">
              <w:rPr>
                <w:rFonts w:asciiTheme="majorHAnsi" w:hAnsiTheme="majorHAnsi" w:cstheme="majorHAnsi"/>
                <w:noProof/>
                <w:webHidden/>
              </w:rPr>
              <w:fldChar w:fldCharType="begin"/>
            </w:r>
            <w:r w:rsidR="005522BF" w:rsidRPr="005522BF">
              <w:rPr>
                <w:rFonts w:asciiTheme="majorHAnsi" w:hAnsiTheme="majorHAnsi" w:cstheme="majorHAnsi"/>
                <w:noProof/>
                <w:webHidden/>
              </w:rPr>
              <w:instrText xml:space="preserve"> PAGEREF _Toc154562498 \h </w:instrText>
            </w:r>
            <w:r w:rsidR="005522BF" w:rsidRPr="005522BF">
              <w:rPr>
                <w:rFonts w:asciiTheme="majorHAnsi" w:hAnsiTheme="majorHAnsi" w:cstheme="majorHAnsi"/>
                <w:noProof/>
                <w:webHidden/>
              </w:rPr>
            </w:r>
            <w:r w:rsidR="005522BF" w:rsidRPr="005522BF">
              <w:rPr>
                <w:rFonts w:asciiTheme="majorHAnsi" w:hAnsiTheme="majorHAnsi" w:cstheme="majorHAnsi"/>
                <w:noProof/>
                <w:webHidden/>
              </w:rPr>
              <w:fldChar w:fldCharType="separate"/>
            </w:r>
            <w:r w:rsidR="005522BF" w:rsidRPr="005522BF">
              <w:rPr>
                <w:rFonts w:asciiTheme="majorHAnsi" w:hAnsiTheme="majorHAnsi" w:cstheme="majorHAnsi"/>
                <w:noProof/>
                <w:webHidden/>
              </w:rPr>
              <w:t>15</w:t>
            </w:r>
            <w:r w:rsidR="005522BF" w:rsidRPr="005522BF">
              <w:rPr>
                <w:rFonts w:asciiTheme="majorHAnsi" w:hAnsiTheme="majorHAnsi" w:cstheme="majorHAnsi"/>
                <w:noProof/>
                <w:webHidden/>
              </w:rPr>
              <w:fldChar w:fldCharType="end"/>
            </w:r>
          </w:hyperlink>
        </w:p>
        <w:p w14:paraId="0D4EAC55" w14:textId="73752596" w:rsidR="005522BF" w:rsidRPr="005522BF" w:rsidRDefault="0053077D" w:rsidP="00506777">
          <w:pPr>
            <w:pStyle w:val="32"/>
            <w:tabs>
              <w:tab w:val="left" w:pos="1320"/>
              <w:tab w:val="right" w:leader="dot" w:pos="9771"/>
            </w:tabs>
            <w:jc w:val="both"/>
            <w:rPr>
              <w:rFonts w:asciiTheme="majorHAnsi" w:eastAsiaTheme="minorEastAsia" w:hAnsiTheme="majorHAnsi" w:cstheme="majorHAnsi"/>
              <w:noProof/>
            </w:rPr>
          </w:pPr>
          <w:hyperlink w:anchor="_Toc154562499" w:history="1">
            <w:r w:rsidR="005522BF" w:rsidRPr="005522BF">
              <w:rPr>
                <w:rStyle w:val="a4"/>
                <w:rFonts w:asciiTheme="majorHAnsi" w:hAnsiTheme="majorHAnsi" w:cstheme="majorHAnsi"/>
                <w:b/>
                <w:noProof/>
                <w:lang w:val="ro-MD"/>
              </w:rPr>
              <w:t>4.1.5.</w:t>
            </w:r>
            <w:r w:rsidR="005522BF" w:rsidRPr="005522BF">
              <w:rPr>
                <w:rFonts w:asciiTheme="majorHAnsi" w:eastAsiaTheme="minorEastAsia" w:hAnsiTheme="majorHAnsi" w:cstheme="majorHAnsi"/>
                <w:noProof/>
              </w:rPr>
              <w:tab/>
            </w:r>
            <w:r w:rsidR="005522BF" w:rsidRPr="005522BF">
              <w:rPr>
                <w:rStyle w:val="a4"/>
                <w:rFonts w:asciiTheme="majorHAnsi" w:hAnsiTheme="majorHAnsi" w:cstheme="majorHAnsi"/>
                <w:b/>
                <w:noProof/>
                <w:lang w:val="ro-MD"/>
              </w:rPr>
              <w:t>Deciziile cu privire la schimbarea destinației unor obiecte nu sunt realizabile și nu corespund cadrului legal.</w:t>
            </w:r>
            <w:r w:rsidR="005522BF" w:rsidRPr="005522BF">
              <w:rPr>
                <w:rFonts w:asciiTheme="majorHAnsi" w:hAnsiTheme="majorHAnsi" w:cstheme="majorHAnsi"/>
                <w:noProof/>
                <w:webHidden/>
              </w:rPr>
              <w:tab/>
            </w:r>
            <w:r w:rsidR="005522BF" w:rsidRPr="005522BF">
              <w:rPr>
                <w:rFonts w:asciiTheme="majorHAnsi" w:hAnsiTheme="majorHAnsi" w:cstheme="majorHAnsi"/>
                <w:noProof/>
                <w:webHidden/>
              </w:rPr>
              <w:fldChar w:fldCharType="begin"/>
            </w:r>
            <w:r w:rsidR="005522BF" w:rsidRPr="005522BF">
              <w:rPr>
                <w:rFonts w:asciiTheme="majorHAnsi" w:hAnsiTheme="majorHAnsi" w:cstheme="majorHAnsi"/>
                <w:noProof/>
                <w:webHidden/>
              </w:rPr>
              <w:instrText xml:space="preserve"> PAGEREF _Toc154562499 \h </w:instrText>
            </w:r>
            <w:r w:rsidR="005522BF" w:rsidRPr="005522BF">
              <w:rPr>
                <w:rFonts w:asciiTheme="majorHAnsi" w:hAnsiTheme="majorHAnsi" w:cstheme="majorHAnsi"/>
                <w:noProof/>
                <w:webHidden/>
              </w:rPr>
            </w:r>
            <w:r w:rsidR="005522BF" w:rsidRPr="005522BF">
              <w:rPr>
                <w:rFonts w:asciiTheme="majorHAnsi" w:hAnsiTheme="majorHAnsi" w:cstheme="majorHAnsi"/>
                <w:noProof/>
                <w:webHidden/>
              </w:rPr>
              <w:fldChar w:fldCharType="separate"/>
            </w:r>
            <w:r w:rsidR="005522BF" w:rsidRPr="005522BF">
              <w:rPr>
                <w:rFonts w:asciiTheme="majorHAnsi" w:hAnsiTheme="majorHAnsi" w:cstheme="majorHAnsi"/>
                <w:noProof/>
                <w:webHidden/>
              </w:rPr>
              <w:t>16</w:t>
            </w:r>
            <w:r w:rsidR="005522BF" w:rsidRPr="005522BF">
              <w:rPr>
                <w:rFonts w:asciiTheme="majorHAnsi" w:hAnsiTheme="majorHAnsi" w:cstheme="majorHAnsi"/>
                <w:noProof/>
                <w:webHidden/>
              </w:rPr>
              <w:fldChar w:fldCharType="end"/>
            </w:r>
          </w:hyperlink>
        </w:p>
        <w:p w14:paraId="1E35FCB1" w14:textId="17016865" w:rsidR="005522BF" w:rsidRPr="005522BF" w:rsidRDefault="0053077D" w:rsidP="00506777">
          <w:pPr>
            <w:pStyle w:val="32"/>
            <w:tabs>
              <w:tab w:val="left" w:pos="1320"/>
              <w:tab w:val="right" w:leader="dot" w:pos="9771"/>
            </w:tabs>
            <w:jc w:val="both"/>
            <w:rPr>
              <w:rFonts w:asciiTheme="majorHAnsi" w:eastAsiaTheme="minorEastAsia" w:hAnsiTheme="majorHAnsi" w:cstheme="majorHAnsi"/>
              <w:noProof/>
            </w:rPr>
          </w:pPr>
          <w:hyperlink w:anchor="_Toc154562500" w:history="1">
            <w:r w:rsidR="005522BF" w:rsidRPr="005522BF">
              <w:rPr>
                <w:rStyle w:val="a4"/>
                <w:rFonts w:asciiTheme="majorHAnsi" w:hAnsiTheme="majorHAnsi" w:cstheme="majorHAnsi"/>
                <w:b/>
                <w:noProof/>
              </w:rPr>
              <w:t>4.1.6.</w:t>
            </w:r>
            <w:r w:rsidR="005522BF" w:rsidRPr="005522BF">
              <w:rPr>
                <w:rFonts w:asciiTheme="majorHAnsi" w:eastAsiaTheme="minorEastAsia" w:hAnsiTheme="majorHAnsi" w:cstheme="majorHAnsi"/>
                <w:noProof/>
              </w:rPr>
              <w:tab/>
            </w:r>
            <w:r w:rsidR="005522BF" w:rsidRPr="005522BF">
              <w:rPr>
                <w:rStyle w:val="a4"/>
                <w:rFonts w:asciiTheme="majorHAnsi" w:hAnsiTheme="majorHAnsi" w:cstheme="majorHAnsi"/>
                <w:b/>
                <w:noProof/>
              </w:rPr>
              <w:t>Necesitățile de întreținere a Clinicii amplasate în s. Vorniceni, corelate cu majorarea cheltuielilor și micșorarea numărului de pacienți, pune presiune economică asupra IMSP IFP.</w:t>
            </w:r>
            <w:r w:rsidR="005522BF" w:rsidRPr="005522BF">
              <w:rPr>
                <w:rFonts w:asciiTheme="majorHAnsi" w:hAnsiTheme="majorHAnsi" w:cstheme="majorHAnsi"/>
                <w:noProof/>
                <w:webHidden/>
              </w:rPr>
              <w:tab/>
            </w:r>
            <w:r w:rsidR="005522BF" w:rsidRPr="005522BF">
              <w:rPr>
                <w:rFonts w:asciiTheme="majorHAnsi" w:hAnsiTheme="majorHAnsi" w:cstheme="majorHAnsi"/>
                <w:noProof/>
                <w:webHidden/>
              </w:rPr>
              <w:fldChar w:fldCharType="begin"/>
            </w:r>
            <w:r w:rsidR="005522BF" w:rsidRPr="005522BF">
              <w:rPr>
                <w:rFonts w:asciiTheme="majorHAnsi" w:hAnsiTheme="majorHAnsi" w:cstheme="majorHAnsi"/>
                <w:noProof/>
                <w:webHidden/>
              </w:rPr>
              <w:instrText xml:space="preserve"> PAGEREF _Toc154562500 \h </w:instrText>
            </w:r>
            <w:r w:rsidR="005522BF" w:rsidRPr="005522BF">
              <w:rPr>
                <w:rFonts w:asciiTheme="majorHAnsi" w:hAnsiTheme="majorHAnsi" w:cstheme="majorHAnsi"/>
                <w:noProof/>
                <w:webHidden/>
              </w:rPr>
            </w:r>
            <w:r w:rsidR="005522BF" w:rsidRPr="005522BF">
              <w:rPr>
                <w:rFonts w:asciiTheme="majorHAnsi" w:hAnsiTheme="majorHAnsi" w:cstheme="majorHAnsi"/>
                <w:noProof/>
                <w:webHidden/>
              </w:rPr>
              <w:fldChar w:fldCharType="separate"/>
            </w:r>
            <w:r w:rsidR="005522BF" w:rsidRPr="005522BF">
              <w:rPr>
                <w:rFonts w:asciiTheme="majorHAnsi" w:hAnsiTheme="majorHAnsi" w:cstheme="majorHAnsi"/>
                <w:noProof/>
                <w:webHidden/>
              </w:rPr>
              <w:t>16</w:t>
            </w:r>
            <w:r w:rsidR="005522BF" w:rsidRPr="005522BF">
              <w:rPr>
                <w:rFonts w:asciiTheme="majorHAnsi" w:hAnsiTheme="majorHAnsi" w:cstheme="majorHAnsi"/>
                <w:noProof/>
                <w:webHidden/>
              </w:rPr>
              <w:fldChar w:fldCharType="end"/>
            </w:r>
          </w:hyperlink>
        </w:p>
        <w:p w14:paraId="182BD48A" w14:textId="67AB912B" w:rsidR="005522BF" w:rsidRPr="005522BF" w:rsidRDefault="0053077D" w:rsidP="00506777">
          <w:pPr>
            <w:pStyle w:val="32"/>
            <w:tabs>
              <w:tab w:val="left" w:pos="1320"/>
              <w:tab w:val="right" w:leader="dot" w:pos="9771"/>
            </w:tabs>
            <w:jc w:val="both"/>
            <w:rPr>
              <w:rFonts w:asciiTheme="majorHAnsi" w:eastAsiaTheme="minorEastAsia" w:hAnsiTheme="majorHAnsi" w:cstheme="majorHAnsi"/>
              <w:noProof/>
            </w:rPr>
          </w:pPr>
          <w:hyperlink w:anchor="_Toc154562501" w:history="1">
            <w:r w:rsidR="005522BF" w:rsidRPr="005522BF">
              <w:rPr>
                <w:rStyle w:val="a4"/>
                <w:rFonts w:asciiTheme="majorHAnsi" w:hAnsiTheme="majorHAnsi" w:cstheme="majorHAnsi"/>
                <w:b/>
                <w:noProof/>
                <w:lang w:val="ro-MD"/>
              </w:rPr>
              <w:t>4.1.7.</w:t>
            </w:r>
            <w:r w:rsidR="005522BF" w:rsidRPr="005522BF">
              <w:rPr>
                <w:rFonts w:asciiTheme="majorHAnsi" w:eastAsiaTheme="minorEastAsia" w:hAnsiTheme="majorHAnsi" w:cstheme="majorHAnsi"/>
                <w:noProof/>
              </w:rPr>
              <w:tab/>
            </w:r>
            <w:r w:rsidR="005522BF" w:rsidRPr="005522BF">
              <w:rPr>
                <w:rStyle w:val="a4"/>
                <w:rFonts w:asciiTheme="majorHAnsi" w:hAnsiTheme="majorHAnsi" w:cstheme="majorHAnsi"/>
                <w:b/>
                <w:noProof/>
                <w:lang w:val="ro-MD"/>
              </w:rPr>
              <w:t>Lipsa deciziilor oportune în raport cu activele corporale aflate în curs de execuție (blocul 2 al clinicii Vorniceni) o perioadă îndelungată de timp, nu contribuie la gestionarea conformă și eficientă a patrimoniului.</w:t>
            </w:r>
            <w:r w:rsidR="005522BF" w:rsidRPr="005522BF">
              <w:rPr>
                <w:rFonts w:asciiTheme="majorHAnsi" w:hAnsiTheme="majorHAnsi" w:cstheme="majorHAnsi"/>
                <w:noProof/>
                <w:webHidden/>
              </w:rPr>
              <w:tab/>
            </w:r>
            <w:r w:rsidR="005522BF" w:rsidRPr="005522BF">
              <w:rPr>
                <w:rFonts w:asciiTheme="majorHAnsi" w:hAnsiTheme="majorHAnsi" w:cstheme="majorHAnsi"/>
                <w:noProof/>
                <w:webHidden/>
              </w:rPr>
              <w:fldChar w:fldCharType="begin"/>
            </w:r>
            <w:r w:rsidR="005522BF" w:rsidRPr="005522BF">
              <w:rPr>
                <w:rFonts w:asciiTheme="majorHAnsi" w:hAnsiTheme="majorHAnsi" w:cstheme="majorHAnsi"/>
                <w:noProof/>
                <w:webHidden/>
              </w:rPr>
              <w:instrText xml:space="preserve"> PAGEREF _Toc154562501 \h </w:instrText>
            </w:r>
            <w:r w:rsidR="005522BF" w:rsidRPr="005522BF">
              <w:rPr>
                <w:rFonts w:asciiTheme="majorHAnsi" w:hAnsiTheme="majorHAnsi" w:cstheme="majorHAnsi"/>
                <w:noProof/>
                <w:webHidden/>
              </w:rPr>
            </w:r>
            <w:r w:rsidR="005522BF" w:rsidRPr="005522BF">
              <w:rPr>
                <w:rFonts w:asciiTheme="majorHAnsi" w:hAnsiTheme="majorHAnsi" w:cstheme="majorHAnsi"/>
                <w:noProof/>
                <w:webHidden/>
              </w:rPr>
              <w:fldChar w:fldCharType="separate"/>
            </w:r>
            <w:r w:rsidR="005522BF" w:rsidRPr="005522BF">
              <w:rPr>
                <w:rFonts w:asciiTheme="majorHAnsi" w:hAnsiTheme="majorHAnsi" w:cstheme="majorHAnsi"/>
                <w:noProof/>
                <w:webHidden/>
              </w:rPr>
              <w:t>19</w:t>
            </w:r>
            <w:r w:rsidR="005522BF" w:rsidRPr="005522BF">
              <w:rPr>
                <w:rFonts w:asciiTheme="majorHAnsi" w:hAnsiTheme="majorHAnsi" w:cstheme="majorHAnsi"/>
                <w:noProof/>
                <w:webHidden/>
              </w:rPr>
              <w:fldChar w:fldCharType="end"/>
            </w:r>
          </w:hyperlink>
        </w:p>
        <w:p w14:paraId="64857B7C" w14:textId="70694801" w:rsidR="005522BF" w:rsidRPr="005522BF" w:rsidRDefault="0053077D" w:rsidP="00506777">
          <w:pPr>
            <w:pStyle w:val="32"/>
            <w:tabs>
              <w:tab w:val="left" w:pos="1320"/>
              <w:tab w:val="right" w:leader="dot" w:pos="9771"/>
            </w:tabs>
            <w:jc w:val="both"/>
            <w:rPr>
              <w:rFonts w:asciiTheme="majorHAnsi" w:eastAsiaTheme="minorEastAsia" w:hAnsiTheme="majorHAnsi" w:cstheme="majorHAnsi"/>
              <w:noProof/>
            </w:rPr>
          </w:pPr>
          <w:hyperlink w:anchor="_Toc154562502" w:history="1">
            <w:r w:rsidR="005522BF" w:rsidRPr="005522BF">
              <w:rPr>
                <w:rStyle w:val="a4"/>
                <w:rFonts w:asciiTheme="majorHAnsi" w:hAnsiTheme="majorHAnsi" w:cstheme="majorHAnsi"/>
                <w:b/>
                <w:noProof/>
                <w:lang w:val="ro-MD"/>
              </w:rPr>
              <w:t>4.1.8.</w:t>
            </w:r>
            <w:r w:rsidR="005522BF" w:rsidRPr="005522BF">
              <w:rPr>
                <w:rFonts w:asciiTheme="majorHAnsi" w:eastAsiaTheme="minorEastAsia" w:hAnsiTheme="majorHAnsi" w:cstheme="majorHAnsi"/>
                <w:noProof/>
              </w:rPr>
              <w:tab/>
            </w:r>
            <w:r w:rsidR="005522BF" w:rsidRPr="005522BF">
              <w:rPr>
                <w:rStyle w:val="a4"/>
                <w:rFonts w:asciiTheme="majorHAnsi" w:hAnsiTheme="majorHAnsi" w:cstheme="majorHAnsi"/>
                <w:b/>
                <w:noProof/>
                <w:lang w:val="ro-MD"/>
              </w:rPr>
              <w:t>Datoriile aferente patrimoniului primit în gestiune economică și, respectiv, aferente patrimoniului primit de la stat cu drept de proprietate sunt reflectate neconform.</w:t>
            </w:r>
            <w:r w:rsidR="005522BF" w:rsidRPr="005522BF">
              <w:rPr>
                <w:rFonts w:asciiTheme="majorHAnsi" w:hAnsiTheme="majorHAnsi" w:cstheme="majorHAnsi"/>
                <w:noProof/>
                <w:webHidden/>
              </w:rPr>
              <w:tab/>
            </w:r>
            <w:r w:rsidR="005522BF" w:rsidRPr="005522BF">
              <w:rPr>
                <w:rFonts w:asciiTheme="majorHAnsi" w:hAnsiTheme="majorHAnsi" w:cstheme="majorHAnsi"/>
                <w:noProof/>
                <w:webHidden/>
              </w:rPr>
              <w:fldChar w:fldCharType="begin"/>
            </w:r>
            <w:r w:rsidR="005522BF" w:rsidRPr="005522BF">
              <w:rPr>
                <w:rFonts w:asciiTheme="majorHAnsi" w:hAnsiTheme="majorHAnsi" w:cstheme="majorHAnsi"/>
                <w:noProof/>
                <w:webHidden/>
              </w:rPr>
              <w:instrText xml:space="preserve"> PAGEREF _Toc154562502 \h </w:instrText>
            </w:r>
            <w:r w:rsidR="005522BF" w:rsidRPr="005522BF">
              <w:rPr>
                <w:rFonts w:asciiTheme="majorHAnsi" w:hAnsiTheme="majorHAnsi" w:cstheme="majorHAnsi"/>
                <w:noProof/>
                <w:webHidden/>
              </w:rPr>
            </w:r>
            <w:r w:rsidR="005522BF" w:rsidRPr="005522BF">
              <w:rPr>
                <w:rFonts w:asciiTheme="majorHAnsi" w:hAnsiTheme="majorHAnsi" w:cstheme="majorHAnsi"/>
                <w:noProof/>
                <w:webHidden/>
              </w:rPr>
              <w:fldChar w:fldCharType="separate"/>
            </w:r>
            <w:r w:rsidR="005522BF" w:rsidRPr="005522BF">
              <w:rPr>
                <w:rFonts w:asciiTheme="majorHAnsi" w:hAnsiTheme="majorHAnsi" w:cstheme="majorHAnsi"/>
                <w:noProof/>
                <w:webHidden/>
              </w:rPr>
              <w:t>20</w:t>
            </w:r>
            <w:r w:rsidR="005522BF" w:rsidRPr="005522BF">
              <w:rPr>
                <w:rFonts w:asciiTheme="majorHAnsi" w:hAnsiTheme="majorHAnsi" w:cstheme="majorHAnsi"/>
                <w:noProof/>
                <w:webHidden/>
              </w:rPr>
              <w:fldChar w:fldCharType="end"/>
            </w:r>
          </w:hyperlink>
        </w:p>
        <w:p w14:paraId="6FDF3D94" w14:textId="1DEA0D93" w:rsidR="005522BF" w:rsidRPr="005522BF" w:rsidRDefault="0053077D" w:rsidP="00506777">
          <w:pPr>
            <w:pStyle w:val="32"/>
            <w:tabs>
              <w:tab w:val="left" w:pos="1320"/>
              <w:tab w:val="right" w:leader="dot" w:pos="9771"/>
            </w:tabs>
            <w:jc w:val="both"/>
            <w:rPr>
              <w:rFonts w:asciiTheme="majorHAnsi" w:eastAsiaTheme="minorEastAsia" w:hAnsiTheme="majorHAnsi" w:cstheme="majorHAnsi"/>
              <w:noProof/>
            </w:rPr>
          </w:pPr>
          <w:hyperlink w:anchor="_Toc154562503" w:history="1">
            <w:r w:rsidR="005522BF" w:rsidRPr="005522BF">
              <w:rPr>
                <w:rStyle w:val="a4"/>
                <w:rFonts w:asciiTheme="majorHAnsi" w:hAnsiTheme="majorHAnsi" w:cstheme="majorHAnsi"/>
                <w:b/>
                <w:bCs/>
                <w:iCs/>
                <w:noProof/>
                <w:lang w:val="ro-MD"/>
              </w:rPr>
              <w:t>4.1.9.</w:t>
            </w:r>
            <w:r w:rsidR="005522BF" w:rsidRPr="005522BF">
              <w:rPr>
                <w:rFonts w:asciiTheme="majorHAnsi" w:eastAsiaTheme="minorEastAsia" w:hAnsiTheme="majorHAnsi" w:cstheme="majorHAnsi"/>
                <w:noProof/>
              </w:rPr>
              <w:tab/>
            </w:r>
            <w:r w:rsidR="005522BF" w:rsidRPr="005522BF">
              <w:rPr>
                <w:rStyle w:val="a4"/>
                <w:rFonts w:asciiTheme="majorHAnsi" w:hAnsiTheme="majorHAnsi" w:cstheme="majorHAnsi"/>
                <w:b/>
                <w:bCs/>
                <w:iCs/>
                <w:noProof/>
                <w:lang w:val="ro-MD"/>
              </w:rPr>
              <w:t>Unele utilaje și dispozitive medicale în valoare de 1 126,1 mii lei, primite cu titlu gratuit sub formă de ajutor umanitar și repartizate în folosință, nu sunt utilizate conform destinației, fiind păstrate noi în secții, unele mai mult de 10 ani.</w:t>
            </w:r>
            <w:r w:rsidR="005522BF" w:rsidRPr="005522BF">
              <w:rPr>
                <w:rFonts w:asciiTheme="majorHAnsi" w:hAnsiTheme="majorHAnsi" w:cstheme="majorHAnsi"/>
                <w:noProof/>
                <w:webHidden/>
              </w:rPr>
              <w:tab/>
            </w:r>
            <w:r w:rsidR="005522BF" w:rsidRPr="005522BF">
              <w:rPr>
                <w:rFonts w:asciiTheme="majorHAnsi" w:hAnsiTheme="majorHAnsi" w:cstheme="majorHAnsi"/>
                <w:noProof/>
                <w:webHidden/>
              </w:rPr>
              <w:fldChar w:fldCharType="begin"/>
            </w:r>
            <w:r w:rsidR="005522BF" w:rsidRPr="005522BF">
              <w:rPr>
                <w:rFonts w:asciiTheme="majorHAnsi" w:hAnsiTheme="majorHAnsi" w:cstheme="majorHAnsi"/>
                <w:noProof/>
                <w:webHidden/>
              </w:rPr>
              <w:instrText xml:space="preserve"> PAGEREF _Toc154562503 \h </w:instrText>
            </w:r>
            <w:r w:rsidR="005522BF" w:rsidRPr="005522BF">
              <w:rPr>
                <w:rFonts w:asciiTheme="majorHAnsi" w:hAnsiTheme="majorHAnsi" w:cstheme="majorHAnsi"/>
                <w:noProof/>
                <w:webHidden/>
              </w:rPr>
            </w:r>
            <w:r w:rsidR="005522BF" w:rsidRPr="005522BF">
              <w:rPr>
                <w:rFonts w:asciiTheme="majorHAnsi" w:hAnsiTheme="majorHAnsi" w:cstheme="majorHAnsi"/>
                <w:noProof/>
                <w:webHidden/>
              </w:rPr>
              <w:fldChar w:fldCharType="separate"/>
            </w:r>
            <w:r w:rsidR="005522BF" w:rsidRPr="005522BF">
              <w:rPr>
                <w:rFonts w:asciiTheme="majorHAnsi" w:hAnsiTheme="majorHAnsi" w:cstheme="majorHAnsi"/>
                <w:noProof/>
                <w:webHidden/>
              </w:rPr>
              <w:t>22</w:t>
            </w:r>
            <w:r w:rsidR="005522BF" w:rsidRPr="005522BF">
              <w:rPr>
                <w:rFonts w:asciiTheme="majorHAnsi" w:hAnsiTheme="majorHAnsi" w:cstheme="majorHAnsi"/>
                <w:noProof/>
                <w:webHidden/>
              </w:rPr>
              <w:fldChar w:fldCharType="end"/>
            </w:r>
          </w:hyperlink>
        </w:p>
        <w:p w14:paraId="624A486E" w14:textId="75F94084" w:rsidR="005522BF" w:rsidRPr="005522BF" w:rsidRDefault="0053077D" w:rsidP="00506777">
          <w:pPr>
            <w:pStyle w:val="32"/>
            <w:tabs>
              <w:tab w:val="left" w:pos="1320"/>
              <w:tab w:val="right" w:leader="dot" w:pos="9771"/>
            </w:tabs>
            <w:jc w:val="both"/>
            <w:rPr>
              <w:rFonts w:asciiTheme="majorHAnsi" w:eastAsiaTheme="minorEastAsia" w:hAnsiTheme="majorHAnsi" w:cstheme="majorHAnsi"/>
              <w:noProof/>
            </w:rPr>
          </w:pPr>
          <w:hyperlink w:anchor="_Toc154562504" w:history="1">
            <w:r w:rsidR="005522BF" w:rsidRPr="005522BF">
              <w:rPr>
                <w:rStyle w:val="a4"/>
                <w:rFonts w:asciiTheme="majorHAnsi" w:hAnsiTheme="majorHAnsi" w:cstheme="majorHAnsi"/>
                <w:b/>
                <w:noProof/>
              </w:rPr>
              <w:t>4.1.10.</w:t>
            </w:r>
            <w:r w:rsidR="005522BF" w:rsidRPr="005522BF">
              <w:rPr>
                <w:rFonts w:asciiTheme="majorHAnsi" w:eastAsiaTheme="minorEastAsia" w:hAnsiTheme="majorHAnsi" w:cstheme="majorHAnsi"/>
                <w:noProof/>
              </w:rPr>
              <w:tab/>
            </w:r>
            <w:r w:rsidR="005522BF" w:rsidRPr="005522BF">
              <w:rPr>
                <w:rStyle w:val="a4"/>
                <w:rFonts w:asciiTheme="majorHAnsi" w:hAnsiTheme="majorHAnsi" w:cstheme="majorHAnsi"/>
                <w:b/>
                <w:noProof/>
              </w:rPr>
              <w:t>Entitatea deține în evidență utilajul medical în sumă de 3 650,1 mii lei, nefuncțional și uzat, prin ce majorează neîntemeiat soldul acestora, la 30.06.2023, cu aceeași sumă.</w:t>
            </w:r>
            <w:r w:rsidR="005522BF" w:rsidRPr="005522BF">
              <w:rPr>
                <w:rFonts w:asciiTheme="majorHAnsi" w:hAnsiTheme="majorHAnsi" w:cstheme="majorHAnsi"/>
                <w:noProof/>
                <w:webHidden/>
              </w:rPr>
              <w:tab/>
            </w:r>
            <w:r w:rsidR="005522BF" w:rsidRPr="005522BF">
              <w:rPr>
                <w:rFonts w:asciiTheme="majorHAnsi" w:hAnsiTheme="majorHAnsi" w:cstheme="majorHAnsi"/>
                <w:noProof/>
                <w:webHidden/>
              </w:rPr>
              <w:fldChar w:fldCharType="begin"/>
            </w:r>
            <w:r w:rsidR="005522BF" w:rsidRPr="005522BF">
              <w:rPr>
                <w:rFonts w:asciiTheme="majorHAnsi" w:hAnsiTheme="majorHAnsi" w:cstheme="majorHAnsi"/>
                <w:noProof/>
                <w:webHidden/>
              </w:rPr>
              <w:instrText xml:space="preserve"> PAGEREF _Toc154562504 \h </w:instrText>
            </w:r>
            <w:r w:rsidR="005522BF" w:rsidRPr="005522BF">
              <w:rPr>
                <w:rFonts w:asciiTheme="majorHAnsi" w:hAnsiTheme="majorHAnsi" w:cstheme="majorHAnsi"/>
                <w:noProof/>
                <w:webHidden/>
              </w:rPr>
            </w:r>
            <w:r w:rsidR="005522BF" w:rsidRPr="005522BF">
              <w:rPr>
                <w:rFonts w:asciiTheme="majorHAnsi" w:hAnsiTheme="majorHAnsi" w:cstheme="majorHAnsi"/>
                <w:noProof/>
                <w:webHidden/>
              </w:rPr>
              <w:fldChar w:fldCharType="separate"/>
            </w:r>
            <w:r w:rsidR="005522BF" w:rsidRPr="005522BF">
              <w:rPr>
                <w:rFonts w:asciiTheme="majorHAnsi" w:hAnsiTheme="majorHAnsi" w:cstheme="majorHAnsi"/>
                <w:noProof/>
                <w:webHidden/>
              </w:rPr>
              <w:t>23</w:t>
            </w:r>
            <w:r w:rsidR="005522BF" w:rsidRPr="005522BF">
              <w:rPr>
                <w:rFonts w:asciiTheme="majorHAnsi" w:hAnsiTheme="majorHAnsi" w:cstheme="majorHAnsi"/>
                <w:noProof/>
                <w:webHidden/>
              </w:rPr>
              <w:fldChar w:fldCharType="end"/>
            </w:r>
          </w:hyperlink>
        </w:p>
        <w:p w14:paraId="56C992EE" w14:textId="626BA861" w:rsidR="005522BF" w:rsidRPr="005522BF" w:rsidRDefault="0053077D" w:rsidP="00506777">
          <w:pPr>
            <w:pStyle w:val="32"/>
            <w:tabs>
              <w:tab w:val="left" w:pos="1320"/>
              <w:tab w:val="right" w:leader="dot" w:pos="9771"/>
            </w:tabs>
            <w:jc w:val="both"/>
            <w:rPr>
              <w:rFonts w:asciiTheme="majorHAnsi" w:eastAsiaTheme="minorEastAsia" w:hAnsiTheme="majorHAnsi" w:cstheme="majorHAnsi"/>
              <w:noProof/>
            </w:rPr>
          </w:pPr>
          <w:hyperlink w:anchor="_Toc154562505" w:history="1">
            <w:r w:rsidR="005522BF" w:rsidRPr="005522BF">
              <w:rPr>
                <w:rStyle w:val="a4"/>
                <w:rFonts w:asciiTheme="majorHAnsi" w:hAnsiTheme="majorHAnsi" w:cstheme="majorHAnsi"/>
                <w:b/>
                <w:noProof/>
                <w:lang w:val="ro-MD"/>
              </w:rPr>
              <w:t>4.1.11.</w:t>
            </w:r>
            <w:r w:rsidR="005522BF" w:rsidRPr="005522BF">
              <w:rPr>
                <w:rFonts w:asciiTheme="majorHAnsi" w:eastAsiaTheme="minorEastAsia" w:hAnsiTheme="majorHAnsi" w:cstheme="majorHAnsi"/>
                <w:noProof/>
              </w:rPr>
              <w:tab/>
            </w:r>
            <w:r w:rsidR="005522BF" w:rsidRPr="005522BF">
              <w:rPr>
                <w:rStyle w:val="a4"/>
                <w:rFonts w:asciiTheme="majorHAnsi" w:hAnsiTheme="majorHAnsi" w:cstheme="majorHAnsi"/>
                <w:b/>
                <w:noProof/>
                <w:lang w:val="ro-MD"/>
              </w:rPr>
              <w:t>Unele dispozitive medicale puse în funcțiune nu au fost supuse verificărilor periodice obligatorii, fiind utilizate în activitate.</w:t>
            </w:r>
            <w:r w:rsidR="005522BF" w:rsidRPr="005522BF">
              <w:rPr>
                <w:rFonts w:asciiTheme="majorHAnsi" w:hAnsiTheme="majorHAnsi" w:cstheme="majorHAnsi"/>
                <w:noProof/>
                <w:webHidden/>
              </w:rPr>
              <w:tab/>
            </w:r>
            <w:r w:rsidR="005522BF" w:rsidRPr="005522BF">
              <w:rPr>
                <w:rFonts w:asciiTheme="majorHAnsi" w:hAnsiTheme="majorHAnsi" w:cstheme="majorHAnsi"/>
                <w:noProof/>
                <w:webHidden/>
              </w:rPr>
              <w:fldChar w:fldCharType="begin"/>
            </w:r>
            <w:r w:rsidR="005522BF" w:rsidRPr="005522BF">
              <w:rPr>
                <w:rFonts w:asciiTheme="majorHAnsi" w:hAnsiTheme="majorHAnsi" w:cstheme="majorHAnsi"/>
                <w:noProof/>
                <w:webHidden/>
              </w:rPr>
              <w:instrText xml:space="preserve"> PAGEREF _Toc154562505 \h </w:instrText>
            </w:r>
            <w:r w:rsidR="005522BF" w:rsidRPr="005522BF">
              <w:rPr>
                <w:rFonts w:asciiTheme="majorHAnsi" w:hAnsiTheme="majorHAnsi" w:cstheme="majorHAnsi"/>
                <w:noProof/>
                <w:webHidden/>
              </w:rPr>
            </w:r>
            <w:r w:rsidR="005522BF" w:rsidRPr="005522BF">
              <w:rPr>
                <w:rFonts w:asciiTheme="majorHAnsi" w:hAnsiTheme="majorHAnsi" w:cstheme="majorHAnsi"/>
                <w:noProof/>
                <w:webHidden/>
              </w:rPr>
              <w:fldChar w:fldCharType="separate"/>
            </w:r>
            <w:r w:rsidR="005522BF" w:rsidRPr="005522BF">
              <w:rPr>
                <w:rFonts w:asciiTheme="majorHAnsi" w:hAnsiTheme="majorHAnsi" w:cstheme="majorHAnsi"/>
                <w:noProof/>
                <w:webHidden/>
              </w:rPr>
              <w:t>24</w:t>
            </w:r>
            <w:r w:rsidR="005522BF" w:rsidRPr="005522BF">
              <w:rPr>
                <w:rFonts w:asciiTheme="majorHAnsi" w:hAnsiTheme="majorHAnsi" w:cstheme="majorHAnsi"/>
                <w:noProof/>
                <w:webHidden/>
              </w:rPr>
              <w:fldChar w:fldCharType="end"/>
            </w:r>
          </w:hyperlink>
        </w:p>
        <w:p w14:paraId="0E168EAE" w14:textId="5103952B" w:rsidR="005522BF" w:rsidRPr="005522BF" w:rsidRDefault="0053077D" w:rsidP="00506777">
          <w:pPr>
            <w:pStyle w:val="22"/>
            <w:tabs>
              <w:tab w:val="left" w:pos="880"/>
              <w:tab w:val="right" w:leader="dot" w:pos="9771"/>
            </w:tabs>
            <w:jc w:val="both"/>
            <w:rPr>
              <w:rFonts w:asciiTheme="majorHAnsi" w:eastAsiaTheme="minorEastAsia" w:hAnsiTheme="majorHAnsi" w:cstheme="majorHAnsi"/>
              <w:noProof/>
            </w:rPr>
          </w:pPr>
          <w:hyperlink w:anchor="_Toc154562506" w:history="1">
            <w:r w:rsidR="005522BF" w:rsidRPr="005522BF">
              <w:rPr>
                <w:rStyle w:val="a4"/>
                <w:rFonts w:asciiTheme="majorHAnsi" w:hAnsiTheme="majorHAnsi" w:cstheme="majorHAnsi"/>
                <w:b/>
                <w:noProof/>
                <w:lang w:val="ro-MD"/>
              </w:rPr>
              <w:t>4.2.</w:t>
            </w:r>
            <w:r w:rsidR="005522BF" w:rsidRPr="005522BF">
              <w:rPr>
                <w:rFonts w:asciiTheme="majorHAnsi" w:eastAsiaTheme="minorEastAsia" w:hAnsiTheme="majorHAnsi" w:cstheme="majorHAnsi"/>
                <w:noProof/>
              </w:rPr>
              <w:tab/>
            </w:r>
            <w:r w:rsidR="005522BF" w:rsidRPr="005522BF">
              <w:rPr>
                <w:rStyle w:val="a4"/>
                <w:rFonts w:asciiTheme="majorHAnsi" w:hAnsiTheme="majorHAnsi" w:cstheme="majorHAnsi"/>
                <w:b/>
                <w:noProof/>
                <w:lang w:val="ro-MD"/>
              </w:rPr>
              <w:t>Mecanismele de control intern aferente utilizării resurselor financiare urmează a fi elaborate, aprobate și fortificate în scopul consolidării și aplicării conforme a normelor ce reglementează procesele de salarizare, achiziții, alimentație care participă la formarea costurilor.</w:t>
            </w:r>
            <w:r w:rsidR="005522BF" w:rsidRPr="005522BF">
              <w:rPr>
                <w:rFonts w:asciiTheme="majorHAnsi" w:hAnsiTheme="majorHAnsi" w:cstheme="majorHAnsi"/>
                <w:noProof/>
                <w:webHidden/>
              </w:rPr>
              <w:tab/>
            </w:r>
            <w:r w:rsidR="005522BF" w:rsidRPr="005522BF">
              <w:rPr>
                <w:rFonts w:asciiTheme="majorHAnsi" w:hAnsiTheme="majorHAnsi" w:cstheme="majorHAnsi"/>
                <w:noProof/>
                <w:webHidden/>
              </w:rPr>
              <w:fldChar w:fldCharType="begin"/>
            </w:r>
            <w:r w:rsidR="005522BF" w:rsidRPr="005522BF">
              <w:rPr>
                <w:rFonts w:asciiTheme="majorHAnsi" w:hAnsiTheme="majorHAnsi" w:cstheme="majorHAnsi"/>
                <w:noProof/>
                <w:webHidden/>
              </w:rPr>
              <w:instrText xml:space="preserve"> PAGEREF _Toc154562506 \h </w:instrText>
            </w:r>
            <w:r w:rsidR="005522BF" w:rsidRPr="005522BF">
              <w:rPr>
                <w:rFonts w:asciiTheme="majorHAnsi" w:hAnsiTheme="majorHAnsi" w:cstheme="majorHAnsi"/>
                <w:noProof/>
                <w:webHidden/>
              </w:rPr>
            </w:r>
            <w:r w:rsidR="005522BF" w:rsidRPr="005522BF">
              <w:rPr>
                <w:rFonts w:asciiTheme="majorHAnsi" w:hAnsiTheme="majorHAnsi" w:cstheme="majorHAnsi"/>
                <w:noProof/>
                <w:webHidden/>
              </w:rPr>
              <w:fldChar w:fldCharType="separate"/>
            </w:r>
            <w:r w:rsidR="005522BF" w:rsidRPr="005522BF">
              <w:rPr>
                <w:rFonts w:asciiTheme="majorHAnsi" w:hAnsiTheme="majorHAnsi" w:cstheme="majorHAnsi"/>
                <w:noProof/>
                <w:webHidden/>
              </w:rPr>
              <w:t>25</w:t>
            </w:r>
            <w:r w:rsidR="005522BF" w:rsidRPr="005522BF">
              <w:rPr>
                <w:rFonts w:asciiTheme="majorHAnsi" w:hAnsiTheme="majorHAnsi" w:cstheme="majorHAnsi"/>
                <w:noProof/>
                <w:webHidden/>
              </w:rPr>
              <w:fldChar w:fldCharType="end"/>
            </w:r>
          </w:hyperlink>
        </w:p>
        <w:p w14:paraId="126C5100" w14:textId="24325209" w:rsidR="005522BF" w:rsidRPr="005522BF" w:rsidRDefault="0053077D" w:rsidP="00506777">
          <w:pPr>
            <w:pStyle w:val="32"/>
            <w:tabs>
              <w:tab w:val="left" w:pos="1320"/>
              <w:tab w:val="right" w:leader="dot" w:pos="9771"/>
            </w:tabs>
            <w:jc w:val="both"/>
            <w:rPr>
              <w:rFonts w:asciiTheme="majorHAnsi" w:eastAsiaTheme="minorEastAsia" w:hAnsiTheme="majorHAnsi" w:cstheme="majorHAnsi"/>
              <w:noProof/>
            </w:rPr>
          </w:pPr>
          <w:hyperlink w:anchor="_Toc154562507" w:history="1">
            <w:r w:rsidR="005522BF" w:rsidRPr="005522BF">
              <w:rPr>
                <w:rStyle w:val="a4"/>
                <w:rFonts w:asciiTheme="majorHAnsi" w:eastAsia="Times New Roman" w:hAnsiTheme="majorHAnsi" w:cstheme="majorHAnsi"/>
                <w:b/>
                <w:noProof/>
                <w:lang w:val="ro-MD"/>
              </w:rPr>
              <w:t>4.2.1.</w:t>
            </w:r>
            <w:r w:rsidR="005522BF" w:rsidRPr="005522BF">
              <w:rPr>
                <w:rFonts w:asciiTheme="majorHAnsi" w:eastAsiaTheme="minorEastAsia" w:hAnsiTheme="majorHAnsi" w:cstheme="majorHAnsi"/>
                <w:noProof/>
              </w:rPr>
              <w:tab/>
            </w:r>
            <w:r w:rsidR="005522BF" w:rsidRPr="005522BF">
              <w:rPr>
                <w:rStyle w:val="a4"/>
                <w:rFonts w:asciiTheme="majorHAnsi" w:eastAsia="Times New Roman" w:hAnsiTheme="majorHAnsi" w:cstheme="majorHAnsi"/>
                <w:b/>
                <w:noProof/>
                <w:shd w:val="clear" w:color="auto" w:fill="FFFFFF"/>
                <w:lang w:val="ro-MD"/>
              </w:rPr>
              <w:t>Insuficiența mecanismelor instituționale de control în cadrul IMSP, a cauzat calcularea și achitarea neregulamentară a salariilor pentru unele persoane ce nu se aflau pe teritoriul Republicii Moldova și, respectiv, la locul de muncă, ceea ce a determinat cheltuieli nejustificate în sumă de 47,1 mii lei.</w:t>
            </w:r>
            <w:r w:rsidR="005522BF" w:rsidRPr="005522BF">
              <w:rPr>
                <w:rFonts w:asciiTheme="majorHAnsi" w:hAnsiTheme="majorHAnsi" w:cstheme="majorHAnsi"/>
                <w:noProof/>
                <w:webHidden/>
              </w:rPr>
              <w:tab/>
            </w:r>
            <w:r w:rsidR="005522BF" w:rsidRPr="005522BF">
              <w:rPr>
                <w:rFonts w:asciiTheme="majorHAnsi" w:hAnsiTheme="majorHAnsi" w:cstheme="majorHAnsi"/>
                <w:noProof/>
                <w:webHidden/>
              </w:rPr>
              <w:fldChar w:fldCharType="begin"/>
            </w:r>
            <w:r w:rsidR="005522BF" w:rsidRPr="005522BF">
              <w:rPr>
                <w:rFonts w:asciiTheme="majorHAnsi" w:hAnsiTheme="majorHAnsi" w:cstheme="majorHAnsi"/>
                <w:noProof/>
                <w:webHidden/>
              </w:rPr>
              <w:instrText xml:space="preserve"> PAGEREF _Toc154562507 \h </w:instrText>
            </w:r>
            <w:r w:rsidR="005522BF" w:rsidRPr="005522BF">
              <w:rPr>
                <w:rFonts w:asciiTheme="majorHAnsi" w:hAnsiTheme="majorHAnsi" w:cstheme="majorHAnsi"/>
                <w:noProof/>
                <w:webHidden/>
              </w:rPr>
            </w:r>
            <w:r w:rsidR="005522BF" w:rsidRPr="005522BF">
              <w:rPr>
                <w:rFonts w:asciiTheme="majorHAnsi" w:hAnsiTheme="majorHAnsi" w:cstheme="majorHAnsi"/>
                <w:noProof/>
                <w:webHidden/>
              </w:rPr>
              <w:fldChar w:fldCharType="separate"/>
            </w:r>
            <w:r w:rsidR="005522BF" w:rsidRPr="005522BF">
              <w:rPr>
                <w:rFonts w:asciiTheme="majorHAnsi" w:hAnsiTheme="majorHAnsi" w:cstheme="majorHAnsi"/>
                <w:noProof/>
                <w:webHidden/>
              </w:rPr>
              <w:t>25</w:t>
            </w:r>
            <w:r w:rsidR="005522BF" w:rsidRPr="005522BF">
              <w:rPr>
                <w:rFonts w:asciiTheme="majorHAnsi" w:hAnsiTheme="majorHAnsi" w:cstheme="majorHAnsi"/>
                <w:noProof/>
                <w:webHidden/>
              </w:rPr>
              <w:fldChar w:fldCharType="end"/>
            </w:r>
          </w:hyperlink>
        </w:p>
        <w:p w14:paraId="606C31C8" w14:textId="067ECF22" w:rsidR="005522BF" w:rsidRPr="005522BF" w:rsidRDefault="0053077D" w:rsidP="00506777">
          <w:pPr>
            <w:pStyle w:val="32"/>
            <w:tabs>
              <w:tab w:val="left" w:pos="1320"/>
              <w:tab w:val="right" w:leader="dot" w:pos="9771"/>
            </w:tabs>
            <w:jc w:val="both"/>
            <w:rPr>
              <w:rFonts w:asciiTheme="majorHAnsi" w:eastAsiaTheme="minorEastAsia" w:hAnsiTheme="majorHAnsi" w:cstheme="majorHAnsi"/>
              <w:noProof/>
            </w:rPr>
          </w:pPr>
          <w:hyperlink w:anchor="_Toc154562508" w:history="1">
            <w:r w:rsidR="005522BF" w:rsidRPr="005522BF">
              <w:rPr>
                <w:rStyle w:val="a4"/>
                <w:rFonts w:asciiTheme="majorHAnsi" w:hAnsiTheme="majorHAnsi" w:cstheme="majorHAnsi"/>
                <w:b/>
                <w:noProof/>
                <w:lang w:eastAsia="ro-RO"/>
              </w:rPr>
              <w:t>4.2.2.</w:t>
            </w:r>
            <w:r w:rsidR="005522BF" w:rsidRPr="005522BF">
              <w:rPr>
                <w:rFonts w:asciiTheme="majorHAnsi" w:eastAsiaTheme="minorEastAsia" w:hAnsiTheme="majorHAnsi" w:cstheme="majorHAnsi"/>
                <w:noProof/>
              </w:rPr>
              <w:tab/>
            </w:r>
            <w:r w:rsidR="005522BF" w:rsidRPr="005522BF">
              <w:rPr>
                <w:rStyle w:val="a4"/>
                <w:rFonts w:asciiTheme="majorHAnsi" w:hAnsiTheme="majorHAnsi" w:cstheme="majorHAnsi"/>
                <w:b/>
                <w:noProof/>
                <w:lang w:eastAsia="ro-RO"/>
              </w:rPr>
              <w:t xml:space="preserve">Managerul </w:t>
            </w:r>
            <w:r w:rsidR="005522BF" w:rsidRPr="005522BF">
              <w:rPr>
                <w:rStyle w:val="a4"/>
                <w:rFonts w:asciiTheme="majorHAnsi" w:hAnsiTheme="majorHAnsi" w:cstheme="majorHAnsi"/>
                <w:b/>
                <w:noProof/>
              </w:rPr>
              <w:t>IMSP IFP „Chiril Draganiuc”</w:t>
            </w:r>
            <w:r w:rsidR="005522BF" w:rsidRPr="005522BF">
              <w:rPr>
                <w:rStyle w:val="a4"/>
                <w:rFonts w:asciiTheme="majorHAnsi" w:hAnsiTheme="majorHAnsi" w:cstheme="majorHAnsi"/>
                <w:noProof/>
              </w:rPr>
              <w:t xml:space="preserve"> </w:t>
            </w:r>
            <w:r w:rsidR="005522BF" w:rsidRPr="005522BF">
              <w:rPr>
                <w:rStyle w:val="a4"/>
                <w:rFonts w:asciiTheme="majorHAnsi" w:hAnsiTheme="majorHAnsi" w:cstheme="majorHAnsi"/>
                <w:b/>
                <w:noProof/>
                <w:lang w:eastAsia="ro-RO"/>
              </w:rPr>
              <w:t xml:space="preserve">nu a asigurat în totalitate desemnarea prin ordine a </w:t>
            </w:r>
            <w:r w:rsidR="005522BF" w:rsidRPr="005522BF">
              <w:rPr>
                <w:rStyle w:val="a4"/>
                <w:rFonts w:asciiTheme="majorHAnsi" w:hAnsiTheme="majorHAnsi" w:cstheme="majorHAnsi"/>
                <w:b/>
                <w:bCs/>
                <w:noProof/>
                <w:lang w:eastAsia="ro-RO"/>
              </w:rPr>
              <w:t>personalului antrenat nemijlocit în tratamentul pacienților infectați cu COVID-19</w:t>
            </w:r>
            <w:r w:rsidR="005522BF" w:rsidRPr="005522BF">
              <w:rPr>
                <w:rStyle w:val="a4"/>
                <w:rFonts w:asciiTheme="majorHAnsi" w:hAnsiTheme="majorHAnsi" w:cstheme="majorHAnsi"/>
                <w:b/>
                <w:noProof/>
                <w:lang w:eastAsia="ro-RO"/>
              </w:rPr>
              <w:t xml:space="preserve">, ceea ce a determinat </w:t>
            </w:r>
            <w:r w:rsidR="005522BF" w:rsidRPr="005522BF">
              <w:rPr>
                <w:rStyle w:val="a4"/>
                <w:rFonts w:asciiTheme="majorHAnsi" w:hAnsiTheme="majorHAnsi" w:cstheme="majorHAnsi"/>
                <w:b/>
                <w:noProof/>
              </w:rPr>
              <w:t xml:space="preserve">raportarea necorespunzătoare, solicitarea și alocarea de mijloace financiare suplimentare din FAOAM în sumă de </w:t>
            </w:r>
            <w:r w:rsidR="005522BF" w:rsidRPr="005522BF">
              <w:rPr>
                <w:rStyle w:val="a4"/>
                <w:rFonts w:asciiTheme="majorHAnsi" w:hAnsiTheme="majorHAnsi" w:cstheme="majorHAnsi"/>
                <w:b/>
                <w:bCs/>
                <w:noProof/>
                <w:lang w:eastAsia="ro-RO"/>
              </w:rPr>
              <w:t>110,0 mii</w:t>
            </w:r>
            <w:r w:rsidR="005522BF" w:rsidRPr="005522BF">
              <w:rPr>
                <w:rStyle w:val="a4"/>
                <w:rFonts w:asciiTheme="majorHAnsi" w:hAnsiTheme="majorHAnsi" w:cstheme="majorHAnsi"/>
                <w:b/>
                <w:noProof/>
              </w:rPr>
              <w:t xml:space="preserve"> lei.</w:t>
            </w:r>
            <w:r w:rsidR="005522BF" w:rsidRPr="005522BF">
              <w:rPr>
                <w:rFonts w:asciiTheme="majorHAnsi" w:hAnsiTheme="majorHAnsi" w:cstheme="majorHAnsi"/>
                <w:noProof/>
                <w:webHidden/>
              </w:rPr>
              <w:tab/>
            </w:r>
            <w:r w:rsidR="005522BF" w:rsidRPr="005522BF">
              <w:rPr>
                <w:rFonts w:asciiTheme="majorHAnsi" w:hAnsiTheme="majorHAnsi" w:cstheme="majorHAnsi"/>
                <w:noProof/>
                <w:webHidden/>
              </w:rPr>
              <w:fldChar w:fldCharType="begin"/>
            </w:r>
            <w:r w:rsidR="005522BF" w:rsidRPr="005522BF">
              <w:rPr>
                <w:rFonts w:asciiTheme="majorHAnsi" w:hAnsiTheme="majorHAnsi" w:cstheme="majorHAnsi"/>
                <w:noProof/>
                <w:webHidden/>
              </w:rPr>
              <w:instrText xml:space="preserve"> PAGEREF _Toc154562508 \h </w:instrText>
            </w:r>
            <w:r w:rsidR="005522BF" w:rsidRPr="005522BF">
              <w:rPr>
                <w:rFonts w:asciiTheme="majorHAnsi" w:hAnsiTheme="majorHAnsi" w:cstheme="majorHAnsi"/>
                <w:noProof/>
                <w:webHidden/>
              </w:rPr>
            </w:r>
            <w:r w:rsidR="005522BF" w:rsidRPr="005522BF">
              <w:rPr>
                <w:rFonts w:asciiTheme="majorHAnsi" w:hAnsiTheme="majorHAnsi" w:cstheme="majorHAnsi"/>
                <w:noProof/>
                <w:webHidden/>
              </w:rPr>
              <w:fldChar w:fldCharType="separate"/>
            </w:r>
            <w:r w:rsidR="005522BF" w:rsidRPr="005522BF">
              <w:rPr>
                <w:rFonts w:asciiTheme="majorHAnsi" w:hAnsiTheme="majorHAnsi" w:cstheme="majorHAnsi"/>
                <w:noProof/>
                <w:webHidden/>
              </w:rPr>
              <w:t>26</w:t>
            </w:r>
            <w:r w:rsidR="005522BF" w:rsidRPr="005522BF">
              <w:rPr>
                <w:rFonts w:asciiTheme="majorHAnsi" w:hAnsiTheme="majorHAnsi" w:cstheme="majorHAnsi"/>
                <w:noProof/>
                <w:webHidden/>
              </w:rPr>
              <w:fldChar w:fldCharType="end"/>
            </w:r>
          </w:hyperlink>
        </w:p>
        <w:p w14:paraId="31BEBC1E" w14:textId="0C8A23E9" w:rsidR="005522BF" w:rsidRPr="005522BF" w:rsidRDefault="0053077D" w:rsidP="00506777">
          <w:pPr>
            <w:pStyle w:val="32"/>
            <w:tabs>
              <w:tab w:val="left" w:pos="1320"/>
              <w:tab w:val="right" w:leader="dot" w:pos="9771"/>
            </w:tabs>
            <w:jc w:val="both"/>
            <w:rPr>
              <w:rFonts w:asciiTheme="majorHAnsi" w:eastAsiaTheme="minorEastAsia" w:hAnsiTheme="majorHAnsi" w:cstheme="majorHAnsi"/>
              <w:noProof/>
            </w:rPr>
          </w:pPr>
          <w:hyperlink w:anchor="_Toc154562509" w:history="1">
            <w:r w:rsidR="005522BF" w:rsidRPr="005522BF">
              <w:rPr>
                <w:rStyle w:val="a4"/>
                <w:rFonts w:asciiTheme="majorHAnsi" w:hAnsiTheme="majorHAnsi" w:cstheme="majorHAnsi"/>
                <w:b/>
                <w:noProof/>
                <w:lang w:val="ro-MD"/>
              </w:rPr>
              <w:t>4.2.3.</w:t>
            </w:r>
            <w:r w:rsidR="005522BF" w:rsidRPr="005522BF">
              <w:rPr>
                <w:rFonts w:asciiTheme="majorHAnsi" w:eastAsiaTheme="minorEastAsia" w:hAnsiTheme="majorHAnsi" w:cstheme="majorHAnsi"/>
                <w:noProof/>
              </w:rPr>
              <w:tab/>
            </w:r>
            <w:r w:rsidR="005522BF" w:rsidRPr="005522BF">
              <w:rPr>
                <w:rStyle w:val="a4"/>
                <w:rFonts w:asciiTheme="majorHAnsi" w:hAnsiTheme="majorHAnsi" w:cstheme="majorHAnsi"/>
                <w:b/>
                <w:bCs/>
                <w:noProof/>
                <w:lang w:val="ro-MD"/>
              </w:rPr>
              <w:t>Insuficiența controalelor interne în cadrul entității a cauzat utilizarea mijloacelor publice pentru remunerarea muncii cu suportarea cheltuielilor nejustificate în sumă de 63,4 mii lei.</w:t>
            </w:r>
            <w:r w:rsidR="005522BF" w:rsidRPr="005522BF">
              <w:rPr>
                <w:rFonts w:asciiTheme="majorHAnsi" w:hAnsiTheme="majorHAnsi" w:cstheme="majorHAnsi"/>
                <w:noProof/>
                <w:webHidden/>
              </w:rPr>
              <w:tab/>
            </w:r>
            <w:r w:rsidR="005522BF" w:rsidRPr="005522BF">
              <w:rPr>
                <w:rFonts w:asciiTheme="majorHAnsi" w:hAnsiTheme="majorHAnsi" w:cstheme="majorHAnsi"/>
                <w:noProof/>
                <w:webHidden/>
              </w:rPr>
              <w:fldChar w:fldCharType="begin"/>
            </w:r>
            <w:r w:rsidR="005522BF" w:rsidRPr="005522BF">
              <w:rPr>
                <w:rFonts w:asciiTheme="majorHAnsi" w:hAnsiTheme="majorHAnsi" w:cstheme="majorHAnsi"/>
                <w:noProof/>
                <w:webHidden/>
              </w:rPr>
              <w:instrText xml:space="preserve"> PAGEREF _Toc154562509 \h </w:instrText>
            </w:r>
            <w:r w:rsidR="005522BF" w:rsidRPr="005522BF">
              <w:rPr>
                <w:rFonts w:asciiTheme="majorHAnsi" w:hAnsiTheme="majorHAnsi" w:cstheme="majorHAnsi"/>
                <w:noProof/>
                <w:webHidden/>
              </w:rPr>
            </w:r>
            <w:r w:rsidR="005522BF" w:rsidRPr="005522BF">
              <w:rPr>
                <w:rFonts w:asciiTheme="majorHAnsi" w:hAnsiTheme="majorHAnsi" w:cstheme="majorHAnsi"/>
                <w:noProof/>
                <w:webHidden/>
              </w:rPr>
              <w:fldChar w:fldCharType="separate"/>
            </w:r>
            <w:r w:rsidR="005522BF" w:rsidRPr="005522BF">
              <w:rPr>
                <w:rFonts w:asciiTheme="majorHAnsi" w:hAnsiTheme="majorHAnsi" w:cstheme="majorHAnsi"/>
                <w:noProof/>
                <w:webHidden/>
              </w:rPr>
              <w:t>28</w:t>
            </w:r>
            <w:r w:rsidR="005522BF" w:rsidRPr="005522BF">
              <w:rPr>
                <w:rFonts w:asciiTheme="majorHAnsi" w:hAnsiTheme="majorHAnsi" w:cstheme="majorHAnsi"/>
                <w:noProof/>
                <w:webHidden/>
              </w:rPr>
              <w:fldChar w:fldCharType="end"/>
            </w:r>
          </w:hyperlink>
        </w:p>
        <w:p w14:paraId="7D43AB67" w14:textId="7AA741A0" w:rsidR="005522BF" w:rsidRPr="005522BF" w:rsidRDefault="0053077D" w:rsidP="00506777">
          <w:pPr>
            <w:pStyle w:val="32"/>
            <w:tabs>
              <w:tab w:val="left" w:pos="1320"/>
              <w:tab w:val="right" w:leader="dot" w:pos="9771"/>
            </w:tabs>
            <w:jc w:val="both"/>
            <w:rPr>
              <w:rFonts w:asciiTheme="majorHAnsi" w:eastAsiaTheme="minorEastAsia" w:hAnsiTheme="majorHAnsi" w:cstheme="majorHAnsi"/>
              <w:noProof/>
            </w:rPr>
          </w:pPr>
          <w:hyperlink w:anchor="_Toc154562510" w:history="1">
            <w:r w:rsidR="005522BF" w:rsidRPr="005522BF">
              <w:rPr>
                <w:rStyle w:val="a4"/>
                <w:rFonts w:asciiTheme="majorHAnsi" w:hAnsiTheme="majorHAnsi" w:cstheme="majorHAnsi"/>
                <w:b/>
                <w:noProof/>
                <w:lang w:val="ro-MD"/>
              </w:rPr>
              <w:t>4.2.4.</w:t>
            </w:r>
            <w:r w:rsidR="005522BF" w:rsidRPr="005522BF">
              <w:rPr>
                <w:rFonts w:asciiTheme="majorHAnsi" w:eastAsiaTheme="minorEastAsia" w:hAnsiTheme="majorHAnsi" w:cstheme="majorHAnsi"/>
                <w:noProof/>
              </w:rPr>
              <w:tab/>
            </w:r>
            <w:r w:rsidR="005522BF" w:rsidRPr="005522BF">
              <w:rPr>
                <w:rStyle w:val="a4"/>
                <w:rFonts w:asciiTheme="majorHAnsi" w:hAnsiTheme="majorHAnsi" w:cstheme="majorHAnsi"/>
                <w:b/>
                <w:noProof/>
                <w:lang w:val="ro-MD"/>
              </w:rPr>
              <w:t>Acumularea a 6 770 de zile de concediu anual nefolosite, estimate la 4 648,5 mii lei, atrage după sine eventuale cheltuieli suplimentare și poate afecta stabilitatea financiară a instituției.</w:t>
            </w:r>
            <w:r w:rsidR="005522BF" w:rsidRPr="005522BF">
              <w:rPr>
                <w:rFonts w:asciiTheme="majorHAnsi" w:hAnsiTheme="majorHAnsi" w:cstheme="majorHAnsi"/>
                <w:noProof/>
                <w:webHidden/>
              </w:rPr>
              <w:tab/>
            </w:r>
            <w:r w:rsidR="005522BF" w:rsidRPr="005522BF">
              <w:rPr>
                <w:rFonts w:asciiTheme="majorHAnsi" w:hAnsiTheme="majorHAnsi" w:cstheme="majorHAnsi"/>
                <w:noProof/>
                <w:webHidden/>
              </w:rPr>
              <w:fldChar w:fldCharType="begin"/>
            </w:r>
            <w:r w:rsidR="005522BF" w:rsidRPr="005522BF">
              <w:rPr>
                <w:rFonts w:asciiTheme="majorHAnsi" w:hAnsiTheme="majorHAnsi" w:cstheme="majorHAnsi"/>
                <w:noProof/>
                <w:webHidden/>
              </w:rPr>
              <w:instrText xml:space="preserve"> PAGEREF _Toc154562510 \h </w:instrText>
            </w:r>
            <w:r w:rsidR="005522BF" w:rsidRPr="005522BF">
              <w:rPr>
                <w:rFonts w:asciiTheme="majorHAnsi" w:hAnsiTheme="majorHAnsi" w:cstheme="majorHAnsi"/>
                <w:noProof/>
                <w:webHidden/>
              </w:rPr>
            </w:r>
            <w:r w:rsidR="005522BF" w:rsidRPr="005522BF">
              <w:rPr>
                <w:rFonts w:asciiTheme="majorHAnsi" w:hAnsiTheme="majorHAnsi" w:cstheme="majorHAnsi"/>
                <w:noProof/>
                <w:webHidden/>
              </w:rPr>
              <w:fldChar w:fldCharType="separate"/>
            </w:r>
            <w:r w:rsidR="005522BF" w:rsidRPr="005522BF">
              <w:rPr>
                <w:rFonts w:asciiTheme="majorHAnsi" w:hAnsiTheme="majorHAnsi" w:cstheme="majorHAnsi"/>
                <w:noProof/>
                <w:webHidden/>
              </w:rPr>
              <w:t>29</w:t>
            </w:r>
            <w:r w:rsidR="005522BF" w:rsidRPr="005522BF">
              <w:rPr>
                <w:rFonts w:asciiTheme="majorHAnsi" w:hAnsiTheme="majorHAnsi" w:cstheme="majorHAnsi"/>
                <w:noProof/>
                <w:webHidden/>
              </w:rPr>
              <w:fldChar w:fldCharType="end"/>
            </w:r>
          </w:hyperlink>
        </w:p>
        <w:p w14:paraId="28138CD3" w14:textId="4D302CBC" w:rsidR="005522BF" w:rsidRPr="005522BF" w:rsidRDefault="0053077D" w:rsidP="00506777">
          <w:pPr>
            <w:pStyle w:val="32"/>
            <w:tabs>
              <w:tab w:val="left" w:pos="1320"/>
              <w:tab w:val="right" w:leader="dot" w:pos="9771"/>
            </w:tabs>
            <w:jc w:val="both"/>
            <w:rPr>
              <w:rFonts w:asciiTheme="majorHAnsi" w:eastAsiaTheme="minorEastAsia" w:hAnsiTheme="majorHAnsi" w:cstheme="majorHAnsi"/>
              <w:noProof/>
            </w:rPr>
          </w:pPr>
          <w:hyperlink w:anchor="_Toc154562511" w:history="1">
            <w:r w:rsidR="005522BF" w:rsidRPr="005522BF">
              <w:rPr>
                <w:rStyle w:val="a4"/>
                <w:rFonts w:asciiTheme="majorHAnsi" w:hAnsiTheme="majorHAnsi" w:cstheme="majorHAnsi"/>
                <w:b/>
                <w:noProof/>
                <w:lang w:val="ro-MD"/>
              </w:rPr>
              <w:t>4.2.5.</w:t>
            </w:r>
            <w:r w:rsidR="005522BF" w:rsidRPr="005522BF">
              <w:rPr>
                <w:rFonts w:asciiTheme="majorHAnsi" w:eastAsiaTheme="minorEastAsia" w:hAnsiTheme="majorHAnsi" w:cstheme="majorHAnsi"/>
                <w:noProof/>
              </w:rPr>
              <w:tab/>
            </w:r>
            <w:r w:rsidR="005522BF" w:rsidRPr="005522BF">
              <w:rPr>
                <w:rStyle w:val="a4"/>
                <w:rFonts w:asciiTheme="majorHAnsi" w:hAnsiTheme="majorHAnsi" w:cstheme="majorHAnsi"/>
                <w:b/>
                <w:noProof/>
                <w:lang w:val="ro-MD"/>
              </w:rPr>
              <w:t>Estimarea necorespunzătoare a necesităților reale a dus la efectuarea achizițiilor în afara planului de achiziții, în sumă de 247,9 mii lei.</w:t>
            </w:r>
            <w:r w:rsidR="005522BF" w:rsidRPr="005522BF">
              <w:rPr>
                <w:rFonts w:asciiTheme="majorHAnsi" w:hAnsiTheme="majorHAnsi" w:cstheme="majorHAnsi"/>
                <w:noProof/>
                <w:webHidden/>
              </w:rPr>
              <w:tab/>
            </w:r>
            <w:r w:rsidR="005522BF" w:rsidRPr="005522BF">
              <w:rPr>
                <w:rFonts w:asciiTheme="majorHAnsi" w:hAnsiTheme="majorHAnsi" w:cstheme="majorHAnsi"/>
                <w:noProof/>
                <w:webHidden/>
              </w:rPr>
              <w:fldChar w:fldCharType="begin"/>
            </w:r>
            <w:r w:rsidR="005522BF" w:rsidRPr="005522BF">
              <w:rPr>
                <w:rFonts w:asciiTheme="majorHAnsi" w:hAnsiTheme="majorHAnsi" w:cstheme="majorHAnsi"/>
                <w:noProof/>
                <w:webHidden/>
              </w:rPr>
              <w:instrText xml:space="preserve"> PAGEREF _Toc154562511 \h </w:instrText>
            </w:r>
            <w:r w:rsidR="005522BF" w:rsidRPr="005522BF">
              <w:rPr>
                <w:rFonts w:asciiTheme="majorHAnsi" w:hAnsiTheme="majorHAnsi" w:cstheme="majorHAnsi"/>
                <w:noProof/>
                <w:webHidden/>
              </w:rPr>
            </w:r>
            <w:r w:rsidR="005522BF" w:rsidRPr="005522BF">
              <w:rPr>
                <w:rFonts w:asciiTheme="majorHAnsi" w:hAnsiTheme="majorHAnsi" w:cstheme="majorHAnsi"/>
                <w:noProof/>
                <w:webHidden/>
              </w:rPr>
              <w:fldChar w:fldCharType="separate"/>
            </w:r>
            <w:r w:rsidR="005522BF" w:rsidRPr="005522BF">
              <w:rPr>
                <w:rFonts w:asciiTheme="majorHAnsi" w:hAnsiTheme="majorHAnsi" w:cstheme="majorHAnsi"/>
                <w:noProof/>
                <w:webHidden/>
              </w:rPr>
              <w:t>30</w:t>
            </w:r>
            <w:r w:rsidR="005522BF" w:rsidRPr="005522BF">
              <w:rPr>
                <w:rFonts w:asciiTheme="majorHAnsi" w:hAnsiTheme="majorHAnsi" w:cstheme="majorHAnsi"/>
                <w:noProof/>
                <w:webHidden/>
              </w:rPr>
              <w:fldChar w:fldCharType="end"/>
            </w:r>
          </w:hyperlink>
        </w:p>
        <w:p w14:paraId="110E3E9E" w14:textId="29318B78" w:rsidR="005522BF" w:rsidRPr="005522BF" w:rsidRDefault="0053077D" w:rsidP="00506777">
          <w:pPr>
            <w:pStyle w:val="32"/>
            <w:tabs>
              <w:tab w:val="left" w:pos="1320"/>
              <w:tab w:val="right" w:leader="dot" w:pos="9771"/>
            </w:tabs>
            <w:jc w:val="both"/>
            <w:rPr>
              <w:rFonts w:asciiTheme="majorHAnsi" w:eastAsiaTheme="minorEastAsia" w:hAnsiTheme="majorHAnsi" w:cstheme="majorHAnsi"/>
              <w:noProof/>
            </w:rPr>
          </w:pPr>
          <w:hyperlink w:anchor="_Toc154562512" w:history="1">
            <w:r w:rsidR="005522BF" w:rsidRPr="005522BF">
              <w:rPr>
                <w:rStyle w:val="a4"/>
                <w:rFonts w:asciiTheme="majorHAnsi" w:hAnsiTheme="majorHAnsi" w:cstheme="majorHAnsi"/>
                <w:b/>
                <w:noProof/>
                <w:lang w:val="ro-MD"/>
              </w:rPr>
              <w:t>4.2.6.</w:t>
            </w:r>
            <w:r w:rsidR="005522BF" w:rsidRPr="005522BF">
              <w:rPr>
                <w:rFonts w:asciiTheme="majorHAnsi" w:eastAsiaTheme="minorEastAsia" w:hAnsiTheme="majorHAnsi" w:cstheme="majorHAnsi"/>
                <w:noProof/>
              </w:rPr>
              <w:tab/>
            </w:r>
            <w:r w:rsidR="005522BF" w:rsidRPr="005522BF">
              <w:rPr>
                <w:rStyle w:val="a4"/>
                <w:rFonts w:asciiTheme="majorHAnsi" w:hAnsiTheme="majorHAnsi" w:cstheme="majorHAnsi"/>
                <w:b/>
                <w:noProof/>
                <w:lang w:val="ro-MD"/>
              </w:rPr>
              <w:t>Nerespectarea prevederilor normative a determinat divizarea achizițiilor publice prin încheierea unor contracte separate pentru același obiect și cu același operator economic, în sumă de 777,8 mii lei.</w:t>
            </w:r>
            <w:r w:rsidR="005522BF" w:rsidRPr="005522BF">
              <w:rPr>
                <w:rFonts w:asciiTheme="majorHAnsi" w:hAnsiTheme="majorHAnsi" w:cstheme="majorHAnsi"/>
                <w:noProof/>
                <w:webHidden/>
              </w:rPr>
              <w:tab/>
            </w:r>
            <w:r w:rsidR="005522BF" w:rsidRPr="005522BF">
              <w:rPr>
                <w:rFonts w:asciiTheme="majorHAnsi" w:hAnsiTheme="majorHAnsi" w:cstheme="majorHAnsi"/>
                <w:noProof/>
                <w:webHidden/>
              </w:rPr>
              <w:fldChar w:fldCharType="begin"/>
            </w:r>
            <w:r w:rsidR="005522BF" w:rsidRPr="005522BF">
              <w:rPr>
                <w:rFonts w:asciiTheme="majorHAnsi" w:hAnsiTheme="majorHAnsi" w:cstheme="majorHAnsi"/>
                <w:noProof/>
                <w:webHidden/>
              </w:rPr>
              <w:instrText xml:space="preserve"> PAGEREF _Toc154562512 \h </w:instrText>
            </w:r>
            <w:r w:rsidR="005522BF" w:rsidRPr="005522BF">
              <w:rPr>
                <w:rFonts w:asciiTheme="majorHAnsi" w:hAnsiTheme="majorHAnsi" w:cstheme="majorHAnsi"/>
                <w:noProof/>
                <w:webHidden/>
              </w:rPr>
            </w:r>
            <w:r w:rsidR="005522BF" w:rsidRPr="005522BF">
              <w:rPr>
                <w:rFonts w:asciiTheme="majorHAnsi" w:hAnsiTheme="majorHAnsi" w:cstheme="majorHAnsi"/>
                <w:noProof/>
                <w:webHidden/>
              </w:rPr>
              <w:fldChar w:fldCharType="separate"/>
            </w:r>
            <w:r w:rsidR="005522BF" w:rsidRPr="005522BF">
              <w:rPr>
                <w:rFonts w:asciiTheme="majorHAnsi" w:hAnsiTheme="majorHAnsi" w:cstheme="majorHAnsi"/>
                <w:noProof/>
                <w:webHidden/>
              </w:rPr>
              <w:t>30</w:t>
            </w:r>
            <w:r w:rsidR="005522BF" w:rsidRPr="005522BF">
              <w:rPr>
                <w:rFonts w:asciiTheme="majorHAnsi" w:hAnsiTheme="majorHAnsi" w:cstheme="majorHAnsi"/>
                <w:noProof/>
                <w:webHidden/>
              </w:rPr>
              <w:fldChar w:fldCharType="end"/>
            </w:r>
          </w:hyperlink>
        </w:p>
        <w:p w14:paraId="6A84DD35" w14:textId="26BFEA83" w:rsidR="005522BF" w:rsidRPr="005522BF" w:rsidRDefault="0053077D" w:rsidP="00506777">
          <w:pPr>
            <w:pStyle w:val="32"/>
            <w:tabs>
              <w:tab w:val="left" w:pos="1320"/>
              <w:tab w:val="right" w:leader="dot" w:pos="9771"/>
            </w:tabs>
            <w:jc w:val="both"/>
            <w:rPr>
              <w:rFonts w:asciiTheme="majorHAnsi" w:eastAsiaTheme="minorEastAsia" w:hAnsiTheme="majorHAnsi" w:cstheme="majorHAnsi"/>
              <w:noProof/>
            </w:rPr>
          </w:pPr>
          <w:hyperlink w:anchor="_Toc154562513" w:history="1">
            <w:r w:rsidR="005522BF" w:rsidRPr="005522BF">
              <w:rPr>
                <w:rStyle w:val="a4"/>
                <w:rFonts w:asciiTheme="majorHAnsi" w:hAnsiTheme="majorHAnsi" w:cstheme="majorHAnsi"/>
                <w:b/>
                <w:noProof/>
                <w:lang w:val="ro-MD"/>
              </w:rPr>
              <w:t>4.2.7.</w:t>
            </w:r>
            <w:r w:rsidR="005522BF" w:rsidRPr="005522BF">
              <w:rPr>
                <w:rFonts w:asciiTheme="majorHAnsi" w:eastAsiaTheme="minorEastAsia" w:hAnsiTheme="majorHAnsi" w:cstheme="majorHAnsi"/>
                <w:noProof/>
              </w:rPr>
              <w:tab/>
            </w:r>
            <w:r w:rsidR="005522BF" w:rsidRPr="005522BF">
              <w:rPr>
                <w:rStyle w:val="a4"/>
                <w:rFonts w:asciiTheme="majorHAnsi" w:hAnsiTheme="majorHAnsi" w:cstheme="majorHAnsi"/>
                <w:b/>
                <w:noProof/>
                <w:lang w:val="ro-MD"/>
              </w:rPr>
              <w:t>Procedura de achiziție, prin încheierea contractului de achiziție de valoare mică în sumă de 960,0 mii lei, a fost atribuită incorect, fără respectarea pragurilor stabilite de legislație.</w:t>
            </w:r>
            <w:r w:rsidR="005522BF" w:rsidRPr="005522BF">
              <w:rPr>
                <w:rFonts w:asciiTheme="majorHAnsi" w:hAnsiTheme="majorHAnsi" w:cstheme="majorHAnsi"/>
                <w:noProof/>
                <w:webHidden/>
              </w:rPr>
              <w:tab/>
            </w:r>
            <w:r w:rsidR="005522BF" w:rsidRPr="005522BF">
              <w:rPr>
                <w:rFonts w:asciiTheme="majorHAnsi" w:hAnsiTheme="majorHAnsi" w:cstheme="majorHAnsi"/>
                <w:noProof/>
                <w:webHidden/>
              </w:rPr>
              <w:fldChar w:fldCharType="begin"/>
            </w:r>
            <w:r w:rsidR="005522BF" w:rsidRPr="005522BF">
              <w:rPr>
                <w:rFonts w:asciiTheme="majorHAnsi" w:hAnsiTheme="majorHAnsi" w:cstheme="majorHAnsi"/>
                <w:noProof/>
                <w:webHidden/>
              </w:rPr>
              <w:instrText xml:space="preserve"> PAGEREF _Toc154562513 \h </w:instrText>
            </w:r>
            <w:r w:rsidR="005522BF" w:rsidRPr="005522BF">
              <w:rPr>
                <w:rFonts w:asciiTheme="majorHAnsi" w:hAnsiTheme="majorHAnsi" w:cstheme="majorHAnsi"/>
                <w:noProof/>
                <w:webHidden/>
              </w:rPr>
            </w:r>
            <w:r w:rsidR="005522BF" w:rsidRPr="005522BF">
              <w:rPr>
                <w:rFonts w:asciiTheme="majorHAnsi" w:hAnsiTheme="majorHAnsi" w:cstheme="majorHAnsi"/>
                <w:noProof/>
                <w:webHidden/>
              </w:rPr>
              <w:fldChar w:fldCharType="separate"/>
            </w:r>
            <w:r w:rsidR="005522BF" w:rsidRPr="005522BF">
              <w:rPr>
                <w:rFonts w:asciiTheme="majorHAnsi" w:hAnsiTheme="majorHAnsi" w:cstheme="majorHAnsi"/>
                <w:noProof/>
                <w:webHidden/>
              </w:rPr>
              <w:t>31</w:t>
            </w:r>
            <w:r w:rsidR="005522BF" w:rsidRPr="005522BF">
              <w:rPr>
                <w:rFonts w:asciiTheme="majorHAnsi" w:hAnsiTheme="majorHAnsi" w:cstheme="majorHAnsi"/>
                <w:noProof/>
                <w:webHidden/>
              </w:rPr>
              <w:fldChar w:fldCharType="end"/>
            </w:r>
          </w:hyperlink>
        </w:p>
        <w:p w14:paraId="062721BC" w14:textId="6057FA02" w:rsidR="005522BF" w:rsidRPr="005522BF" w:rsidRDefault="0053077D" w:rsidP="00506777">
          <w:pPr>
            <w:pStyle w:val="32"/>
            <w:tabs>
              <w:tab w:val="left" w:pos="1320"/>
              <w:tab w:val="right" w:leader="dot" w:pos="9771"/>
            </w:tabs>
            <w:jc w:val="both"/>
            <w:rPr>
              <w:rFonts w:asciiTheme="majorHAnsi" w:eastAsiaTheme="minorEastAsia" w:hAnsiTheme="majorHAnsi" w:cstheme="majorHAnsi"/>
              <w:noProof/>
            </w:rPr>
          </w:pPr>
          <w:hyperlink w:anchor="_Toc154562514" w:history="1">
            <w:r w:rsidR="005522BF" w:rsidRPr="005522BF">
              <w:rPr>
                <w:rStyle w:val="a4"/>
                <w:rFonts w:asciiTheme="majorHAnsi" w:hAnsiTheme="majorHAnsi" w:cstheme="majorHAnsi"/>
                <w:b/>
                <w:noProof/>
                <w:lang w:val="ro-MD"/>
              </w:rPr>
              <w:t>4.2.8.</w:t>
            </w:r>
            <w:r w:rsidR="005522BF" w:rsidRPr="005522BF">
              <w:rPr>
                <w:rFonts w:asciiTheme="majorHAnsi" w:eastAsiaTheme="minorEastAsia" w:hAnsiTheme="majorHAnsi" w:cstheme="majorHAnsi"/>
                <w:noProof/>
              </w:rPr>
              <w:tab/>
            </w:r>
            <w:r w:rsidR="005522BF" w:rsidRPr="005522BF">
              <w:rPr>
                <w:rStyle w:val="a4"/>
                <w:rFonts w:asciiTheme="majorHAnsi" w:hAnsiTheme="majorHAnsi" w:cstheme="majorHAnsi"/>
                <w:b/>
                <w:noProof/>
                <w:lang w:val="ro-MD"/>
              </w:rPr>
              <w:t>Procesul de asigurare a alimentației pacienților nu este organizat regulamentar, prin corelarea numărului real de pacienți cu necesitățile de produse alimentare, ceea ce generează riscul nerespectării normativelor în vigoare.</w:t>
            </w:r>
            <w:r w:rsidR="005522BF" w:rsidRPr="005522BF">
              <w:rPr>
                <w:rFonts w:asciiTheme="majorHAnsi" w:hAnsiTheme="majorHAnsi" w:cstheme="majorHAnsi"/>
                <w:noProof/>
                <w:webHidden/>
              </w:rPr>
              <w:tab/>
            </w:r>
            <w:r w:rsidR="005522BF" w:rsidRPr="005522BF">
              <w:rPr>
                <w:rFonts w:asciiTheme="majorHAnsi" w:hAnsiTheme="majorHAnsi" w:cstheme="majorHAnsi"/>
                <w:noProof/>
                <w:webHidden/>
              </w:rPr>
              <w:fldChar w:fldCharType="begin"/>
            </w:r>
            <w:r w:rsidR="005522BF" w:rsidRPr="005522BF">
              <w:rPr>
                <w:rFonts w:asciiTheme="majorHAnsi" w:hAnsiTheme="majorHAnsi" w:cstheme="majorHAnsi"/>
                <w:noProof/>
                <w:webHidden/>
              </w:rPr>
              <w:instrText xml:space="preserve"> PAGEREF _Toc154562514 \h </w:instrText>
            </w:r>
            <w:r w:rsidR="005522BF" w:rsidRPr="005522BF">
              <w:rPr>
                <w:rFonts w:asciiTheme="majorHAnsi" w:hAnsiTheme="majorHAnsi" w:cstheme="majorHAnsi"/>
                <w:noProof/>
                <w:webHidden/>
              </w:rPr>
            </w:r>
            <w:r w:rsidR="005522BF" w:rsidRPr="005522BF">
              <w:rPr>
                <w:rFonts w:asciiTheme="majorHAnsi" w:hAnsiTheme="majorHAnsi" w:cstheme="majorHAnsi"/>
                <w:noProof/>
                <w:webHidden/>
              </w:rPr>
              <w:fldChar w:fldCharType="separate"/>
            </w:r>
            <w:r w:rsidR="005522BF" w:rsidRPr="005522BF">
              <w:rPr>
                <w:rFonts w:asciiTheme="majorHAnsi" w:hAnsiTheme="majorHAnsi" w:cstheme="majorHAnsi"/>
                <w:noProof/>
                <w:webHidden/>
              </w:rPr>
              <w:t>32</w:t>
            </w:r>
            <w:r w:rsidR="005522BF" w:rsidRPr="005522BF">
              <w:rPr>
                <w:rFonts w:asciiTheme="majorHAnsi" w:hAnsiTheme="majorHAnsi" w:cstheme="majorHAnsi"/>
                <w:noProof/>
                <w:webHidden/>
              </w:rPr>
              <w:fldChar w:fldCharType="end"/>
            </w:r>
          </w:hyperlink>
        </w:p>
        <w:p w14:paraId="2645D6DB" w14:textId="7876CAA5" w:rsidR="005522BF" w:rsidRPr="005522BF" w:rsidRDefault="0053077D" w:rsidP="00506777">
          <w:pPr>
            <w:pStyle w:val="32"/>
            <w:tabs>
              <w:tab w:val="left" w:pos="1320"/>
              <w:tab w:val="right" w:leader="dot" w:pos="9771"/>
            </w:tabs>
            <w:jc w:val="both"/>
            <w:rPr>
              <w:rFonts w:asciiTheme="majorHAnsi" w:eastAsiaTheme="minorEastAsia" w:hAnsiTheme="majorHAnsi" w:cstheme="majorHAnsi"/>
              <w:noProof/>
            </w:rPr>
          </w:pPr>
          <w:hyperlink w:anchor="_Toc154562515" w:history="1">
            <w:r w:rsidR="005522BF" w:rsidRPr="005522BF">
              <w:rPr>
                <w:rStyle w:val="a4"/>
                <w:rFonts w:asciiTheme="majorHAnsi" w:hAnsiTheme="majorHAnsi" w:cstheme="majorHAnsi"/>
                <w:b/>
                <w:noProof/>
                <w:lang w:val="ro-MD"/>
              </w:rPr>
              <w:t>4.2.9.</w:t>
            </w:r>
            <w:r w:rsidR="005522BF" w:rsidRPr="005522BF">
              <w:rPr>
                <w:rFonts w:asciiTheme="majorHAnsi" w:eastAsiaTheme="minorEastAsia" w:hAnsiTheme="majorHAnsi" w:cstheme="majorHAnsi"/>
                <w:noProof/>
              </w:rPr>
              <w:tab/>
            </w:r>
            <w:r w:rsidR="005522BF" w:rsidRPr="005522BF">
              <w:rPr>
                <w:rStyle w:val="a4"/>
                <w:rFonts w:asciiTheme="majorHAnsi" w:hAnsiTheme="majorHAnsi" w:cstheme="majorHAnsi"/>
                <w:b/>
                <w:noProof/>
                <w:lang w:val="ro-MD"/>
              </w:rPr>
              <w:t>Planificarea necesităților de produse alimentare nu este bazată pe date reale, ceea ce a dus la achiziționarea produselor alimentare într-un cuantum semnificativ mai mic decât cel planificat.</w:t>
            </w:r>
            <w:r w:rsidR="005522BF" w:rsidRPr="005522BF">
              <w:rPr>
                <w:rFonts w:asciiTheme="majorHAnsi" w:hAnsiTheme="majorHAnsi" w:cstheme="majorHAnsi"/>
                <w:noProof/>
                <w:webHidden/>
              </w:rPr>
              <w:tab/>
            </w:r>
            <w:r w:rsidR="005522BF" w:rsidRPr="005522BF">
              <w:rPr>
                <w:rFonts w:asciiTheme="majorHAnsi" w:hAnsiTheme="majorHAnsi" w:cstheme="majorHAnsi"/>
                <w:noProof/>
                <w:webHidden/>
              </w:rPr>
              <w:fldChar w:fldCharType="begin"/>
            </w:r>
            <w:r w:rsidR="005522BF" w:rsidRPr="005522BF">
              <w:rPr>
                <w:rFonts w:asciiTheme="majorHAnsi" w:hAnsiTheme="majorHAnsi" w:cstheme="majorHAnsi"/>
                <w:noProof/>
                <w:webHidden/>
              </w:rPr>
              <w:instrText xml:space="preserve"> PAGEREF _Toc154562515 \h </w:instrText>
            </w:r>
            <w:r w:rsidR="005522BF" w:rsidRPr="005522BF">
              <w:rPr>
                <w:rFonts w:asciiTheme="majorHAnsi" w:hAnsiTheme="majorHAnsi" w:cstheme="majorHAnsi"/>
                <w:noProof/>
                <w:webHidden/>
              </w:rPr>
            </w:r>
            <w:r w:rsidR="005522BF" w:rsidRPr="005522BF">
              <w:rPr>
                <w:rFonts w:asciiTheme="majorHAnsi" w:hAnsiTheme="majorHAnsi" w:cstheme="majorHAnsi"/>
                <w:noProof/>
                <w:webHidden/>
              </w:rPr>
              <w:fldChar w:fldCharType="separate"/>
            </w:r>
            <w:r w:rsidR="005522BF" w:rsidRPr="005522BF">
              <w:rPr>
                <w:rFonts w:asciiTheme="majorHAnsi" w:hAnsiTheme="majorHAnsi" w:cstheme="majorHAnsi"/>
                <w:noProof/>
                <w:webHidden/>
              </w:rPr>
              <w:t>33</w:t>
            </w:r>
            <w:r w:rsidR="005522BF" w:rsidRPr="005522BF">
              <w:rPr>
                <w:rFonts w:asciiTheme="majorHAnsi" w:hAnsiTheme="majorHAnsi" w:cstheme="majorHAnsi"/>
                <w:noProof/>
                <w:webHidden/>
              </w:rPr>
              <w:fldChar w:fldCharType="end"/>
            </w:r>
          </w:hyperlink>
        </w:p>
        <w:p w14:paraId="605053D1" w14:textId="01E436BC" w:rsidR="005522BF" w:rsidRPr="005522BF" w:rsidRDefault="0053077D" w:rsidP="00506777">
          <w:pPr>
            <w:pStyle w:val="32"/>
            <w:tabs>
              <w:tab w:val="left" w:pos="1320"/>
              <w:tab w:val="right" w:leader="dot" w:pos="9771"/>
            </w:tabs>
            <w:jc w:val="both"/>
            <w:rPr>
              <w:rFonts w:asciiTheme="majorHAnsi" w:eastAsiaTheme="minorEastAsia" w:hAnsiTheme="majorHAnsi" w:cstheme="majorHAnsi"/>
              <w:noProof/>
            </w:rPr>
          </w:pPr>
          <w:hyperlink w:anchor="_Toc154562516" w:history="1">
            <w:r w:rsidR="005522BF" w:rsidRPr="005522BF">
              <w:rPr>
                <w:rStyle w:val="a4"/>
                <w:rFonts w:asciiTheme="majorHAnsi" w:hAnsiTheme="majorHAnsi" w:cstheme="majorHAnsi"/>
                <w:b/>
                <w:noProof/>
                <w:lang w:val="ro-MD"/>
              </w:rPr>
              <w:t>4.2.10.</w:t>
            </w:r>
            <w:r w:rsidR="005522BF" w:rsidRPr="005522BF">
              <w:rPr>
                <w:rFonts w:asciiTheme="majorHAnsi" w:eastAsiaTheme="minorEastAsia" w:hAnsiTheme="majorHAnsi" w:cstheme="majorHAnsi"/>
                <w:noProof/>
              </w:rPr>
              <w:tab/>
            </w:r>
            <w:r w:rsidR="005522BF" w:rsidRPr="005522BF">
              <w:rPr>
                <w:rStyle w:val="a4"/>
                <w:rFonts w:asciiTheme="majorHAnsi" w:hAnsiTheme="majorHAnsi" w:cstheme="majorHAnsi"/>
                <w:b/>
                <w:noProof/>
                <w:lang w:val="ro-MD"/>
              </w:rPr>
              <w:t>Valoarea bunurilor primite cu titlul gratuit este mai mică decât valoarea veniturilor anticipate aferente acestora, ceea ce indică subevaluarea veniturilor curente din donații în perioadele precedente anului 2023.</w:t>
            </w:r>
            <w:r w:rsidR="005522BF" w:rsidRPr="005522BF">
              <w:rPr>
                <w:rFonts w:asciiTheme="majorHAnsi" w:hAnsiTheme="majorHAnsi" w:cstheme="majorHAnsi"/>
                <w:noProof/>
                <w:webHidden/>
              </w:rPr>
              <w:tab/>
            </w:r>
            <w:r w:rsidR="005522BF" w:rsidRPr="005522BF">
              <w:rPr>
                <w:rFonts w:asciiTheme="majorHAnsi" w:hAnsiTheme="majorHAnsi" w:cstheme="majorHAnsi"/>
                <w:noProof/>
                <w:webHidden/>
              </w:rPr>
              <w:fldChar w:fldCharType="begin"/>
            </w:r>
            <w:r w:rsidR="005522BF" w:rsidRPr="005522BF">
              <w:rPr>
                <w:rFonts w:asciiTheme="majorHAnsi" w:hAnsiTheme="majorHAnsi" w:cstheme="majorHAnsi"/>
                <w:noProof/>
                <w:webHidden/>
              </w:rPr>
              <w:instrText xml:space="preserve"> PAGEREF _Toc154562516 \h </w:instrText>
            </w:r>
            <w:r w:rsidR="005522BF" w:rsidRPr="005522BF">
              <w:rPr>
                <w:rFonts w:asciiTheme="majorHAnsi" w:hAnsiTheme="majorHAnsi" w:cstheme="majorHAnsi"/>
                <w:noProof/>
                <w:webHidden/>
              </w:rPr>
            </w:r>
            <w:r w:rsidR="005522BF" w:rsidRPr="005522BF">
              <w:rPr>
                <w:rFonts w:asciiTheme="majorHAnsi" w:hAnsiTheme="majorHAnsi" w:cstheme="majorHAnsi"/>
                <w:noProof/>
                <w:webHidden/>
              </w:rPr>
              <w:fldChar w:fldCharType="separate"/>
            </w:r>
            <w:r w:rsidR="005522BF" w:rsidRPr="005522BF">
              <w:rPr>
                <w:rFonts w:asciiTheme="majorHAnsi" w:hAnsiTheme="majorHAnsi" w:cstheme="majorHAnsi"/>
                <w:noProof/>
                <w:webHidden/>
              </w:rPr>
              <w:t>34</w:t>
            </w:r>
            <w:r w:rsidR="005522BF" w:rsidRPr="005522BF">
              <w:rPr>
                <w:rFonts w:asciiTheme="majorHAnsi" w:hAnsiTheme="majorHAnsi" w:cstheme="majorHAnsi"/>
                <w:noProof/>
                <w:webHidden/>
              </w:rPr>
              <w:fldChar w:fldCharType="end"/>
            </w:r>
          </w:hyperlink>
        </w:p>
        <w:p w14:paraId="04AC64FA" w14:textId="5E774E48" w:rsidR="005522BF" w:rsidRPr="005522BF" w:rsidRDefault="0053077D" w:rsidP="00506777">
          <w:pPr>
            <w:pStyle w:val="32"/>
            <w:tabs>
              <w:tab w:val="left" w:pos="1320"/>
              <w:tab w:val="right" w:leader="dot" w:pos="9771"/>
            </w:tabs>
            <w:jc w:val="both"/>
            <w:rPr>
              <w:rFonts w:asciiTheme="majorHAnsi" w:eastAsiaTheme="minorEastAsia" w:hAnsiTheme="majorHAnsi" w:cstheme="majorHAnsi"/>
              <w:noProof/>
            </w:rPr>
          </w:pPr>
          <w:hyperlink w:anchor="_Toc154562517" w:history="1">
            <w:r w:rsidR="005522BF" w:rsidRPr="005522BF">
              <w:rPr>
                <w:rStyle w:val="a4"/>
                <w:rFonts w:asciiTheme="majorHAnsi" w:hAnsiTheme="majorHAnsi" w:cstheme="majorHAnsi"/>
                <w:b/>
                <w:noProof/>
                <w:lang w:val="ro-MD"/>
              </w:rPr>
              <w:t>4.2.11.</w:t>
            </w:r>
            <w:r w:rsidR="005522BF" w:rsidRPr="005522BF">
              <w:rPr>
                <w:rFonts w:asciiTheme="majorHAnsi" w:eastAsiaTheme="minorEastAsia" w:hAnsiTheme="majorHAnsi" w:cstheme="majorHAnsi"/>
                <w:noProof/>
              </w:rPr>
              <w:tab/>
            </w:r>
            <w:r w:rsidR="005522BF" w:rsidRPr="005522BF">
              <w:rPr>
                <w:rStyle w:val="a4"/>
                <w:rFonts w:asciiTheme="majorHAnsi" w:hAnsiTheme="majorHAnsi" w:cstheme="majorHAnsi"/>
                <w:b/>
                <w:noProof/>
                <w:lang w:val="ro-MD"/>
              </w:rPr>
              <w:t>Costurile aferente serviciilor prestate stau la baza formării tarifelor aprobate de Ministerul Sănătății.</w:t>
            </w:r>
            <w:r w:rsidR="005522BF" w:rsidRPr="005522BF">
              <w:rPr>
                <w:rFonts w:asciiTheme="majorHAnsi" w:hAnsiTheme="majorHAnsi" w:cstheme="majorHAnsi"/>
                <w:noProof/>
                <w:webHidden/>
              </w:rPr>
              <w:tab/>
            </w:r>
            <w:r w:rsidR="005522BF" w:rsidRPr="005522BF">
              <w:rPr>
                <w:rFonts w:asciiTheme="majorHAnsi" w:hAnsiTheme="majorHAnsi" w:cstheme="majorHAnsi"/>
                <w:noProof/>
                <w:webHidden/>
              </w:rPr>
              <w:fldChar w:fldCharType="begin"/>
            </w:r>
            <w:r w:rsidR="005522BF" w:rsidRPr="005522BF">
              <w:rPr>
                <w:rFonts w:asciiTheme="majorHAnsi" w:hAnsiTheme="majorHAnsi" w:cstheme="majorHAnsi"/>
                <w:noProof/>
                <w:webHidden/>
              </w:rPr>
              <w:instrText xml:space="preserve"> PAGEREF _Toc154562517 \h </w:instrText>
            </w:r>
            <w:r w:rsidR="005522BF" w:rsidRPr="005522BF">
              <w:rPr>
                <w:rFonts w:asciiTheme="majorHAnsi" w:hAnsiTheme="majorHAnsi" w:cstheme="majorHAnsi"/>
                <w:noProof/>
                <w:webHidden/>
              </w:rPr>
            </w:r>
            <w:r w:rsidR="005522BF" w:rsidRPr="005522BF">
              <w:rPr>
                <w:rFonts w:asciiTheme="majorHAnsi" w:hAnsiTheme="majorHAnsi" w:cstheme="majorHAnsi"/>
                <w:noProof/>
                <w:webHidden/>
              </w:rPr>
              <w:fldChar w:fldCharType="separate"/>
            </w:r>
            <w:r w:rsidR="005522BF" w:rsidRPr="005522BF">
              <w:rPr>
                <w:rFonts w:asciiTheme="majorHAnsi" w:hAnsiTheme="majorHAnsi" w:cstheme="majorHAnsi"/>
                <w:noProof/>
                <w:webHidden/>
              </w:rPr>
              <w:t>36</w:t>
            </w:r>
            <w:r w:rsidR="005522BF" w:rsidRPr="005522BF">
              <w:rPr>
                <w:rFonts w:asciiTheme="majorHAnsi" w:hAnsiTheme="majorHAnsi" w:cstheme="majorHAnsi"/>
                <w:noProof/>
                <w:webHidden/>
              </w:rPr>
              <w:fldChar w:fldCharType="end"/>
            </w:r>
          </w:hyperlink>
        </w:p>
        <w:p w14:paraId="64AA7B72" w14:textId="558C21C8" w:rsidR="005522BF" w:rsidRPr="005522BF" w:rsidRDefault="0053077D" w:rsidP="00506777">
          <w:pPr>
            <w:pStyle w:val="32"/>
            <w:tabs>
              <w:tab w:val="left" w:pos="1320"/>
              <w:tab w:val="right" w:leader="dot" w:pos="9771"/>
            </w:tabs>
            <w:jc w:val="both"/>
            <w:rPr>
              <w:rFonts w:asciiTheme="majorHAnsi" w:eastAsiaTheme="minorEastAsia" w:hAnsiTheme="majorHAnsi" w:cstheme="majorHAnsi"/>
              <w:noProof/>
            </w:rPr>
          </w:pPr>
          <w:hyperlink w:anchor="_Toc154562518" w:history="1">
            <w:r w:rsidR="005522BF" w:rsidRPr="005522BF">
              <w:rPr>
                <w:rStyle w:val="a4"/>
                <w:rFonts w:asciiTheme="majorHAnsi" w:hAnsiTheme="majorHAnsi" w:cstheme="majorHAnsi"/>
                <w:b/>
                <w:noProof/>
                <w:lang w:val="ro-MD"/>
              </w:rPr>
              <w:t>4.2.12.</w:t>
            </w:r>
            <w:r w:rsidR="005522BF" w:rsidRPr="005522BF">
              <w:rPr>
                <w:rFonts w:asciiTheme="majorHAnsi" w:eastAsiaTheme="minorEastAsia" w:hAnsiTheme="majorHAnsi" w:cstheme="majorHAnsi"/>
                <w:noProof/>
              </w:rPr>
              <w:tab/>
            </w:r>
            <w:r w:rsidR="005522BF" w:rsidRPr="005522BF">
              <w:rPr>
                <w:rStyle w:val="a4"/>
                <w:rFonts w:asciiTheme="majorHAnsi" w:hAnsiTheme="majorHAnsi" w:cstheme="majorHAnsi"/>
                <w:b/>
                <w:noProof/>
                <w:lang w:val="ro-MD"/>
              </w:rPr>
              <w:t>Lipsește cadrul legal de reglementare distinctă a IMSP la autogestiune.</w:t>
            </w:r>
            <w:r w:rsidR="005522BF" w:rsidRPr="005522BF">
              <w:rPr>
                <w:rFonts w:asciiTheme="majorHAnsi" w:hAnsiTheme="majorHAnsi" w:cstheme="majorHAnsi"/>
                <w:noProof/>
                <w:webHidden/>
              </w:rPr>
              <w:tab/>
            </w:r>
            <w:r w:rsidR="005522BF" w:rsidRPr="005522BF">
              <w:rPr>
                <w:rFonts w:asciiTheme="majorHAnsi" w:hAnsiTheme="majorHAnsi" w:cstheme="majorHAnsi"/>
                <w:noProof/>
                <w:webHidden/>
              </w:rPr>
              <w:fldChar w:fldCharType="begin"/>
            </w:r>
            <w:r w:rsidR="005522BF" w:rsidRPr="005522BF">
              <w:rPr>
                <w:rFonts w:asciiTheme="majorHAnsi" w:hAnsiTheme="majorHAnsi" w:cstheme="majorHAnsi"/>
                <w:noProof/>
                <w:webHidden/>
              </w:rPr>
              <w:instrText xml:space="preserve"> PAGEREF _Toc154562518 \h </w:instrText>
            </w:r>
            <w:r w:rsidR="005522BF" w:rsidRPr="005522BF">
              <w:rPr>
                <w:rFonts w:asciiTheme="majorHAnsi" w:hAnsiTheme="majorHAnsi" w:cstheme="majorHAnsi"/>
                <w:noProof/>
                <w:webHidden/>
              </w:rPr>
            </w:r>
            <w:r w:rsidR="005522BF" w:rsidRPr="005522BF">
              <w:rPr>
                <w:rFonts w:asciiTheme="majorHAnsi" w:hAnsiTheme="majorHAnsi" w:cstheme="majorHAnsi"/>
                <w:noProof/>
                <w:webHidden/>
              </w:rPr>
              <w:fldChar w:fldCharType="separate"/>
            </w:r>
            <w:r w:rsidR="005522BF" w:rsidRPr="005522BF">
              <w:rPr>
                <w:rFonts w:asciiTheme="majorHAnsi" w:hAnsiTheme="majorHAnsi" w:cstheme="majorHAnsi"/>
                <w:noProof/>
                <w:webHidden/>
              </w:rPr>
              <w:t>36</w:t>
            </w:r>
            <w:r w:rsidR="005522BF" w:rsidRPr="005522BF">
              <w:rPr>
                <w:rFonts w:asciiTheme="majorHAnsi" w:hAnsiTheme="majorHAnsi" w:cstheme="majorHAnsi"/>
                <w:noProof/>
                <w:webHidden/>
              </w:rPr>
              <w:fldChar w:fldCharType="end"/>
            </w:r>
          </w:hyperlink>
        </w:p>
        <w:p w14:paraId="7B4EC031" w14:textId="025917A0" w:rsidR="005522BF" w:rsidRPr="005522BF" w:rsidRDefault="0053077D" w:rsidP="00506777">
          <w:pPr>
            <w:pStyle w:val="32"/>
            <w:tabs>
              <w:tab w:val="left" w:pos="1320"/>
              <w:tab w:val="right" w:leader="dot" w:pos="9771"/>
            </w:tabs>
            <w:jc w:val="both"/>
            <w:rPr>
              <w:rFonts w:asciiTheme="majorHAnsi" w:eastAsiaTheme="minorEastAsia" w:hAnsiTheme="majorHAnsi" w:cstheme="majorHAnsi"/>
              <w:noProof/>
            </w:rPr>
          </w:pPr>
          <w:hyperlink w:anchor="_Toc154562519" w:history="1">
            <w:r w:rsidR="005522BF" w:rsidRPr="005522BF">
              <w:rPr>
                <w:rStyle w:val="a4"/>
                <w:rFonts w:asciiTheme="majorHAnsi" w:hAnsiTheme="majorHAnsi" w:cstheme="majorHAnsi"/>
                <w:b/>
                <w:noProof/>
                <w:lang w:val="ro-MD"/>
              </w:rPr>
              <w:t>4.2.13.</w:t>
            </w:r>
            <w:r w:rsidR="005522BF" w:rsidRPr="005522BF">
              <w:rPr>
                <w:rFonts w:asciiTheme="majorHAnsi" w:eastAsiaTheme="minorEastAsia" w:hAnsiTheme="majorHAnsi" w:cstheme="majorHAnsi"/>
                <w:noProof/>
              </w:rPr>
              <w:tab/>
            </w:r>
            <w:r w:rsidR="005522BF" w:rsidRPr="005522BF">
              <w:rPr>
                <w:rStyle w:val="a4"/>
                <w:rFonts w:asciiTheme="majorHAnsi" w:hAnsiTheme="majorHAnsi" w:cstheme="majorHAnsi"/>
                <w:b/>
                <w:noProof/>
                <w:lang w:val="ro-MD"/>
              </w:rPr>
              <w:t>Managementul medicamentelor antituberculoase a fost realizat corespunzător și asigură tratamentul în termen util al pacienților.</w:t>
            </w:r>
            <w:r w:rsidR="005522BF" w:rsidRPr="005522BF">
              <w:rPr>
                <w:rFonts w:asciiTheme="majorHAnsi" w:hAnsiTheme="majorHAnsi" w:cstheme="majorHAnsi"/>
                <w:noProof/>
                <w:webHidden/>
              </w:rPr>
              <w:tab/>
            </w:r>
            <w:r w:rsidR="005522BF" w:rsidRPr="005522BF">
              <w:rPr>
                <w:rFonts w:asciiTheme="majorHAnsi" w:hAnsiTheme="majorHAnsi" w:cstheme="majorHAnsi"/>
                <w:noProof/>
                <w:webHidden/>
              </w:rPr>
              <w:fldChar w:fldCharType="begin"/>
            </w:r>
            <w:r w:rsidR="005522BF" w:rsidRPr="005522BF">
              <w:rPr>
                <w:rFonts w:asciiTheme="majorHAnsi" w:hAnsiTheme="majorHAnsi" w:cstheme="majorHAnsi"/>
                <w:noProof/>
                <w:webHidden/>
              </w:rPr>
              <w:instrText xml:space="preserve"> PAGEREF _Toc154562519 \h </w:instrText>
            </w:r>
            <w:r w:rsidR="005522BF" w:rsidRPr="005522BF">
              <w:rPr>
                <w:rFonts w:asciiTheme="majorHAnsi" w:hAnsiTheme="majorHAnsi" w:cstheme="majorHAnsi"/>
                <w:noProof/>
                <w:webHidden/>
              </w:rPr>
            </w:r>
            <w:r w:rsidR="005522BF" w:rsidRPr="005522BF">
              <w:rPr>
                <w:rFonts w:asciiTheme="majorHAnsi" w:hAnsiTheme="majorHAnsi" w:cstheme="majorHAnsi"/>
                <w:noProof/>
                <w:webHidden/>
              </w:rPr>
              <w:fldChar w:fldCharType="separate"/>
            </w:r>
            <w:r w:rsidR="005522BF" w:rsidRPr="005522BF">
              <w:rPr>
                <w:rFonts w:asciiTheme="majorHAnsi" w:hAnsiTheme="majorHAnsi" w:cstheme="majorHAnsi"/>
                <w:noProof/>
                <w:webHidden/>
              </w:rPr>
              <w:t>37</w:t>
            </w:r>
            <w:r w:rsidR="005522BF" w:rsidRPr="005522BF">
              <w:rPr>
                <w:rFonts w:asciiTheme="majorHAnsi" w:hAnsiTheme="majorHAnsi" w:cstheme="majorHAnsi"/>
                <w:noProof/>
                <w:webHidden/>
              </w:rPr>
              <w:fldChar w:fldCharType="end"/>
            </w:r>
          </w:hyperlink>
        </w:p>
        <w:p w14:paraId="17301AB4" w14:textId="1D402975" w:rsidR="005522BF" w:rsidRPr="005522BF" w:rsidRDefault="0053077D" w:rsidP="00506777">
          <w:pPr>
            <w:pStyle w:val="32"/>
            <w:tabs>
              <w:tab w:val="left" w:pos="1320"/>
              <w:tab w:val="right" w:leader="dot" w:pos="9771"/>
            </w:tabs>
            <w:jc w:val="both"/>
            <w:rPr>
              <w:rFonts w:asciiTheme="majorHAnsi" w:eastAsiaTheme="minorEastAsia" w:hAnsiTheme="majorHAnsi" w:cstheme="majorHAnsi"/>
              <w:noProof/>
            </w:rPr>
          </w:pPr>
          <w:hyperlink w:anchor="_Toc154562520" w:history="1">
            <w:r w:rsidR="005522BF" w:rsidRPr="005522BF">
              <w:rPr>
                <w:rStyle w:val="a4"/>
                <w:rFonts w:asciiTheme="majorHAnsi" w:hAnsiTheme="majorHAnsi" w:cstheme="majorHAnsi"/>
                <w:b/>
                <w:noProof/>
                <w:lang w:val="ro-MD"/>
              </w:rPr>
              <w:t>4.2.14.</w:t>
            </w:r>
            <w:r w:rsidR="005522BF" w:rsidRPr="005522BF">
              <w:rPr>
                <w:rFonts w:asciiTheme="majorHAnsi" w:eastAsiaTheme="minorEastAsia" w:hAnsiTheme="majorHAnsi" w:cstheme="majorHAnsi"/>
                <w:noProof/>
              </w:rPr>
              <w:tab/>
            </w:r>
            <w:r w:rsidR="005522BF" w:rsidRPr="005522BF">
              <w:rPr>
                <w:rStyle w:val="a4"/>
                <w:rFonts w:asciiTheme="majorHAnsi" w:hAnsiTheme="majorHAnsi" w:cstheme="majorHAnsi"/>
                <w:b/>
                <w:noProof/>
                <w:lang w:val="ro-MD"/>
              </w:rPr>
              <w:t>Recomandările aferente Raportului auditului performanței privind realizarea Programului național de reducere a poverii tuberculozei au fost implementate.</w:t>
            </w:r>
            <w:r w:rsidR="005522BF" w:rsidRPr="005522BF">
              <w:rPr>
                <w:rFonts w:asciiTheme="majorHAnsi" w:hAnsiTheme="majorHAnsi" w:cstheme="majorHAnsi"/>
                <w:noProof/>
                <w:webHidden/>
              </w:rPr>
              <w:tab/>
            </w:r>
            <w:r w:rsidR="005522BF" w:rsidRPr="005522BF">
              <w:rPr>
                <w:rFonts w:asciiTheme="majorHAnsi" w:hAnsiTheme="majorHAnsi" w:cstheme="majorHAnsi"/>
                <w:noProof/>
                <w:webHidden/>
              </w:rPr>
              <w:fldChar w:fldCharType="begin"/>
            </w:r>
            <w:r w:rsidR="005522BF" w:rsidRPr="005522BF">
              <w:rPr>
                <w:rFonts w:asciiTheme="majorHAnsi" w:hAnsiTheme="majorHAnsi" w:cstheme="majorHAnsi"/>
                <w:noProof/>
                <w:webHidden/>
              </w:rPr>
              <w:instrText xml:space="preserve"> PAGEREF _Toc154562520 \h </w:instrText>
            </w:r>
            <w:r w:rsidR="005522BF" w:rsidRPr="005522BF">
              <w:rPr>
                <w:rFonts w:asciiTheme="majorHAnsi" w:hAnsiTheme="majorHAnsi" w:cstheme="majorHAnsi"/>
                <w:noProof/>
                <w:webHidden/>
              </w:rPr>
            </w:r>
            <w:r w:rsidR="005522BF" w:rsidRPr="005522BF">
              <w:rPr>
                <w:rFonts w:asciiTheme="majorHAnsi" w:hAnsiTheme="majorHAnsi" w:cstheme="majorHAnsi"/>
                <w:noProof/>
                <w:webHidden/>
              </w:rPr>
              <w:fldChar w:fldCharType="separate"/>
            </w:r>
            <w:r w:rsidR="005522BF" w:rsidRPr="005522BF">
              <w:rPr>
                <w:rFonts w:asciiTheme="majorHAnsi" w:hAnsiTheme="majorHAnsi" w:cstheme="majorHAnsi"/>
                <w:noProof/>
                <w:webHidden/>
              </w:rPr>
              <w:t>40</w:t>
            </w:r>
            <w:r w:rsidR="005522BF" w:rsidRPr="005522BF">
              <w:rPr>
                <w:rFonts w:asciiTheme="majorHAnsi" w:hAnsiTheme="majorHAnsi" w:cstheme="majorHAnsi"/>
                <w:noProof/>
                <w:webHidden/>
              </w:rPr>
              <w:fldChar w:fldCharType="end"/>
            </w:r>
          </w:hyperlink>
        </w:p>
        <w:p w14:paraId="2B7D2B75" w14:textId="0B09A6DE" w:rsidR="005522BF" w:rsidRPr="005522BF" w:rsidRDefault="0053077D" w:rsidP="00506777">
          <w:pPr>
            <w:pStyle w:val="11"/>
            <w:tabs>
              <w:tab w:val="left" w:pos="440"/>
              <w:tab w:val="right" w:leader="dot" w:pos="9771"/>
            </w:tabs>
            <w:jc w:val="both"/>
            <w:rPr>
              <w:rFonts w:asciiTheme="majorHAnsi" w:eastAsiaTheme="minorEastAsia" w:hAnsiTheme="majorHAnsi" w:cstheme="majorHAnsi"/>
              <w:noProof/>
            </w:rPr>
          </w:pPr>
          <w:hyperlink w:anchor="_Toc154562521" w:history="1">
            <w:r w:rsidR="005522BF" w:rsidRPr="005522BF">
              <w:rPr>
                <w:rStyle w:val="a4"/>
                <w:rFonts w:asciiTheme="majorHAnsi" w:hAnsiTheme="majorHAnsi" w:cstheme="majorHAnsi"/>
                <w:b/>
                <w:noProof/>
                <w:lang w:val="ro-MD"/>
              </w:rPr>
              <w:t>V.</w:t>
            </w:r>
            <w:r w:rsidR="005522BF" w:rsidRPr="005522BF">
              <w:rPr>
                <w:rFonts w:asciiTheme="majorHAnsi" w:eastAsiaTheme="minorEastAsia" w:hAnsiTheme="majorHAnsi" w:cstheme="majorHAnsi"/>
                <w:noProof/>
              </w:rPr>
              <w:tab/>
            </w:r>
            <w:r w:rsidR="005522BF" w:rsidRPr="005522BF">
              <w:rPr>
                <w:rStyle w:val="a4"/>
                <w:rFonts w:asciiTheme="majorHAnsi" w:hAnsiTheme="majorHAnsi" w:cstheme="majorHAnsi"/>
                <w:b/>
                <w:noProof/>
                <w:lang w:val="ro-MD"/>
              </w:rPr>
              <w:t>CONCLUZIE GENERALĂ</w:t>
            </w:r>
            <w:r w:rsidR="005522BF" w:rsidRPr="005522BF">
              <w:rPr>
                <w:rFonts w:asciiTheme="majorHAnsi" w:hAnsiTheme="majorHAnsi" w:cstheme="majorHAnsi"/>
                <w:noProof/>
                <w:webHidden/>
              </w:rPr>
              <w:tab/>
            </w:r>
            <w:r w:rsidR="005522BF" w:rsidRPr="005522BF">
              <w:rPr>
                <w:rFonts w:asciiTheme="majorHAnsi" w:hAnsiTheme="majorHAnsi" w:cstheme="majorHAnsi"/>
                <w:noProof/>
                <w:webHidden/>
              </w:rPr>
              <w:fldChar w:fldCharType="begin"/>
            </w:r>
            <w:r w:rsidR="005522BF" w:rsidRPr="005522BF">
              <w:rPr>
                <w:rFonts w:asciiTheme="majorHAnsi" w:hAnsiTheme="majorHAnsi" w:cstheme="majorHAnsi"/>
                <w:noProof/>
                <w:webHidden/>
              </w:rPr>
              <w:instrText xml:space="preserve"> PAGEREF _Toc154562521 \h </w:instrText>
            </w:r>
            <w:r w:rsidR="005522BF" w:rsidRPr="005522BF">
              <w:rPr>
                <w:rFonts w:asciiTheme="majorHAnsi" w:hAnsiTheme="majorHAnsi" w:cstheme="majorHAnsi"/>
                <w:noProof/>
                <w:webHidden/>
              </w:rPr>
            </w:r>
            <w:r w:rsidR="005522BF" w:rsidRPr="005522BF">
              <w:rPr>
                <w:rFonts w:asciiTheme="majorHAnsi" w:hAnsiTheme="majorHAnsi" w:cstheme="majorHAnsi"/>
                <w:noProof/>
                <w:webHidden/>
              </w:rPr>
              <w:fldChar w:fldCharType="separate"/>
            </w:r>
            <w:r w:rsidR="005522BF" w:rsidRPr="005522BF">
              <w:rPr>
                <w:rFonts w:asciiTheme="majorHAnsi" w:hAnsiTheme="majorHAnsi" w:cstheme="majorHAnsi"/>
                <w:noProof/>
                <w:webHidden/>
              </w:rPr>
              <w:t>41</w:t>
            </w:r>
            <w:r w:rsidR="005522BF" w:rsidRPr="005522BF">
              <w:rPr>
                <w:rFonts w:asciiTheme="majorHAnsi" w:hAnsiTheme="majorHAnsi" w:cstheme="majorHAnsi"/>
                <w:noProof/>
                <w:webHidden/>
              </w:rPr>
              <w:fldChar w:fldCharType="end"/>
            </w:r>
          </w:hyperlink>
        </w:p>
        <w:p w14:paraId="7BF8E697" w14:textId="3CA3ED81" w:rsidR="005522BF" w:rsidRPr="005522BF" w:rsidRDefault="0053077D" w:rsidP="00506777">
          <w:pPr>
            <w:pStyle w:val="11"/>
            <w:tabs>
              <w:tab w:val="left" w:pos="660"/>
              <w:tab w:val="right" w:leader="dot" w:pos="9771"/>
            </w:tabs>
            <w:jc w:val="both"/>
            <w:rPr>
              <w:rFonts w:asciiTheme="majorHAnsi" w:eastAsiaTheme="minorEastAsia" w:hAnsiTheme="majorHAnsi" w:cstheme="majorHAnsi"/>
              <w:noProof/>
            </w:rPr>
          </w:pPr>
          <w:hyperlink w:anchor="_Toc154562522" w:history="1">
            <w:r w:rsidR="005522BF" w:rsidRPr="005522BF">
              <w:rPr>
                <w:rStyle w:val="a4"/>
                <w:rFonts w:asciiTheme="majorHAnsi" w:hAnsiTheme="majorHAnsi" w:cstheme="majorHAnsi"/>
                <w:b/>
                <w:noProof/>
                <w:lang w:val="ro-MD"/>
              </w:rPr>
              <w:t>VI.</w:t>
            </w:r>
            <w:r w:rsidR="005522BF" w:rsidRPr="005522BF">
              <w:rPr>
                <w:rFonts w:asciiTheme="majorHAnsi" w:eastAsiaTheme="minorEastAsia" w:hAnsiTheme="majorHAnsi" w:cstheme="majorHAnsi"/>
                <w:noProof/>
              </w:rPr>
              <w:tab/>
            </w:r>
            <w:r w:rsidR="005522BF" w:rsidRPr="005522BF">
              <w:rPr>
                <w:rStyle w:val="a4"/>
                <w:rFonts w:asciiTheme="majorHAnsi" w:hAnsiTheme="majorHAnsi" w:cstheme="majorHAnsi"/>
                <w:b/>
                <w:noProof/>
                <w:lang w:val="ro-MD"/>
              </w:rPr>
              <w:t>RECOMANDĂRI</w:t>
            </w:r>
            <w:r w:rsidR="005522BF" w:rsidRPr="005522BF">
              <w:rPr>
                <w:rFonts w:asciiTheme="majorHAnsi" w:hAnsiTheme="majorHAnsi" w:cstheme="majorHAnsi"/>
                <w:noProof/>
                <w:webHidden/>
              </w:rPr>
              <w:tab/>
            </w:r>
            <w:r w:rsidR="005522BF" w:rsidRPr="005522BF">
              <w:rPr>
                <w:rFonts w:asciiTheme="majorHAnsi" w:hAnsiTheme="majorHAnsi" w:cstheme="majorHAnsi"/>
                <w:noProof/>
                <w:webHidden/>
              </w:rPr>
              <w:fldChar w:fldCharType="begin"/>
            </w:r>
            <w:r w:rsidR="005522BF" w:rsidRPr="005522BF">
              <w:rPr>
                <w:rFonts w:asciiTheme="majorHAnsi" w:hAnsiTheme="majorHAnsi" w:cstheme="majorHAnsi"/>
                <w:noProof/>
                <w:webHidden/>
              </w:rPr>
              <w:instrText xml:space="preserve"> PAGEREF _Toc154562522 \h </w:instrText>
            </w:r>
            <w:r w:rsidR="005522BF" w:rsidRPr="005522BF">
              <w:rPr>
                <w:rFonts w:asciiTheme="majorHAnsi" w:hAnsiTheme="majorHAnsi" w:cstheme="majorHAnsi"/>
                <w:noProof/>
                <w:webHidden/>
              </w:rPr>
            </w:r>
            <w:r w:rsidR="005522BF" w:rsidRPr="005522BF">
              <w:rPr>
                <w:rFonts w:asciiTheme="majorHAnsi" w:hAnsiTheme="majorHAnsi" w:cstheme="majorHAnsi"/>
                <w:noProof/>
                <w:webHidden/>
              </w:rPr>
              <w:fldChar w:fldCharType="separate"/>
            </w:r>
            <w:r w:rsidR="005522BF" w:rsidRPr="005522BF">
              <w:rPr>
                <w:rFonts w:asciiTheme="majorHAnsi" w:hAnsiTheme="majorHAnsi" w:cstheme="majorHAnsi"/>
                <w:noProof/>
                <w:webHidden/>
              </w:rPr>
              <w:t>42</w:t>
            </w:r>
            <w:r w:rsidR="005522BF" w:rsidRPr="005522BF">
              <w:rPr>
                <w:rFonts w:asciiTheme="majorHAnsi" w:hAnsiTheme="majorHAnsi" w:cstheme="majorHAnsi"/>
                <w:noProof/>
                <w:webHidden/>
              </w:rPr>
              <w:fldChar w:fldCharType="end"/>
            </w:r>
          </w:hyperlink>
        </w:p>
        <w:p w14:paraId="16B32CD0" w14:textId="4B824961" w:rsidR="005522BF" w:rsidRPr="005522BF" w:rsidRDefault="0053077D" w:rsidP="00506777">
          <w:pPr>
            <w:pStyle w:val="11"/>
            <w:tabs>
              <w:tab w:val="right" w:leader="dot" w:pos="9771"/>
            </w:tabs>
            <w:jc w:val="both"/>
            <w:rPr>
              <w:rFonts w:asciiTheme="majorHAnsi" w:eastAsiaTheme="minorEastAsia" w:hAnsiTheme="majorHAnsi" w:cstheme="majorHAnsi"/>
              <w:noProof/>
            </w:rPr>
          </w:pPr>
          <w:hyperlink w:anchor="_Toc154562523" w:history="1">
            <w:r w:rsidR="005522BF" w:rsidRPr="005522BF">
              <w:rPr>
                <w:rStyle w:val="a4"/>
                <w:rFonts w:asciiTheme="majorHAnsi" w:hAnsiTheme="majorHAnsi" w:cstheme="majorHAnsi"/>
                <w:b/>
                <w:noProof/>
                <w:lang w:val="ro-MD"/>
              </w:rPr>
              <w:t>ANEXE</w:t>
            </w:r>
            <w:r w:rsidR="005522BF" w:rsidRPr="005522BF">
              <w:rPr>
                <w:rFonts w:asciiTheme="majorHAnsi" w:hAnsiTheme="majorHAnsi" w:cstheme="majorHAnsi"/>
                <w:noProof/>
                <w:webHidden/>
              </w:rPr>
              <w:tab/>
            </w:r>
            <w:r w:rsidR="005522BF" w:rsidRPr="005522BF">
              <w:rPr>
                <w:rFonts w:asciiTheme="majorHAnsi" w:hAnsiTheme="majorHAnsi" w:cstheme="majorHAnsi"/>
                <w:noProof/>
                <w:webHidden/>
              </w:rPr>
              <w:fldChar w:fldCharType="begin"/>
            </w:r>
            <w:r w:rsidR="005522BF" w:rsidRPr="005522BF">
              <w:rPr>
                <w:rFonts w:asciiTheme="majorHAnsi" w:hAnsiTheme="majorHAnsi" w:cstheme="majorHAnsi"/>
                <w:noProof/>
                <w:webHidden/>
              </w:rPr>
              <w:instrText xml:space="preserve"> PAGEREF _Toc154562523 \h </w:instrText>
            </w:r>
            <w:r w:rsidR="005522BF" w:rsidRPr="005522BF">
              <w:rPr>
                <w:rFonts w:asciiTheme="majorHAnsi" w:hAnsiTheme="majorHAnsi" w:cstheme="majorHAnsi"/>
                <w:noProof/>
                <w:webHidden/>
              </w:rPr>
            </w:r>
            <w:r w:rsidR="005522BF" w:rsidRPr="005522BF">
              <w:rPr>
                <w:rFonts w:asciiTheme="majorHAnsi" w:hAnsiTheme="majorHAnsi" w:cstheme="majorHAnsi"/>
                <w:noProof/>
                <w:webHidden/>
              </w:rPr>
              <w:fldChar w:fldCharType="separate"/>
            </w:r>
            <w:r w:rsidR="005522BF" w:rsidRPr="005522BF">
              <w:rPr>
                <w:rFonts w:asciiTheme="majorHAnsi" w:hAnsiTheme="majorHAnsi" w:cstheme="majorHAnsi"/>
                <w:noProof/>
                <w:webHidden/>
              </w:rPr>
              <w:t>44</w:t>
            </w:r>
            <w:r w:rsidR="005522BF" w:rsidRPr="005522BF">
              <w:rPr>
                <w:rFonts w:asciiTheme="majorHAnsi" w:hAnsiTheme="majorHAnsi" w:cstheme="majorHAnsi"/>
                <w:noProof/>
                <w:webHidden/>
              </w:rPr>
              <w:fldChar w:fldCharType="end"/>
            </w:r>
          </w:hyperlink>
        </w:p>
        <w:p w14:paraId="72CAE813" w14:textId="267AC021" w:rsidR="005522BF" w:rsidRPr="005522BF" w:rsidRDefault="0053077D" w:rsidP="00506777">
          <w:pPr>
            <w:pStyle w:val="32"/>
            <w:tabs>
              <w:tab w:val="right" w:leader="dot" w:pos="9771"/>
            </w:tabs>
            <w:jc w:val="both"/>
            <w:rPr>
              <w:rFonts w:asciiTheme="majorHAnsi" w:eastAsiaTheme="minorEastAsia" w:hAnsiTheme="majorHAnsi" w:cstheme="majorHAnsi"/>
              <w:noProof/>
            </w:rPr>
          </w:pPr>
          <w:hyperlink w:anchor="_Toc154562524" w:history="1">
            <w:r w:rsidR="005522BF" w:rsidRPr="005522BF">
              <w:rPr>
                <w:rStyle w:val="a4"/>
                <w:rFonts w:asciiTheme="majorHAnsi" w:hAnsiTheme="majorHAnsi" w:cstheme="majorHAnsi"/>
                <w:b/>
                <w:iCs/>
                <w:noProof/>
              </w:rPr>
              <w:t>Anexa nr. 1</w:t>
            </w:r>
            <w:r w:rsidR="005522BF" w:rsidRPr="005522BF">
              <w:rPr>
                <w:rFonts w:asciiTheme="majorHAnsi" w:hAnsiTheme="majorHAnsi" w:cstheme="majorHAnsi"/>
                <w:noProof/>
                <w:webHidden/>
              </w:rPr>
              <w:tab/>
            </w:r>
            <w:r w:rsidR="005522BF" w:rsidRPr="005522BF">
              <w:rPr>
                <w:rFonts w:asciiTheme="majorHAnsi" w:hAnsiTheme="majorHAnsi" w:cstheme="majorHAnsi"/>
                <w:noProof/>
                <w:webHidden/>
              </w:rPr>
              <w:fldChar w:fldCharType="begin"/>
            </w:r>
            <w:r w:rsidR="005522BF" w:rsidRPr="005522BF">
              <w:rPr>
                <w:rFonts w:asciiTheme="majorHAnsi" w:hAnsiTheme="majorHAnsi" w:cstheme="majorHAnsi"/>
                <w:noProof/>
                <w:webHidden/>
              </w:rPr>
              <w:instrText xml:space="preserve"> PAGEREF _Toc154562524 \h </w:instrText>
            </w:r>
            <w:r w:rsidR="005522BF" w:rsidRPr="005522BF">
              <w:rPr>
                <w:rFonts w:asciiTheme="majorHAnsi" w:hAnsiTheme="majorHAnsi" w:cstheme="majorHAnsi"/>
                <w:noProof/>
                <w:webHidden/>
              </w:rPr>
            </w:r>
            <w:r w:rsidR="005522BF" w:rsidRPr="005522BF">
              <w:rPr>
                <w:rFonts w:asciiTheme="majorHAnsi" w:hAnsiTheme="majorHAnsi" w:cstheme="majorHAnsi"/>
                <w:noProof/>
                <w:webHidden/>
              </w:rPr>
              <w:fldChar w:fldCharType="separate"/>
            </w:r>
            <w:r w:rsidR="005522BF" w:rsidRPr="005522BF">
              <w:rPr>
                <w:rFonts w:asciiTheme="majorHAnsi" w:hAnsiTheme="majorHAnsi" w:cstheme="majorHAnsi"/>
                <w:noProof/>
                <w:webHidden/>
              </w:rPr>
              <w:t>44</w:t>
            </w:r>
            <w:r w:rsidR="005522BF" w:rsidRPr="005522BF">
              <w:rPr>
                <w:rFonts w:asciiTheme="majorHAnsi" w:hAnsiTheme="majorHAnsi" w:cstheme="majorHAnsi"/>
                <w:noProof/>
                <w:webHidden/>
              </w:rPr>
              <w:fldChar w:fldCharType="end"/>
            </w:r>
          </w:hyperlink>
        </w:p>
        <w:p w14:paraId="6D3609CD" w14:textId="502C0318" w:rsidR="005522BF" w:rsidRPr="005522BF" w:rsidRDefault="0053077D" w:rsidP="00506777">
          <w:pPr>
            <w:pStyle w:val="32"/>
            <w:tabs>
              <w:tab w:val="right" w:leader="dot" w:pos="9771"/>
            </w:tabs>
            <w:jc w:val="both"/>
            <w:rPr>
              <w:rFonts w:asciiTheme="majorHAnsi" w:eastAsiaTheme="minorEastAsia" w:hAnsiTheme="majorHAnsi" w:cstheme="majorHAnsi"/>
              <w:noProof/>
            </w:rPr>
          </w:pPr>
          <w:hyperlink w:anchor="_Toc154562525" w:history="1">
            <w:r w:rsidR="005522BF" w:rsidRPr="005522BF">
              <w:rPr>
                <w:rStyle w:val="a4"/>
                <w:rFonts w:asciiTheme="majorHAnsi" w:hAnsiTheme="majorHAnsi" w:cstheme="majorHAnsi"/>
                <w:b/>
                <w:iCs/>
                <w:noProof/>
              </w:rPr>
              <w:t>Anexa nr. 2</w:t>
            </w:r>
            <w:r w:rsidR="005522BF" w:rsidRPr="005522BF">
              <w:rPr>
                <w:rFonts w:asciiTheme="majorHAnsi" w:hAnsiTheme="majorHAnsi" w:cstheme="majorHAnsi"/>
                <w:noProof/>
                <w:webHidden/>
              </w:rPr>
              <w:tab/>
            </w:r>
            <w:r w:rsidR="005522BF" w:rsidRPr="005522BF">
              <w:rPr>
                <w:rFonts w:asciiTheme="majorHAnsi" w:hAnsiTheme="majorHAnsi" w:cstheme="majorHAnsi"/>
                <w:noProof/>
                <w:webHidden/>
              </w:rPr>
              <w:fldChar w:fldCharType="begin"/>
            </w:r>
            <w:r w:rsidR="005522BF" w:rsidRPr="005522BF">
              <w:rPr>
                <w:rFonts w:asciiTheme="majorHAnsi" w:hAnsiTheme="majorHAnsi" w:cstheme="majorHAnsi"/>
                <w:noProof/>
                <w:webHidden/>
              </w:rPr>
              <w:instrText xml:space="preserve"> PAGEREF _Toc154562525 \h </w:instrText>
            </w:r>
            <w:r w:rsidR="005522BF" w:rsidRPr="005522BF">
              <w:rPr>
                <w:rFonts w:asciiTheme="majorHAnsi" w:hAnsiTheme="majorHAnsi" w:cstheme="majorHAnsi"/>
                <w:noProof/>
                <w:webHidden/>
              </w:rPr>
            </w:r>
            <w:r w:rsidR="005522BF" w:rsidRPr="005522BF">
              <w:rPr>
                <w:rFonts w:asciiTheme="majorHAnsi" w:hAnsiTheme="majorHAnsi" w:cstheme="majorHAnsi"/>
                <w:noProof/>
                <w:webHidden/>
              </w:rPr>
              <w:fldChar w:fldCharType="separate"/>
            </w:r>
            <w:r w:rsidR="005522BF" w:rsidRPr="005522BF">
              <w:rPr>
                <w:rFonts w:asciiTheme="majorHAnsi" w:hAnsiTheme="majorHAnsi" w:cstheme="majorHAnsi"/>
                <w:noProof/>
                <w:webHidden/>
              </w:rPr>
              <w:t>45</w:t>
            </w:r>
            <w:r w:rsidR="005522BF" w:rsidRPr="005522BF">
              <w:rPr>
                <w:rFonts w:asciiTheme="majorHAnsi" w:hAnsiTheme="majorHAnsi" w:cstheme="majorHAnsi"/>
                <w:noProof/>
                <w:webHidden/>
              </w:rPr>
              <w:fldChar w:fldCharType="end"/>
            </w:r>
          </w:hyperlink>
        </w:p>
        <w:p w14:paraId="4D22E2B3" w14:textId="29B54E92" w:rsidR="005522BF" w:rsidRPr="005522BF" w:rsidRDefault="0053077D" w:rsidP="00506777">
          <w:pPr>
            <w:pStyle w:val="32"/>
            <w:tabs>
              <w:tab w:val="right" w:leader="dot" w:pos="9771"/>
            </w:tabs>
            <w:jc w:val="both"/>
            <w:rPr>
              <w:rFonts w:asciiTheme="majorHAnsi" w:eastAsiaTheme="minorEastAsia" w:hAnsiTheme="majorHAnsi" w:cstheme="majorHAnsi"/>
              <w:noProof/>
            </w:rPr>
          </w:pPr>
          <w:hyperlink w:anchor="_Toc154562526" w:history="1">
            <w:r w:rsidR="005522BF" w:rsidRPr="005522BF">
              <w:rPr>
                <w:rStyle w:val="a4"/>
                <w:rFonts w:asciiTheme="majorHAnsi" w:hAnsiTheme="majorHAnsi" w:cstheme="majorHAnsi"/>
                <w:b/>
                <w:iCs/>
                <w:noProof/>
              </w:rPr>
              <w:t>Anexa nr. 3</w:t>
            </w:r>
            <w:r w:rsidR="005522BF" w:rsidRPr="005522BF">
              <w:rPr>
                <w:rFonts w:asciiTheme="majorHAnsi" w:hAnsiTheme="majorHAnsi" w:cstheme="majorHAnsi"/>
                <w:noProof/>
                <w:webHidden/>
              </w:rPr>
              <w:tab/>
            </w:r>
            <w:r w:rsidR="005522BF" w:rsidRPr="005522BF">
              <w:rPr>
                <w:rFonts w:asciiTheme="majorHAnsi" w:hAnsiTheme="majorHAnsi" w:cstheme="majorHAnsi"/>
                <w:noProof/>
                <w:webHidden/>
              </w:rPr>
              <w:fldChar w:fldCharType="begin"/>
            </w:r>
            <w:r w:rsidR="005522BF" w:rsidRPr="005522BF">
              <w:rPr>
                <w:rFonts w:asciiTheme="majorHAnsi" w:hAnsiTheme="majorHAnsi" w:cstheme="majorHAnsi"/>
                <w:noProof/>
                <w:webHidden/>
              </w:rPr>
              <w:instrText xml:space="preserve"> PAGEREF _Toc154562526 \h </w:instrText>
            </w:r>
            <w:r w:rsidR="005522BF" w:rsidRPr="005522BF">
              <w:rPr>
                <w:rFonts w:asciiTheme="majorHAnsi" w:hAnsiTheme="majorHAnsi" w:cstheme="majorHAnsi"/>
                <w:noProof/>
                <w:webHidden/>
              </w:rPr>
            </w:r>
            <w:r w:rsidR="005522BF" w:rsidRPr="005522BF">
              <w:rPr>
                <w:rFonts w:asciiTheme="majorHAnsi" w:hAnsiTheme="majorHAnsi" w:cstheme="majorHAnsi"/>
                <w:noProof/>
                <w:webHidden/>
              </w:rPr>
              <w:fldChar w:fldCharType="separate"/>
            </w:r>
            <w:r w:rsidR="005522BF" w:rsidRPr="005522BF">
              <w:rPr>
                <w:rFonts w:asciiTheme="majorHAnsi" w:hAnsiTheme="majorHAnsi" w:cstheme="majorHAnsi"/>
                <w:noProof/>
                <w:webHidden/>
              </w:rPr>
              <w:t>46</w:t>
            </w:r>
            <w:r w:rsidR="005522BF" w:rsidRPr="005522BF">
              <w:rPr>
                <w:rFonts w:asciiTheme="majorHAnsi" w:hAnsiTheme="majorHAnsi" w:cstheme="majorHAnsi"/>
                <w:noProof/>
                <w:webHidden/>
              </w:rPr>
              <w:fldChar w:fldCharType="end"/>
            </w:r>
          </w:hyperlink>
        </w:p>
        <w:p w14:paraId="4E5FD627" w14:textId="4AC93EED" w:rsidR="005522BF" w:rsidRPr="005522BF" w:rsidRDefault="0053077D" w:rsidP="00506777">
          <w:pPr>
            <w:pStyle w:val="32"/>
            <w:tabs>
              <w:tab w:val="right" w:leader="dot" w:pos="9771"/>
            </w:tabs>
            <w:jc w:val="both"/>
            <w:rPr>
              <w:rFonts w:asciiTheme="majorHAnsi" w:eastAsiaTheme="minorEastAsia" w:hAnsiTheme="majorHAnsi" w:cstheme="majorHAnsi"/>
              <w:noProof/>
            </w:rPr>
          </w:pPr>
          <w:hyperlink w:anchor="_Toc154562527" w:history="1">
            <w:r w:rsidR="005522BF" w:rsidRPr="005522BF">
              <w:rPr>
                <w:rStyle w:val="a4"/>
                <w:rFonts w:asciiTheme="majorHAnsi" w:hAnsiTheme="majorHAnsi" w:cstheme="majorHAnsi"/>
                <w:b/>
                <w:iCs/>
                <w:noProof/>
              </w:rPr>
              <w:t>Anexa nr. 4</w:t>
            </w:r>
            <w:r w:rsidR="005522BF" w:rsidRPr="005522BF">
              <w:rPr>
                <w:rFonts w:asciiTheme="majorHAnsi" w:hAnsiTheme="majorHAnsi" w:cstheme="majorHAnsi"/>
                <w:noProof/>
                <w:webHidden/>
              </w:rPr>
              <w:tab/>
            </w:r>
            <w:r w:rsidR="005522BF" w:rsidRPr="005522BF">
              <w:rPr>
                <w:rFonts w:asciiTheme="majorHAnsi" w:hAnsiTheme="majorHAnsi" w:cstheme="majorHAnsi"/>
                <w:noProof/>
                <w:webHidden/>
              </w:rPr>
              <w:fldChar w:fldCharType="begin"/>
            </w:r>
            <w:r w:rsidR="005522BF" w:rsidRPr="005522BF">
              <w:rPr>
                <w:rFonts w:asciiTheme="majorHAnsi" w:hAnsiTheme="majorHAnsi" w:cstheme="majorHAnsi"/>
                <w:noProof/>
                <w:webHidden/>
              </w:rPr>
              <w:instrText xml:space="preserve"> PAGEREF _Toc154562527 \h </w:instrText>
            </w:r>
            <w:r w:rsidR="005522BF" w:rsidRPr="005522BF">
              <w:rPr>
                <w:rFonts w:asciiTheme="majorHAnsi" w:hAnsiTheme="majorHAnsi" w:cstheme="majorHAnsi"/>
                <w:noProof/>
                <w:webHidden/>
              </w:rPr>
            </w:r>
            <w:r w:rsidR="005522BF" w:rsidRPr="005522BF">
              <w:rPr>
                <w:rFonts w:asciiTheme="majorHAnsi" w:hAnsiTheme="majorHAnsi" w:cstheme="majorHAnsi"/>
                <w:noProof/>
                <w:webHidden/>
              </w:rPr>
              <w:fldChar w:fldCharType="separate"/>
            </w:r>
            <w:r w:rsidR="005522BF" w:rsidRPr="005522BF">
              <w:rPr>
                <w:rFonts w:asciiTheme="majorHAnsi" w:hAnsiTheme="majorHAnsi" w:cstheme="majorHAnsi"/>
                <w:noProof/>
                <w:webHidden/>
              </w:rPr>
              <w:t>47</w:t>
            </w:r>
            <w:r w:rsidR="005522BF" w:rsidRPr="005522BF">
              <w:rPr>
                <w:rFonts w:asciiTheme="majorHAnsi" w:hAnsiTheme="majorHAnsi" w:cstheme="majorHAnsi"/>
                <w:noProof/>
                <w:webHidden/>
              </w:rPr>
              <w:fldChar w:fldCharType="end"/>
            </w:r>
          </w:hyperlink>
        </w:p>
        <w:p w14:paraId="4DA769F0" w14:textId="7F0EB0D5" w:rsidR="005522BF" w:rsidRPr="005522BF" w:rsidRDefault="0053077D" w:rsidP="00506777">
          <w:pPr>
            <w:pStyle w:val="32"/>
            <w:tabs>
              <w:tab w:val="right" w:leader="dot" w:pos="9771"/>
            </w:tabs>
            <w:jc w:val="both"/>
            <w:rPr>
              <w:rFonts w:asciiTheme="majorHAnsi" w:eastAsiaTheme="minorEastAsia" w:hAnsiTheme="majorHAnsi" w:cstheme="majorHAnsi"/>
              <w:noProof/>
            </w:rPr>
          </w:pPr>
          <w:hyperlink w:anchor="_Toc154562528" w:history="1">
            <w:r w:rsidR="005522BF" w:rsidRPr="005522BF">
              <w:rPr>
                <w:rStyle w:val="a4"/>
                <w:rFonts w:asciiTheme="majorHAnsi" w:hAnsiTheme="majorHAnsi" w:cstheme="majorHAnsi"/>
                <w:b/>
                <w:iCs/>
                <w:noProof/>
              </w:rPr>
              <w:t>Anexa nr. 5</w:t>
            </w:r>
            <w:r w:rsidR="005522BF" w:rsidRPr="005522BF">
              <w:rPr>
                <w:rFonts w:asciiTheme="majorHAnsi" w:hAnsiTheme="majorHAnsi" w:cstheme="majorHAnsi"/>
                <w:noProof/>
                <w:webHidden/>
              </w:rPr>
              <w:tab/>
            </w:r>
            <w:r w:rsidR="005522BF" w:rsidRPr="005522BF">
              <w:rPr>
                <w:rFonts w:asciiTheme="majorHAnsi" w:hAnsiTheme="majorHAnsi" w:cstheme="majorHAnsi"/>
                <w:noProof/>
                <w:webHidden/>
              </w:rPr>
              <w:fldChar w:fldCharType="begin"/>
            </w:r>
            <w:r w:rsidR="005522BF" w:rsidRPr="005522BF">
              <w:rPr>
                <w:rFonts w:asciiTheme="majorHAnsi" w:hAnsiTheme="majorHAnsi" w:cstheme="majorHAnsi"/>
                <w:noProof/>
                <w:webHidden/>
              </w:rPr>
              <w:instrText xml:space="preserve"> PAGEREF _Toc154562528 \h </w:instrText>
            </w:r>
            <w:r w:rsidR="005522BF" w:rsidRPr="005522BF">
              <w:rPr>
                <w:rFonts w:asciiTheme="majorHAnsi" w:hAnsiTheme="majorHAnsi" w:cstheme="majorHAnsi"/>
                <w:noProof/>
                <w:webHidden/>
              </w:rPr>
            </w:r>
            <w:r w:rsidR="005522BF" w:rsidRPr="005522BF">
              <w:rPr>
                <w:rFonts w:asciiTheme="majorHAnsi" w:hAnsiTheme="majorHAnsi" w:cstheme="majorHAnsi"/>
                <w:noProof/>
                <w:webHidden/>
              </w:rPr>
              <w:fldChar w:fldCharType="separate"/>
            </w:r>
            <w:r w:rsidR="005522BF" w:rsidRPr="005522BF">
              <w:rPr>
                <w:rFonts w:asciiTheme="majorHAnsi" w:hAnsiTheme="majorHAnsi" w:cstheme="majorHAnsi"/>
                <w:noProof/>
                <w:webHidden/>
              </w:rPr>
              <w:t>47</w:t>
            </w:r>
            <w:r w:rsidR="005522BF" w:rsidRPr="005522BF">
              <w:rPr>
                <w:rFonts w:asciiTheme="majorHAnsi" w:hAnsiTheme="majorHAnsi" w:cstheme="majorHAnsi"/>
                <w:noProof/>
                <w:webHidden/>
              </w:rPr>
              <w:fldChar w:fldCharType="end"/>
            </w:r>
          </w:hyperlink>
        </w:p>
        <w:p w14:paraId="2A97F8E0" w14:textId="7FBF90B5" w:rsidR="005522BF" w:rsidRPr="005522BF" w:rsidRDefault="0053077D" w:rsidP="00506777">
          <w:pPr>
            <w:pStyle w:val="32"/>
            <w:tabs>
              <w:tab w:val="right" w:leader="dot" w:pos="9771"/>
            </w:tabs>
            <w:jc w:val="both"/>
            <w:rPr>
              <w:rFonts w:asciiTheme="majorHAnsi" w:eastAsiaTheme="minorEastAsia" w:hAnsiTheme="majorHAnsi" w:cstheme="majorHAnsi"/>
              <w:noProof/>
            </w:rPr>
          </w:pPr>
          <w:hyperlink w:anchor="_Toc154562529" w:history="1">
            <w:r w:rsidR="005522BF" w:rsidRPr="005522BF">
              <w:rPr>
                <w:rStyle w:val="a4"/>
                <w:rFonts w:asciiTheme="majorHAnsi" w:hAnsiTheme="majorHAnsi" w:cstheme="majorHAnsi"/>
                <w:b/>
                <w:iCs/>
                <w:noProof/>
              </w:rPr>
              <w:t>Anexa nr. 6</w:t>
            </w:r>
            <w:r w:rsidR="005522BF" w:rsidRPr="005522BF">
              <w:rPr>
                <w:rFonts w:asciiTheme="majorHAnsi" w:hAnsiTheme="majorHAnsi" w:cstheme="majorHAnsi"/>
                <w:noProof/>
                <w:webHidden/>
              </w:rPr>
              <w:tab/>
            </w:r>
            <w:r w:rsidR="005522BF" w:rsidRPr="005522BF">
              <w:rPr>
                <w:rFonts w:asciiTheme="majorHAnsi" w:hAnsiTheme="majorHAnsi" w:cstheme="majorHAnsi"/>
                <w:noProof/>
                <w:webHidden/>
              </w:rPr>
              <w:fldChar w:fldCharType="begin"/>
            </w:r>
            <w:r w:rsidR="005522BF" w:rsidRPr="005522BF">
              <w:rPr>
                <w:rFonts w:asciiTheme="majorHAnsi" w:hAnsiTheme="majorHAnsi" w:cstheme="majorHAnsi"/>
                <w:noProof/>
                <w:webHidden/>
              </w:rPr>
              <w:instrText xml:space="preserve"> PAGEREF _Toc154562529 \h </w:instrText>
            </w:r>
            <w:r w:rsidR="005522BF" w:rsidRPr="005522BF">
              <w:rPr>
                <w:rFonts w:asciiTheme="majorHAnsi" w:hAnsiTheme="majorHAnsi" w:cstheme="majorHAnsi"/>
                <w:noProof/>
                <w:webHidden/>
              </w:rPr>
            </w:r>
            <w:r w:rsidR="005522BF" w:rsidRPr="005522BF">
              <w:rPr>
                <w:rFonts w:asciiTheme="majorHAnsi" w:hAnsiTheme="majorHAnsi" w:cstheme="majorHAnsi"/>
                <w:noProof/>
                <w:webHidden/>
              </w:rPr>
              <w:fldChar w:fldCharType="separate"/>
            </w:r>
            <w:r w:rsidR="005522BF" w:rsidRPr="005522BF">
              <w:rPr>
                <w:rFonts w:asciiTheme="majorHAnsi" w:hAnsiTheme="majorHAnsi" w:cstheme="majorHAnsi"/>
                <w:noProof/>
                <w:webHidden/>
              </w:rPr>
              <w:t>47</w:t>
            </w:r>
            <w:r w:rsidR="005522BF" w:rsidRPr="005522BF">
              <w:rPr>
                <w:rFonts w:asciiTheme="majorHAnsi" w:hAnsiTheme="majorHAnsi" w:cstheme="majorHAnsi"/>
                <w:noProof/>
                <w:webHidden/>
              </w:rPr>
              <w:fldChar w:fldCharType="end"/>
            </w:r>
          </w:hyperlink>
        </w:p>
        <w:p w14:paraId="2333774D" w14:textId="6D61C0B1" w:rsidR="005522BF" w:rsidRPr="005522BF" w:rsidRDefault="0053077D" w:rsidP="00506777">
          <w:pPr>
            <w:pStyle w:val="32"/>
            <w:tabs>
              <w:tab w:val="right" w:leader="dot" w:pos="9771"/>
            </w:tabs>
            <w:jc w:val="both"/>
            <w:rPr>
              <w:rFonts w:asciiTheme="majorHAnsi" w:eastAsiaTheme="minorEastAsia" w:hAnsiTheme="majorHAnsi" w:cstheme="majorHAnsi"/>
              <w:noProof/>
            </w:rPr>
          </w:pPr>
          <w:hyperlink w:anchor="_Toc154562530" w:history="1">
            <w:r w:rsidR="005522BF" w:rsidRPr="005522BF">
              <w:rPr>
                <w:rStyle w:val="a4"/>
                <w:rFonts w:asciiTheme="majorHAnsi" w:hAnsiTheme="majorHAnsi" w:cstheme="majorHAnsi"/>
                <w:b/>
                <w:iCs/>
                <w:noProof/>
              </w:rPr>
              <w:t>Anexa nr. 7</w:t>
            </w:r>
            <w:r w:rsidR="005522BF" w:rsidRPr="005522BF">
              <w:rPr>
                <w:rFonts w:asciiTheme="majorHAnsi" w:hAnsiTheme="majorHAnsi" w:cstheme="majorHAnsi"/>
                <w:noProof/>
                <w:webHidden/>
              </w:rPr>
              <w:tab/>
            </w:r>
            <w:r w:rsidR="005522BF" w:rsidRPr="005522BF">
              <w:rPr>
                <w:rFonts w:asciiTheme="majorHAnsi" w:hAnsiTheme="majorHAnsi" w:cstheme="majorHAnsi"/>
                <w:noProof/>
                <w:webHidden/>
              </w:rPr>
              <w:fldChar w:fldCharType="begin"/>
            </w:r>
            <w:r w:rsidR="005522BF" w:rsidRPr="005522BF">
              <w:rPr>
                <w:rFonts w:asciiTheme="majorHAnsi" w:hAnsiTheme="majorHAnsi" w:cstheme="majorHAnsi"/>
                <w:noProof/>
                <w:webHidden/>
              </w:rPr>
              <w:instrText xml:space="preserve"> PAGEREF _Toc154562530 \h </w:instrText>
            </w:r>
            <w:r w:rsidR="005522BF" w:rsidRPr="005522BF">
              <w:rPr>
                <w:rFonts w:asciiTheme="majorHAnsi" w:hAnsiTheme="majorHAnsi" w:cstheme="majorHAnsi"/>
                <w:noProof/>
                <w:webHidden/>
              </w:rPr>
            </w:r>
            <w:r w:rsidR="005522BF" w:rsidRPr="005522BF">
              <w:rPr>
                <w:rFonts w:asciiTheme="majorHAnsi" w:hAnsiTheme="majorHAnsi" w:cstheme="majorHAnsi"/>
                <w:noProof/>
                <w:webHidden/>
              </w:rPr>
              <w:fldChar w:fldCharType="separate"/>
            </w:r>
            <w:r w:rsidR="005522BF" w:rsidRPr="005522BF">
              <w:rPr>
                <w:rFonts w:asciiTheme="majorHAnsi" w:hAnsiTheme="majorHAnsi" w:cstheme="majorHAnsi"/>
                <w:noProof/>
                <w:webHidden/>
              </w:rPr>
              <w:t>48</w:t>
            </w:r>
            <w:r w:rsidR="005522BF" w:rsidRPr="005522BF">
              <w:rPr>
                <w:rFonts w:asciiTheme="majorHAnsi" w:hAnsiTheme="majorHAnsi" w:cstheme="majorHAnsi"/>
                <w:noProof/>
                <w:webHidden/>
              </w:rPr>
              <w:fldChar w:fldCharType="end"/>
            </w:r>
          </w:hyperlink>
        </w:p>
        <w:p w14:paraId="08749B38" w14:textId="1C47BF8C" w:rsidR="005522BF" w:rsidRPr="005522BF" w:rsidRDefault="0053077D" w:rsidP="00506777">
          <w:pPr>
            <w:pStyle w:val="32"/>
            <w:tabs>
              <w:tab w:val="right" w:leader="dot" w:pos="9771"/>
            </w:tabs>
            <w:jc w:val="both"/>
            <w:rPr>
              <w:rFonts w:asciiTheme="majorHAnsi" w:eastAsiaTheme="minorEastAsia" w:hAnsiTheme="majorHAnsi" w:cstheme="majorHAnsi"/>
              <w:noProof/>
            </w:rPr>
          </w:pPr>
          <w:hyperlink w:anchor="_Toc154562531" w:history="1">
            <w:r w:rsidR="005522BF" w:rsidRPr="005522BF">
              <w:rPr>
                <w:rStyle w:val="a4"/>
                <w:rFonts w:asciiTheme="majorHAnsi" w:hAnsiTheme="majorHAnsi" w:cstheme="majorHAnsi"/>
                <w:b/>
                <w:bCs/>
                <w:noProof/>
                <w:kern w:val="24"/>
              </w:rPr>
              <w:t>Anexa nr. 8</w:t>
            </w:r>
            <w:r w:rsidR="005522BF" w:rsidRPr="005522BF">
              <w:rPr>
                <w:rFonts w:asciiTheme="majorHAnsi" w:hAnsiTheme="majorHAnsi" w:cstheme="majorHAnsi"/>
                <w:noProof/>
                <w:webHidden/>
              </w:rPr>
              <w:tab/>
            </w:r>
            <w:r w:rsidR="005522BF" w:rsidRPr="005522BF">
              <w:rPr>
                <w:rFonts w:asciiTheme="majorHAnsi" w:hAnsiTheme="majorHAnsi" w:cstheme="majorHAnsi"/>
                <w:noProof/>
                <w:webHidden/>
              </w:rPr>
              <w:fldChar w:fldCharType="begin"/>
            </w:r>
            <w:r w:rsidR="005522BF" w:rsidRPr="005522BF">
              <w:rPr>
                <w:rFonts w:asciiTheme="majorHAnsi" w:hAnsiTheme="majorHAnsi" w:cstheme="majorHAnsi"/>
                <w:noProof/>
                <w:webHidden/>
              </w:rPr>
              <w:instrText xml:space="preserve"> PAGEREF _Toc154562531 \h </w:instrText>
            </w:r>
            <w:r w:rsidR="005522BF" w:rsidRPr="005522BF">
              <w:rPr>
                <w:rFonts w:asciiTheme="majorHAnsi" w:hAnsiTheme="majorHAnsi" w:cstheme="majorHAnsi"/>
                <w:noProof/>
                <w:webHidden/>
              </w:rPr>
            </w:r>
            <w:r w:rsidR="005522BF" w:rsidRPr="005522BF">
              <w:rPr>
                <w:rFonts w:asciiTheme="majorHAnsi" w:hAnsiTheme="majorHAnsi" w:cstheme="majorHAnsi"/>
                <w:noProof/>
                <w:webHidden/>
              </w:rPr>
              <w:fldChar w:fldCharType="separate"/>
            </w:r>
            <w:r w:rsidR="005522BF" w:rsidRPr="005522BF">
              <w:rPr>
                <w:rFonts w:asciiTheme="majorHAnsi" w:hAnsiTheme="majorHAnsi" w:cstheme="majorHAnsi"/>
                <w:noProof/>
                <w:webHidden/>
              </w:rPr>
              <w:t>49</w:t>
            </w:r>
            <w:r w:rsidR="005522BF" w:rsidRPr="005522BF">
              <w:rPr>
                <w:rFonts w:asciiTheme="majorHAnsi" w:hAnsiTheme="majorHAnsi" w:cstheme="majorHAnsi"/>
                <w:noProof/>
                <w:webHidden/>
              </w:rPr>
              <w:fldChar w:fldCharType="end"/>
            </w:r>
          </w:hyperlink>
        </w:p>
        <w:p w14:paraId="7C736970" w14:textId="26AE9AFE" w:rsidR="005522BF" w:rsidRPr="005522BF" w:rsidRDefault="0053077D" w:rsidP="00506777">
          <w:pPr>
            <w:pStyle w:val="32"/>
            <w:tabs>
              <w:tab w:val="right" w:leader="dot" w:pos="9771"/>
            </w:tabs>
            <w:jc w:val="both"/>
            <w:rPr>
              <w:rFonts w:asciiTheme="majorHAnsi" w:eastAsiaTheme="minorEastAsia" w:hAnsiTheme="majorHAnsi" w:cstheme="majorHAnsi"/>
              <w:noProof/>
            </w:rPr>
          </w:pPr>
          <w:hyperlink w:anchor="_Toc154562532" w:history="1">
            <w:r w:rsidR="005522BF" w:rsidRPr="005522BF">
              <w:rPr>
                <w:rStyle w:val="a4"/>
                <w:rFonts w:asciiTheme="majorHAnsi" w:hAnsiTheme="majorHAnsi" w:cstheme="majorHAnsi"/>
                <w:b/>
                <w:iCs/>
                <w:noProof/>
              </w:rPr>
              <w:t>Anexa nr. 9</w:t>
            </w:r>
            <w:r w:rsidR="005522BF" w:rsidRPr="005522BF">
              <w:rPr>
                <w:rFonts w:asciiTheme="majorHAnsi" w:hAnsiTheme="majorHAnsi" w:cstheme="majorHAnsi"/>
                <w:noProof/>
                <w:webHidden/>
              </w:rPr>
              <w:tab/>
            </w:r>
            <w:r w:rsidR="005522BF" w:rsidRPr="005522BF">
              <w:rPr>
                <w:rFonts w:asciiTheme="majorHAnsi" w:hAnsiTheme="majorHAnsi" w:cstheme="majorHAnsi"/>
                <w:noProof/>
                <w:webHidden/>
              </w:rPr>
              <w:fldChar w:fldCharType="begin"/>
            </w:r>
            <w:r w:rsidR="005522BF" w:rsidRPr="005522BF">
              <w:rPr>
                <w:rFonts w:asciiTheme="majorHAnsi" w:hAnsiTheme="majorHAnsi" w:cstheme="majorHAnsi"/>
                <w:noProof/>
                <w:webHidden/>
              </w:rPr>
              <w:instrText xml:space="preserve"> PAGEREF _Toc154562532 \h </w:instrText>
            </w:r>
            <w:r w:rsidR="005522BF" w:rsidRPr="005522BF">
              <w:rPr>
                <w:rFonts w:asciiTheme="majorHAnsi" w:hAnsiTheme="majorHAnsi" w:cstheme="majorHAnsi"/>
                <w:noProof/>
                <w:webHidden/>
              </w:rPr>
            </w:r>
            <w:r w:rsidR="005522BF" w:rsidRPr="005522BF">
              <w:rPr>
                <w:rFonts w:asciiTheme="majorHAnsi" w:hAnsiTheme="majorHAnsi" w:cstheme="majorHAnsi"/>
                <w:noProof/>
                <w:webHidden/>
              </w:rPr>
              <w:fldChar w:fldCharType="separate"/>
            </w:r>
            <w:r w:rsidR="005522BF" w:rsidRPr="005522BF">
              <w:rPr>
                <w:rFonts w:asciiTheme="majorHAnsi" w:hAnsiTheme="majorHAnsi" w:cstheme="majorHAnsi"/>
                <w:noProof/>
                <w:webHidden/>
              </w:rPr>
              <w:t>51</w:t>
            </w:r>
            <w:r w:rsidR="005522BF" w:rsidRPr="005522BF">
              <w:rPr>
                <w:rFonts w:asciiTheme="majorHAnsi" w:hAnsiTheme="majorHAnsi" w:cstheme="majorHAnsi"/>
                <w:noProof/>
                <w:webHidden/>
              </w:rPr>
              <w:fldChar w:fldCharType="end"/>
            </w:r>
          </w:hyperlink>
        </w:p>
        <w:p w14:paraId="72A0F36F" w14:textId="7BA05BDD" w:rsidR="005522BF" w:rsidRPr="005522BF" w:rsidRDefault="0053077D" w:rsidP="00506777">
          <w:pPr>
            <w:pStyle w:val="32"/>
            <w:tabs>
              <w:tab w:val="right" w:leader="dot" w:pos="9771"/>
            </w:tabs>
            <w:jc w:val="both"/>
            <w:rPr>
              <w:rFonts w:asciiTheme="majorHAnsi" w:eastAsiaTheme="minorEastAsia" w:hAnsiTheme="majorHAnsi" w:cstheme="majorHAnsi"/>
              <w:noProof/>
            </w:rPr>
          </w:pPr>
          <w:hyperlink w:anchor="_Toc154562533" w:history="1">
            <w:r w:rsidR="005522BF" w:rsidRPr="005522BF">
              <w:rPr>
                <w:rStyle w:val="a4"/>
                <w:rFonts w:asciiTheme="majorHAnsi" w:hAnsiTheme="majorHAnsi" w:cstheme="majorHAnsi"/>
                <w:b/>
                <w:iCs/>
                <w:noProof/>
              </w:rPr>
              <w:t>Anexa nr. 10</w:t>
            </w:r>
            <w:r w:rsidR="005522BF" w:rsidRPr="005522BF">
              <w:rPr>
                <w:rFonts w:asciiTheme="majorHAnsi" w:hAnsiTheme="majorHAnsi" w:cstheme="majorHAnsi"/>
                <w:noProof/>
                <w:webHidden/>
              </w:rPr>
              <w:tab/>
            </w:r>
            <w:r w:rsidR="005522BF" w:rsidRPr="005522BF">
              <w:rPr>
                <w:rFonts w:asciiTheme="majorHAnsi" w:hAnsiTheme="majorHAnsi" w:cstheme="majorHAnsi"/>
                <w:noProof/>
                <w:webHidden/>
              </w:rPr>
              <w:fldChar w:fldCharType="begin"/>
            </w:r>
            <w:r w:rsidR="005522BF" w:rsidRPr="005522BF">
              <w:rPr>
                <w:rFonts w:asciiTheme="majorHAnsi" w:hAnsiTheme="majorHAnsi" w:cstheme="majorHAnsi"/>
                <w:noProof/>
                <w:webHidden/>
              </w:rPr>
              <w:instrText xml:space="preserve"> PAGEREF _Toc154562533 \h </w:instrText>
            </w:r>
            <w:r w:rsidR="005522BF" w:rsidRPr="005522BF">
              <w:rPr>
                <w:rFonts w:asciiTheme="majorHAnsi" w:hAnsiTheme="majorHAnsi" w:cstheme="majorHAnsi"/>
                <w:noProof/>
                <w:webHidden/>
              </w:rPr>
            </w:r>
            <w:r w:rsidR="005522BF" w:rsidRPr="005522BF">
              <w:rPr>
                <w:rFonts w:asciiTheme="majorHAnsi" w:hAnsiTheme="majorHAnsi" w:cstheme="majorHAnsi"/>
                <w:noProof/>
                <w:webHidden/>
              </w:rPr>
              <w:fldChar w:fldCharType="separate"/>
            </w:r>
            <w:r w:rsidR="005522BF" w:rsidRPr="005522BF">
              <w:rPr>
                <w:rFonts w:asciiTheme="majorHAnsi" w:hAnsiTheme="majorHAnsi" w:cstheme="majorHAnsi"/>
                <w:noProof/>
                <w:webHidden/>
              </w:rPr>
              <w:t>53</w:t>
            </w:r>
            <w:r w:rsidR="005522BF" w:rsidRPr="005522BF">
              <w:rPr>
                <w:rFonts w:asciiTheme="majorHAnsi" w:hAnsiTheme="majorHAnsi" w:cstheme="majorHAnsi"/>
                <w:noProof/>
                <w:webHidden/>
              </w:rPr>
              <w:fldChar w:fldCharType="end"/>
            </w:r>
          </w:hyperlink>
        </w:p>
        <w:p w14:paraId="23A7CC02" w14:textId="4CB29E0A" w:rsidR="005522BF" w:rsidRPr="005522BF" w:rsidRDefault="0053077D" w:rsidP="00506777">
          <w:pPr>
            <w:pStyle w:val="32"/>
            <w:tabs>
              <w:tab w:val="right" w:leader="dot" w:pos="9771"/>
            </w:tabs>
            <w:jc w:val="both"/>
            <w:rPr>
              <w:rFonts w:asciiTheme="majorHAnsi" w:eastAsiaTheme="minorEastAsia" w:hAnsiTheme="majorHAnsi" w:cstheme="majorHAnsi"/>
              <w:noProof/>
            </w:rPr>
          </w:pPr>
          <w:hyperlink w:anchor="_Toc154562534" w:history="1">
            <w:r w:rsidR="005522BF" w:rsidRPr="005522BF">
              <w:rPr>
                <w:rStyle w:val="a4"/>
                <w:rFonts w:asciiTheme="majorHAnsi" w:hAnsiTheme="majorHAnsi" w:cstheme="majorHAnsi"/>
                <w:b/>
                <w:iCs/>
                <w:noProof/>
              </w:rPr>
              <w:t>Anexa nr. 11</w:t>
            </w:r>
            <w:r w:rsidR="005522BF" w:rsidRPr="005522BF">
              <w:rPr>
                <w:rFonts w:asciiTheme="majorHAnsi" w:hAnsiTheme="majorHAnsi" w:cstheme="majorHAnsi"/>
                <w:noProof/>
                <w:webHidden/>
              </w:rPr>
              <w:tab/>
            </w:r>
            <w:r w:rsidR="005522BF" w:rsidRPr="005522BF">
              <w:rPr>
                <w:rFonts w:asciiTheme="majorHAnsi" w:hAnsiTheme="majorHAnsi" w:cstheme="majorHAnsi"/>
                <w:noProof/>
                <w:webHidden/>
              </w:rPr>
              <w:fldChar w:fldCharType="begin"/>
            </w:r>
            <w:r w:rsidR="005522BF" w:rsidRPr="005522BF">
              <w:rPr>
                <w:rFonts w:asciiTheme="majorHAnsi" w:hAnsiTheme="majorHAnsi" w:cstheme="majorHAnsi"/>
                <w:noProof/>
                <w:webHidden/>
              </w:rPr>
              <w:instrText xml:space="preserve"> PAGEREF _Toc154562534 \h </w:instrText>
            </w:r>
            <w:r w:rsidR="005522BF" w:rsidRPr="005522BF">
              <w:rPr>
                <w:rFonts w:asciiTheme="majorHAnsi" w:hAnsiTheme="majorHAnsi" w:cstheme="majorHAnsi"/>
                <w:noProof/>
                <w:webHidden/>
              </w:rPr>
            </w:r>
            <w:r w:rsidR="005522BF" w:rsidRPr="005522BF">
              <w:rPr>
                <w:rFonts w:asciiTheme="majorHAnsi" w:hAnsiTheme="majorHAnsi" w:cstheme="majorHAnsi"/>
                <w:noProof/>
                <w:webHidden/>
              </w:rPr>
              <w:fldChar w:fldCharType="separate"/>
            </w:r>
            <w:r w:rsidR="005522BF" w:rsidRPr="005522BF">
              <w:rPr>
                <w:rFonts w:asciiTheme="majorHAnsi" w:hAnsiTheme="majorHAnsi" w:cstheme="majorHAnsi"/>
                <w:noProof/>
                <w:webHidden/>
              </w:rPr>
              <w:t>53</w:t>
            </w:r>
            <w:r w:rsidR="005522BF" w:rsidRPr="005522BF">
              <w:rPr>
                <w:rFonts w:asciiTheme="majorHAnsi" w:hAnsiTheme="majorHAnsi" w:cstheme="majorHAnsi"/>
                <w:noProof/>
                <w:webHidden/>
              </w:rPr>
              <w:fldChar w:fldCharType="end"/>
            </w:r>
          </w:hyperlink>
        </w:p>
        <w:p w14:paraId="774A24BE" w14:textId="06A53F09" w:rsidR="005522BF" w:rsidRPr="005522BF" w:rsidRDefault="0053077D" w:rsidP="00506777">
          <w:pPr>
            <w:pStyle w:val="32"/>
            <w:tabs>
              <w:tab w:val="right" w:leader="dot" w:pos="9771"/>
            </w:tabs>
            <w:jc w:val="both"/>
            <w:rPr>
              <w:rFonts w:asciiTheme="majorHAnsi" w:eastAsiaTheme="minorEastAsia" w:hAnsiTheme="majorHAnsi" w:cstheme="majorHAnsi"/>
              <w:noProof/>
            </w:rPr>
          </w:pPr>
          <w:hyperlink w:anchor="_Toc154562535" w:history="1">
            <w:r w:rsidR="005522BF" w:rsidRPr="005522BF">
              <w:rPr>
                <w:rStyle w:val="a4"/>
                <w:rFonts w:asciiTheme="majorHAnsi" w:hAnsiTheme="majorHAnsi" w:cstheme="majorHAnsi"/>
                <w:b/>
                <w:noProof/>
              </w:rPr>
              <w:t>Anexa nr. 12</w:t>
            </w:r>
            <w:r w:rsidR="005522BF" w:rsidRPr="005522BF">
              <w:rPr>
                <w:rFonts w:asciiTheme="majorHAnsi" w:hAnsiTheme="majorHAnsi" w:cstheme="majorHAnsi"/>
                <w:noProof/>
                <w:webHidden/>
              </w:rPr>
              <w:tab/>
            </w:r>
            <w:r w:rsidR="005522BF" w:rsidRPr="005522BF">
              <w:rPr>
                <w:rFonts w:asciiTheme="majorHAnsi" w:hAnsiTheme="majorHAnsi" w:cstheme="majorHAnsi"/>
                <w:noProof/>
                <w:webHidden/>
              </w:rPr>
              <w:fldChar w:fldCharType="begin"/>
            </w:r>
            <w:r w:rsidR="005522BF" w:rsidRPr="005522BF">
              <w:rPr>
                <w:rFonts w:asciiTheme="majorHAnsi" w:hAnsiTheme="majorHAnsi" w:cstheme="majorHAnsi"/>
                <w:noProof/>
                <w:webHidden/>
              </w:rPr>
              <w:instrText xml:space="preserve"> PAGEREF _Toc154562535 \h </w:instrText>
            </w:r>
            <w:r w:rsidR="005522BF" w:rsidRPr="005522BF">
              <w:rPr>
                <w:rFonts w:asciiTheme="majorHAnsi" w:hAnsiTheme="majorHAnsi" w:cstheme="majorHAnsi"/>
                <w:noProof/>
                <w:webHidden/>
              </w:rPr>
            </w:r>
            <w:r w:rsidR="005522BF" w:rsidRPr="005522BF">
              <w:rPr>
                <w:rFonts w:asciiTheme="majorHAnsi" w:hAnsiTheme="majorHAnsi" w:cstheme="majorHAnsi"/>
                <w:noProof/>
                <w:webHidden/>
              </w:rPr>
              <w:fldChar w:fldCharType="separate"/>
            </w:r>
            <w:r w:rsidR="005522BF" w:rsidRPr="005522BF">
              <w:rPr>
                <w:rFonts w:asciiTheme="majorHAnsi" w:hAnsiTheme="majorHAnsi" w:cstheme="majorHAnsi"/>
                <w:noProof/>
                <w:webHidden/>
              </w:rPr>
              <w:t>53</w:t>
            </w:r>
            <w:r w:rsidR="005522BF" w:rsidRPr="005522BF">
              <w:rPr>
                <w:rFonts w:asciiTheme="majorHAnsi" w:hAnsiTheme="majorHAnsi" w:cstheme="majorHAnsi"/>
                <w:noProof/>
                <w:webHidden/>
              </w:rPr>
              <w:fldChar w:fldCharType="end"/>
            </w:r>
          </w:hyperlink>
        </w:p>
        <w:p w14:paraId="727079D1" w14:textId="1D81BAFD" w:rsidR="005522BF" w:rsidRPr="005522BF" w:rsidRDefault="0053077D" w:rsidP="00506777">
          <w:pPr>
            <w:pStyle w:val="32"/>
            <w:tabs>
              <w:tab w:val="right" w:leader="dot" w:pos="9771"/>
            </w:tabs>
            <w:jc w:val="both"/>
            <w:rPr>
              <w:rFonts w:asciiTheme="majorHAnsi" w:eastAsiaTheme="minorEastAsia" w:hAnsiTheme="majorHAnsi" w:cstheme="majorHAnsi"/>
              <w:noProof/>
            </w:rPr>
          </w:pPr>
          <w:hyperlink w:anchor="_Toc154562536" w:history="1">
            <w:r w:rsidR="005522BF" w:rsidRPr="005522BF">
              <w:rPr>
                <w:rStyle w:val="a4"/>
                <w:rFonts w:asciiTheme="majorHAnsi" w:hAnsiTheme="majorHAnsi" w:cstheme="majorHAnsi"/>
                <w:b/>
                <w:iCs/>
                <w:noProof/>
              </w:rPr>
              <w:t>Anexa nr. 13</w:t>
            </w:r>
            <w:r w:rsidR="005522BF" w:rsidRPr="005522BF">
              <w:rPr>
                <w:rFonts w:asciiTheme="majorHAnsi" w:hAnsiTheme="majorHAnsi" w:cstheme="majorHAnsi"/>
                <w:noProof/>
                <w:webHidden/>
              </w:rPr>
              <w:tab/>
            </w:r>
            <w:r w:rsidR="005522BF" w:rsidRPr="005522BF">
              <w:rPr>
                <w:rFonts w:asciiTheme="majorHAnsi" w:hAnsiTheme="majorHAnsi" w:cstheme="majorHAnsi"/>
                <w:noProof/>
                <w:webHidden/>
              </w:rPr>
              <w:fldChar w:fldCharType="begin"/>
            </w:r>
            <w:r w:rsidR="005522BF" w:rsidRPr="005522BF">
              <w:rPr>
                <w:rFonts w:asciiTheme="majorHAnsi" w:hAnsiTheme="majorHAnsi" w:cstheme="majorHAnsi"/>
                <w:noProof/>
                <w:webHidden/>
              </w:rPr>
              <w:instrText xml:space="preserve"> PAGEREF _Toc154562536 \h </w:instrText>
            </w:r>
            <w:r w:rsidR="005522BF" w:rsidRPr="005522BF">
              <w:rPr>
                <w:rFonts w:asciiTheme="majorHAnsi" w:hAnsiTheme="majorHAnsi" w:cstheme="majorHAnsi"/>
                <w:noProof/>
                <w:webHidden/>
              </w:rPr>
            </w:r>
            <w:r w:rsidR="005522BF" w:rsidRPr="005522BF">
              <w:rPr>
                <w:rFonts w:asciiTheme="majorHAnsi" w:hAnsiTheme="majorHAnsi" w:cstheme="majorHAnsi"/>
                <w:noProof/>
                <w:webHidden/>
              </w:rPr>
              <w:fldChar w:fldCharType="separate"/>
            </w:r>
            <w:r w:rsidR="005522BF" w:rsidRPr="005522BF">
              <w:rPr>
                <w:rFonts w:asciiTheme="majorHAnsi" w:hAnsiTheme="majorHAnsi" w:cstheme="majorHAnsi"/>
                <w:noProof/>
                <w:webHidden/>
              </w:rPr>
              <w:t>54</w:t>
            </w:r>
            <w:r w:rsidR="005522BF" w:rsidRPr="005522BF">
              <w:rPr>
                <w:rFonts w:asciiTheme="majorHAnsi" w:hAnsiTheme="majorHAnsi" w:cstheme="majorHAnsi"/>
                <w:noProof/>
                <w:webHidden/>
              </w:rPr>
              <w:fldChar w:fldCharType="end"/>
            </w:r>
          </w:hyperlink>
        </w:p>
        <w:p w14:paraId="5FFE3D3C" w14:textId="4ACDE137" w:rsidR="005522BF" w:rsidRPr="005522BF" w:rsidRDefault="0053077D" w:rsidP="00506777">
          <w:pPr>
            <w:pStyle w:val="32"/>
            <w:tabs>
              <w:tab w:val="right" w:leader="dot" w:pos="9771"/>
            </w:tabs>
            <w:jc w:val="both"/>
            <w:rPr>
              <w:rFonts w:asciiTheme="majorHAnsi" w:eastAsiaTheme="minorEastAsia" w:hAnsiTheme="majorHAnsi" w:cstheme="majorHAnsi"/>
              <w:noProof/>
            </w:rPr>
          </w:pPr>
          <w:hyperlink w:anchor="_Toc154562537" w:history="1">
            <w:r w:rsidR="005522BF" w:rsidRPr="005522BF">
              <w:rPr>
                <w:rStyle w:val="a4"/>
                <w:rFonts w:asciiTheme="majorHAnsi" w:hAnsiTheme="majorHAnsi" w:cstheme="majorHAnsi"/>
                <w:b/>
                <w:iCs/>
                <w:noProof/>
              </w:rPr>
              <w:t>Anexa nr. 14</w:t>
            </w:r>
            <w:r w:rsidR="005522BF" w:rsidRPr="005522BF">
              <w:rPr>
                <w:rFonts w:asciiTheme="majorHAnsi" w:hAnsiTheme="majorHAnsi" w:cstheme="majorHAnsi"/>
                <w:noProof/>
                <w:webHidden/>
              </w:rPr>
              <w:tab/>
            </w:r>
            <w:r w:rsidR="005522BF" w:rsidRPr="005522BF">
              <w:rPr>
                <w:rFonts w:asciiTheme="majorHAnsi" w:hAnsiTheme="majorHAnsi" w:cstheme="majorHAnsi"/>
                <w:noProof/>
                <w:webHidden/>
              </w:rPr>
              <w:fldChar w:fldCharType="begin"/>
            </w:r>
            <w:r w:rsidR="005522BF" w:rsidRPr="005522BF">
              <w:rPr>
                <w:rFonts w:asciiTheme="majorHAnsi" w:hAnsiTheme="majorHAnsi" w:cstheme="majorHAnsi"/>
                <w:noProof/>
                <w:webHidden/>
              </w:rPr>
              <w:instrText xml:space="preserve"> PAGEREF _Toc154562537 \h </w:instrText>
            </w:r>
            <w:r w:rsidR="005522BF" w:rsidRPr="005522BF">
              <w:rPr>
                <w:rFonts w:asciiTheme="majorHAnsi" w:hAnsiTheme="majorHAnsi" w:cstheme="majorHAnsi"/>
                <w:noProof/>
                <w:webHidden/>
              </w:rPr>
            </w:r>
            <w:r w:rsidR="005522BF" w:rsidRPr="005522BF">
              <w:rPr>
                <w:rFonts w:asciiTheme="majorHAnsi" w:hAnsiTheme="majorHAnsi" w:cstheme="majorHAnsi"/>
                <w:noProof/>
                <w:webHidden/>
              </w:rPr>
              <w:fldChar w:fldCharType="separate"/>
            </w:r>
            <w:r w:rsidR="005522BF" w:rsidRPr="005522BF">
              <w:rPr>
                <w:rFonts w:asciiTheme="majorHAnsi" w:hAnsiTheme="majorHAnsi" w:cstheme="majorHAnsi"/>
                <w:noProof/>
                <w:webHidden/>
              </w:rPr>
              <w:t>55</w:t>
            </w:r>
            <w:r w:rsidR="005522BF" w:rsidRPr="005522BF">
              <w:rPr>
                <w:rFonts w:asciiTheme="majorHAnsi" w:hAnsiTheme="majorHAnsi" w:cstheme="majorHAnsi"/>
                <w:noProof/>
                <w:webHidden/>
              </w:rPr>
              <w:fldChar w:fldCharType="end"/>
            </w:r>
          </w:hyperlink>
        </w:p>
        <w:p w14:paraId="37801FCF" w14:textId="533EF693" w:rsidR="005522BF" w:rsidRPr="005522BF" w:rsidRDefault="0053077D" w:rsidP="00506777">
          <w:pPr>
            <w:pStyle w:val="32"/>
            <w:tabs>
              <w:tab w:val="right" w:leader="dot" w:pos="9771"/>
            </w:tabs>
            <w:jc w:val="both"/>
            <w:rPr>
              <w:rFonts w:asciiTheme="majorHAnsi" w:eastAsiaTheme="minorEastAsia" w:hAnsiTheme="majorHAnsi" w:cstheme="majorHAnsi"/>
              <w:noProof/>
            </w:rPr>
          </w:pPr>
          <w:hyperlink w:anchor="_Toc154562538" w:history="1">
            <w:r w:rsidR="005522BF" w:rsidRPr="005522BF">
              <w:rPr>
                <w:rStyle w:val="a4"/>
                <w:rFonts w:asciiTheme="majorHAnsi" w:hAnsiTheme="majorHAnsi" w:cstheme="majorHAnsi"/>
                <w:b/>
                <w:iCs/>
                <w:noProof/>
              </w:rPr>
              <w:t>Anexa nr. 15</w:t>
            </w:r>
            <w:r w:rsidR="005522BF" w:rsidRPr="005522BF">
              <w:rPr>
                <w:rFonts w:asciiTheme="majorHAnsi" w:hAnsiTheme="majorHAnsi" w:cstheme="majorHAnsi"/>
                <w:noProof/>
                <w:webHidden/>
              </w:rPr>
              <w:tab/>
            </w:r>
            <w:r w:rsidR="005522BF" w:rsidRPr="005522BF">
              <w:rPr>
                <w:rFonts w:asciiTheme="majorHAnsi" w:hAnsiTheme="majorHAnsi" w:cstheme="majorHAnsi"/>
                <w:noProof/>
                <w:webHidden/>
              </w:rPr>
              <w:fldChar w:fldCharType="begin"/>
            </w:r>
            <w:r w:rsidR="005522BF" w:rsidRPr="005522BF">
              <w:rPr>
                <w:rFonts w:asciiTheme="majorHAnsi" w:hAnsiTheme="majorHAnsi" w:cstheme="majorHAnsi"/>
                <w:noProof/>
                <w:webHidden/>
              </w:rPr>
              <w:instrText xml:space="preserve"> PAGEREF _Toc154562538 \h </w:instrText>
            </w:r>
            <w:r w:rsidR="005522BF" w:rsidRPr="005522BF">
              <w:rPr>
                <w:rFonts w:asciiTheme="majorHAnsi" w:hAnsiTheme="majorHAnsi" w:cstheme="majorHAnsi"/>
                <w:noProof/>
                <w:webHidden/>
              </w:rPr>
            </w:r>
            <w:r w:rsidR="005522BF" w:rsidRPr="005522BF">
              <w:rPr>
                <w:rFonts w:asciiTheme="majorHAnsi" w:hAnsiTheme="majorHAnsi" w:cstheme="majorHAnsi"/>
                <w:noProof/>
                <w:webHidden/>
              </w:rPr>
              <w:fldChar w:fldCharType="separate"/>
            </w:r>
            <w:r w:rsidR="005522BF" w:rsidRPr="005522BF">
              <w:rPr>
                <w:rFonts w:asciiTheme="majorHAnsi" w:hAnsiTheme="majorHAnsi" w:cstheme="majorHAnsi"/>
                <w:noProof/>
                <w:webHidden/>
              </w:rPr>
              <w:t>56</w:t>
            </w:r>
            <w:r w:rsidR="005522BF" w:rsidRPr="005522BF">
              <w:rPr>
                <w:rFonts w:asciiTheme="majorHAnsi" w:hAnsiTheme="majorHAnsi" w:cstheme="majorHAnsi"/>
                <w:noProof/>
                <w:webHidden/>
              </w:rPr>
              <w:fldChar w:fldCharType="end"/>
            </w:r>
          </w:hyperlink>
        </w:p>
        <w:p w14:paraId="49510916" w14:textId="25F5E1F9" w:rsidR="005522BF" w:rsidRPr="005522BF" w:rsidRDefault="0053077D" w:rsidP="00506777">
          <w:pPr>
            <w:pStyle w:val="32"/>
            <w:tabs>
              <w:tab w:val="right" w:leader="dot" w:pos="9771"/>
            </w:tabs>
            <w:jc w:val="both"/>
            <w:rPr>
              <w:rFonts w:asciiTheme="majorHAnsi" w:eastAsiaTheme="minorEastAsia" w:hAnsiTheme="majorHAnsi" w:cstheme="majorHAnsi"/>
              <w:noProof/>
            </w:rPr>
          </w:pPr>
          <w:hyperlink w:anchor="_Toc154562539" w:history="1">
            <w:r w:rsidR="005522BF" w:rsidRPr="005522BF">
              <w:rPr>
                <w:rStyle w:val="a4"/>
                <w:rFonts w:asciiTheme="majorHAnsi" w:hAnsiTheme="majorHAnsi" w:cstheme="majorHAnsi"/>
                <w:b/>
                <w:iCs/>
                <w:noProof/>
              </w:rPr>
              <w:t>Anexa nr. 16</w:t>
            </w:r>
            <w:r w:rsidR="005522BF" w:rsidRPr="005522BF">
              <w:rPr>
                <w:rFonts w:asciiTheme="majorHAnsi" w:hAnsiTheme="majorHAnsi" w:cstheme="majorHAnsi"/>
                <w:noProof/>
                <w:webHidden/>
              </w:rPr>
              <w:tab/>
            </w:r>
            <w:r w:rsidR="005522BF" w:rsidRPr="005522BF">
              <w:rPr>
                <w:rFonts w:asciiTheme="majorHAnsi" w:hAnsiTheme="majorHAnsi" w:cstheme="majorHAnsi"/>
                <w:noProof/>
                <w:webHidden/>
              </w:rPr>
              <w:fldChar w:fldCharType="begin"/>
            </w:r>
            <w:r w:rsidR="005522BF" w:rsidRPr="005522BF">
              <w:rPr>
                <w:rFonts w:asciiTheme="majorHAnsi" w:hAnsiTheme="majorHAnsi" w:cstheme="majorHAnsi"/>
                <w:noProof/>
                <w:webHidden/>
              </w:rPr>
              <w:instrText xml:space="preserve"> PAGEREF _Toc154562539 \h </w:instrText>
            </w:r>
            <w:r w:rsidR="005522BF" w:rsidRPr="005522BF">
              <w:rPr>
                <w:rFonts w:asciiTheme="majorHAnsi" w:hAnsiTheme="majorHAnsi" w:cstheme="majorHAnsi"/>
                <w:noProof/>
                <w:webHidden/>
              </w:rPr>
            </w:r>
            <w:r w:rsidR="005522BF" w:rsidRPr="005522BF">
              <w:rPr>
                <w:rFonts w:asciiTheme="majorHAnsi" w:hAnsiTheme="majorHAnsi" w:cstheme="majorHAnsi"/>
                <w:noProof/>
                <w:webHidden/>
              </w:rPr>
              <w:fldChar w:fldCharType="separate"/>
            </w:r>
            <w:r w:rsidR="005522BF" w:rsidRPr="005522BF">
              <w:rPr>
                <w:rFonts w:asciiTheme="majorHAnsi" w:hAnsiTheme="majorHAnsi" w:cstheme="majorHAnsi"/>
                <w:noProof/>
                <w:webHidden/>
              </w:rPr>
              <w:t>56</w:t>
            </w:r>
            <w:r w:rsidR="005522BF" w:rsidRPr="005522BF">
              <w:rPr>
                <w:rFonts w:asciiTheme="majorHAnsi" w:hAnsiTheme="majorHAnsi" w:cstheme="majorHAnsi"/>
                <w:noProof/>
                <w:webHidden/>
              </w:rPr>
              <w:fldChar w:fldCharType="end"/>
            </w:r>
          </w:hyperlink>
        </w:p>
        <w:p w14:paraId="44D6765F" w14:textId="70FFE7EF" w:rsidR="005522BF" w:rsidRPr="005522BF" w:rsidRDefault="0053077D" w:rsidP="00506777">
          <w:pPr>
            <w:pStyle w:val="32"/>
            <w:tabs>
              <w:tab w:val="right" w:leader="dot" w:pos="9771"/>
            </w:tabs>
            <w:jc w:val="both"/>
            <w:rPr>
              <w:rFonts w:asciiTheme="majorHAnsi" w:eastAsiaTheme="minorEastAsia" w:hAnsiTheme="majorHAnsi" w:cstheme="majorHAnsi"/>
              <w:noProof/>
            </w:rPr>
          </w:pPr>
          <w:hyperlink w:anchor="_Toc154562540" w:history="1">
            <w:r w:rsidR="005522BF" w:rsidRPr="005522BF">
              <w:rPr>
                <w:rStyle w:val="a4"/>
                <w:rFonts w:asciiTheme="majorHAnsi" w:hAnsiTheme="majorHAnsi" w:cstheme="majorHAnsi"/>
                <w:b/>
                <w:iCs/>
                <w:noProof/>
              </w:rPr>
              <w:t>Anexa nr. 17</w:t>
            </w:r>
            <w:r w:rsidR="005522BF" w:rsidRPr="005522BF">
              <w:rPr>
                <w:rFonts w:asciiTheme="majorHAnsi" w:hAnsiTheme="majorHAnsi" w:cstheme="majorHAnsi"/>
                <w:noProof/>
                <w:webHidden/>
              </w:rPr>
              <w:tab/>
            </w:r>
            <w:r w:rsidR="005522BF" w:rsidRPr="005522BF">
              <w:rPr>
                <w:rFonts w:asciiTheme="majorHAnsi" w:hAnsiTheme="majorHAnsi" w:cstheme="majorHAnsi"/>
                <w:noProof/>
                <w:webHidden/>
              </w:rPr>
              <w:fldChar w:fldCharType="begin"/>
            </w:r>
            <w:r w:rsidR="005522BF" w:rsidRPr="005522BF">
              <w:rPr>
                <w:rFonts w:asciiTheme="majorHAnsi" w:hAnsiTheme="majorHAnsi" w:cstheme="majorHAnsi"/>
                <w:noProof/>
                <w:webHidden/>
              </w:rPr>
              <w:instrText xml:space="preserve"> PAGEREF _Toc154562540 \h </w:instrText>
            </w:r>
            <w:r w:rsidR="005522BF" w:rsidRPr="005522BF">
              <w:rPr>
                <w:rFonts w:asciiTheme="majorHAnsi" w:hAnsiTheme="majorHAnsi" w:cstheme="majorHAnsi"/>
                <w:noProof/>
                <w:webHidden/>
              </w:rPr>
            </w:r>
            <w:r w:rsidR="005522BF" w:rsidRPr="005522BF">
              <w:rPr>
                <w:rFonts w:asciiTheme="majorHAnsi" w:hAnsiTheme="majorHAnsi" w:cstheme="majorHAnsi"/>
                <w:noProof/>
                <w:webHidden/>
              </w:rPr>
              <w:fldChar w:fldCharType="separate"/>
            </w:r>
            <w:r w:rsidR="005522BF" w:rsidRPr="005522BF">
              <w:rPr>
                <w:rFonts w:asciiTheme="majorHAnsi" w:hAnsiTheme="majorHAnsi" w:cstheme="majorHAnsi"/>
                <w:noProof/>
                <w:webHidden/>
              </w:rPr>
              <w:t>57</w:t>
            </w:r>
            <w:r w:rsidR="005522BF" w:rsidRPr="005522BF">
              <w:rPr>
                <w:rFonts w:asciiTheme="majorHAnsi" w:hAnsiTheme="majorHAnsi" w:cstheme="majorHAnsi"/>
                <w:noProof/>
                <w:webHidden/>
              </w:rPr>
              <w:fldChar w:fldCharType="end"/>
            </w:r>
          </w:hyperlink>
        </w:p>
        <w:p w14:paraId="7287EB22" w14:textId="75BE7DA7" w:rsidR="005522BF" w:rsidRPr="005522BF" w:rsidRDefault="0053077D" w:rsidP="00506777">
          <w:pPr>
            <w:pStyle w:val="32"/>
            <w:tabs>
              <w:tab w:val="right" w:leader="dot" w:pos="9771"/>
            </w:tabs>
            <w:jc w:val="both"/>
            <w:rPr>
              <w:rFonts w:asciiTheme="majorHAnsi" w:eastAsiaTheme="minorEastAsia" w:hAnsiTheme="majorHAnsi" w:cstheme="majorHAnsi"/>
              <w:noProof/>
            </w:rPr>
          </w:pPr>
          <w:hyperlink w:anchor="_Toc154562541" w:history="1">
            <w:r w:rsidR="005522BF" w:rsidRPr="005522BF">
              <w:rPr>
                <w:rStyle w:val="a4"/>
                <w:rFonts w:asciiTheme="majorHAnsi" w:hAnsiTheme="majorHAnsi" w:cstheme="majorHAnsi"/>
                <w:b/>
                <w:iCs/>
                <w:noProof/>
              </w:rPr>
              <w:t>Anexa nr. 18</w:t>
            </w:r>
            <w:r w:rsidR="005522BF" w:rsidRPr="005522BF">
              <w:rPr>
                <w:rFonts w:asciiTheme="majorHAnsi" w:hAnsiTheme="majorHAnsi" w:cstheme="majorHAnsi"/>
                <w:noProof/>
                <w:webHidden/>
              </w:rPr>
              <w:tab/>
            </w:r>
            <w:r w:rsidR="005522BF" w:rsidRPr="005522BF">
              <w:rPr>
                <w:rFonts w:asciiTheme="majorHAnsi" w:hAnsiTheme="majorHAnsi" w:cstheme="majorHAnsi"/>
                <w:noProof/>
                <w:webHidden/>
              </w:rPr>
              <w:fldChar w:fldCharType="begin"/>
            </w:r>
            <w:r w:rsidR="005522BF" w:rsidRPr="005522BF">
              <w:rPr>
                <w:rFonts w:asciiTheme="majorHAnsi" w:hAnsiTheme="majorHAnsi" w:cstheme="majorHAnsi"/>
                <w:noProof/>
                <w:webHidden/>
              </w:rPr>
              <w:instrText xml:space="preserve"> PAGEREF _Toc154562541 \h </w:instrText>
            </w:r>
            <w:r w:rsidR="005522BF" w:rsidRPr="005522BF">
              <w:rPr>
                <w:rFonts w:asciiTheme="majorHAnsi" w:hAnsiTheme="majorHAnsi" w:cstheme="majorHAnsi"/>
                <w:noProof/>
                <w:webHidden/>
              </w:rPr>
            </w:r>
            <w:r w:rsidR="005522BF" w:rsidRPr="005522BF">
              <w:rPr>
                <w:rFonts w:asciiTheme="majorHAnsi" w:hAnsiTheme="majorHAnsi" w:cstheme="majorHAnsi"/>
                <w:noProof/>
                <w:webHidden/>
              </w:rPr>
              <w:fldChar w:fldCharType="separate"/>
            </w:r>
            <w:r w:rsidR="005522BF" w:rsidRPr="005522BF">
              <w:rPr>
                <w:rFonts w:asciiTheme="majorHAnsi" w:hAnsiTheme="majorHAnsi" w:cstheme="majorHAnsi"/>
                <w:noProof/>
                <w:webHidden/>
              </w:rPr>
              <w:t>60</w:t>
            </w:r>
            <w:r w:rsidR="005522BF" w:rsidRPr="005522BF">
              <w:rPr>
                <w:rFonts w:asciiTheme="majorHAnsi" w:hAnsiTheme="majorHAnsi" w:cstheme="majorHAnsi"/>
                <w:noProof/>
                <w:webHidden/>
              </w:rPr>
              <w:fldChar w:fldCharType="end"/>
            </w:r>
          </w:hyperlink>
        </w:p>
        <w:p w14:paraId="63546246" w14:textId="72318437" w:rsidR="005522BF" w:rsidRPr="005522BF" w:rsidRDefault="0053077D" w:rsidP="00506777">
          <w:pPr>
            <w:pStyle w:val="32"/>
            <w:tabs>
              <w:tab w:val="right" w:leader="dot" w:pos="9771"/>
            </w:tabs>
            <w:jc w:val="both"/>
            <w:rPr>
              <w:rFonts w:asciiTheme="majorHAnsi" w:eastAsiaTheme="minorEastAsia" w:hAnsiTheme="majorHAnsi" w:cstheme="majorHAnsi"/>
              <w:noProof/>
            </w:rPr>
          </w:pPr>
          <w:hyperlink w:anchor="_Toc154562542" w:history="1">
            <w:r w:rsidR="005522BF" w:rsidRPr="005522BF">
              <w:rPr>
                <w:rStyle w:val="a4"/>
                <w:rFonts w:asciiTheme="majorHAnsi" w:hAnsiTheme="majorHAnsi" w:cstheme="majorHAnsi"/>
                <w:b/>
                <w:noProof/>
              </w:rPr>
              <w:t>Anexa nr.19</w:t>
            </w:r>
            <w:r w:rsidR="005522BF" w:rsidRPr="005522BF">
              <w:rPr>
                <w:rFonts w:asciiTheme="majorHAnsi" w:hAnsiTheme="majorHAnsi" w:cstheme="majorHAnsi"/>
                <w:noProof/>
                <w:webHidden/>
              </w:rPr>
              <w:tab/>
            </w:r>
            <w:r w:rsidR="005522BF" w:rsidRPr="005522BF">
              <w:rPr>
                <w:rFonts w:asciiTheme="majorHAnsi" w:hAnsiTheme="majorHAnsi" w:cstheme="majorHAnsi"/>
                <w:noProof/>
                <w:webHidden/>
              </w:rPr>
              <w:fldChar w:fldCharType="begin"/>
            </w:r>
            <w:r w:rsidR="005522BF" w:rsidRPr="005522BF">
              <w:rPr>
                <w:rFonts w:asciiTheme="majorHAnsi" w:hAnsiTheme="majorHAnsi" w:cstheme="majorHAnsi"/>
                <w:noProof/>
                <w:webHidden/>
              </w:rPr>
              <w:instrText xml:space="preserve"> PAGEREF _Toc154562542 \h </w:instrText>
            </w:r>
            <w:r w:rsidR="005522BF" w:rsidRPr="005522BF">
              <w:rPr>
                <w:rFonts w:asciiTheme="majorHAnsi" w:hAnsiTheme="majorHAnsi" w:cstheme="majorHAnsi"/>
                <w:noProof/>
                <w:webHidden/>
              </w:rPr>
            </w:r>
            <w:r w:rsidR="005522BF" w:rsidRPr="005522BF">
              <w:rPr>
                <w:rFonts w:asciiTheme="majorHAnsi" w:hAnsiTheme="majorHAnsi" w:cstheme="majorHAnsi"/>
                <w:noProof/>
                <w:webHidden/>
              </w:rPr>
              <w:fldChar w:fldCharType="separate"/>
            </w:r>
            <w:r w:rsidR="005522BF" w:rsidRPr="005522BF">
              <w:rPr>
                <w:rFonts w:asciiTheme="majorHAnsi" w:hAnsiTheme="majorHAnsi" w:cstheme="majorHAnsi"/>
                <w:noProof/>
                <w:webHidden/>
              </w:rPr>
              <w:t>61</w:t>
            </w:r>
            <w:r w:rsidR="005522BF" w:rsidRPr="005522BF">
              <w:rPr>
                <w:rFonts w:asciiTheme="majorHAnsi" w:hAnsiTheme="majorHAnsi" w:cstheme="majorHAnsi"/>
                <w:noProof/>
                <w:webHidden/>
              </w:rPr>
              <w:fldChar w:fldCharType="end"/>
            </w:r>
          </w:hyperlink>
        </w:p>
        <w:p w14:paraId="374AF910" w14:textId="2271E4F1" w:rsidR="005522BF" w:rsidRPr="005522BF" w:rsidRDefault="0053077D" w:rsidP="00506777">
          <w:pPr>
            <w:pStyle w:val="32"/>
            <w:tabs>
              <w:tab w:val="right" w:leader="dot" w:pos="9771"/>
            </w:tabs>
            <w:jc w:val="both"/>
            <w:rPr>
              <w:rFonts w:asciiTheme="majorHAnsi" w:eastAsiaTheme="minorEastAsia" w:hAnsiTheme="majorHAnsi" w:cstheme="majorHAnsi"/>
              <w:noProof/>
            </w:rPr>
          </w:pPr>
          <w:hyperlink w:anchor="_Toc154562543" w:history="1">
            <w:r w:rsidR="005522BF" w:rsidRPr="005522BF">
              <w:rPr>
                <w:rStyle w:val="a4"/>
                <w:rFonts w:asciiTheme="majorHAnsi" w:hAnsiTheme="majorHAnsi" w:cstheme="majorHAnsi"/>
                <w:b/>
                <w:noProof/>
              </w:rPr>
              <w:t>Anexa nr.20</w:t>
            </w:r>
            <w:r w:rsidR="005522BF" w:rsidRPr="005522BF">
              <w:rPr>
                <w:rFonts w:asciiTheme="majorHAnsi" w:hAnsiTheme="majorHAnsi" w:cstheme="majorHAnsi"/>
                <w:noProof/>
                <w:webHidden/>
              </w:rPr>
              <w:tab/>
            </w:r>
            <w:r w:rsidR="005522BF" w:rsidRPr="005522BF">
              <w:rPr>
                <w:rFonts w:asciiTheme="majorHAnsi" w:hAnsiTheme="majorHAnsi" w:cstheme="majorHAnsi"/>
                <w:noProof/>
                <w:webHidden/>
              </w:rPr>
              <w:fldChar w:fldCharType="begin"/>
            </w:r>
            <w:r w:rsidR="005522BF" w:rsidRPr="005522BF">
              <w:rPr>
                <w:rFonts w:asciiTheme="majorHAnsi" w:hAnsiTheme="majorHAnsi" w:cstheme="majorHAnsi"/>
                <w:noProof/>
                <w:webHidden/>
              </w:rPr>
              <w:instrText xml:space="preserve"> PAGEREF _Toc154562543 \h </w:instrText>
            </w:r>
            <w:r w:rsidR="005522BF" w:rsidRPr="005522BF">
              <w:rPr>
                <w:rFonts w:asciiTheme="majorHAnsi" w:hAnsiTheme="majorHAnsi" w:cstheme="majorHAnsi"/>
                <w:noProof/>
                <w:webHidden/>
              </w:rPr>
            </w:r>
            <w:r w:rsidR="005522BF" w:rsidRPr="005522BF">
              <w:rPr>
                <w:rFonts w:asciiTheme="majorHAnsi" w:hAnsiTheme="majorHAnsi" w:cstheme="majorHAnsi"/>
                <w:noProof/>
                <w:webHidden/>
              </w:rPr>
              <w:fldChar w:fldCharType="separate"/>
            </w:r>
            <w:r w:rsidR="005522BF" w:rsidRPr="005522BF">
              <w:rPr>
                <w:rFonts w:asciiTheme="majorHAnsi" w:hAnsiTheme="majorHAnsi" w:cstheme="majorHAnsi"/>
                <w:noProof/>
                <w:webHidden/>
              </w:rPr>
              <w:t>62</w:t>
            </w:r>
            <w:r w:rsidR="005522BF" w:rsidRPr="005522BF">
              <w:rPr>
                <w:rFonts w:asciiTheme="majorHAnsi" w:hAnsiTheme="majorHAnsi" w:cstheme="majorHAnsi"/>
                <w:noProof/>
                <w:webHidden/>
              </w:rPr>
              <w:fldChar w:fldCharType="end"/>
            </w:r>
          </w:hyperlink>
        </w:p>
        <w:p w14:paraId="5241A84A" w14:textId="6E97A35D" w:rsidR="005522BF" w:rsidRPr="005522BF" w:rsidRDefault="0053077D" w:rsidP="00506777">
          <w:pPr>
            <w:pStyle w:val="32"/>
            <w:tabs>
              <w:tab w:val="right" w:leader="dot" w:pos="9771"/>
            </w:tabs>
            <w:jc w:val="both"/>
            <w:rPr>
              <w:rFonts w:asciiTheme="majorHAnsi" w:eastAsiaTheme="minorEastAsia" w:hAnsiTheme="majorHAnsi" w:cstheme="majorHAnsi"/>
              <w:noProof/>
            </w:rPr>
          </w:pPr>
          <w:hyperlink w:anchor="_Toc154562544" w:history="1">
            <w:r w:rsidR="005522BF" w:rsidRPr="005522BF">
              <w:rPr>
                <w:rStyle w:val="a4"/>
                <w:rFonts w:asciiTheme="majorHAnsi" w:hAnsiTheme="majorHAnsi" w:cstheme="majorHAnsi"/>
                <w:b/>
                <w:noProof/>
              </w:rPr>
              <w:t>Anexa nr.21</w:t>
            </w:r>
            <w:r w:rsidR="005522BF" w:rsidRPr="005522BF">
              <w:rPr>
                <w:rFonts w:asciiTheme="majorHAnsi" w:hAnsiTheme="majorHAnsi" w:cstheme="majorHAnsi"/>
                <w:noProof/>
                <w:webHidden/>
              </w:rPr>
              <w:tab/>
            </w:r>
            <w:r w:rsidR="005522BF" w:rsidRPr="005522BF">
              <w:rPr>
                <w:rFonts w:asciiTheme="majorHAnsi" w:hAnsiTheme="majorHAnsi" w:cstheme="majorHAnsi"/>
                <w:noProof/>
                <w:webHidden/>
              </w:rPr>
              <w:fldChar w:fldCharType="begin"/>
            </w:r>
            <w:r w:rsidR="005522BF" w:rsidRPr="005522BF">
              <w:rPr>
                <w:rFonts w:asciiTheme="majorHAnsi" w:hAnsiTheme="majorHAnsi" w:cstheme="majorHAnsi"/>
                <w:noProof/>
                <w:webHidden/>
              </w:rPr>
              <w:instrText xml:space="preserve"> PAGEREF _Toc154562544 \h </w:instrText>
            </w:r>
            <w:r w:rsidR="005522BF" w:rsidRPr="005522BF">
              <w:rPr>
                <w:rFonts w:asciiTheme="majorHAnsi" w:hAnsiTheme="majorHAnsi" w:cstheme="majorHAnsi"/>
                <w:noProof/>
                <w:webHidden/>
              </w:rPr>
            </w:r>
            <w:r w:rsidR="005522BF" w:rsidRPr="005522BF">
              <w:rPr>
                <w:rFonts w:asciiTheme="majorHAnsi" w:hAnsiTheme="majorHAnsi" w:cstheme="majorHAnsi"/>
                <w:noProof/>
                <w:webHidden/>
              </w:rPr>
              <w:fldChar w:fldCharType="separate"/>
            </w:r>
            <w:r w:rsidR="005522BF" w:rsidRPr="005522BF">
              <w:rPr>
                <w:rFonts w:asciiTheme="majorHAnsi" w:hAnsiTheme="majorHAnsi" w:cstheme="majorHAnsi"/>
                <w:noProof/>
                <w:webHidden/>
              </w:rPr>
              <w:t>63</w:t>
            </w:r>
            <w:r w:rsidR="005522BF" w:rsidRPr="005522BF">
              <w:rPr>
                <w:rFonts w:asciiTheme="majorHAnsi" w:hAnsiTheme="majorHAnsi" w:cstheme="majorHAnsi"/>
                <w:noProof/>
                <w:webHidden/>
              </w:rPr>
              <w:fldChar w:fldCharType="end"/>
            </w:r>
          </w:hyperlink>
        </w:p>
        <w:p w14:paraId="3BE1F1AE" w14:textId="230A214C" w:rsidR="005522BF" w:rsidRPr="005522BF" w:rsidRDefault="0053077D" w:rsidP="00506777">
          <w:pPr>
            <w:pStyle w:val="32"/>
            <w:tabs>
              <w:tab w:val="right" w:leader="dot" w:pos="9771"/>
            </w:tabs>
            <w:jc w:val="both"/>
            <w:rPr>
              <w:rFonts w:asciiTheme="majorHAnsi" w:eastAsiaTheme="minorEastAsia" w:hAnsiTheme="majorHAnsi" w:cstheme="majorHAnsi"/>
              <w:noProof/>
            </w:rPr>
          </w:pPr>
          <w:hyperlink w:anchor="_Toc154562545" w:history="1">
            <w:r w:rsidR="005522BF" w:rsidRPr="005522BF">
              <w:rPr>
                <w:rStyle w:val="a4"/>
                <w:rFonts w:asciiTheme="majorHAnsi" w:hAnsiTheme="majorHAnsi" w:cstheme="majorHAnsi"/>
                <w:b/>
                <w:noProof/>
              </w:rPr>
              <w:t>Anexa nr.22</w:t>
            </w:r>
            <w:r w:rsidR="005522BF" w:rsidRPr="005522BF">
              <w:rPr>
                <w:rFonts w:asciiTheme="majorHAnsi" w:hAnsiTheme="majorHAnsi" w:cstheme="majorHAnsi"/>
                <w:noProof/>
                <w:webHidden/>
              </w:rPr>
              <w:tab/>
            </w:r>
            <w:r w:rsidR="005522BF" w:rsidRPr="005522BF">
              <w:rPr>
                <w:rFonts w:asciiTheme="majorHAnsi" w:hAnsiTheme="majorHAnsi" w:cstheme="majorHAnsi"/>
                <w:noProof/>
                <w:webHidden/>
              </w:rPr>
              <w:fldChar w:fldCharType="begin"/>
            </w:r>
            <w:r w:rsidR="005522BF" w:rsidRPr="005522BF">
              <w:rPr>
                <w:rFonts w:asciiTheme="majorHAnsi" w:hAnsiTheme="majorHAnsi" w:cstheme="majorHAnsi"/>
                <w:noProof/>
                <w:webHidden/>
              </w:rPr>
              <w:instrText xml:space="preserve"> PAGEREF _Toc154562545 \h </w:instrText>
            </w:r>
            <w:r w:rsidR="005522BF" w:rsidRPr="005522BF">
              <w:rPr>
                <w:rFonts w:asciiTheme="majorHAnsi" w:hAnsiTheme="majorHAnsi" w:cstheme="majorHAnsi"/>
                <w:noProof/>
                <w:webHidden/>
              </w:rPr>
            </w:r>
            <w:r w:rsidR="005522BF" w:rsidRPr="005522BF">
              <w:rPr>
                <w:rFonts w:asciiTheme="majorHAnsi" w:hAnsiTheme="majorHAnsi" w:cstheme="majorHAnsi"/>
                <w:noProof/>
                <w:webHidden/>
              </w:rPr>
              <w:fldChar w:fldCharType="separate"/>
            </w:r>
            <w:r w:rsidR="005522BF" w:rsidRPr="005522BF">
              <w:rPr>
                <w:rFonts w:asciiTheme="majorHAnsi" w:hAnsiTheme="majorHAnsi" w:cstheme="majorHAnsi"/>
                <w:noProof/>
                <w:webHidden/>
              </w:rPr>
              <w:t>65</w:t>
            </w:r>
            <w:r w:rsidR="005522BF" w:rsidRPr="005522BF">
              <w:rPr>
                <w:rFonts w:asciiTheme="majorHAnsi" w:hAnsiTheme="majorHAnsi" w:cstheme="majorHAnsi"/>
                <w:noProof/>
                <w:webHidden/>
              </w:rPr>
              <w:fldChar w:fldCharType="end"/>
            </w:r>
          </w:hyperlink>
        </w:p>
        <w:p w14:paraId="66016F09" w14:textId="39671D7C" w:rsidR="005522BF" w:rsidRPr="005522BF" w:rsidRDefault="0053077D" w:rsidP="00506777">
          <w:pPr>
            <w:pStyle w:val="32"/>
            <w:tabs>
              <w:tab w:val="right" w:leader="dot" w:pos="9771"/>
            </w:tabs>
            <w:jc w:val="both"/>
            <w:rPr>
              <w:rFonts w:asciiTheme="majorHAnsi" w:eastAsiaTheme="minorEastAsia" w:hAnsiTheme="majorHAnsi" w:cstheme="majorHAnsi"/>
              <w:noProof/>
            </w:rPr>
          </w:pPr>
          <w:hyperlink w:anchor="_Toc154562546" w:history="1">
            <w:r w:rsidR="005522BF" w:rsidRPr="005522BF">
              <w:rPr>
                <w:rStyle w:val="a4"/>
                <w:rFonts w:asciiTheme="majorHAnsi" w:hAnsiTheme="majorHAnsi" w:cstheme="majorHAnsi"/>
                <w:b/>
                <w:noProof/>
              </w:rPr>
              <w:t>Anexa nr.23</w:t>
            </w:r>
            <w:r w:rsidR="005522BF" w:rsidRPr="005522BF">
              <w:rPr>
                <w:rFonts w:asciiTheme="majorHAnsi" w:hAnsiTheme="majorHAnsi" w:cstheme="majorHAnsi"/>
                <w:noProof/>
                <w:webHidden/>
              </w:rPr>
              <w:tab/>
            </w:r>
            <w:r w:rsidR="005522BF" w:rsidRPr="005522BF">
              <w:rPr>
                <w:rFonts w:asciiTheme="majorHAnsi" w:hAnsiTheme="majorHAnsi" w:cstheme="majorHAnsi"/>
                <w:noProof/>
                <w:webHidden/>
              </w:rPr>
              <w:fldChar w:fldCharType="begin"/>
            </w:r>
            <w:r w:rsidR="005522BF" w:rsidRPr="005522BF">
              <w:rPr>
                <w:rFonts w:asciiTheme="majorHAnsi" w:hAnsiTheme="majorHAnsi" w:cstheme="majorHAnsi"/>
                <w:noProof/>
                <w:webHidden/>
              </w:rPr>
              <w:instrText xml:space="preserve"> PAGEREF _Toc154562546 \h </w:instrText>
            </w:r>
            <w:r w:rsidR="005522BF" w:rsidRPr="005522BF">
              <w:rPr>
                <w:rFonts w:asciiTheme="majorHAnsi" w:hAnsiTheme="majorHAnsi" w:cstheme="majorHAnsi"/>
                <w:noProof/>
                <w:webHidden/>
              </w:rPr>
            </w:r>
            <w:r w:rsidR="005522BF" w:rsidRPr="005522BF">
              <w:rPr>
                <w:rFonts w:asciiTheme="majorHAnsi" w:hAnsiTheme="majorHAnsi" w:cstheme="majorHAnsi"/>
                <w:noProof/>
                <w:webHidden/>
              </w:rPr>
              <w:fldChar w:fldCharType="separate"/>
            </w:r>
            <w:r w:rsidR="005522BF" w:rsidRPr="005522BF">
              <w:rPr>
                <w:rFonts w:asciiTheme="majorHAnsi" w:hAnsiTheme="majorHAnsi" w:cstheme="majorHAnsi"/>
                <w:noProof/>
                <w:webHidden/>
              </w:rPr>
              <w:t>67</w:t>
            </w:r>
            <w:r w:rsidR="005522BF" w:rsidRPr="005522BF">
              <w:rPr>
                <w:rFonts w:asciiTheme="majorHAnsi" w:hAnsiTheme="majorHAnsi" w:cstheme="majorHAnsi"/>
                <w:noProof/>
                <w:webHidden/>
              </w:rPr>
              <w:fldChar w:fldCharType="end"/>
            </w:r>
          </w:hyperlink>
        </w:p>
        <w:p w14:paraId="5CD951FA" w14:textId="2274237F" w:rsidR="00FA7B71" w:rsidRPr="00B13B9A" w:rsidRDefault="00FA7B71" w:rsidP="00506777">
          <w:pPr>
            <w:spacing w:line="240" w:lineRule="auto"/>
            <w:jc w:val="both"/>
            <w:rPr>
              <w:lang w:val="ro-MD"/>
            </w:rPr>
          </w:pPr>
          <w:r w:rsidRPr="005522BF">
            <w:rPr>
              <w:rFonts w:asciiTheme="majorHAnsi" w:hAnsiTheme="majorHAnsi" w:cstheme="majorHAnsi"/>
              <w:bCs/>
              <w:noProof/>
              <w:sz w:val="20"/>
              <w:szCs w:val="20"/>
              <w:lang w:val="ro-MD"/>
            </w:rPr>
            <w:fldChar w:fldCharType="end"/>
          </w:r>
        </w:p>
      </w:sdtContent>
    </w:sdt>
    <w:p w14:paraId="182AD8DC" w14:textId="77777777" w:rsidR="00FA7B71" w:rsidRPr="00B13B9A" w:rsidRDefault="00FA7B71" w:rsidP="00FA7B71">
      <w:pPr>
        <w:rPr>
          <w:rFonts w:eastAsia="Times New Roman" w:cstheme="majorHAnsi"/>
          <w:b/>
          <w:bCs/>
          <w:sz w:val="24"/>
          <w:szCs w:val="24"/>
          <w:lang w:val="ro-MD"/>
        </w:rPr>
      </w:pPr>
    </w:p>
    <w:p w14:paraId="3ECE3F1F" w14:textId="77777777" w:rsidR="00FA7B71" w:rsidRPr="00B13B9A" w:rsidRDefault="00FA7B71" w:rsidP="00FA7B71">
      <w:pPr>
        <w:pStyle w:val="1"/>
        <w:rPr>
          <w:rFonts w:eastAsia="Times New Roman" w:cstheme="majorHAnsi"/>
          <w:b/>
          <w:bCs/>
          <w:sz w:val="24"/>
          <w:szCs w:val="24"/>
          <w:lang w:val="ro-MD"/>
        </w:rPr>
      </w:pPr>
      <w:r w:rsidRPr="00B13B9A">
        <w:rPr>
          <w:rFonts w:eastAsia="Times New Roman" w:cstheme="majorHAnsi"/>
          <w:b/>
          <w:bCs/>
          <w:sz w:val="24"/>
          <w:szCs w:val="24"/>
          <w:lang w:val="ro-MD"/>
        </w:rPr>
        <w:br w:type="page"/>
      </w:r>
    </w:p>
    <w:p w14:paraId="095861E1" w14:textId="77777777" w:rsidR="009022BC" w:rsidRPr="00B13B9A" w:rsidRDefault="009022BC" w:rsidP="00FA7B71">
      <w:pPr>
        <w:pStyle w:val="1"/>
        <w:rPr>
          <w:rFonts w:eastAsia="Times New Roman" w:cstheme="majorHAnsi"/>
          <w:b/>
          <w:bCs/>
          <w:sz w:val="24"/>
          <w:szCs w:val="24"/>
          <w:lang w:val="ro-MD"/>
        </w:rPr>
      </w:pPr>
      <w:bookmarkStart w:id="1" w:name="_Toc154562482"/>
      <w:r w:rsidRPr="00B13B9A">
        <w:rPr>
          <w:rFonts w:eastAsia="Times New Roman" w:cstheme="majorHAnsi"/>
          <w:b/>
          <w:bCs/>
          <w:sz w:val="24"/>
          <w:szCs w:val="24"/>
          <w:lang w:val="ro-MD"/>
        </w:rPr>
        <w:t>LISTA ACRONIMELOR</w:t>
      </w:r>
      <w:bookmarkEnd w:id="1"/>
    </w:p>
    <w:p w14:paraId="1EAFB182" w14:textId="77777777" w:rsidR="00D30318" w:rsidRPr="00B13B9A" w:rsidRDefault="00D30318" w:rsidP="00D30318">
      <w:pPr>
        <w:spacing w:after="0" w:line="276" w:lineRule="auto"/>
        <w:rPr>
          <w:rFonts w:asciiTheme="majorHAnsi" w:eastAsia="Times New Roman" w:hAnsiTheme="majorHAnsi" w:cstheme="majorHAnsi"/>
          <w:b/>
          <w:bCs/>
          <w:color w:val="2E74B5" w:themeColor="accent1" w:themeShade="BF"/>
          <w:sz w:val="24"/>
          <w:szCs w:val="24"/>
          <w:lang w:val="ro-MD"/>
        </w:rPr>
      </w:pPr>
    </w:p>
    <w:tbl>
      <w:tblPr>
        <w:tblStyle w:val="a3"/>
        <w:tblW w:w="0" w:type="auto"/>
        <w:tblBorders>
          <w:top w:val="none" w:sz="0" w:space="0" w:color="auto"/>
          <w:left w:val="none" w:sz="0" w:space="0" w:color="auto"/>
          <w:bottom w:val="none" w:sz="0" w:space="0" w:color="auto"/>
          <w:right w:val="none" w:sz="0" w:space="0" w:color="auto"/>
          <w:insideH w:val="single" w:sz="4" w:space="0" w:color="5B9BD5" w:themeColor="accent1"/>
          <w:insideV w:val="none" w:sz="0" w:space="0" w:color="auto"/>
        </w:tblBorders>
        <w:tblLook w:val="04A0" w:firstRow="1" w:lastRow="0" w:firstColumn="1" w:lastColumn="0" w:noHBand="0" w:noVBand="1"/>
      </w:tblPr>
      <w:tblGrid>
        <w:gridCol w:w="1233"/>
        <w:gridCol w:w="8411"/>
      </w:tblGrid>
      <w:tr w:rsidR="006D52C7" w:rsidRPr="00B13B9A" w14:paraId="7D5255D0" w14:textId="77777777" w:rsidTr="00B24768">
        <w:trPr>
          <w:trHeight w:val="306"/>
        </w:trPr>
        <w:tc>
          <w:tcPr>
            <w:tcW w:w="1233" w:type="dxa"/>
          </w:tcPr>
          <w:p w14:paraId="5539879D" w14:textId="77777777" w:rsidR="006D52C7" w:rsidRPr="00B13B9A" w:rsidRDefault="006D52C7" w:rsidP="00B24768">
            <w:pPr>
              <w:spacing w:line="276" w:lineRule="auto"/>
              <w:rPr>
                <w:rFonts w:asciiTheme="majorHAnsi" w:eastAsia="Times New Roman" w:hAnsiTheme="majorHAnsi" w:cstheme="majorHAnsi"/>
                <w:b/>
                <w:bCs/>
                <w:color w:val="2E74B5" w:themeColor="accent1" w:themeShade="BF"/>
                <w:sz w:val="24"/>
                <w:szCs w:val="24"/>
                <w:lang w:val="ro-MD"/>
              </w:rPr>
            </w:pPr>
            <w:r w:rsidRPr="00B13B9A">
              <w:rPr>
                <w:rFonts w:asciiTheme="majorHAnsi" w:eastAsia="Times New Roman" w:hAnsiTheme="majorHAnsi" w:cstheme="majorHAnsi"/>
                <w:b/>
                <w:bCs/>
                <w:color w:val="2E74B5" w:themeColor="accent1" w:themeShade="BF"/>
                <w:sz w:val="24"/>
                <w:szCs w:val="24"/>
                <w:lang w:val="ro-MD"/>
              </w:rPr>
              <w:t>APP</w:t>
            </w:r>
          </w:p>
        </w:tc>
        <w:tc>
          <w:tcPr>
            <w:tcW w:w="8411" w:type="dxa"/>
          </w:tcPr>
          <w:p w14:paraId="1B148581" w14:textId="2F2A5257" w:rsidR="006D52C7" w:rsidRPr="00B13B9A" w:rsidRDefault="006D52C7" w:rsidP="00B24768">
            <w:pPr>
              <w:spacing w:line="276" w:lineRule="auto"/>
              <w:rPr>
                <w:rFonts w:asciiTheme="majorHAnsi" w:hAnsiTheme="majorHAnsi" w:cstheme="majorHAnsi"/>
                <w:sz w:val="24"/>
                <w:szCs w:val="24"/>
                <w:lang w:val="ro-MD"/>
              </w:rPr>
            </w:pPr>
            <w:r w:rsidRPr="00B13B9A">
              <w:rPr>
                <w:rFonts w:asciiTheme="majorHAnsi" w:eastAsia="Times New Roman" w:hAnsiTheme="majorHAnsi" w:cstheme="majorHAnsi"/>
                <w:bCs/>
                <w:sz w:val="24"/>
                <w:szCs w:val="24"/>
                <w:lang w:val="ro-MD"/>
              </w:rPr>
              <w:t>Agen</w:t>
            </w:r>
            <w:r w:rsidR="00B13B9A" w:rsidRPr="00B13B9A">
              <w:rPr>
                <w:rFonts w:asciiTheme="majorHAnsi" w:eastAsia="Times New Roman" w:hAnsiTheme="majorHAnsi" w:cstheme="majorHAnsi"/>
                <w:bCs/>
                <w:sz w:val="24"/>
                <w:szCs w:val="24"/>
                <w:lang w:val="ro-MD"/>
              </w:rPr>
              <w:t>ț</w:t>
            </w:r>
            <w:r w:rsidRPr="00B13B9A">
              <w:rPr>
                <w:rFonts w:asciiTheme="majorHAnsi" w:eastAsia="Times New Roman" w:hAnsiTheme="majorHAnsi" w:cstheme="majorHAnsi"/>
                <w:bCs/>
                <w:sz w:val="24"/>
                <w:szCs w:val="24"/>
                <w:lang w:val="ro-MD"/>
              </w:rPr>
              <w:t>ia Proprietă</w:t>
            </w:r>
            <w:r w:rsidR="00B13B9A" w:rsidRPr="00B13B9A">
              <w:rPr>
                <w:rFonts w:asciiTheme="majorHAnsi" w:eastAsia="Times New Roman" w:hAnsiTheme="majorHAnsi" w:cstheme="majorHAnsi"/>
                <w:bCs/>
                <w:sz w:val="24"/>
                <w:szCs w:val="24"/>
                <w:lang w:val="ro-MD"/>
              </w:rPr>
              <w:t>ț</w:t>
            </w:r>
            <w:r w:rsidRPr="00B13B9A">
              <w:rPr>
                <w:rFonts w:asciiTheme="majorHAnsi" w:eastAsia="Times New Roman" w:hAnsiTheme="majorHAnsi" w:cstheme="majorHAnsi"/>
                <w:bCs/>
                <w:sz w:val="24"/>
                <w:szCs w:val="24"/>
                <w:lang w:val="ro-MD"/>
              </w:rPr>
              <w:t>ii Publice</w:t>
            </w:r>
          </w:p>
        </w:tc>
      </w:tr>
      <w:tr w:rsidR="006D52C7" w:rsidRPr="00B13B9A" w14:paraId="3A4A18A4" w14:textId="77777777" w:rsidTr="00B24768">
        <w:trPr>
          <w:trHeight w:val="306"/>
        </w:trPr>
        <w:tc>
          <w:tcPr>
            <w:tcW w:w="1233" w:type="dxa"/>
          </w:tcPr>
          <w:p w14:paraId="5AB3165B" w14:textId="77777777" w:rsidR="006D52C7" w:rsidRPr="00B13B9A" w:rsidRDefault="006D52C7" w:rsidP="00B24768">
            <w:pPr>
              <w:spacing w:line="276" w:lineRule="auto"/>
              <w:rPr>
                <w:rFonts w:asciiTheme="majorHAnsi" w:eastAsia="Times New Roman" w:hAnsiTheme="majorHAnsi" w:cstheme="majorHAnsi"/>
                <w:b/>
                <w:bCs/>
                <w:color w:val="2E74B5" w:themeColor="accent1" w:themeShade="BF"/>
                <w:sz w:val="24"/>
                <w:szCs w:val="24"/>
                <w:lang w:val="ro-MD"/>
              </w:rPr>
            </w:pPr>
            <w:r w:rsidRPr="00B13B9A">
              <w:rPr>
                <w:rFonts w:asciiTheme="majorHAnsi" w:eastAsia="Times New Roman" w:hAnsiTheme="majorHAnsi" w:cstheme="majorHAnsi"/>
                <w:b/>
                <w:bCs/>
                <w:color w:val="2E74B5" w:themeColor="accent1" w:themeShade="BF"/>
                <w:sz w:val="24"/>
                <w:szCs w:val="24"/>
                <w:lang w:val="ro-MD"/>
              </w:rPr>
              <w:t>APC</w:t>
            </w:r>
          </w:p>
        </w:tc>
        <w:tc>
          <w:tcPr>
            <w:tcW w:w="8411" w:type="dxa"/>
          </w:tcPr>
          <w:p w14:paraId="236D7C66" w14:textId="3DC299B1" w:rsidR="006D52C7" w:rsidRPr="00B13B9A" w:rsidRDefault="006D52C7" w:rsidP="00B24768">
            <w:pPr>
              <w:spacing w:line="276" w:lineRule="auto"/>
              <w:rPr>
                <w:rFonts w:asciiTheme="majorHAnsi" w:hAnsiTheme="majorHAnsi" w:cstheme="majorHAnsi"/>
                <w:sz w:val="24"/>
                <w:szCs w:val="24"/>
                <w:lang w:val="ro-MD"/>
              </w:rPr>
            </w:pPr>
            <w:r w:rsidRPr="00B13B9A">
              <w:rPr>
                <w:rFonts w:asciiTheme="majorHAnsi" w:eastAsia="Times New Roman" w:hAnsiTheme="majorHAnsi" w:cstheme="majorHAnsi"/>
                <w:bCs/>
                <w:sz w:val="24"/>
                <w:szCs w:val="24"/>
                <w:lang w:val="ro-MD"/>
              </w:rPr>
              <w:t>Administra</w:t>
            </w:r>
            <w:r w:rsidR="00B13B9A" w:rsidRPr="00B13B9A">
              <w:rPr>
                <w:rFonts w:asciiTheme="majorHAnsi" w:eastAsia="Times New Roman" w:hAnsiTheme="majorHAnsi" w:cstheme="majorHAnsi"/>
                <w:bCs/>
                <w:sz w:val="24"/>
                <w:szCs w:val="24"/>
                <w:lang w:val="ro-MD"/>
              </w:rPr>
              <w:t>ț</w:t>
            </w:r>
            <w:r w:rsidRPr="00B13B9A">
              <w:rPr>
                <w:rFonts w:asciiTheme="majorHAnsi" w:eastAsia="Times New Roman" w:hAnsiTheme="majorHAnsi" w:cstheme="majorHAnsi"/>
                <w:bCs/>
                <w:sz w:val="24"/>
                <w:szCs w:val="24"/>
                <w:lang w:val="ro-MD"/>
              </w:rPr>
              <w:t>ia Publică Centrală</w:t>
            </w:r>
          </w:p>
        </w:tc>
      </w:tr>
      <w:tr w:rsidR="006D52C7" w:rsidRPr="00B13B9A" w14:paraId="7D7901D9" w14:textId="77777777" w:rsidTr="00B24768">
        <w:trPr>
          <w:trHeight w:val="262"/>
        </w:trPr>
        <w:tc>
          <w:tcPr>
            <w:tcW w:w="1233" w:type="dxa"/>
          </w:tcPr>
          <w:p w14:paraId="47A01F46" w14:textId="77777777" w:rsidR="006D52C7" w:rsidRPr="00B13B9A" w:rsidRDefault="006D52C7" w:rsidP="00B24768">
            <w:pPr>
              <w:rPr>
                <w:rFonts w:asciiTheme="majorHAnsi" w:eastAsia="Times New Roman" w:hAnsiTheme="majorHAnsi" w:cstheme="majorHAnsi"/>
                <w:b/>
                <w:bCs/>
                <w:color w:val="2E74B5" w:themeColor="accent1" w:themeShade="BF"/>
                <w:sz w:val="24"/>
                <w:szCs w:val="24"/>
                <w:lang w:val="ro-MD"/>
              </w:rPr>
            </w:pPr>
            <w:r w:rsidRPr="00B13B9A">
              <w:rPr>
                <w:rFonts w:asciiTheme="majorHAnsi" w:eastAsia="Times New Roman" w:hAnsiTheme="majorHAnsi" w:cstheme="majorHAnsi"/>
                <w:b/>
                <w:bCs/>
                <w:color w:val="2E74B5" w:themeColor="accent1" w:themeShade="BF"/>
                <w:sz w:val="24"/>
                <w:szCs w:val="24"/>
                <w:lang w:val="ro-MD"/>
              </w:rPr>
              <w:t>CNAM</w:t>
            </w:r>
          </w:p>
        </w:tc>
        <w:tc>
          <w:tcPr>
            <w:tcW w:w="8411" w:type="dxa"/>
          </w:tcPr>
          <w:p w14:paraId="64DC9625" w14:textId="21DAA6AE" w:rsidR="006D52C7" w:rsidRPr="00B13B9A" w:rsidRDefault="006D52C7" w:rsidP="00B24768">
            <w:pPr>
              <w:rPr>
                <w:rFonts w:asciiTheme="majorHAnsi" w:hAnsiTheme="majorHAnsi" w:cstheme="majorHAnsi"/>
                <w:sz w:val="24"/>
                <w:szCs w:val="24"/>
                <w:lang w:val="ro-MD"/>
              </w:rPr>
            </w:pPr>
            <w:r w:rsidRPr="00B13B9A">
              <w:rPr>
                <w:rFonts w:asciiTheme="majorHAnsi" w:eastAsia="Times New Roman" w:hAnsiTheme="majorHAnsi" w:cstheme="majorHAnsi"/>
                <w:bCs/>
                <w:sz w:val="24"/>
                <w:szCs w:val="24"/>
                <w:lang w:val="ro-MD"/>
              </w:rPr>
              <w:t>Compania Na</w:t>
            </w:r>
            <w:r w:rsidR="00B13B9A" w:rsidRPr="00B13B9A">
              <w:rPr>
                <w:rFonts w:asciiTheme="majorHAnsi" w:eastAsia="Times New Roman" w:hAnsiTheme="majorHAnsi" w:cstheme="majorHAnsi"/>
                <w:bCs/>
                <w:sz w:val="24"/>
                <w:szCs w:val="24"/>
                <w:lang w:val="ro-MD"/>
              </w:rPr>
              <w:t>ț</w:t>
            </w:r>
            <w:r w:rsidRPr="00B13B9A">
              <w:rPr>
                <w:rFonts w:asciiTheme="majorHAnsi" w:eastAsia="Times New Roman" w:hAnsiTheme="majorHAnsi" w:cstheme="majorHAnsi"/>
                <w:bCs/>
                <w:sz w:val="24"/>
                <w:szCs w:val="24"/>
                <w:lang w:val="ro-MD"/>
              </w:rPr>
              <w:t>ională de Asigurări în Medicină</w:t>
            </w:r>
          </w:p>
        </w:tc>
      </w:tr>
      <w:tr w:rsidR="006D52C7" w:rsidRPr="00B13B9A" w14:paraId="31177E7A" w14:textId="77777777" w:rsidTr="00B24768">
        <w:trPr>
          <w:trHeight w:val="306"/>
        </w:trPr>
        <w:tc>
          <w:tcPr>
            <w:tcW w:w="1233" w:type="dxa"/>
          </w:tcPr>
          <w:p w14:paraId="2648DE11" w14:textId="77777777" w:rsidR="006D52C7" w:rsidRPr="00B13B9A" w:rsidRDefault="006D52C7" w:rsidP="00B24768">
            <w:pPr>
              <w:spacing w:line="276" w:lineRule="auto"/>
              <w:rPr>
                <w:rFonts w:asciiTheme="majorHAnsi" w:eastAsia="Times New Roman" w:hAnsiTheme="majorHAnsi" w:cstheme="majorHAnsi"/>
                <w:b/>
                <w:bCs/>
                <w:color w:val="2E74B5" w:themeColor="accent1" w:themeShade="BF"/>
                <w:sz w:val="24"/>
                <w:szCs w:val="24"/>
                <w:lang w:val="ro-MD"/>
              </w:rPr>
            </w:pPr>
            <w:r w:rsidRPr="00B13B9A">
              <w:rPr>
                <w:rFonts w:asciiTheme="majorHAnsi" w:eastAsia="Times New Roman" w:hAnsiTheme="majorHAnsi" w:cstheme="majorHAnsi"/>
                <w:b/>
                <w:bCs/>
                <w:color w:val="2E74B5" w:themeColor="accent1" w:themeShade="BF"/>
                <w:sz w:val="24"/>
                <w:szCs w:val="24"/>
                <w:lang w:val="ro-MD"/>
              </w:rPr>
              <w:t>CPAS</w:t>
            </w:r>
          </w:p>
        </w:tc>
        <w:tc>
          <w:tcPr>
            <w:tcW w:w="8411" w:type="dxa"/>
          </w:tcPr>
          <w:p w14:paraId="547BEBF2" w14:textId="6D71451D" w:rsidR="006D52C7" w:rsidRPr="00B13B9A" w:rsidRDefault="006D52C7" w:rsidP="00B24768">
            <w:pPr>
              <w:spacing w:line="276" w:lineRule="auto"/>
              <w:rPr>
                <w:rFonts w:asciiTheme="majorHAnsi" w:hAnsiTheme="majorHAnsi" w:cstheme="majorHAnsi"/>
                <w:sz w:val="24"/>
                <w:szCs w:val="24"/>
                <w:lang w:val="ro-MD"/>
              </w:rPr>
            </w:pPr>
            <w:r w:rsidRPr="00B13B9A">
              <w:rPr>
                <w:rFonts w:asciiTheme="majorHAnsi" w:eastAsia="Times New Roman" w:hAnsiTheme="majorHAnsi" w:cstheme="majorHAnsi"/>
                <w:bCs/>
                <w:sz w:val="24"/>
                <w:szCs w:val="24"/>
                <w:lang w:val="ro-MD"/>
              </w:rPr>
              <w:t xml:space="preserve">Centrul pentru Politici </w:t>
            </w:r>
            <w:r w:rsidR="00B13B9A" w:rsidRPr="00B13B9A">
              <w:rPr>
                <w:rFonts w:asciiTheme="majorHAnsi" w:eastAsia="Times New Roman" w:hAnsiTheme="majorHAnsi" w:cstheme="majorHAnsi"/>
                <w:bCs/>
                <w:sz w:val="24"/>
                <w:szCs w:val="24"/>
                <w:lang w:val="ro-MD"/>
              </w:rPr>
              <w:t>ș</w:t>
            </w:r>
            <w:r w:rsidRPr="00B13B9A">
              <w:rPr>
                <w:rFonts w:asciiTheme="majorHAnsi" w:eastAsia="Times New Roman" w:hAnsiTheme="majorHAnsi" w:cstheme="majorHAnsi"/>
                <w:bCs/>
                <w:sz w:val="24"/>
                <w:szCs w:val="24"/>
                <w:lang w:val="ro-MD"/>
              </w:rPr>
              <w:t>i Analize în Sănătate</w:t>
            </w:r>
          </w:p>
        </w:tc>
      </w:tr>
      <w:tr w:rsidR="006D52C7" w:rsidRPr="00B13B9A" w14:paraId="5007A808" w14:textId="77777777" w:rsidTr="00B24768">
        <w:trPr>
          <w:trHeight w:val="306"/>
        </w:trPr>
        <w:tc>
          <w:tcPr>
            <w:tcW w:w="1233" w:type="dxa"/>
          </w:tcPr>
          <w:p w14:paraId="6D5BE6CF" w14:textId="77777777" w:rsidR="006D52C7" w:rsidRPr="00B13B9A" w:rsidRDefault="006D52C7" w:rsidP="00B24768">
            <w:pPr>
              <w:spacing w:line="276" w:lineRule="auto"/>
              <w:rPr>
                <w:rFonts w:asciiTheme="majorHAnsi" w:eastAsia="Times New Roman" w:hAnsiTheme="majorHAnsi" w:cstheme="majorHAnsi"/>
                <w:b/>
                <w:bCs/>
                <w:color w:val="2E74B5" w:themeColor="accent1" w:themeShade="BF"/>
                <w:sz w:val="24"/>
                <w:szCs w:val="24"/>
                <w:lang w:val="ro-MD"/>
              </w:rPr>
            </w:pPr>
            <w:r w:rsidRPr="00B13B9A">
              <w:rPr>
                <w:rFonts w:asciiTheme="majorHAnsi" w:eastAsia="Times New Roman" w:hAnsiTheme="majorHAnsi" w:cstheme="majorHAnsi"/>
                <w:b/>
                <w:bCs/>
                <w:color w:val="2E74B5" w:themeColor="accent1" w:themeShade="BF"/>
                <w:sz w:val="24"/>
                <w:szCs w:val="24"/>
                <w:lang w:val="ro-MD"/>
              </w:rPr>
              <w:t>DFI</w:t>
            </w:r>
          </w:p>
        </w:tc>
        <w:tc>
          <w:tcPr>
            <w:tcW w:w="8411" w:type="dxa"/>
          </w:tcPr>
          <w:p w14:paraId="79B280E4" w14:textId="19873FD0" w:rsidR="006D52C7" w:rsidRPr="00B13B9A" w:rsidRDefault="006D52C7" w:rsidP="00B24768">
            <w:pPr>
              <w:spacing w:line="276" w:lineRule="auto"/>
              <w:rPr>
                <w:rFonts w:asciiTheme="majorHAnsi" w:hAnsiTheme="majorHAnsi" w:cstheme="majorHAnsi"/>
                <w:sz w:val="24"/>
                <w:szCs w:val="24"/>
                <w:lang w:val="ro-MD"/>
              </w:rPr>
            </w:pPr>
            <w:r w:rsidRPr="00B13B9A">
              <w:rPr>
                <w:rFonts w:asciiTheme="majorHAnsi" w:eastAsia="Times New Roman" w:hAnsiTheme="majorHAnsi" w:cstheme="majorHAnsi"/>
                <w:bCs/>
                <w:sz w:val="24"/>
                <w:szCs w:val="24"/>
                <w:lang w:val="ro-MD"/>
              </w:rPr>
              <w:t>Depozitul Farmaceutic al Institu</w:t>
            </w:r>
            <w:r w:rsidR="00B13B9A" w:rsidRPr="00B13B9A">
              <w:rPr>
                <w:rFonts w:asciiTheme="majorHAnsi" w:eastAsia="Times New Roman" w:hAnsiTheme="majorHAnsi" w:cstheme="majorHAnsi"/>
                <w:bCs/>
                <w:sz w:val="24"/>
                <w:szCs w:val="24"/>
                <w:lang w:val="ro-MD"/>
              </w:rPr>
              <w:t>ț</w:t>
            </w:r>
            <w:r w:rsidRPr="00B13B9A">
              <w:rPr>
                <w:rFonts w:asciiTheme="majorHAnsi" w:eastAsia="Times New Roman" w:hAnsiTheme="majorHAnsi" w:cstheme="majorHAnsi"/>
                <w:bCs/>
                <w:sz w:val="24"/>
                <w:szCs w:val="24"/>
                <w:lang w:val="ro-MD"/>
              </w:rPr>
              <w:t>iei</w:t>
            </w:r>
          </w:p>
        </w:tc>
      </w:tr>
      <w:tr w:rsidR="006D52C7" w:rsidRPr="00B13B9A" w14:paraId="25E3B48A" w14:textId="77777777" w:rsidTr="00B24768">
        <w:trPr>
          <w:trHeight w:val="306"/>
        </w:trPr>
        <w:tc>
          <w:tcPr>
            <w:tcW w:w="1233" w:type="dxa"/>
          </w:tcPr>
          <w:p w14:paraId="50C628D3" w14:textId="77777777" w:rsidR="006D52C7" w:rsidRPr="00B13B9A" w:rsidRDefault="006D52C7" w:rsidP="00B24768">
            <w:pPr>
              <w:spacing w:line="276" w:lineRule="auto"/>
              <w:rPr>
                <w:rFonts w:asciiTheme="majorHAnsi" w:eastAsia="Times New Roman" w:hAnsiTheme="majorHAnsi" w:cstheme="majorHAnsi"/>
                <w:b/>
                <w:bCs/>
                <w:color w:val="2E74B5" w:themeColor="accent1" w:themeShade="BF"/>
                <w:sz w:val="24"/>
                <w:szCs w:val="24"/>
                <w:lang w:val="ro-MD"/>
              </w:rPr>
            </w:pPr>
            <w:r w:rsidRPr="00B13B9A">
              <w:rPr>
                <w:rFonts w:asciiTheme="majorHAnsi" w:eastAsia="Times New Roman" w:hAnsiTheme="majorHAnsi" w:cstheme="majorHAnsi"/>
                <w:b/>
                <w:bCs/>
                <w:color w:val="2E74B5" w:themeColor="accent1" w:themeShade="BF"/>
                <w:sz w:val="24"/>
                <w:szCs w:val="24"/>
                <w:lang w:val="ro-MD"/>
              </w:rPr>
              <w:t>DNF</w:t>
            </w:r>
          </w:p>
        </w:tc>
        <w:tc>
          <w:tcPr>
            <w:tcW w:w="8411" w:type="dxa"/>
          </w:tcPr>
          <w:p w14:paraId="5D191266" w14:textId="64867763" w:rsidR="006D52C7" w:rsidRPr="00B13B9A" w:rsidRDefault="006D52C7" w:rsidP="00B24768">
            <w:pPr>
              <w:spacing w:line="276" w:lineRule="auto"/>
              <w:rPr>
                <w:rFonts w:asciiTheme="majorHAnsi" w:hAnsiTheme="majorHAnsi" w:cstheme="majorHAnsi"/>
                <w:sz w:val="24"/>
                <w:szCs w:val="24"/>
                <w:lang w:val="ro-MD"/>
              </w:rPr>
            </w:pPr>
            <w:r w:rsidRPr="00B13B9A">
              <w:rPr>
                <w:rFonts w:asciiTheme="majorHAnsi" w:eastAsia="Times New Roman" w:hAnsiTheme="majorHAnsi" w:cstheme="majorHAnsi"/>
                <w:bCs/>
                <w:sz w:val="24"/>
                <w:szCs w:val="24"/>
                <w:lang w:val="ro-MD"/>
              </w:rPr>
              <w:t>Depozitul Na</w:t>
            </w:r>
            <w:r w:rsidR="00B13B9A" w:rsidRPr="00B13B9A">
              <w:rPr>
                <w:rFonts w:asciiTheme="majorHAnsi" w:eastAsia="Times New Roman" w:hAnsiTheme="majorHAnsi" w:cstheme="majorHAnsi"/>
                <w:bCs/>
                <w:sz w:val="24"/>
                <w:szCs w:val="24"/>
                <w:lang w:val="ro-MD"/>
              </w:rPr>
              <w:t>ț</w:t>
            </w:r>
            <w:r w:rsidRPr="00B13B9A">
              <w:rPr>
                <w:rFonts w:asciiTheme="majorHAnsi" w:eastAsia="Times New Roman" w:hAnsiTheme="majorHAnsi" w:cstheme="majorHAnsi"/>
                <w:bCs/>
                <w:sz w:val="24"/>
                <w:szCs w:val="24"/>
                <w:lang w:val="ro-MD"/>
              </w:rPr>
              <w:t>ional Farmaceutic</w:t>
            </w:r>
          </w:p>
        </w:tc>
      </w:tr>
      <w:tr w:rsidR="006D52C7" w:rsidRPr="00B13B9A" w14:paraId="7FD978C0" w14:textId="77777777" w:rsidTr="00B24768">
        <w:trPr>
          <w:trHeight w:val="306"/>
        </w:trPr>
        <w:tc>
          <w:tcPr>
            <w:tcW w:w="1233" w:type="dxa"/>
            <w:shd w:val="clear" w:color="auto" w:fill="FFFFFF" w:themeFill="background1"/>
          </w:tcPr>
          <w:p w14:paraId="2B91D1AC" w14:textId="77777777" w:rsidR="006D52C7" w:rsidRPr="00B13B9A" w:rsidRDefault="006D52C7" w:rsidP="00B24768">
            <w:pPr>
              <w:spacing w:line="276" w:lineRule="auto"/>
              <w:rPr>
                <w:rFonts w:asciiTheme="majorHAnsi" w:eastAsia="Times New Roman" w:hAnsiTheme="majorHAnsi" w:cstheme="majorHAnsi"/>
                <w:b/>
                <w:bCs/>
                <w:color w:val="2E74B5" w:themeColor="accent1" w:themeShade="BF"/>
                <w:sz w:val="24"/>
                <w:szCs w:val="24"/>
                <w:lang w:val="ro-MD"/>
              </w:rPr>
            </w:pPr>
            <w:r w:rsidRPr="00B13B9A">
              <w:rPr>
                <w:rFonts w:asciiTheme="majorHAnsi" w:eastAsia="Times New Roman" w:hAnsiTheme="majorHAnsi" w:cstheme="majorHAnsi"/>
                <w:b/>
                <w:bCs/>
                <w:color w:val="2E74B5" w:themeColor="accent1" w:themeShade="BF"/>
                <w:sz w:val="24"/>
                <w:szCs w:val="24"/>
                <w:lang w:val="ro-MD"/>
              </w:rPr>
              <w:t>FAOAM</w:t>
            </w:r>
          </w:p>
        </w:tc>
        <w:tc>
          <w:tcPr>
            <w:tcW w:w="8411" w:type="dxa"/>
            <w:shd w:val="clear" w:color="auto" w:fill="FFFFFF" w:themeFill="background1"/>
          </w:tcPr>
          <w:p w14:paraId="14258E86" w14:textId="0F321506" w:rsidR="006D52C7" w:rsidRPr="00B13B9A" w:rsidRDefault="006D52C7" w:rsidP="00B24768">
            <w:pPr>
              <w:spacing w:line="276" w:lineRule="auto"/>
              <w:rPr>
                <w:rFonts w:asciiTheme="majorHAnsi" w:eastAsia="Times New Roman" w:hAnsiTheme="majorHAnsi" w:cstheme="majorHAnsi"/>
                <w:bCs/>
                <w:sz w:val="24"/>
                <w:szCs w:val="24"/>
                <w:lang w:val="ro-MD"/>
              </w:rPr>
            </w:pPr>
            <w:r w:rsidRPr="00B13B9A">
              <w:rPr>
                <w:rFonts w:asciiTheme="majorHAnsi" w:eastAsia="Times New Roman" w:hAnsiTheme="majorHAnsi" w:cstheme="majorHAnsi"/>
                <w:bCs/>
                <w:sz w:val="24"/>
                <w:szCs w:val="24"/>
                <w:lang w:val="ro-MD"/>
              </w:rPr>
              <w:t>Fondul Asigurărilor Obligatorii de Asisten</w:t>
            </w:r>
            <w:r w:rsidR="00B13B9A" w:rsidRPr="00B13B9A">
              <w:rPr>
                <w:rFonts w:asciiTheme="majorHAnsi" w:eastAsia="Times New Roman" w:hAnsiTheme="majorHAnsi" w:cstheme="majorHAnsi"/>
                <w:bCs/>
                <w:sz w:val="24"/>
                <w:szCs w:val="24"/>
                <w:lang w:val="ro-MD"/>
              </w:rPr>
              <w:t>ț</w:t>
            </w:r>
            <w:r w:rsidRPr="00B13B9A">
              <w:rPr>
                <w:rFonts w:asciiTheme="majorHAnsi" w:eastAsia="Times New Roman" w:hAnsiTheme="majorHAnsi" w:cstheme="majorHAnsi"/>
                <w:bCs/>
                <w:sz w:val="24"/>
                <w:szCs w:val="24"/>
                <w:lang w:val="ro-MD"/>
              </w:rPr>
              <w:t>ă Medicală</w:t>
            </w:r>
          </w:p>
        </w:tc>
      </w:tr>
      <w:tr w:rsidR="006D52C7" w:rsidRPr="00B13B9A" w14:paraId="34C96A3C" w14:textId="77777777" w:rsidTr="00B24768">
        <w:trPr>
          <w:trHeight w:val="306"/>
        </w:trPr>
        <w:tc>
          <w:tcPr>
            <w:tcW w:w="1233" w:type="dxa"/>
            <w:shd w:val="clear" w:color="auto" w:fill="FFFFFF" w:themeFill="background1"/>
          </w:tcPr>
          <w:p w14:paraId="54FA684B" w14:textId="77777777" w:rsidR="006D52C7" w:rsidRPr="00B13B9A" w:rsidRDefault="006D52C7" w:rsidP="00B24768">
            <w:pPr>
              <w:rPr>
                <w:rFonts w:asciiTheme="majorHAnsi" w:eastAsia="Times New Roman" w:hAnsiTheme="majorHAnsi" w:cstheme="majorHAnsi"/>
                <w:b/>
                <w:bCs/>
                <w:color w:val="2E74B5" w:themeColor="accent1" w:themeShade="BF"/>
                <w:sz w:val="24"/>
                <w:szCs w:val="24"/>
                <w:lang w:val="ro-MD"/>
              </w:rPr>
            </w:pPr>
            <w:r w:rsidRPr="00B13B9A">
              <w:rPr>
                <w:rFonts w:asciiTheme="majorHAnsi" w:eastAsia="Times New Roman" w:hAnsiTheme="majorHAnsi" w:cstheme="majorHAnsi"/>
                <w:b/>
                <w:bCs/>
                <w:color w:val="2E74B5" w:themeColor="accent1" w:themeShade="BF"/>
                <w:sz w:val="24"/>
                <w:szCs w:val="24"/>
                <w:lang w:val="ro-MD"/>
              </w:rPr>
              <w:t>HG</w:t>
            </w:r>
          </w:p>
        </w:tc>
        <w:tc>
          <w:tcPr>
            <w:tcW w:w="8411" w:type="dxa"/>
            <w:shd w:val="clear" w:color="auto" w:fill="FFFFFF" w:themeFill="background1"/>
          </w:tcPr>
          <w:p w14:paraId="257FD98B" w14:textId="77777777" w:rsidR="006D52C7" w:rsidRPr="00B13B9A" w:rsidRDefault="006D52C7" w:rsidP="00B24768">
            <w:pPr>
              <w:rPr>
                <w:rFonts w:asciiTheme="majorHAnsi" w:hAnsiTheme="majorHAnsi" w:cstheme="majorHAnsi"/>
                <w:sz w:val="24"/>
                <w:szCs w:val="24"/>
                <w:lang w:val="ro-MD"/>
              </w:rPr>
            </w:pPr>
            <w:r w:rsidRPr="00B13B9A">
              <w:rPr>
                <w:rFonts w:asciiTheme="majorHAnsi" w:hAnsiTheme="majorHAnsi" w:cstheme="majorHAnsi"/>
                <w:sz w:val="24"/>
                <w:szCs w:val="24"/>
                <w:lang w:val="ro-MD"/>
              </w:rPr>
              <w:t>Hotărârea Guvernului</w:t>
            </w:r>
          </w:p>
        </w:tc>
      </w:tr>
      <w:tr w:rsidR="006D52C7" w:rsidRPr="00B13B9A" w14:paraId="43BD085A" w14:textId="77777777" w:rsidTr="00B24768">
        <w:trPr>
          <w:trHeight w:val="306"/>
        </w:trPr>
        <w:tc>
          <w:tcPr>
            <w:tcW w:w="1233" w:type="dxa"/>
            <w:shd w:val="clear" w:color="auto" w:fill="FFFFFF" w:themeFill="background1"/>
          </w:tcPr>
          <w:p w14:paraId="2DFD573D" w14:textId="77777777" w:rsidR="006D52C7" w:rsidRPr="00B13B9A" w:rsidRDefault="006D52C7" w:rsidP="00B24768">
            <w:pPr>
              <w:spacing w:line="276" w:lineRule="auto"/>
              <w:rPr>
                <w:rFonts w:asciiTheme="majorHAnsi" w:eastAsia="Times New Roman" w:hAnsiTheme="majorHAnsi" w:cstheme="majorHAnsi"/>
                <w:b/>
                <w:bCs/>
                <w:color w:val="2E74B5" w:themeColor="accent1" w:themeShade="BF"/>
                <w:sz w:val="24"/>
                <w:szCs w:val="24"/>
                <w:lang w:val="ro-MD"/>
              </w:rPr>
            </w:pPr>
            <w:r w:rsidRPr="00B13B9A">
              <w:rPr>
                <w:rFonts w:asciiTheme="majorHAnsi" w:eastAsia="Times New Roman" w:hAnsiTheme="majorHAnsi" w:cstheme="majorHAnsi"/>
                <w:b/>
                <w:bCs/>
                <w:color w:val="2E74B5" w:themeColor="accent1" w:themeShade="BF"/>
                <w:sz w:val="24"/>
                <w:szCs w:val="24"/>
                <w:lang w:val="ro-MD"/>
              </w:rPr>
              <w:t>IFP</w:t>
            </w:r>
          </w:p>
        </w:tc>
        <w:tc>
          <w:tcPr>
            <w:tcW w:w="8411" w:type="dxa"/>
            <w:shd w:val="clear" w:color="auto" w:fill="FFFFFF" w:themeFill="background1"/>
          </w:tcPr>
          <w:p w14:paraId="6B089806" w14:textId="77777777" w:rsidR="006D52C7" w:rsidRPr="00B13B9A" w:rsidRDefault="006D52C7" w:rsidP="00B24768">
            <w:pPr>
              <w:spacing w:line="276" w:lineRule="auto"/>
              <w:rPr>
                <w:rFonts w:asciiTheme="majorHAnsi" w:hAnsiTheme="majorHAnsi" w:cstheme="majorHAnsi"/>
                <w:sz w:val="24"/>
                <w:szCs w:val="24"/>
                <w:lang w:val="ro-MD"/>
              </w:rPr>
            </w:pPr>
            <w:r w:rsidRPr="00B13B9A">
              <w:rPr>
                <w:rFonts w:asciiTheme="majorHAnsi" w:hAnsiTheme="majorHAnsi" w:cstheme="majorHAnsi"/>
                <w:sz w:val="24"/>
                <w:szCs w:val="24"/>
                <w:lang w:val="ro-MD"/>
              </w:rPr>
              <w:t>Institutul de Ftiziopneumologie</w:t>
            </w:r>
          </w:p>
        </w:tc>
      </w:tr>
      <w:tr w:rsidR="006D52C7" w:rsidRPr="00B13B9A" w14:paraId="3003B1CB" w14:textId="77777777" w:rsidTr="00B24768">
        <w:trPr>
          <w:trHeight w:val="306"/>
        </w:trPr>
        <w:tc>
          <w:tcPr>
            <w:tcW w:w="1233" w:type="dxa"/>
            <w:shd w:val="clear" w:color="auto" w:fill="FFFFFF" w:themeFill="background1"/>
          </w:tcPr>
          <w:p w14:paraId="45F64D5F" w14:textId="77777777" w:rsidR="006D52C7" w:rsidRPr="00B13B9A" w:rsidRDefault="006D52C7" w:rsidP="00B24768">
            <w:pPr>
              <w:spacing w:line="276" w:lineRule="auto"/>
              <w:rPr>
                <w:rFonts w:asciiTheme="majorHAnsi" w:eastAsia="Times New Roman" w:hAnsiTheme="majorHAnsi" w:cstheme="majorHAnsi"/>
                <w:b/>
                <w:bCs/>
                <w:color w:val="2E74B5" w:themeColor="accent1" w:themeShade="BF"/>
                <w:sz w:val="24"/>
                <w:szCs w:val="24"/>
                <w:lang w:val="ro-MD"/>
              </w:rPr>
            </w:pPr>
            <w:r w:rsidRPr="00B13B9A">
              <w:rPr>
                <w:rFonts w:asciiTheme="majorHAnsi" w:eastAsia="Times New Roman" w:hAnsiTheme="majorHAnsi" w:cstheme="majorHAnsi"/>
                <w:b/>
                <w:bCs/>
                <w:color w:val="2E74B5" w:themeColor="accent1" w:themeShade="BF"/>
                <w:sz w:val="24"/>
                <w:szCs w:val="24"/>
                <w:lang w:val="ro-MD"/>
              </w:rPr>
              <w:t>IMSP</w:t>
            </w:r>
          </w:p>
        </w:tc>
        <w:tc>
          <w:tcPr>
            <w:tcW w:w="8411" w:type="dxa"/>
            <w:shd w:val="clear" w:color="auto" w:fill="FFFFFF" w:themeFill="background1"/>
          </w:tcPr>
          <w:p w14:paraId="150305D6" w14:textId="097A2FDC" w:rsidR="006D52C7" w:rsidRPr="00B13B9A" w:rsidRDefault="006D52C7" w:rsidP="00F03991">
            <w:pPr>
              <w:spacing w:line="276" w:lineRule="auto"/>
              <w:rPr>
                <w:rFonts w:asciiTheme="majorHAnsi" w:eastAsia="Times New Roman" w:hAnsiTheme="majorHAnsi" w:cstheme="majorHAnsi"/>
                <w:bCs/>
                <w:sz w:val="24"/>
                <w:szCs w:val="24"/>
                <w:lang w:val="ro-MD"/>
              </w:rPr>
            </w:pPr>
            <w:r w:rsidRPr="00B13B9A">
              <w:rPr>
                <w:rFonts w:asciiTheme="majorHAnsi" w:hAnsiTheme="majorHAnsi" w:cstheme="majorHAnsi"/>
                <w:sz w:val="24"/>
                <w:szCs w:val="24"/>
                <w:lang w:val="ro-MD"/>
              </w:rPr>
              <w:t>Institu</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ie Medico-Sanitar</w:t>
            </w:r>
            <w:r w:rsidR="00F03991" w:rsidRPr="00B13B9A">
              <w:rPr>
                <w:rFonts w:asciiTheme="majorHAnsi" w:hAnsiTheme="majorHAnsi" w:cstheme="majorHAnsi"/>
                <w:sz w:val="24"/>
                <w:szCs w:val="24"/>
                <w:lang w:val="ro-MD"/>
              </w:rPr>
              <w:t>ă</w:t>
            </w:r>
            <w:r w:rsidRPr="00B13B9A">
              <w:rPr>
                <w:rFonts w:asciiTheme="majorHAnsi" w:hAnsiTheme="majorHAnsi" w:cstheme="majorHAnsi"/>
                <w:sz w:val="24"/>
                <w:szCs w:val="24"/>
                <w:lang w:val="ro-MD"/>
              </w:rPr>
              <w:t xml:space="preserve"> Publică</w:t>
            </w:r>
          </w:p>
        </w:tc>
      </w:tr>
      <w:tr w:rsidR="006D52C7" w:rsidRPr="00B13B9A" w14:paraId="41763550" w14:textId="77777777" w:rsidTr="00B24768">
        <w:trPr>
          <w:trHeight w:val="306"/>
        </w:trPr>
        <w:tc>
          <w:tcPr>
            <w:tcW w:w="1233" w:type="dxa"/>
            <w:shd w:val="clear" w:color="auto" w:fill="FFFFFF" w:themeFill="background1"/>
          </w:tcPr>
          <w:p w14:paraId="18C8846D" w14:textId="77777777" w:rsidR="006D52C7" w:rsidRPr="00B13B9A" w:rsidRDefault="006D52C7" w:rsidP="00B24768">
            <w:pPr>
              <w:spacing w:line="276" w:lineRule="auto"/>
              <w:rPr>
                <w:rFonts w:asciiTheme="majorHAnsi" w:eastAsia="Times New Roman" w:hAnsiTheme="majorHAnsi" w:cstheme="majorHAnsi"/>
                <w:b/>
                <w:bCs/>
                <w:color w:val="2E74B5" w:themeColor="accent1" w:themeShade="BF"/>
                <w:sz w:val="24"/>
                <w:szCs w:val="24"/>
                <w:lang w:val="ro-MD"/>
              </w:rPr>
            </w:pPr>
            <w:r w:rsidRPr="00B13B9A">
              <w:rPr>
                <w:rFonts w:asciiTheme="majorHAnsi" w:eastAsia="Times New Roman" w:hAnsiTheme="majorHAnsi" w:cstheme="majorHAnsi"/>
                <w:b/>
                <w:bCs/>
                <w:color w:val="2E74B5" w:themeColor="accent1" w:themeShade="BF"/>
                <w:sz w:val="24"/>
                <w:szCs w:val="24"/>
                <w:lang w:val="ro-MD"/>
              </w:rPr>
              <w:t>MS</w:t>
            </w:r>
          </w:p>
        </w:tc>
        <w:tc>
          <w:tcPr>
            <w:tcW w:w="8411" w:type="dxa"/>
            <w:shd w:val="clear" w:color="auto" w:fill="FFFFFF" w:themeFill="background1"/>
          </w:tcPr>
          <w:p w14:paraId="5F8D0E9B" w14:textId="77023462" w:rsidR="006D52C7" w:rsidRPr="00B13B9A" w:rsidRDefault="006D52C7" w:rsidP="00B24768">
            <w:pPr>
              <w:spacing w:line="276" w:lineRule="auto"/>
              <w:rPr>
                <w:rFonts w:asciiTheme="majorHAnsi" w:hAnsiTheme="majorHAnsi" w:cstheme="majorHAnsi"/>
                <w:sz w:val="24"/>
                <w:szCs w:val="24"/>
                <w:lang w:val="ro-MD"/>
              </w:rPr>
            </w:pPr>
            <w:r w:rsidRPr="00B13B9A">
              <w:rPr>
                <w:rFonts w:asciiTheme="majorHAnsi" w:hAnsiTheme="majorHAnsi" w:cstheme="majorHAnsi"/>
                <w:sz w:val="24"/>
                <w:szCs w:val="24"/>
                <w:lang w:val="ro-MD"/>
              </w:rPr>
              <w:t>Ministerul Sănătă</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ii</w:t>
            </w:r>
          </w:p>
        </w:tc>
      </w:tr>
      <w:tr w:rsidR="006D52C7" w:rsidRPr="00B13B9A" w14:paraId="5F266CB4" w14:textId="77777777" w:rsidTr="00B24768">
        <w:trPr>
          <w:trHeight w:val="306"/>
        </w:trPr>
        <w:tc>
          <w:tcPr>
            <w:tcW w:w="1233" w:type="dxa"/>
            <w:shd w:val="clear" w:color="auto" w:fill="FFFFFF" w:themeFill="background1"/>
          </w:tcPr>
          <w:p w14:paraId="6EE81234" w14:textId="77777777" w:rsidR="006D52C7" w:rsidRPr="00B13B9A" w:rsidRDefault="006D52C7" w:rsidP="00B24768">
            <w:pPr>
              <w:spacing w:line="276" w:lineRule="auto"/>
              <w:rPr>
                <w:rFonts w:asciiTheme="majorHAnsi" w:eastAsia="Times New Roman" w:hAnsiTheme="majorHAnsi" w:cstheme="majorHAnsi"/>
                <w:b/>
                <w:bCs/>
                <w:color w:val="2E74B5" w:themeColor="accent1" w:themeShade="BF"/>
                <w:sz w:val="24"/>
                <w:szCs w:val="24"/>
                <w:lang w:val="ro-MD"/>
              </w:rPr>
            </w:pPr>
            <w:r w:rsidRPr="00B13B9A">
              <w:rPr>
                <w:rFonts w:asciiTheme="majorHAnsi" w:eastAsia="Times New Roman" w:hAnsiTheme="majorHAnsi" w:cstheme="majorHAnsi"/>
                <w:b/>
                <w:bCs/>
                <w:color w:val="2E74B5" w:themeColor="accent1" w:themeShade="BF"/>
                <w:sz w:val="24"/>
                <w:szCs w:val="24"/>
                <w:lang w:val="ro-MD"/>
              </w:rPr>
              <w:t>MSMPS</w:t>
            </w:r>
          </w:p>
        </w:tc>
        <w:tc>
          <w:tcPr>
            <w:tcW w:w="8411" w:type="dxa"/>
            <w:shd w:val="clear" w:color="auto" w:fill="FFFFFF" w:themeFill="background1"/>
          </w:tcPr>
          <w:p w14:paraId="580F546B" w14:textId="0583D18D" w:rsidR="006D52C7" w:rsidRPr="00B13B9A" w:rsidRDefault="006D52C7" w:rsidP="00B24768">
            <w:pPr>
              <w:spacing w:line="276" w:lineRule="auto"/>
              <w:rPr>
                <w:rFonts w:asciiTheme="majorHAnsi" w:hAnsiTheme="majorHAnsi" w:cstheme="majorHAnsi"/>
                <w:sz w:val="24"/>
                <w:szCs w:val="24"/>
                <w:lang w:val="ro-MD"/>
              </w:rPr>
            </w:pPr>
            <w:r w:rsidRPr="00B13B9A">
              <w:rPr>
                <w:rFonts w:asciiTheme="majorHAnsi" w:hAnsiTheme="majorHAnsi" w:cstheme="majorHAnsi"/>
                <w:sz w:val="24"/>
                <w:szCs w:val="24"/>
                <w:lang w:val="ro-MD"/>
              </w:rPr>
              <w:t>Ministerul Sănătă</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 xml:space="preserve">ii, Muncii </w:t>
            </w:r>
            <w:r w:rsidR="00B13B9A" w:rsidRPr="00B13B9A">
              <w:rPr>
                <w:rFonts w:asciiTheme="majorHAnsi" w:hAnsiTheme="majorHAnsi" w:cstheme="majorHAnsi"/>
                <w:sz w:val="24"/>
                <w:szCs w:val="24"/>
                <w:lang w:val="ro-MD"/>
              </w:rPr>
              <w:t>ș</w:t>
            </w:r>
            <w:r w:rsidRPr="00B13B9A">
              <w:rPr>
                <w:rFonts w:asciiTheme="majorHAnsi" w:hAnsiTheme="majorHAnsi" w:cstheme="majorHAnsi"/>
                <w:sz w:val="24"/>
                <w:szCs w:val="24"/>
                <w:lang w:val="ro-MD"/>
              </w:rPr>
              <w:t>i Protec</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iei Sociale</w:t>
            </w:r>
          </w:p>
        </w:tc>
      </w:tr>
      <w:tr w:rsidR="006D52C7" w:rsidRPr="00B13B9A" w14:paraId="6A067D60" w14:textId="77777777" w:rsidTr="00B24768">
        <w:trPr>
          <w:trHeight w:val="306"/>
        </w:trPr>
        <w:tc>
          <w:tcPr>
            <w:tcW w:w="1233" w:type="dxa"/>
            <w:shd w:val="clear" w:color="auto" w:fill="FFFFFF" w:themeFill="background1"/>
          </w:tcPr>
          <w:p w14:paraId="60251B71" w14:textId="77777777" w:rsidR="006D52C7" w:rsidRPr="00B13B9A" w:rsidRDefault="006D52C7" w:rsidP="00B24768">
            <w:pPr>
              <w:spacing w:line="276" w:lineRule="auto"/>
              <w:rPr>
                <w:rFonts w:asciiTheme="majorHAnsi" w:eastAsia="Times New Roman" w:hAnsiTheme="majorHAnsi" w:cstheme="majorHAnsi"/>
                <w:b/>
                <w:bCs/>
                <w:color w:val="2E74B5" w:themeColor="accent1" w:themeShade="BF"/>
                <w:sz w:val="24"/>
                <w:szCs w:val="24"/>
                <w:lang w:val="ro-MD"/>
              </w:rPr>
            </w:pPr>
            <w:r w:rsidRPr="00B13B9A">
              <w:rPr>
                <w:rFonts w:asciiTheme="majorHAnsi" w:eastAsia="Times New Roman" w:hAnsiTheme="majorHAnsi" w:cstheme="majorHAnsi"/>
                <w:b/>
                <w:bCs/>
                <w:color w:val="2E74B5" w:themeColor="accent1" w:themeShade="BF"/>
                <w:sz w:val="24"/>
                <w:szCs w:val="24"/>
                <w:lang w:val="ro-MD"/>
              </w:rPr>
              <w:t>MIDR</w:t>
            </w:r>
          </w:p>
        </w:tc>
        <w:tc>
          <w:tcPr>
            <w:tcW w:w="8411" w:type="dxa"/>
            <w:shd w:val="clear" w:color="auto" w:fill="FFFFFF" w:themeFill="background1"/>
          </w:tcPr>
          <w:p w14:paraId="0A9AA707" w14:textId="1B4D9F30" w:rsidR="006D52C7" w:rsidRPr="00B13B9A" w:rsidRDefault="006D52C7" w:rsidP="00B24768">
            <w:pPr>
              <w:spacing w:line="276" w:lineRule="auto"/>
              <w:rPr>
                <w:rFonts w:asciiTheme="majorHAnsi" w:eastAsia="Times New Roman" w:hAnsiTheme="majorHAnsi" w:cstheme="majorHAnsi"/>
                <w:bCs/>
                <w:sz w:val="24"/>
                <w:szCs w:val="24"/>
                <w:lang w:val="ro-MD"/>
              </w:rPr>
            </w:pPr>
            <w:r w:rsidRPr="00B13B9A">
              <w:rPr>
                <w:rFonts w:asciiTheme="majorHAnsi" w:eastAsia="Times New Roman" w:hAnsiTheme="majorHAnsi" w:cstheme="majorHAnsi"/>
                <w:bCs/>
                <w:sz w:val="24"/>
                <w:szCs w:val="24"/>
                <w:lang w:val="ro-MD"/>
              </w:rPr>
              <w:t xml:space="preserve">Ministerul Infrastructurii </w:t>
            </w:r>
            <w:r w:rsidR="00B13B9A" w:rsidRPr="00B13B9A">
              <w:rPr>
                <w:rFonts w:asciiTheme="majorHAnsi" w:eastAsia="Times New Roman" w:hAnsiTheme="majorHAnsi" w:cstheme="majorHAnsi"/>
                <w:bCs/>
                <w:sz w:val="24"/>
                <w:szCs w:val="24"/>
                <w:lang w:val="ro-MD"/>
              </w:rPr>
              <w:t>ș</w:t>
            </w:r>
            <w:r w:rsidRPr="00B13B9A">
              <w:rPr>
                <w:rFonts w:asciiTheme="majorHAnsi" w:eastAsia="Times New Roman" w:hAnsiTheme="majorHAnsi" w:cstheme="majorHAnsi"/>
                <w:bCs/>
                <w:sz w:val="24"/>
                <w:szCs w:val="24"/>
                <w:lang w:val="ro-MD"/>
              </w:rPr>
              <w:t>i Dezvoltării Regionale</w:t>
            </w:r>
          </w:p>
        </w:tc>
      </w:tr>
      <w:tr w:rsidR="006D52C7" w:rsidRPr="00B13B9A" w14:paraId="0510FC61" w14:textId="77777777" w:rsidTr="00B24768">
        <w:trPr>
          <w:trHeight w:val="306"/>
        </w:trPr>
        <w:tc>
          <w:tcPr>
            <w:tcW w:w="1233" w:type="dxa"/>
            <w:shd w:val="clear" w:color="auto" w:fill="FFFFFF" w:themeFill="background1"/>
          </w:tcPr>
          <w:p w14:paraId="1604B0CE" w14:textId="45EFF586" w:rsidR="006D52C7" w:rsidRPr="00B13B9A" w:rsidRDefault="006D52C7" w:rsidP="00B24768">
            <w:pPr>
              <w:spacing w:line="276" w:lineRule="auto"/>
              <w:rPr>
                <w:rFonts w:asciiTheme="majorHAnsi" w:eastAsia="Times New Roman" w:hAnsiTheme="majorHAnsi" w:cstheme="majorHAnsi"/>
                <w:b/>
                <w:bCs/>
                <w:color w:val="2E74B5" w:themeColor="accent1" w:themeShade="BF"/>
                <w:sz w:val="24"/>
                <w:szCs w:val="24"/>
                <w:lang w:val="ro-MD"/>
              </w:rPr>
            </w:pPr>
            <w:r w:rsidRPr="00B13B9A">
              <w:rPr>
                <w:rFonts w:asciiTheme="majorHAnsi" w:eastAsia="Times New Roman" w:hAnsiTheme="majorHAnsi" w:cstheme="majorHAnsi"/>
                <w:b/>
                <w:bCs/>
                <w:color w:val="2E74B5" w:themeColor="accent1" w:themeShade="BF"/>
                <w:sz w:val="24"/>
                <w:szCs w:val="24"/>
                <w:lang w:val="ro-MD"/>
              </w:rPr>
              <w:t>PNRT</w:t>
            </w:r>
          </w:p>
        </w:tc>
        <w:tc>
          <w:tcPr>
            <w:tcW w:w="8411" w:type="dxa"/>
            <w:shd w:val="clear" w:color="auto" w:fill="FFFFFF" w:themeFill="background1"/>
          </w:tcPr>
          <w:p w14:paraId="4CFF9C03" w14:textId="0F6570D5" w:rsidR="006D52C7" w:rsidRPr="00B13B9A" w:rsidRDefault="006D52C7" w:rsidP="00B24768">
            <w:pPr>
              <w:spacing w:line="276" w:lineRule="auto"/>
              <w:rPr>
                <w:rFonts w:asciiTheme="majorHAnsi" w:eastAsia="Times New Roman" w:hAnsiTheme="majorHAnsi" w:cstheme="majorHAnsi"/>
                <w:bCs/>
                <w:sz w:val="24"/>
                <w:szCs w:val="24"/>
                <w:lang w:val="ro-MD"/>
              </w:rPr>
            </w:pPr>
            <w:r w:rsidRPr="00B13B9A">
              <w:rPr>
                <w:rFonts w:asciiTheme="majorHAnsi" w:eastAsia="Times New Roman" w:hAnsiTheme="majorHAnsi" w:cstheme="majorHAnsi"/>
                <w:bCs/>
                <w:sz w:val="24"/>
                <w:szCs w:val="24"/>
                <w:lang w:val="ro-MD"/>
              </w:rPr>
              <w:t>Program</w:t>
            </w:r>
            <w:r w:rsidR="00F03991" w:rsidRPr="00B13B9A">
              <w:rPr>
                <w:rFonts w:asciiTheme="majorHAnsi" w:eastAsia="Times New Roman" w:hAnsiTheme="majorHAnsi" w:cstheme="majorHAnsi"/>
                <w:bCs/>
                <w:sz w:val="24"/>
                <w:szCs w:val="24"/>
                <w:lang w:val="ro-MD"/>
              </w:rPr>
              <w:t>ul</w:t>
            </w:r>
            <w:r w:rsidRPr="00B13B9A">
              <w:rPr>
                <w:rFonts w:asciiTheme="majorHAnsi" w:eastAsia="Times New Roman" w:hAnsiTheme="majorHAnsi" w:cstheme="majorHAnsi"/>
                <w:bCs/>
                <w:sz w:val="24"/>
                <w:szCs w:val="24"/>
                <w:lang w:val="ro-MD"/>
              </w:rPr>
              <w:t xml:space="preserve"> Na</w:t>
            </w:r>
            <w:r w:rsidR="00B13B9A" w:rsidRPr="00B13B9A">
              <w:rPr>
                <w:rFonts w:asciiTheme="majorHAnsi" w:eastAsia="Times New Roman" w:hAnsiTheme="majorHAnsi" w:cstheme="majorHAnsi"/>
                <w:bCs/>
                <w:sz w:val="24"/>
                <w:szCs w:val="24"/>
                <w:lang w:val="ro-MD"/>
              </w:rPr>
              <w:t>ț</w:t>
            </w:r>
            <w:r w:rsidRPr="00B13B9A">
              <w:rPr>
                <w:rFonts w:asciiTheme="majorHAnsi" w:eastAsia="Times New Roman" w:hAnsiTheme="majorHAnsi" w:cstheme="majorHAnsi"/>
                <w:bCs/>
                <w:sz w:val="24"/>
                <w:szCs w:val="24"/>
                <w:lang w:val="ro-MD"/>
              </w:rPr>
              <w:t>ional de răspuns la tuberculoză</w:t>
            </w:r>
          </w:p>
        </w:tc>
      </w:tr>
      <w:tr w:rsidR="006D52C7" w:rsidRPr="00B13B9A" w14:paraId="1DDC71A7" w14:textId="77777777" w:rsidTr="00B24768">
        <w:trPr>
          <w:trHeight w:val="306"/>
        </w:trPr>
        <w:tc>
          <w:tcPr>
            <w:tcW w:w="1233" w:type="dxa"/>
            <w:shd w:val="clear" w:color="auto" w:fill="FFFFFF" w:themeFill="background1"/>
          </w:tcPr>
          <w:p w14:paraId="77AECE2E" w14:textId="77777777" w:rsidR="006D52C7" w:rsidRPr="00B13B9A" w:rsidRDefault="006D52C7" w:rsidP="00B24768">
            <w:pPr>
              <w:spacing w:line="276" w:lineRule="auto"/>
              <w:rPr>
                <w:rFonts w:asciiTheme="majorHAnsi" w:eastAsia="Times New Roman" w:hAnsiTheme="majorHAnsi" w:cstheme="majorHAnsi"/>
                <w:b/>
                <w:bCs/>
                <w:color w:val="2E74B5" w:themeColor="accent1" w:themeShade="BF"/>
                <w:sz w:val="24"/>
                <w:szCs w:val="24"/>
                <w:lang w:val="ro-MD"/>
              </w:rPr>
            </w:pPr>
            <w:r w:rsidRPr="00B13B9A">
              <w:rPr>
                <w:rFonts w:asciiTheme="majorHAnsi" w:eastAsia="Times New Roman" w:hAnsiTheme="majorHAnsi" w:cstheme="majorHAnsi"/>
                <w:b/>
                <w:bCs/>
                <w:color w:val="2E74B5" w:themeColor="accent1" w:themeShade="BF"/>
                <w:sz w:val="24"/>
                <w:szCs w:val="24"/>
                <w:lang w:val="ro-MD"/>
              </w:rPr>
              <w:t>RBI</w:t>
            </w:r>
          </w:p>
        </w:tc>
        <w:tc>
          <w:tcPr>
            <w:tcW w:w="8411" w:type="dxa"/>
            <w:shd w:val="clear" w:color="auto" w:fill="FFFFFF" w:themeFill="background1"/>
          </w:tcPr>
          <w:p w14:paraId="0828BCB7" w14:textId="77777777" w:rsidR="006D52C7" w:rsidRPr="00B13B9A" w:rsidRDefault="006D52C7" w:rsidP="00B24768">
            <w:pPr>
              <w:spacing w:line="276" w:lineRule="auto"/>
              <w:rPr>
                <w:rFonts w:asciiTheme="majorHAnsi" w:eastAsia="Times New Roman" w:hAnsiTheme="majorHAnsi" w:cstheme="majorHAnsi"/>
                <w:bCs/>
                <w:sz w:val="24"/>
                <w:szCs w:val="24"/>
                <w:lang w:val="ro-MD"/>
              </w:rPr>
            </w:pPr>
            <w:r w:rsidRPr="00B13B9A">
              <w:rPr>
                <w:rFonts w:asciiTheme="majorHAnsi" w:eastAsia="Times New Roman" w:hAnsiTheme="majorHAnsi" w:cstheme="majorHAnsi"/>
                <w:bCs/>
                <w:sz w:val="24"/>
                <w:szCs w:val="24"/>
                <w:lang w:val="ro-MD"/>
              </w:rPr>
              <w:t>Registrul bunurilor imobile</w:t>
            </w:r>
          </w:p>
        </w:tc>
      </w:tr>
      <w:tr w:rsidR="006D52C7" w:rsidRPr="00B13B9A" w14:paraId="11698ECC" w14:textId="77777777" w:rsidTr="00B24768">
        <w:trPr>
          <w:trHeight w:val="306"/>
        </w:trPr>
        <w:tc>
          <w:tcPr>
            <w:tcW w:w="1233" w:type="dxa"/>
            <w:shd w:val="clear" w:color="auto" w:fill="FFFFFF" w:themeFill="background1"/>
          </w:tcPr>
          <w:p w14:paraId="2D00DDD9" w14:textId="77777777" w:rsidR="006D52C7" w:rsidRPr="00B13B9A" w:rsidRDefault="006D52C7" w:rsidP="00B24768">
            <w:pPr>
              <w:spacing w:line="276" w:lineRule="auto"/>
              <w:rPr>
                <w:rFonts w:asciiTheme="majorHAnsi" w:eastAsia="Times New Roman" w:hAnsiTheme="majorHAnsi" w:cstheme="majorHAnsi"/>
                <w:b/>
                <w:bCs/>
                <w:color w:val="2E74B5" w:themeColor="accent1" w:themeShade="BF"/>
                <w:sz w:val="24"/>
                <w:szCs w:val="24"/>
                <w:lang w:val="ro-MD"/>
              </w:rPr>
            </w:pPr>
            <w:r w:rsidRPr="00B13B9A">
              <w:rPr>
                <w:rFonts w:asciiTheme="majorHAnsi" w:eastAsia="Times New Roman" w:hAnsiTheme="majorHAnsi" w:cstheme="majorHAnsi"/>
                <w:b/>
                <w:bCs/>
                <w:color w:val="2E74B5" w:themeColor="accent1" w:themeShade="BF"/>
                <w:sz w:val="24"/>
                <w:szCs w:val="24"/>
                <w:lang w:val="ro-MD"/>
              </w:rPr>
              <w:t>SNC</w:t>
            </w:r>
          </w:p>
        </w:tc>
        <w:tc>
          <w:tcPr>
            <w:tcW w:w="8411" w:type="dxa"/>
            <w:shd w:val="clear" w:color="auto" w:fill="FFFFFF" w:themeFill="background1"/>
          </w:tcPr>
          <w:p w14:paraId="154BA0EE" w14:textId="275F3460" w:rsidR="006D52C7" w:rsidRPr="00B13B9A" w:rsidRDefault="006D52C7" w:rsidP="00B24768">
            <w:pPr>
              <w:spacing w:line="276" w:lineRule="auto"/>
              <w:rPr>
                <w:rFonts w:asciiTheme="majorHAnsi" w:hAnsiTheme="majorHAnsi" w:cstheme="majorHAnsi"/>
                <w:sz w:val="24"/>
                <w:szCs w:val="24"/>
                <w:lang w:val="ro-MD"/>
              </w:rPr>
            </w:pPr>
            <w:r w:rsidRPr="00B13B9A">
              <w:rPr>
                <w:rFonts w:asciiTheme="majorHAnsi" w:hAnsiTheme="majorHAnsi" w:cstheme="majorHAnsi"/>
                <w:sz w:val="24"/>
                <w:szCs w:val="24"/>
                <w:lang w:val="ro-MD"/>
              </w:rPr>
              <w:t>Standardul Na</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ional de Contabilitate</w:t>
            </w:r>
          </w:p>
        </w:tc>
      </w:tr>
      <w:tr w:rsidR="006D52C7" w:rsidRPr="00B13B9A" w14:paraId="0A82AEEA" w14:textId="77777777" w:rsidTr="00B24768">
        <w:trPr>
          <w:trHeight w:val="306"/>
        </w:trPr>
        <w:tc>
          <w:tcPr>
            <w:tcW w:w="1233" w:type="dxa"/>
            <w:shd w:val="clear" w:color="auto" w:fill="FFFFFF" w:themeFill="background1"/>
          </w:tcPr>
          <w:p w14:paraId="1997F4C4" w14:textId="77777777" w:rsidR="006D52C7" w:rsidRPr="00B13B9A" w:rsidRDefault="006D52C7" w:rsidP="00B24768">
            <w:pPr>
              <w:spacing w:line="276" w:lineRule="auto"/>
              <w:rPr>
                <w:rFonts w:asciiTheme="majorHAnsi" w:eastAsia="Times New Roman" w:hAnsiTheme="majorHAnsi" w:cstheme="majorHAnsi"/>
                <w:b/>
                <w:bCs/>
                <w:color w:val="2E74B5" w:themeColor="accent1" w:themeShade="BF"/>
                <w:sz w:val="24"/>
                <w:szCs w:val="24"/>
                <w:lang w:val="ro-MD"/>
              </w:rPr>
            </w:pPr>
            <w:r w:rsidRPr="00B13B9A">
              <w:rPr>
                <w:rFonts w:asciiTheme="majorHAnsi" w:eastAsia="Times New Roman" w:hAnsiTheme="majorHAnsi" w:cstheme="majorHAnsi"/>
                <w:b/>
                <w:bCs/>
                <w:color w:val="2E74B5" w:themeColor="accent1" w:themeShade="BF"/>
                <w:sz w:val="24"/>
                <w:szCs w:val="24"/>
                <w:lang w:val="ro-MD"/>
              </w:rPr>
              <w:t>TB</w:t>
            </w:r>
          </w:p>
        </w:tc>
        <w:tc>
          <w:tcPr>
            <w:tcW w:w="8411" w:type="dxa"/>
            <w:shd w:val="clear" w:color="auto" w:fill="FFFFFF" w:themeFill="background1"/>
          </w:tcPr>
          <w:p w14:paraId="7595AFB5" w14:textId="77777777" w:rsidR="006D52C7" w:rsidRPr="00B13B9A" w:rsidRDefault="006D52C7" w:rsidP="00B24768">
            <w:pPr>
              <w:spacing w:line="276" w:lineRule="auto"/>
              <w:rPr>
                <w:rFonts w:asciiTheme="majorHAnsi" w:eastAsia="Times New Roman" w:hAnsiTheme="majorHAnsi" w:cstheme="majorHAnsi"/>
                <w:bCs/>
                <w:sz w:val="24"/>
                <w:szCs w:val="24"/>
                <w:lang w:val="ro-MD"/>
              </w:rPr>
            </w:pPr>
            <w:r w:rsidRPr="00B13B9A">
              <w:rPr>
                <w:rFonts w:asciiTheme="majorHAnsi" w:eastAsia="Times New Roman" w:hAnsiTheme="majorHAnsi" w:cstheme="majorHAnsi"/>
                <w:bCs/>
                <w:sz w:val="24"/>
                <w:szCs w:val="24"/>
                <w:lang w:val="ro-MD"/>
              </w:rPr>
              <w:t>Tuberculoză</w:t>
            </w:r>
          </w:p>
        </w:tc>
      </w:tr>
      <w:tr w:rsidR="006D52C7" w:rsidRPr="00B13B9A" w14:paraId="5EA6A153" w14:textId="77777777" w:rsidTr="00B24768">
        <w:trPr>
          <w:trHeight w:val="306"/>
        </w:trPr>
        <w:tc>
          <w:tcPr>
            <w:tcW w:w="1233" w:type="dxa"/>
            <w:shd w:val="clear" w:color="auto" w:fill="FFFFFF" w:themeFill="background1"/>
          </w:tcPr>
          <w:p w14:paraId="527CF9BC" w14:textId="77777777" w:rsidR="006D52C7" w:rsidRPr="00B13B9A" w:rsidRDefault="006D52C7" w:rsidP="00B24768">
            <w:pPr>
              <w:spacing w:line="276" w:lineRule="auto"/>
              <w:rPr>
                <w:rFonts w:asciiTheme="majorHAnsi" w:eastAsia="Times New Roman" w:hAnsiTheme="majorHAnsi" w:cstheme="majorHAnsi"/>
                <w:b/>
                <w:bCs/>
                <w:color w:val="2E74B5" w:themeColor="accent1" w:themeShade="BF"/>
                <w:sz w:val="24"/>
                <w:szCs w:val="24"/>
                <w:lang w:val="ro-MD"/>
              </w:rPr>
            </w:pPr>
            <w:r w:rsidRPr="00B13B9A">
              <w:rPr>
                <w:rFonts w:asciiTheme="majorHAnsi" w:eastAsia="Times New Roman" w:hAnsiTheme="majorHAnsi" w:cstheme="majorHAnsi"/>
                <w:b/>
                <w:bCs/>
                <w:color w:val="2E74B5" w:themeColor="accent1" w:themeShade="BF"/>
                <w:sz w:val="24"/>
                <w:szCs w:val="24"/>
                <w:lang w:val="ro-MD"/>
              </w:rPr>
              <w:t>UCIMP</w:t>
            </w:r>
          </w:p>
        </w:tc>
        <w:tc>
          <w:tcPr>
            <w:tcW w:w="8411" w:type="dxa"/>
            <w:shd w:val="clear" w:color="auto" w:fill="FFFFFF" w:themeFill="background1"/>
          </w:tcPr>
          <w:p w14:paraId="1F857A04" w14:textId="4714B0F8" w:rsidR="00AE15A5" w:rsidRPr="00B13B9A" w:rsidRDefault="006D52C7" w:rsidP="00415D9E">
            <w:pPr>
              <w:spacing w:line="276" w:lineRule="auto"/>
              <w:rPr>
                <w:rFonts w:asciiTheme="majorHAnsi" w:eastAsia="Times New Roman" w:hAnsiTheme="majorHAnsi" w:cstheme="majorHAnsi"/>
                <w:bCs/>
                <w:sz w:val="24"/>
                <w:szCs w:val="24"/>
                <w:lang w:val="ro-MD"/>
              </w:rPr>
            </w:pPr>
            <w:r w:rsidRPr="00B13B9A">
              <w:rPr>
                <w:rFonts w:asciiTheme="majorHAnsi" w:eastAsia="Times New Roman" w:hAnsiTheme="majorHAnsi" w:cstheme="majorHAnsi"/>
                <w:bCs/>
                <w:sz w:val="24"/>
                <w:szCs w:val="24"/>
                <w:lang w:val="ro-MD"/>
              </w:rPr>
              <w:t xml:space="preserve">Unitatea de Coordonare, Implementare </w:t>
            </w:r>
            <w:r w:rsidR="00B13B9A" w:rsidRPr="00B13B9A">
              <w:rPr>
                <w:rFonts w:asciiTheme="majorHAnsi" w:eastAsia="Times New Roman" w:hAnsiTheme="majorHAnsi" w:cstheme="majorHAnsi"/>
                <w:bCs/>
                <w:sz w:val="24"/>
                <w:szCs w:val="24"/>
                <w:lang w:val="ro-MD"/>
              </w:rPr>
              <w:t>ș</w:t>
            </w:r>
            <w:r w:rsidRPr="00B13B9A">
              <w:rPr>
                <w:rFonts w:asciiTheme="majorHAnsi" w:eastAsia="Times New Roman" w:hAnsiTheme="majorHAnsi" w:cstheme="majorHAnsi"/>
                <w:bCs/>
                <w:sz w:val="24"/>
                <w:szCs w:val="24"/>
                <w:lang w:val="ro-MD"/>
              </w:rPr>
              <w:t>i Monitorizare a Proiectelor</w:t>
            </w:r>
          </w:p>
        </w:tc>
      </w:tr>
      <w:tr w:rsidR="00415D9E" w:rsidRPr="00B13B9A" w14:paraId="6383708A" w14:textId="77777777" w:rsidTr="00B24768">
        <w:trPr>
          <w:trHeight w:val="306"/>
        </w:trPr>
        <w:tc>
          <w:tcPr>
            <w:tcW w:w="1233" w:type="dxa"/>
            <w:shd w:val="clear" w:color="auto" w:fill="FFFFFF" w:themeFill="background1"/>
          </w:tcPr>
          <w:p w14:paraId="37DB0322" w14:textId="7AD82683" w:rsidR="00415D9E" w:rsidRPr="00B13B9A" w:rsidRDefault="00415D9E" w:rsidP="00B24768">
            <w:pPr>
              <w:spacing w:line="276" w:lineRule="auto"/>
              <w:rPr>
                <w:rFonts w:asciiTheme="majorHAnsi" w:eastAsia="Times New Roman" w:hAnsiTheme="majorHAnsi" w:cstheme="majorHAnsi"/>
                <w:b/>
                <w:bCs/>
                <w:color w:val="2E74B5" w:themeColor="accent1" w:themeShade="BF"/>
                <w:sz w:val="24"/>
                <w:szCs w:val="24"/>
                <w:lang w:val="ro-MD"/>
              </w:rPr>
            </w:pPr>
            <w:r w:rsidRPr="00B13B9A">
              <w:rPr>
                <w:rFonts w:asciiTheme="majorHAnsi" w:eastAsia="Times New Roman" w:hAnsiTheme="majorHAnsi" w:cstheme="majorHAnsi"/>
                <w:b/>
                <w:bCs/>
                <w:color w:val="2E74B5" w:themeColor="accent1" w:themeShade="BF"/>
                <w:sz w:val="24"/>
                <w:szCs w:val="24"/>
                <w:lang w:val="ro-MD"/>
              </w:rPr>
              <w:t>CAPCS</w:t>
            </w:r>
          </w:p>
        </w:tc>
        <w:tc>
          <w:tcPr>
            <w:tcW w:w="8411" w:type="dxa"/>
            <w:shd w:val="clear" w:color="auto" w:fill="FFFFFF" w:themeFill="background1"/>
          </w:tcPr>
          <w:p w14:paraId="681407FD" w14:textId="7A7E27AA" w:rsidR="00415D9E" w:rsidRPr="00B13B9A" w:rsidRDefault="00415D9E" w:rsidP="00B24768">
            <w:pPr>
              <w:spacing w:line="276" w:lineRule="auto"/>
              <w:rPr>
                <w:rFonts w:asciiTheme="majorHAnsi" w:eastAsia="Times New Roman" w:hAnsiTheme="majorHAnsi" w:cstheme="majorHAnsi"/>
                <w:bCs/>
                <w:sz w:val="24"/>
                <w:szCs w:val="24"/>
                <w:lang w:val="ro-MD"/>
              </w:rPr>
            </w:pPr>
            <w:r w:rsidRPr="00B13B9A">
              <w:rPr>
                <w:rFonts w:asciiTheme="majorHAnsi" w:hAnsiTheme="majorHAnsi" w:cstheme="majorHAnsi"/>
                <w:sz w:val="24"/>
                <w:szCs w:val="24"/>
                <w:lang w:val="ro-MD"/>
              </w:rPr>
              <w:t>Centrul pentru Achizi</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ii Publice Centralizate în Sănătate</w:t>
            </w:r>
          </w:p>
        </w:tc>
      </w:tr>
      <w:tr w:rsidR="006D52C7" w:rsidRPr="00B13B9A" w14:paraId="6B4C4CBC" w14:textId="77777777" w:rsidTr="00B24768">
        <w:trPr>
          <w:trHeight w:val="306"/>
        </w:trPr>
        <w:tc>
          <w:tcPr>
            <w:tcW w:w="1233" w:type="dxa"/>
            <w:shd w:val="clear" w:color="auto" w:fill="FFFFFF" w:themeFill="background1"/>
          </w:tcPr>
          <w:p w14:paraId="3987DDFF" w14:textId="77777777" w:rsidR="006D52C7" w:rsidRPr="00B13B9A" w:rsidRDefault="006D52C7" w:rsidP="00B24768">
            <w:pPr>
              <w:spacing w:line="276" w:lineRule="auto"/>
              <w:rPr>
                <w:rFonts w:asciiTheme="majorHAnsi" w:eastAsia="Times New Roman" w:hAnsiTheme="majorHAnsi" w:cstheme="majorHAnsi"/>
                <w:b/>
                <w:bCs/>
                <w:color w:val="2E74B5" w:themeColor="accent1" w:themeShade="BF"/>
                <w:sz w:val="24"/>
                <w:szCs w:val="24"/>
                <w:lang w:val="ro-MD"/>
              </w:rPr>
            </w:pPr>
          </w:p>
        </w:tc>
        <w:tc>
          <w:tcPr>
            <w:tcW w:w="8411" w:type="dxa"/>
            <w:shd w:val="clear" w:color="auto" w:fill="FFFFFF" w:themeFill="background1"/>
          </w:tcPr>
          <w:p w14:paraId="2C5C483E" w14:textId="77777777" w:rsidR="006D52C7" w:rsidRPr="00B13B9A" w:rsidRDefault="006D52C7" w:rsidP="00B24768">
            <w:pPr>
              <w:spacing w:line="276" w:lineRule="auto"/>
              <w:rPr>
                <w:rFonts w:asciiTheme="majorHAnsi" w:eastAsia="Times New Roman" w:hAnsiTheme="majorHAnsi" w:cstheme="majorHAnsi"/>
                <w:bCs/>
                <w:sz w:val="24"/>
                <w:szCs w:val="24"/>
                <w:lang w:val="ro-MD"/>
              </w:rPr>
            </w:pPr>
          </w:p>
        </w:tc>
      </w:tr>
    </w:tbl>
    <w:p w14:paraId="6928BCCF" w14:textId="77777777" w:rsidR="009022BC" w:rsidRPr="00B13B9A" w:rsidRDefault="009022BC" w:rsidP="00D30318">
      <w:pPr>
        <w:spacing w:after="0" w:line="276" w:lineRule="auto"/>
        <w:rPr>
          <w:rFonts w:asciiTheme="majorHAnsi" w:eastAsia="Times New Roman" w:hAnsiTheme="majorHAnsi" w:cstheme="majorHAnsi"/>
          <w:b/>
          <w:bCs/>
          <w:color w:val="2E74B5" w:themeColor="accent1" w:themeShade="BF"/>
          <w:sz w:val="24"/>
          <w:szCs w:val="24"/>
          <w:lang w:val="ro-MD"/>
        </w:rPr>
      </w:pPr>
    </w:p>
    <w:p w14:paraId="5AE03C6C" w14:textId="77777777" w:rsidR="00F54249" w:rsidRPr="00B13B9A" w:rsidRDefault="00F54249" w:rsidP="00D30318">
      <w:pPr>
        <w:spacing w:after="0" w:line="276" w:lineRule="auto"/>
        <w:rPr>
          <w:rFonts w:asciiTheme="majorHAnsi" w:eastAsia="Times New Roman" w:hAnsiTheme="majorHAnsi" w:cstheme="majorHAnsi"/>
          <w:b/>
          <w:bCs/>
          <w:color w:val="2E74B5" w:themeColor="accent1" w:themeShade="BF"/>
          <w:sz w:val="24"/>
          <w:szCs w:val="24"/>
          <w:lang w:val="ro-MD"/>
        </w:rPr>
      </w:pPr>
    </w:p>
    <w:p w14:paraId="24187CEE" w14:textId="77777777" w:rsidR="00934A6F" w:rsidRDefault="00934A6F" w:rsidP="00FA7B71">
      <w:pPr>
        <w:pStyle w:val="1"/>
        <w:rPr>
          <w:rFonts w:eastAsia="Times New Roman" w:cstheme="majorHAnsi"/>
          <w:b/>
          <w:bCs/>
          <w:sz w:val="24"/>
          <w:szCs w:val="24"/>
          <w:lang w:val="ro-MD"/>
        </w:rPr>
      </w:pPr>
      <w:r>
        <w:rPr>
          <w:rFonts w:eastAsia="Times New Roman" w:cstheme="majorHAnsi"/>
          <w:b/>
          <w:bCs/>
          <w:sz w:val="24"/>
          <w:szCs w:val="24"/>
          <w:lang w:val="ro-MD"/>
        </w:rPr>
        <w:br w:type="page"/>
      </w:r>
    </w:p>
    <w:p w14:paraId="677AD24D" w14:textId="35D76A5F" w:rsidR="009022BC" w:rsidRPr="00B13B9A" w:rsidRDefault="009022BC" w:rsidP="00FA7B71">
      <w:pPr>
        <w:pStyle w:val="1"/>
        <w:rPr>
          <w:rFonts w:eastAsia="Times New Roman" w:cstheme="majorHAnsi"/>
          <w:b/>
          <w:bCs/>
          <w:sz w:val="24"/>
          <w:szCs w:val="24"/>
          <w:lang w:val="ro-MD"/>
        </w:rPr>
      </w:pPr>
      <w:bookmarkStart w:id="2" w:name="_Toc154562483"/>
      <w:r w:rsidRPr="00B13B9A">
        <w:rPr>
          <w:rFonts w:eastAsia="Times New Roman" w:cstheme="majorHAnsi"/>
          <w:b/>
          <w:bCs/>
          <w:sz w:val="24"/>
          <w:szCs w:val="24"/>
          <w:lang w:val="ro-MD"/>
        </w:rPr>
        <w:t>GLOSAR</w:t>
      </w:r>
      <w:bookmarkEnd w:id="2"/>
    </w:p>
    <w:tbl>
      <w:tblPr>
        <w:tblStyle w:val="PlainTable21"/>
        <w:tblW w:w="9667" w:type="dxa"/>
        <w:tblBorders>
          <w:top w:val="none" w:sz="0" w:space="0" w:color="auto"/>
          <w:bottom w:val="none" w:sz="0" w:space="0" w:color="auto"/>
          <w:insideH w:val="single" w:sz="4" w:space="0" w:color="5B9BD5" w:themeColor="accent1"/>
        </w:tblBorders>
        <w:tblLook w:val="04A0" w:firstRow="1" w:lastRow="0" w:firstColumn="1" w:lastColumn="0" w:noHBand="0" w:noVBand="1"/>
      </w:tblPr>
      <w:tblGrid>
        <w:gridCol w:w="2343"/>
        <w:gridCol w:w="7324"/>
      </w:tblGrid>
      <w:tr w:rsidR="006D52C7" w:rsidRPr="00B13B9A" w14:paraId="5AABA578" w14:textId="77777777" w:rsidTr="00B24768">
        <w:trPr>
          <w:cnfStyle w:val="100000000000" w:firstRow="1" w:lastRow="0" w:firstColumn="0" w:lastColumn="0" w:oddVBand="0" w:evenVBand="0" w:oddHBand="0" w:evenHBand="0" w:firstRowFirstColumn="0" w:firstRowLastColumn="0" w:lastRowFirstColumn="0" w:lastRowLastColumn="0"/>
          <w:trHeight w:val="324"/>
        </w:trPr>
        <w:tc>
          <w:tcPr>
            <w:tcW w:w="2343" w:type="dxa"/>
            <w:tcBorders>
              <w:bottom w:val="none" w:sz="0" w:space="0" w:color="auto"/>
            </w:tcBorders>
          </w:tcPr>
          <w:p w14:paraId="6DE2B05B" w14:textId="77777777" w:rsidR="006D52C7" w:rsidRPr="00B13B9A" w:rsidRDefault="006D52C7" w:rsidP="00B24768">
            <w:pPr>
              <w:rPr>
                <w:rFonts w:asciiTheme="majorHAnsi" w:hAnsiTheme="majorHAnsi" w:cstheme="majorHAnsi"/>
                <w:b/>
                <w:szCs w:val="24"/>
                <w:lang w:val="ro-MD"/>
              </w:rPr>
            </w:pPr>
            <w:r w:rsidRPr="00B13B9A">
              <w:rPr>
                <w:rFonts w:asciiTheme="majorHAnsi" w:hAnsiTheme="majorHAnsi" w:cstheme="majorHAnsi"/>
                <w:b/>
                <w:szCs w:val="24"/>
                <w:lang w:val="ro-MD"/>
              </w:rPr>
              <w:t>Ajutor umanitar</w:t>
            </w:r>
          </w:p>
        </w:tc>
        <w:tc>
          <w:tcPr>
            <w:tcW w:w="7324" w:type="dxa"/>
            <w:tcBorders>
              <w:bottom w:val="none" w:sz="0" w:space="0" w:color="auto"/>
            </w:tcBorders>
          </w:tcPr>
          <w:p w14:paraId="2C9491D7" w14:textId="1FDDBD75" w:rsidR="006D52C7" w:rsidRPr="00B13B9A" w:rsidRDefault="006D52C7" w:rsidP="00B24768">
            <w:pPr>
              <w:jc w:val="both"/>
              <w:rPr>
                <w:rFonts w:asciiTheme="majorHAnsi" w:hAnsiTheme="majorHAnsi" w:cstheme="majorHAnsi"/>
                <w:i/>
                <w:szCs w:val="24"/>
                <w:lang w:val="ro-MD"/>
              </w:rPr>
            </w:pPr>
            <w:r w:rsidRPr="00B13B9A">
              <w:rPr>
                <w:rFonts w:asciiTheme="majorHAnsi" w:hAnsiTheme="majorHAnsi" w:cstheme="majorHAnsi"/>
                <w:i/>
                <w:szCs w:val="24"/>
                <w:shd w:val="clear" w:color="auto" w:fill="FFFFFF"/>
                <w:lang w:val="ro-MD"/>
              </w:rPr>
              <w:t>Ajutoare nominative gratuite  sub formă de bunuri, de asisten</w:t>
            </w:r>
            <w:r w:rsidR="00B13B9A" w:rsidRPr="00B13B9A">
              <w:rPr>
                <w:rFonts w:asciiTheme="majorHAnsi" w:hAnsiTheme="majorHAnsi" w:cstheme="majorHAnsi"/>
                <w:i/>
                <w:szCs w:val="24"/>
                <w:shd w:val="clear" w:color="auto" w:fill="FFFFFF"/>
                <w:lang w:val="ro-MD"/>
              </w:rPr>
              <w:t>ț</w:t>
            </w:r>
            <w:r w:rsidRPr="00B13B9A">
              <w:rPr>
                <w:rFonts w:asciiTheme="majorHAnsi" w:hAnsiTheme="majorHAnsi" w:cstheme="majorHAnsi"/>
                <w:i/>
                <w:szCs w:val="24"/>
                <w:shd w:val="clear" w:color="auto" w:fill="FFFFFF"/>
                <w:lang w:val="ro-MD"/>
              </w:rPr>
              <w:t>ă financiară nerambursabilă, dona</w:t>
            </w:r>
            <w:r w:rsidR="00B13B9A" w:rsidRPr="00B13B9A">
              <w:rPr>
                <w:rFonts w:asciiTheme="majorHAnsi" w:hAnsiTheme="majorHAnsi" w:cstheme="majorHAnsi"/>
                <w:i/>
                <w:szCs w:val="24"/>
                <w:shd w:val="clear" w:color="auto" w:fill="FFFFFF"/>
                <w:lang w:val="ro-MD"/>
              </w:rPr>
              <w:t>ț</w:t>
            </w:r>
            <w:r w:rsidRPr="00B13B9A">
              <w:rPr>
                <w:rFonts w:asciiTheme="majorHAnsi" w:hAnsiTheme="majorHAnsi" w:cstheme="majorHAnsi"/>
                <w:i/>
                <w:szCs w:val="24"/>
                <w:shd w:val="clear" w:color="auto" w:fill="FFFFFF"/>
                <w:lang w:val="ro-MD"/>
              </w:rPr>
              <w:t>ii benevole, sub formă de executare de lucrări, prestare de servicii din partea donatorilor străini</w:t>
            </w:r>
          </w:p>
        </w:tc>
      </w:tr>
      <w:tr w:rsidR="006D52C7" w:rsidRPr="00B13B9A" w14:paraId="20D08163" w14:textId="77777777" w:rsidTr="00B24768">
        <w:trPr>
          <w:cnfStyle w:val="000000100000" w:firstRow="0" w:lastRow="0" w:firstColumn="0" w:lastColumn="0" w:oddVBand="0" w:evenVBand="0" w:oddHBand="1" w:evenHBand="0" w:firstRowFirstColumn="0" w:firstRowLastColumn="0" w:lastRowFirstColumn="0" w:lastRowLastColumn="0"/>
          <w:trHeight w:val="324"/>
        </w:trPr>
        <w:tc>
          <w:tcPr>
            <w:tcW w:w="2343" w:type="dxa"/>
          </w:tcPr>
          <w:p w14:paraId="05F7C790" w14:textId="3180811A" w:rsidR="006D52C7" w:rsidRPr="00B13B9A" w:rsidRDefault="006D52C7" w:rsidP="00B24768">
            <w:pPr>
              <w:rPr>
                <w:rFonts w:asciiTheme="majorHAnsi" w:hAnsiTheme="majorHAnsi" w:cstheme="majorHAnsi"/>
                <w:b/>
                <w:szCs w:val="24"/>
                <w:lang w:val="ro-MD"/>
              </w:rPr>
            </w:pPr>
            <w:r w:rsidRPr="00B13B9A">
              <w:rPr>
                <w:rFonts w:asciiTheme="majorHAnsi" w:hAnsiTheme="majorHAnsi" w:cstheme="majorHAnsi"/>
                <w:b/>
                <w:szCs w:val="24"/>
                <w:lang w:val="ro-MD"/>
              </w:rPr>
              <w:t>Asisten</w:t>
            </w:r>
            <w:r w:rsidR="00B13B9A" w:rsidRPr="00B13B9A">
              <w:rPr>
                <w:rFonts w:asciiTheme="majorHAnsi" w:hAnsiTheme="majorHAnsi" w:cstheme="majorHAnsi"/>
                <w:b/>
                <w:szCs w:val="24"/>
                <w:lang w:val="ro-MD"/>
              </w:rPr>
              <w:t>ț</w:t>
            </w:r>
            <w:r w:rsidRPr="00B13B9A">
              <w:rPr>
                <w:rFonts w:asciiTheme="majorHAnsi" w:hAnsiTheme="majorHAnsi" w:cstheme="majorHAnsi"/>
                <w:b/>
                <w:szCs w:val="24"/>
                <w:lang w:val="ro-MD"/>
              </w:rPr>
              <w:t>ă medicală antituberculoasă</w:t>
            </w:r>
          </w:p>
        </w:tc>
        <w:tc>
          <w:tcPr>
            <w:tcW w:w="7324" w:type="dxa"/>
          </w:tcPr>
          <w:p w14:paraId="0DAF800F" w14:textId="52B009A4" w:rsidR="006D52C7" w:rsidRPr="00B13B9A" w:rsidRDefault="006D52C7" w:rsidP="007E6B0B">
            <w:pPr>
              <w:jc w:val="both"/>
              <w:rPr>
                <w:rFonts w:asciiTheme="majorHAnsi" w:hAnsiTheme="majorHAnsi" w:cstheme="majorHAnsi"/>
                <w:i/>
                <w:szCs w:val="24"/>
                <w:lang w:val="ro-MD"/>
              </w:rPr>
            </w:pPr>
            <w:r w:rsidRPr="00B13B9A">
              <w:rPr>
                <w:rFonts w:asciiTheme="majorHAnsi" w:hAnsiTheme="majorHAnsi" w:cstheme="majorHAnsi"/>
                <w:i/>
                <w:szCs w:val="24"/>
                <w:lang w:val="ro-MD"/>
              </w:rPr>
              <w:t xml:space="preserve">Complex de măsuri medicale, sanitar-igienice </w:t>
            </w:r>
            <w:r w:rsidR="00B13B9A" w:rsidRPr="00B13B9A">
              <w:rPr>
                <w:rFonts w:asciiTheme="majorHAnsi" w:hAnsiTheme="majorHAnsi" w:cstheme="majorHAnsi"/>
                <w:i/>
                <w:szCs w:val="24"/>
                <w:lang w:val="ro-MD"/>
              </w:rPr>
              <w:t>ș</w:t>
            </w:r>
            <w:r w:rsidRPr="00B13B9A">
              <w:rPr>
                <w:rFonts w:asciiTheme="majorHAnsi" w:hAnsiTheme="majorHAnsi" w:cstheme="majorHAnsi"/>
                <w:i/>
                <w:szCs w:val="24"/>
                <w:lang w:val="ro-MD"/>
              </w:rPr>
              <w:t>i antiepidemice</w:t>
            </w:r>
            <w:r w:rsidR="007E6B0B" w:rsidRPr="00B13B9A">
              <w:rPr>
                <w:rFonts w:asciiTheme="majorHAnsi" w:hAnsiTheme="majorHAnsi" w:cstheme="majorHAnsi"/>
                <w:i/>
                <w:szCs w:val="24"/>
                <w:lang w:val="ro-MD"/>
              </w:rPr>
              <w:t>,</w:t>
            </w:r>
            <w:r w:rsidRPr="00B13B9A">
              <w:rPr>
                <w:rFonts w:asciiTheme="majorHAnsi" w:hAnsiTheme="majorHAnsi" w:cstheme="majorHAnsi"/>
                <w:i/>
                <w:szCs w:val="24"/>
                <w:lang w:val="ro-MD"/>
              </w:rPr>
              <w:t xml:space="preserve"> direc</w:t>
            </w:r>
            <w:r w:rsidR="00B13B9A" w:rsidRPr="00B13B9A">
              <w:rPr>
                <w:rFonts w:asciiTheme="majorHAnsi" w:hAnsiTheme="majorHAnsi" w:cstheme="majorHAnsi"/>
                <w:i/>
                <w:szCs w:val="24"/>
                <w:lang w:val="ro-MD"/>
              </w:rPr>
              <w:t>ț</w:t>
            </w:r>
            <w:r w:rsidRPr="00B13B9A">
              <w:rPr>
                <w:rFonts w:asciiTheme="majorHAnsi" w:hAnsiTheme="majorHAnsi" w:cstheme="majorHAnsi"/>
                <w:i/>
                <w:szCs w:val="24"/>
                <w:lang w:val="ro-MD"/>
              </w:rPr>
              <w:t>ionate spre depistare</w:t>
            </w:r>
            <w:r w:rsidR="007E6B0B" w:rsidRPr="00B13B9A">
              <w:rPr>
                <w:rFonts w:asciiTheme="majorHAnsi" w:hAnsiTheme="majorHAnsi" w:cstheme="majorHAnsi"/>
                <w:i/>
                <w:szCs w:val="24"/>
                <w:lang w:val="ro-MD"/>
              </w:rPr>
              <w:t>a</w:t>
            </w:r>
            <w:r w:rsidRPr="00B13B9A">
              <w:rPr>
                <w:rFonts w:asciiTheme="majorHAnsi" w:hAnsiTheme="majorHAnsi" w:cstheme="majorHAnsi"/>
                <w:i/>
                <w:szCs w:val="24"/>
                <w:lang w:val="ro-MD"/>
              </w:rPr>
              <w:t>, examinare</w:t>
            </w:r>
            <w:r w:rsidR="007E6B0B" w:rsidRPr="00B13B9A">
              <w:rPr>
                <w:rFonts w:asciiTheme="majorHAnsi" w:hAnsiTheme="majorHAnsi" w:cstheme="majorHAnsi"/>
                <w:i/>
                <w:szCs w:val="24"/>
                <w:lang w:val="ro-MD"/>
              </w:rPr>
              <w:t>a</w:t>
            </w:r>
            <w:r w:rsidRPr="00B13B9A">
              <w:rPr>
                <w:rFonts w:asciiTheme="majorHAnsi" w:hAnsiTheme="majorHAnsi" w:cstheme="majorHAnsi"/>
                <w:i/>
                <w:szCs w:val="24"/>
                <w:lang w:val="ro-MD"/>
              </w:rPr>
              <w:t xml:space="preserve"> </w:t>
            </w:r>
            <w:r w:rsidR="00B13B9A" w:rsidRPr="00B13B9A">
              <w:rPr>
                <w:rFonts w:asciiTheme="majorHAnsi" w:hAnsiTheme="majorHAnsi" w:cstheme="majorHAnsi"/>
                <w:i/>
                <w:szCs w:val="24"/>
                <w:lang w:val="ro-MD"/>
              </w:rPr>
              <w:t>ș</w:t>
            </w:r>
            <w:r w:rsidRPr="00B13B9A">
              <w:rPr>
                <w:rFonts w:asciiTheme="majorHAnsi" w:hAnsiTheme="majorHAnsi" w:cstheme="majorHAnsi"/>
                <w:i/>
                <w:szCs w:val="24"/>
                <w:lang w:val="ro-MD"/>
              </w:rPr>
              <w:t>i tratament</w:t>
            </w:r>
            <w:r w:rsidR="007E6B0B" w:rsidRPr="00B13B9A">
              <w:rPr>
                <w:rFonts w:asciiTheme="majorHAnsi" w:hAnsiTheme="majorHAnsi" w:cstheme="majorHAnsi"/>
                <w:i/>
                <w:szCs w:val="24"/>
                <w:lang w:val="ro-MD"/>
              </w:rPr>
              <w:t>ul</w:t>
            </w:r>
            <w:r w:rsidRPr="00B13B9A">
              <w:rPr>
                <w:rFonts w:asciiTheme="majorHAnsi" w:hAnsiTheme="majorHAnsi" w:cstheme="majorHAnsi"/>
                <w:i/>
                <w:szCs w:val="24"/>
                <w:lang w:val="ro-MD"/>
              </w:rPr>
              <w:t>, inclusiv coercitiv, spre eviden</w:t>
            </w:r>
            <w:r w:rsidR="00B13B9A" w:rsidRPr="00B13B9A">
              <w:rPr>
                <w:rFonts w:asciiTheme="majorHAnsi" w:hAnsiTheme="majorHAnsi" w:cstheme="majorHAnsi"/>
                <w:i/>
                <w:szCs w:val="24"/>
                <w:lang w:val="ro-MD"/>
              </w:rPr>
              <w:t>ț</w:t>
            </w:r>
            <w:r w:rsidRPr="00B13B9A">
              <w:rPr>
                <w:rFonts w:asciiTheme="majorHAnsi" w:hAnsiTheme="majorHAnsi" w:cstheme="majorHAnsi"/>
                <w:i/>
                <w:szCs w:val="24"/>
                <w:lang w:val="ro-MD"/>
              </w:rPr>
              <w:t xml:space="preserve">a </w:t>
            </w:r>
            <w:r w:rsidR="00B13B9A" w:rsidRPr="00B13B9A">
              <w:rPr>
                <w:rFonts w:asciiTheme="majorHAnsi" w:hAnsiTheme="majorHAnsi" w:cstheme="majorHAnsi"/>
                <w:i/>
                <w:szCs w:val="24"/>
                <w:lang w:val="ro-MD"/>
              </w:rPr>
              <w:t>ș</w:t>
            </w:r>
            <w:r w:rsidRPr="00B13B9A">
              <w:rPr>
                <w:rFonts w:asciiTheme="majorHAnsi" w:hAnsiTheme="majorHAnsi" w:cstheme="majorHAnsi"/>
                <w:i/>
                <w:szCs w:val="24"/>
                <w:lang w:val="ro-MD"/>
              </w:rPr>
              <w:t>i recuperarea bolnavilor de tuberculoză, realizate în condi</w:t>
            </w:r>
            <w:r w:rsidR="00B13B9A" w:rsidRPr="00B13B9A">
              <w:rPr>
                <w:rFonts w:asciiTheme="majorHAnsi" w:hAnsiTheme="majorHAnsi" w:cstheme="majorHAnsi"/>
                <w:i/>
                <w:szCs w:val="24"/>
                <w:lang w:val="ro-MD"/>
              </w:rPr>
              <w:t>ț</w:t>
            </w:r>
            <w:r w:rsidRPr="00B13B9A">
              <w:rPr>
                <w:rFonts w:asciiTheme="majorHAnsi" w:hAnsiTheme="majorHAnsi" w:cstheme="majorHAnsi"/>
                <w:i/>
                <w:szCs w:val="24"/>
                <w:lang w:val="ro-MD"/>
              </w:rPr>
              <w:t>ii de sta</w:t>
            </w:r>
            <w:r w:rsidR="00B13B9A" w:rsidRPr="00B13B9A">
              <w:rPr>
                <w:rFonts w:asciiTheme="majorHAnsi" w:hAnsiTheme="majorHAnsi" w:cstheme="majorHAnsi"/>
                <w:i/>
                <w:szCs w:val="24"/>
                <w:lang w:val="ro-MD"/>
              </w:rPr>
              <w:t>ț</w:t>
            </w:r>
            <w:r w:rsidRPr="00B13B9A">
              <w:rPr>
                <w:rFonts w:asciiTheme="majorHAnsi" w:hAnsiTheme="majorHAnsi" w:cstheme="majorHAnsi"/>
                <w:i/>
                <w:szCs w:val="24"/>
                <w:lang w:val="ro-MD"/>
              </w:rPr>
              <w:t>ionar sau de ambulator</w:t>
            </w:r>
          </w:p>
        </w:tc>
      </w:tr>
      <w:tr w:rsidR="006D52C7" w:rsidRPr="00B13B9A" w14:paraId="25E81984" w14:textId="77777777" w:rsidTr="00B24768">
        <w:trPr>
          <w:trHeight w:val="324"/>
        </w:trPr>
        <w:tc>
          <w:tcPr>
            <w:tcW w:w="2343" w:type="dxa"/>
          </w:tcPr>
          <w:p w14:paraId="7A0086CE" w14:textId="1FF62217" w:rsidR="006D52C7" w:rsidRPr="00B13B9A" w:rsidRDefault="006D52C7" w:rsidP="00B24768">
            <w:pPr>
              <w:rPr>
                <w:rFonts w:asciiTheme="majorHAnsi" w:hAnsiTheme="majorHAnsi" w:cstheme="majorHAnsi"/>
                <w:b/>
                <w:szCs w:val="24"/>
                <w:lang w:val="ro-MD"/>
              </w:rPr>
            </w:pPr>
            <w:r w:rsidRPr="00B13B9A">
              <w:rPr>
                <w:rFonts w:asciiTheme="majorHAnsi" w:hAnsiTheme="majorHAnsi" w:cstheme="majorHAnsi"/>
                <w:b/>
                <w:szCs w:val="24"/>
                <w:lang w:val="ro-MD"/>
              </w:rPr>
              <w:t>Contract de achizi</w:t>
            </w:r>
            <w:r w:rsidR="00B13B9A" w:rsidRPr="00B13B9A">
              <w:rPr>
                <w:rFonts w:asciiTheme="majorHAnsi" w:hAnsiTheme="majorHAnsi" w:cstheme="majorHAnsi"/>
                <w:b/>
                <w:szCs w:val="24"/>
                <w:lang w:val="ro-MD"/>
              </w:rPr>
              <w:t>ț</w:t>
            </w:r>
            <w:r w:rsidRPr="00B13B9A">
              <w:rPr>
                <w:rFonts w:asciiTheme="majorHAnsi" w:hAnsiTheme="majorHAnsi" w:cstheme="majorHAnsi"/>
                <w:b/>
                <w:szCs w:val="24"/>
                <w:lang w:val="ro-MD"/>
              </w:rPr>
              <w:t>ii publice</w:t>
            </w:r>
          </w:p>
        </w:tc>
        <w:tc>
          <w:tcPr>
            <w:tcW w:w="7324" w:type="dxa"/>
          </w:tcPr>
          <w:p w14:paraId="014096DC" w14:textId="0295438C" w:rsidR="006D52C7" w:rsidRPr="00B13B9A" w:rsidRDefault="006D52C7" w:rsidP="00B24768">
            <w:pPr>
              <w:jc w:val="both"/>
              <w:rPr>
                <w:rFonts w:asciiTheme="majorHAnsi" w:hAnsiTheme="majorHAnsi" w:cstheme="majorHAnsi"/>
                <w:i/>
                <w:szCs w:val="24"/>
                <w:lang w:val="ro-MD"/>
              </w:rPr>
            </w:pPr>
            <w:r w:rsidRPr="00B13B9A">
              <w:rPr>
                <w:rFonts w:asciiTheme="majorHAnsi" w:hAnsiTheme="majorHAnsi" w:cstheme="majorHAnsi"/>
                <w:i/>
                <w:szCs w:val="24"/>
                <w:lang w:val="ro-MD"/>
              </w:rPr>
              <w:t>Contract cu titlu oneros, încheiat în scris între unul sau mai mul</w:t>
            </w:r>
            <w:r w:rsidR="00B13B9A" w:rsidRPr="00B13B9A">
              <w:rPr>
                <w:rFonts w:asciiTheme="majorHAnsi" w:hAnsiTheme="majorHAnsi" w:cstheme="majorHAnsi"/>
                <w:i/>
                <w:szCs w:val="24"/>
                <w:lang w:val="ro-MD"/>
              </w:rPr>
              <w:t>ț</w:t>
            </w:r>
            <w:r w:rsidRPr="00B13B9A">
              <w:rPr>
                <w:rFonts w:asciiTheme="majorHAnsi" w:hAnsiTheme="majorHAnsi" w:cstheme="majorHAnsi"/>
                <w:i/>
                <w:szCs w:val="24"/>
                <w:lang w:val="ro-MD"/>
              </w:rPr>
              <w:t xml:space="preserve">i operatori economici </w:t>
            </w:r>
            <w:r w:rsidR="00B13B9A" w:rsidRPr="00B13B9A">
              <w:rPr>
                <w:rFonts w:asciiTheme="majorHAnsi" w:hAnsiTheme="majorHAnsi" w:cstheme="majorHAnsi"/>
                <w:i/>
                <w:szCs w:val="24"/>
                <w:lang w:val="ro-MD"/>
              </w:rPr>
              <w:t>ș</w:t>
            </w:r>
            <w:r w:rsidRPr="00B13B9A">
              <w:rPr>
                <w:rFonts w:asciiTheme="majorHAnsi" w:hAnsiTheme="majorHAnsi" w:cstheme="majorHAnsi"/>
                <w:i/>
                <w:szCs w:val="24"/>
                <w:lang w:val="ro-MD"/>
              </w:rPr>
              <w:t>i una sau mai multe autorită</w:t>
            </w:r>
            <w:r w:rsidR="00B13B9A" w:rsidRPr="00B13B9A">
              <w:rPr>
                <w:rFonts w:asciiTheme="majorHAnsi" w:hAnsiTheme="majorHAnsi" w:cstheme="majorHAnsi"/>
                <w:i/>
                <w:szCs w:val="24"/>
                <w:lang w:val="ro-MD"/>
              </w:rPr>
              <w:t>ț</w:t>
            </w:r>
            <w:r w:rsidRPr="00B13B9A">
              <w:rPr>
                <w:rFonts w:asciiTheme="majorHAnsi" w:hAnsiTheme="majorHAnsi" w:cstheme="majorHAnsi"/>
                <w:i/>
                <w:szCs w:val="24"/>
                <w:lang w:val="ro-MD"/>
              </w:rPr>
              <w:t>i contractante, care are ca obiect achizi</w:t>
            </w:r>
            <w:r w:rsidR="00B13B9A" w:rsidRPr="00B13B9A">
              <w:rPr>
                <w:rFonts w:asciiTheme="majorHAnsi" w:hAnsiTheme="majorHAnsi" w:cstheme="majorHAnsi"/>
                <w:i/>
                <w:szCs w:val="24"/>
                <w:lang w:val="ro-MD"/>
              </w:rPr>
              <w:t>ț</w:t>
            </w:r>
            <w:r w:rsidRPr="00B13B9A">
              <w:rPr>
                <w:rFonts w:asciiTheme="majorHAnsi" w:hAnsiTheme="majorHAnsi" w:cstheme="majorHAnsi"/>
                <w:i/>
                <w:szCs w:val="24"/>
                <w:lang w:val="ro-MD"/>
              </w:rPr>
              <w:t>ia de bunuri, executarea de lucrări sau prestarea de servicii</w:t>
            </w:r>
          </w:p>
        </w:tc>
      </w:tr>
      <w:tr w:rsidR="006D52C7" w:rsidRPr="00B13B9A" w14:paraId="21A68BCB" w14:textId="77777777" w:rsidTr="00B24768">
        <w:trPr>
          <w:cnfStyle w:val="000000100000" w:firstRow="0" w:lastRow="0" w:firstColumn="0" w:lastColumn="0" w:oddVBand="0" w:evenVBand="0" w:oddHBand="1" w:evenHBand="0" w:firstRowFirstColumn="0" w:firstRowLastColumn="0" w:lastRowFirstColumn="0" w:lastRowLastColumn="0"/>
          <w:trHeight w:val="324"/>
        </w:trPr>
        <w:tc>
          <w:tcPr>
            <w:tcW w:w="2343" w:type="dxa"/>
          </w:tcPr>
          <w:p w14:paraId="54279B25" w14:textId="1E4CC116" w:rsidR="006D52C7" w:rsidRPr="00B13B9A" w:rsidRDefault="006D52C7" w:rsidP="00B24768">
            <w:pPr>
              <w:rPr>
                <w:rFonts w:asciiTheme="majorHAnsi" w:hAnsiTheme="majorHAnsi" w:cstheme="majorHAnsi"/>
                <w:b/>
                <w:szCs w:val="24"/>
                <w:lang w:val="ro-MD"/>
              </w:rPr>
            </w:pPr>
            <w:r w:rsidRPr="00B13B9A">
              <w:rPr>
                <w:rFonts w:asciiTheme="majorHAnsi" w:hAnsiTheme="majorHAnsi" w:cstheme="majorHAnsi"/>
                <w:b/>
                <w:szCs w:val="24"/>
                <w:lang w:val="ro-MD"/>
              </w:rPr>
              <w:t>Deetatizare a proprietă</w:t>
            </w:r>
            <w:r w:rsidR="00B13B9A" w:rsidRPr="00B13B9A">
              <w:rPr>
                <w:rFonts w:asciiTheme="majorHAnsi" w:hAnsiTheme="majorHAnsi" w:cstheme="majorHAnsi"/>
                <w:b/>
                <w:szCs w:val="24"/>
                <w:lang w:val="ro-MD"/>
              </w:rPr>
              <w:t>ț</w:t>
            </w:r>
            <w:r w:rsidRPr="00B13B9A">
              <w:rPr>
                <w:rFonts w:asciiTheme="majorHAnsi" w:hAnsiTheme="majorHAnsi" w:cstheme="majorHAnsi"/>
                <w:b/>
                <w:szCs w:val="24"/>
                <w:lang w:val="ro-MD"/>
              </w:rPr>
              <w:t>ii publice</w:t>
            </w:r>
          </w:p>
        </w:tc>
        <w:tc>
          <w:tcPr>
            <w:tcW w:w="7324" w:type="dxa"/>
          </w:tcPr>
          <w:p w14:paraId="0E77B6A5" w14:textId="4F06ABF2" w:rsidR="006D52C7" w:rsidRPr="00B13B9A" w:rsidRDefault="006D52C7" w:rsidP="007E6B0B">
            <w:pPr>
              <w:jc w:val="both"/>
              <w:rPr>
                <w:rFonts w:asciiTheme="majorHAnsi" w:hAnsiTheme="majorHAnsi" w:cstheme="majorHAnsi"/>
                <w:i/>
                <w:szCs w:val="24"/>
                <w:lang w:val="ro-MD"/>
              </w:rPr>
            </w:pPr>
            <w:r w:rsidRPr="00B13B9A">
              <w:rPr>
                <w:rFonts w:asciiTheme="majorHAnsi" w:hAnsiTheme="majorHAnsi" w:cstheme="majorHAnsi"/>
                <w:i/>
                <w:szCs w:val="24"/>
                <w:lang w:val="ro-MD"/>
              </w:rPr>
              <w:t>Activitate care include transmiterea patrimoniului public în proprietate privată în condi</w:t>
            </w:r>
            <w:r w:rsidR="00B13B9A" w:rsidRPr="00B13B9A">
              <w:rPr>
                <w:rFonts w:asciiTheme="majorHAnsi" w:hAnsiTheme="majorHAnsi" w:cstheme="majorHAnsi"/>
                <w:i/>
                <w:szCs w:val="24"/>
                <w:lang w:val="ro-MD"/>
              </w:rPr>
              <w:t>ț</w:t>
            </w:r>
            <w:r w:rsidRPr="00B13B9A">
              <w:rPr>
                <w:rFonts w:asciiTheme="majorHAnsi" w:hAnsiTheme="majorHAnsi" w:cstheme="majorHAnsi"/>
                <w:i/>
                <w:szCs w:val="24"/>
                <w:lang w:val="ro-MD"/>
              </w:rPr>
              <w:t>iile legi</w:t>
            </w:r>
            <w:r w:rsidR="007E6B0B" w:rsidRPr="00B13B9A">
              <w:rPr>
                <w:rFonts w:asciiTheme="majorHAnsi" w:hAnsiTheme="majorHAnsi" w:cstheme="majorHAnsi"/>
                <w:i/>
                <w:szCs w:val="24"/>
                <w:lang w:val="ro-MD"/>
              </w:rPr>
              <w:t>i</w:t>
            </w:r>
            <w:r w:rsidRPr="00B13B9A">
              <w:rPr>
                <w:rFonts w:asciiTheme="majorHAnsi" w:hAnsiTheme="majorHAnsi" w:cstheme="majorHAnsi"/>
                <w:i/>
                <w:szCs w:val="24"/>
                <w:lang w:val="ro-MD"/>
              </w:rPr>
              <w:t xml:space="preserve"> (</w:t>
            </w:r>
            <w:r w:rsidR="007E6B0B" w:rsidRPr="00B13B9A">
              <w:rPr>
                <w:rFonts w:asciiTheme="majorHAnsi" w:hAnsiTheme="majorHAnsi" w:cstheme="majorHAnsi"/>
                <w:i/>
                <w:szCs w:val="24"/>
                <w:lang w:val="ro-MD"/>
              </w:rPr>
              <w:t xml:space="preserve">cu privire la </w:t>
            </w:r>
            <w:r w:rsidRPr="00B13B9A">
              <w:rPr>
                <w:rFonts w:asciiTheme="majorHAnsi" w:hAnsiTheme="majorHAnsi" w:cstheme="majorHAnsi"/>
                <w:i/>
                <w:szCs w:val="24"/>
                <w:lang w:val="ro-MD"/>
              </w:rPr>
              <w:t xml:space="preserve">privatizare), precum </w:t>
            </w:r>
            <w:r w:rsidR="00B13B9A" w:rsidRPr="00B13B9A">
              <w:rPr>
                <w:rFonts w:asciiTheme="majorHAnsi" w:hAnsiTheme="majorHAnsi" w:cstheme="majorHAnsi"/>
                <w:i/>
                <w:szCs w:val="24"/>
                <w:lang w:val="ro-MD"/>
              </w:rPr>
              <w:t>ș</w:t>
            </w:r>
            <w:r w:rsidRPr="00B13B9A">
              <w:rPr>
                <w:rFonts w:asciiTheme="majorHAnsi" w:hAnsiTheme="majorHAnsi" w:cstheme="majorHAnsi"/>
                <w:i/>
                <w:szCs w:val="24"/>
                <w:lang w:val="ro-MD"/>
              </w:rPr>
              <w:t>i transmiterea în concesiune, administrare fiduciară</w:t>
            </w:r>
            <w:r w:rsidR="007E6B0B" w:rsidRPr="00B13B9A">
              <w:rPr>
                <w:rFonts w:asciiTheme="majorHAnsi" w:hAnsiTheme="majorHAnsi" w:cstheme="majorHAnsi"/>
                <w:i/>
                <w:szCs w:val="24"/>
                <w:lang w:val="ro-MD"/>
              </w:rPr>
              <w:t xml:space="preserve"> </w:t>
            </w:r>
            <w:r w:rsidRPr="00B13B9A">
              <w:rPr>
                <w:rFonts w:asciiTheme="majorHAnsi" w:hAnsiTheme="majorHAnsi" w:cstheme="majorHAnsi"/>
                <w:i/>
                <w:szCs w:val="24"/>
                <w:lang w:val="ro-MD"/>
              </w:rPr>
              <w:t>a întreprinderilor de stat în proprietatea unită</w:t>
            </w:r>
            <w:r w:rsidR="00B13B9A" w:rsidRPr="00B13B9A">
              <w:rPr>
                <w:rFonts w:asciiTheme="majorHAnsi" w:hAnsiTheme="majorHAnsi" w:cstheme="majorHAnsi"/>
                <w:i/>
                <w:szCs w:val="24"/>
                <w:lang w:val="ro-MD"/>
              </w:rPr>
              <w:t>ț</w:t>
            </w:r>
            <w:r w:rsidRPr="00B13B9A">
              <w:rPr>
                <w:rFonts w:asciiTheme="majorHAnsi" w:hAnsiTheme="majorHAnsi" w:cstheme="majorHAnsi"/>
                <w:i/>
                <w:szCs w:val="24"/>
                <w:lang w:val="ro-MD"/>
              </w:rPr>
              <w:t>ilor administrativ-teritoriale, alte activită</w:t>
            </w:r>
            <w:r w:rsidR="00B13B9A" w:rsidRPr="00B13B9A">
              <w:rPr>
                <w:rFonts w:asciiTheme="majorHAnsi" w:hAnsiTheme="majorHAnsi" w:cstheme="majorHAnsi"/>
                <w:i/>
                <w:szCs w:val="24"/>
                <w:lang w:val="ro-MD"/>
              </w:rPr>
              <w:t>ț</w:t>
            </w:r>
            <w:r w:rsidRPr="00B13B9A">
              <w:rPr>
                <w:rFonts w:asciiTheme="majorHAnsi" w:hAnsiTheme="majorHAnsi" w:cstheme="majorHAnsi"/>
                <w:i/>
                <w:szCs w:val="24"/>
                <w:lang w:val="ro-MD"/>
              </w:rPr>
              <w:t>i orientate spre diminuarea participării statului la administrarea proprietă</w:t>
            </w:r>
            <w:r w:rsidR="00B13B9A" w:rsidRPr="00B13B9A">
              <w:rPr>
                <w:rFonts w:asciiTheme="majorHAnsi" w:hAnsiTheme="majorHAnsi" w:cstheme="majorHAnsi"/>
                <w:i/>
                <w:szCs w:val="24"/>
                <w:lang w:val="ro-MD"/>
              </w:rPr>
              <w:t>ț</w:t>
            </w:r>
            <w:r w:rsidRPr="00B13B9A">
              <w:rPr>
                <w:rFonts w:asciiTheme="majorHAnsi" w:hAnsiTheme="majorHAnsi" w:cstheme="majorHAnsi"/>
                <w:i/>
                <w:szCs w:val="24"/>
                <w:lang w:val="ro-MD"/>
              </w:rPr>
              <w:t>ii</w:t>
            </w:r>
          </w:p>
        </w:tc>
      </w:tr>
      <w:tr w:rsidR="006D52C7" w:rsidRPr="00B13B9A" w14:paraId="19081DB5" w14:textId="77777777" w:rsidTr="00B24768">
        <w:trPr>
          <w:trHeight w:val="324"/>
        </w:trPr>
        <w:tc>
          <w:tcPr>
            <w:tcW w:w="2343" w:type="dxa"/>
          </w:tcPr>
          <w:p w14:paraId="0D4DB8E6" w14:textId="77777777" w:rsidR="006D52C7" w:rsidRPr="00B13B9A" w:rsidRDefault="006D52C7" w:rsidP="00B24768">
            <w:pPr>
              <w:rPr>
                <w:rFonts w:asciiTheme="majorHAnsi" w:hAnsiTheme="majorHAnsi" w:cstheme="majorHAnsi"/>
                <w:b/>
                <w:szCs w:val="24"/>
                <w:lang w:val="ro-MD"/>
              </w:rPr>
            </w:pPr>
            <w:r w:rsidRPr="00B13B9A">
              <w:rPr>
                <w:rFonts w:asciiTheme="majorHAnsi" w:hAnsiTheme="majorHAnsi" w:cstheme="majorHAnsi"/>
                <w:b/>
                <w:szCs w:val="24"/>
                <w:lang w:val="ro-MD"/>
              </w:rPr>
              <w:t>Inventariere</w:t>
            </w:r>
          </w:p>
        </w:tc>
        <w:tc>
          <w:tcPr>
            <w:tcW w:w="7324" w:type="dxa"/>
          </w:tcPr>
          <w:p w14:paraId="79BB1456" w14:textId="22894C39" w:rsidR="006D52C7" w:rsidRPr="00B13B9A" w:rsidRDefault="006D52C7" w:rsidP="00B24768">
            <w:pPr>
              <w:jc w:val="both"/>
              <w:rPr>
                <w:rFonts w:asciiTheme="majorHAnsi" w:hAnsiTheme="majorHAnsi" w:cstheme="majorHAnsi"/>
                <w:i/>
                <w:szCs w:val="24"/>
                <w:lang w:val="ro-MD"/>
              </w:rPr>
            </w:pPr>
            <w:r w:rsidRPr="00B13B9A">
              <w:rPr>
                <w:rFonts w:asciiTheme="majorHAnsi" w:hAnsiTheme="majorHAnsi" w:cstheme="majorHAnsi"/>
                <w:i/>
                <w:szCs w:val="24"/>
                <w:lang w:val="ro-MD"/>
              </w:rPr>
              <w:t xml:space="preserve">Procedeu de control </w:t>
            </w:r>
            <w:r w:rsidR="00B13B9A" w:rsidRPr="00B13B9A">
              <w:rPr>
                <w:rFonts w:asciiTheme="majorHAnsi" w:hAnsiTheme="majorHAnsi" w:cstheme="majorHAnsi"/>
                <w:i/>
                <w:szCs w:val="24"/>
                <w:lang w:val="ro-MD"/>
              </w:rPr>
              <w:t>ș</w:t>
            </w:r>
            <w:r w:rsidRPr="00B13B9A">
              <w:rPr>
                <w:rFonts w:asciiTheme="majorHAnsi" w:hAnsiTheme="majorHAnsi" w:cstheme="majorHAnsi"/>
                <w:i/>
                <w:szCs w:val="24"/>
                <w:lang w:val="ro-MD"/>
              </w:rPr>
              <w:t>i autentificare documentară a existen</w:t>
            </w:r>
            <w:r w:rsidR="00B13B9A" w:rsidRPr="00B13B9A">
              <w:rPr>
                <w:rFonts w:asciiTheme="majorHAnsi" w:hAnsiTheme="majorHAnsi" w:cstheme="majorHAnsi"/>
                <w:i/>
                <w:szCs w:val="24"/>
                <w:lang w:val="ro-MD"/>
              </w:rPr>
              <w:t>ț</w:t>
            </w:r>
            <w:r w:rsidRPr="00B13B9A">
              <w:rPr>
                <w:rFonts w:asciiTheme="majorHAnsi" w:hAnsiTheme="majorHAnsi" w:cstheme="majorHAnsi"/>
                <w:i/>
                <w:szCs w:val="24"/>
                <w:lang w:val="ro-MD"/>
              </w:rPr>
              <w:t xml:space="preserve">ei activelor, capitalului propriu </w:t>
            </w:r>
            <w:r w:rsidR="00B13B9A" w:rsidRPr="00B13B9A">
              <w:rPr>
                <w:rFonts w:asciiTheme="majorHAnsi" w:hAnsiTheme="majorHAnsi" w:cstheme="majorHAnsi"/>
                <w:i/>
                <w:szCs w:val="24"/>
                <w:lang w:val="ro-MD"/>
              </w:rPr>
              <w:t>ș</w:t>
            </w:r>
            <w:r w:rsidRPr="00B13B9A">
              <w:rPr>
                <w:rFonts w:asciiTheme="majorHAnsi" w:hAnsiTheme="majorHAnsi" w:cstheme="majorHAnsi"/>
                <w:i/>
                <w:szCs w:val="24"/>
                <w:lang w:val="ro-MD"/>
              </w:rPr>
              <w:t>i datoriilor care apar</w:t>
            </w:r>
            <w:r w:rsidR="00B13B9A" w:rsidRPr="00B13B9A">
              <w:rPr>
                <w:rFonts w:asciiTheme="majorHAnsi" w:hAnsiTheme="majorHAnsi" w:cstheme="majorHAnsi"/>
                <w:i/>
                <w:szCs w:val="24"/>
                <w:lang w:val="ro-MD"/>
              </w:rPr>
              <w:t>ț</w:t>
            </w:r>
            <w:r w:rsidRPr="00B13B9A">
              <w:rPr>
                <w:rFonts w:asciiTheme="majorHAnsi" w:hAnsiTheme="majorHAnsi" w:cstheme="majorHAnsi"/>
                <w:i/>
                <w:szCs w:val="24"/>
                <w:lang w:val="ro-MD"/>
              </w:rPr>
              <w:t xml:space="preserve">in </w:t>
            </w:r>
            <w:r w:rsidR="00B13B9A" w:rsidRPr="00B13B9A">
              <w:rPr>
                <w:rFonts w:asciiTheme="majorHAnsi" w:hAnsiTheme="majorHAnsi" w:cstheme="majorHAnsi"/>
                <w:i/>
                <w:szCs w:val="24"/>
                <w:lang w:val="ro-MD"/>
              </w:rPr>
              <w:t>ș</w:t>
            </w:r>
            <w:r w:rsidRPr="00B13B9A">
              <w:rPr>
                <w:rFonts w:asciiTheme="majorHAnsi" w:hAnsiTheme="majorHAnsi" w:cstheme="majorHAnsi"/>
                <w:i/>
                <w:szCs w:val="24"/>
                <w:lang w:val="ro-MD"/>
              </w:rPr>
              <w:t>i/sau se află în gestiunea temporară a entită</w:t>
            </w:r>
            <w:r w:rsidR="00B13B9A" w:rsidRPr="00B13B9A">
              <w:rPr>
                <w:rFonts w:asciiTheme="majorHAnsi" w:hAnsiTheme="majorHAnsi" w:cstheme="majorHAnsi"/>
                <w:i/>
                <w:szCs w:val="24"/>
                <w:lang w:val="ro-MD"/>
              </w:rPr>
              <w:t>ț</w:t>
            </w:r>
            <w:r w:rsidRPr="00B13B9A">
              <w:rPr>
                <w:rFonts w:asciiTheme="majorHAnsi" w:hAnsiTheme="majorHAnsi" w:cstheme="majorHAnsi"/>
                <w:i/>
                <w:szCs w:val="24"/>
                <w:lang w:val="ro-MD"/>
              </w:rPr>
              <w:t>ii</w:t>
            </w:r>
          </w:p>
        </w:tc>
      </w:tr>
      <w:tr w:rsidR="006D52C7" w:rsidRPr="00B13B9A" w14:paraId="54BA5300" w14:textId="77777777" w:rsidTr="00B24768">
        <w:trPr>
          <w:cnfStyle w:val="000000100000" w:firstRow="0" w:lastRow="0" w:firstColumn="0" w:lastColumn="0" w:oddVBand="0" w:evenVBand="0" w:oddHBand="1" w:evenHBand="0" w:firstRowFirstColumn="0" w:firstRowLastColumn="0" w:lastRowFirstColumn="0" w:lastRowLastColumn="0"/>
          <w:trHeight w:val="324"/>
        </w:trPr>
        <w:tc>
          <w:tcPr>
            <w:tcW w:w="2343" w:type="dxa"/>
          </w:tcPr>
          <w:p w14:paraId="676862F9" w14:textId="77777777" w:rsidR="006D52C7" w:rsidRPr="00B13B9A" w:rsidRDefault="006D52C7" w:rsidP="00B24768">
            <w:pPr>
              <w:rPr>
                <w:rFonts w:asciiTheme="majorHAnsi" w:hAnsiTheme="majorHAnsi" w:cstheme="majorHAnsi"/>
                <w:b/>
                <w:szCs w:val="24"/>
                <w:lang w:val="ro-MD"/>
              </w:rPr>
            </w:pPr>
            <w:r w:rsidRPr="00B13B9A">
              <w:rPr>
                <w:rFonts w:asciiTheme="majorHAnsi" w:hAnsiTheme="majorHAnsi" w:cstheme="majorHAnsi"/>
                <w:b/>
                <w:szCs w:val="24"/>
                <w:lang w:val="ro-MD"/>
              </w:rPr>
              <w:t>Medicamente antituberculoase</w:t>
            </w:r>
          </w:p>
        </w:tc>
        <w:tc>
          <w:tcPr>
            <w:tcW w:w="7324" w:type="dxa"/>
          </w:tcPr>
          <w:p w14:paraId="2AA9C978" w14:textId="77777777" w:rsidR="006D52C7" w:rsidRPr="00B13B9A" w:rsidRDefault="0053077D" w:rsidP="00B24768">
            <w:pPr>
              <w:pStyle w:val="ae"/>
              <w:shd w:val="clear" w:color="auto" w:fill="FFFFFF"/>
              <w:spacing w:before="0" w:beforeAutospacing="0" w:after="0" w:afterAutospacing="0"/>
              <w:textAlignment w:val="baseline"/>
              <w:rPr>
                <w:rFonts w:asciiTheme="majorHAnsi" w:hAnsiTheme="majorHAnsi" w:cstheme="majorHAnsi"/>
                <w:i/>
                <w:sz w:val="22"/>
                <w:lang w:val="ro-MD"/>
              </w:rPr>
            </w:pPr>
            <w:hyperlink r:id="rId12" w:tooltip="Medicament" w:history="1">
              <w:r w:rsidR="006D52C7" w:rsidRPr="00B13B9A">
                <w:rPr>
                  <w:rStyle w:val="a4"/>
                  <w:rFonts w:asciiTheme="majorHAnsi" w:hAnsiTheme="majorHAnsi" w:cstheme="majorHAnsi"/>
                  <w:i/>
                  <w:color w:val="000000" w:themeColor="text1"/>
                  <w:sz w:val="22"/>
                  <w:u w:val="none"/>
                  <w:bdr w:val="none" w:sz="0" w:space="0" w:color="auto" w:frame="1"/>
                  <w:lang w:val="ro-MD"/>
                </w:rPr>
                <w:t>Medicament</w:t>
              </w:r>
            </w:hyperlink>
            <w:r w:rsidR="006D52C7" w:rsidRPr="00B13B9A">
              <w:rPr>
                <w:rFonts w:asciiTheme="majorHAnsi" w:hAnsiTheme="majorHAnsi" w:cstheme="majorHAnsi"/>
                <w:i/>
                <w:color w:val="000000" w:themeColor="text1"/>
                <w:sz w:val="22"/>
                <w:lang w:val="ro-MD"/>
              </w:rPr>
              <w:t>e utilizate în </w:t>
            </w:r>
            <w:hyperlink r:id="rId13" w:tooltip="Tratament" w:history="1">
              <w:r w:rsidR="006D52C7" w:rsidRPr="00B13B9A">
                <w:rPr>
                  <w:rStyle w:val="a4"/>
                  <w:rFonts w:asciiTheme="majorHAnsi" w:hAnsiTheme="majorHAnsi" w:cstheme="majorHAnsi"/>
                  <w:i/>
                  <w:color w:val="000000" w:themeColor="text1"/>
                  <w:sz w:val="22"/>
                  <w:u w:val="none"/>
                  <w:bdr w:val="none" w:sz="0" w:space="0" w:color="auto" w:frame="1"/>
                  <w:lang w:val="ro-MD"/>
                </w:rPr>
                <w:t>tratamentul</w:t>
              </w:r>
            </w:hyperlink>
            <w:r w:rsidR="006D52C7" w:rsidRPr="00B13B9A">
              <w:rPr>
                <w:rFonts w:asciiTheme="majorHAnsi" w:hAnsiTheme="majorHAnsi" w:cstheme="majorHAnsi"/>
                <w:i/>
                <w:color w:val="000000" w:themeColor="text1"/>
                <w:sz w:val="22"/>
                <w:lang w:val="ro-MD"/>
              </w:rPr>
              <w:t> </w:t>
            </w:r>
            <w:hyperlink r:id="rId14" w:tooltip="Tuberculoza (tbc) - generalitati" w:history="1">
              <w:r w:rsidR="006D52C7" w:rsidRPr="00B13B9A">
                <w:rPr>
                  <w:rStyle w:val="a4"/>
                  <w:rFonts w:asciiTheme="majorHAnsi" w:hAnsiTheme="majorHAnsi" w:cstheme="majorHAnsi"/>
                  <w:i/>
                  <w:color w:val="000000" w:themeColor="text1"/>
                  <w:sz w:val="22"/>
                  <w:u w:val="none"/>
                  <w:bdr w:val="none" w:sz="0" w:space="0" w:color="auto" w:frame="1"/>
                  <w:lang w:val="ro-MD"/>
                </w:rPr>
                <w:t>tuberculozei</w:t>
              </w:r>
            </w:hyperlink>
          </w:p>
          <w:p w14:paraId="4EA2C05B" w14:textId="77777777" w:rsidR="006D52C7" w:rsidRPr="00B13B9A" w:rsidRDefault="006D52C7" w:rsidP="00B24768">
            <w:pPr>
              <w:jc w:val="both"/>
              <w:rPr>
                <w:rFonts w:asciiTheme="majorHAnsi" w:eastAsia="Times New Roman" w:hAnsiTheme="majorHAnsi" w:cstheme="majorHAnsi"/>
                <w:i/>
                <w:szCs w:val="24"/>
                <w:lang w:val="ro-MD"/>
              </w:rPr>
            </w:pPr>
          </w:p>
        </w:tc>
      </w:tr>
      <w:tr w:rsidR="006D52C7" w:rsidRPr="00B13B9A" w14:paraId="43E687E9" w14:textId="77777777" w:rsidTr="00B24768">
        <w:trPr>
          <w:trHeight w:val="324"/>
        </w:trPr>
        <w:tc>
          <w:tcPr>
            <w:tcW w:w="2343" w:type="dxa"/>
          </w:tcPr>
          <w:p w14:paraId="0B0F0F14" w14:textId="6B17F7E6" w:rsidR="006D52C7" w:rsidRPr="00B13B9A" w:rsidRDefault="006D52C7" w:rsidP="007E6B0B">
            <w:pPr>
              <w:rPr>
                <w:rFonts w:asciiTheme="majorHAnsi" w:eastAsia="Times New Roman" w:hAnsiTheme="majorHAnsi" w:cstheme="majorHAnsi"/>
                <w:b/>
                <w:iCs/>
                <w:szCs w:val="24"/>
                <w:lang w:val="ro-MD"/>
              </w:rPr>
            </w:pPr>
            <w:r w:rsidRPr="00B13B9A">
              <w:rPr>
                <w:rFonts w:asciiTheme="majorHAnsi" w:hAnsiTheme="majorHAnsi" w:cstheme="majorHAnsi"/>
                <w:b/>
                <w:szCs w:val="24"/>
                <w:lang w:val="ro-MD"/>
              </w:rPr>
              <w:t>Patrimoniu public</w:t>
            </w:r>
          </w:p>
        </w:tc>
        <w:tc>
          <w:tcPr>
            <w:tcW w:w="7324" w:type="dxa"/>
          </w:tcPr>
          <w:p w14:paraId="5BC23134" w14:textId="1F0B5A35" w:rsidR="006D52C7" w:rsidRPr="00B13B9A" w:rsidRDefault="006D52C7" w:rsidP="00B24768">
            <w:pPr>
              <w:jc w:val="both"/>
              <w:rPr>
                <w:rFonts w:asciiTheme="majorHAnsi" w:eastAsia="Times New Roman" w:hAnsiTheme="majorHAnsi" w:cstheme="majorHAnsi"/>
                <w:i/>
                <w:szCs w:val="24"/>
                <w:lang w:val="ro-MD"/>
              </w:rPr>
            </w:pPr>
            <w:r w:rsidRPr="00B13B9A">
              <w:rPr>
                <w:rFonts w:asciiTheme="majorHAnsi" w:hAnsiTheme="majorHAnsi" w:cstheme="majorHAnsi"/>
                <w:i/>
                <w:szCs w:val="24"/>
                <w:lang w:val="ro-MD"/>
              </w:rPr>
              <w:t>Totalitatea</w:t>
            </w:r>
            <w:r w:rsidRPr="00B13B9A">
              <w:rPr>
                <w:rFonts w:asciiTheme="majorHAnsi" w:hAnsiTheme="majorHAnsi" w:cstheme="majorHAnsi"/>
                <w:i/>
                <w:szCs w:val="24"/>
                <w:shd w:val="clear" w:color="auto" w:fill="FFFFFF"/>
                <w:lang w:val="ro-MD"/>
              </w:rPr>
              <w:t xml:space="preserve"> drepturilor </w:t>
            </w:r>
            <w:r w:rsidR="00B13B9A" w:rsidRPr="00B13B9A">
              <w:rPr>
                <w:rFonts w:asciiTheme="majorHAnsi" w:hAnsiTheme="majorHAnsi" w:cstheme="majorHAnsi"/>
                <w:i/>
                <w:szCs w:val="24"/>
                <w:shd w:val="clear" w:color="auto" w:fill="FFFFFF"/>
                <w:lang w:val="ro-MD"/>
              </w:rPr>
              <w:t>ș</w:t>
            </w:r>
            <w:r w:rsidRPr="00B13B9A">
              <w:rPr>
                <w:rFonts w:asciiTheme="majorHAnsi" w:hAnsiTheme="majorHAnsi" w:cstheme="majorHAnsi"/>
                <w:i/>
                <w:szCs w:val="24"/>
                <w:shd w:val="clear" w:color="auto" w:fill="FFFFFF"/>
                <w:lang w:val="ro-MD"/>
              </w:rPr>
              <w:t>i a obliga</w:t>
            </w:r>
            <w:r w:rsidR="00B13B9A" w:rsidRPr="00B13B9A">
              <w:rPr>
                <w:rFonts w:asciiTheme="majorHAnsi" w:hAnsiTheme="majorHAnsi" w:cstheme="majorHAnsi"/>
                <w:i/>
                <w:szCs w:val="24"/>
                <w:shd w:val="clear" w:color="auto" w:fill="FFFFFF"/>
                <w:lang w:val="ro-MD"/>
              </w:rPr>
              <w:t>ț</w:t>
            </w:r>
            <w:r w:rsidRPr="00B13B9A">
              <w:rPr>
                <w:rFonts w:asciiTheme="majorHAnsi" w:hAnsiTheme="majorHAnsi" w:cstheme="majorHAnsi"/>
                <w:i/>
                <w:szCs w:val="24"/>
                <w:shd w:val="clear" w:color="auto" w:fill="FFFFFF"/>
                <w:lang w:val="ro-MD"/>
              </w:rPr>
              <w:t xml:space="preserve">iilor cu valoare economică, precum </w:t>
            </w:r>
            <w:r w:rsidR="00B13B9A" w:rsidRPr="00B13B9A">
              <w:rPr>
                <w:rFonts w:asciiTheme="majorHAnsi" w:hAnsiTheme="majorHAnsi" w:cstheme="majorHAnsi"/>
                <w:i/>
                <w:szCs w:val="24"/>
                <w:shd w:val="clear" w:color="auto" w:fill="FFFFFF"/>
                <w:lang w:val="ro-MD"/>
              </w:rPr>
              <w:t>ș</w:t>
            </w:r>
            <w:r w:rsidRPr="00B13B9A">
              <w:rPr>
                <w:rFonts w:asciiTheme="majorHAnsi" w:hAnsiTheme="majorHAnsi" w:cstheme="majorHAnsi"/>
                <w:i/>
                <w:szCs w:val="24"/>
                <w:shd w:val="clear" w:color="auto" w:fill="FFFFFF"/>
                <w:lang w:val="ro-MD"/>
              </w:rPr>
              <w:t>i a bunurilor materiale la care se referă aceste drepturi, care apar</w:t>
            </w:r>
            <w:r w:rsidR="00B13B9A" w:rsidRPr="00B13B9A">
              <w:rPr>
                <w:rFonts w:asciiTheme="majorHAnsi" w:hAnsiTheme="majorHAnsi" w:cstheme="majorHAnsi"/>
                <w:i/>
                <w:szCs w:val="24"/>
                <w:shd w:val="clear" w:color="auto" w:fill="FFFFFF"/>
                <w:lang w:val="ro-MD"/>
              </w:rPr>
              <w:t>ț</w:t>
            </w:r>
            <w:r w:rsidRPr="00B13B9A">
              <w:rPr>
                <w:rFonts w:asciiTheme="majorHAnsi" w:hAnsiTheme="majorHAnsi" w:cstheme="majorHAnsi"/>
                <w:i/>
                <w:szCs w:val="24"/>
                <w:shd w:val="clear" w:color="auto" w:fill="FFFFFF"/>
                <w:lang w:val="ro-MD"/>
              </w:rPr>
              <w:t>in unui subiect de drept public</w:t>
            </w:r>
          </w:p>
        </w:tc>
      </w:tr>
      <w:tr w:rsidR="006D52C7" w:rsidRPr="00B13B9A" w14:paraId="03E5485A" w14:textId="77777777" w:rsidTr="00B24768">
        <w:trPr>
          <w:cnfStyle w:val="000000100000" w:firstRow="0" w:lastRow="0" w:firstColumn="0" w:lastColumn="0" w:oddVBand="0" w:evenVBand="0" w:oddHBand="1" w:evenHBand="0" w:firstRowFirstColumn="0" w:firstRowLastColumn="0" w:lastRowFirstColumn="0" w:lastRowLastColumn="0"/>
          <w:trHeight w:val="324"/>
        </w:trPr>
        <w:tc>
          <w:tcPr>
            <w:tcW w:w="2343" w:type="dxa"/>
          </w:tcPr>
          <w:p w14:paraId="7DF8BE52" w14:textId="6C19760C" w:rsidR="006D52C7" w:rsidRPr="00B13B9A" w:rsidRDefault="006D52C7" w:rsidP="00B24768">
            <w:pPr>
              <w:rPr>
                <w:rFonts w:asciiTheme="majorHAnsi" w:hAnsiTheme="majorHAnsi" w:cstheme="majorHAnsi"/>
                <w:b/>
                <w:szCs w:val="24"/>
                <w:lang w:val="ro-MD"/>
              </w:rPr>
            </w:pPr>
            <w:r w:rsidRPr="00B13B9A">
              <w:rPr>
                <w:rFonts w:asciiTheme="majorHAnsi" w:hAnsiTheme="majorHAnsi" w:cstheme="majorHAnsi"/>
                <w:b/>
                <w:szCs w:val="24"/>
                <w:lang w:val="ro-MD"/>
              </w:rPr>
              <w:t>Programul na</w:t>
            </w:r>
            <w:r w:rsidR="00B13B9A" w:rsidRPr="00B13B9A">
              <w:rPr>
                <w:rFonts w:asciiTheme="majorHAnsi" w:hAnsiTheme="majorHAnsi" w:cstheme="majorHAnsi"/>
                <w:b/>
                <w:szCs w:val="24"/>
                <w:lang w:val="ro-MD"/>
              </w:rPr>
              <w:t>ț</w:t>
            </w:r>
            <w:r w:rsidRPr="00B13B9A">
              <w:rPr>
                <w:rFonts w:asciiTheme="majorHAnsi" w:hAnsiTheme="majorHAnsi" w:cstheme="majorHAnsi"/>
                <w:b/>
                <w:szCs w:val="24"/>
                <w:lang w:val="ro-MD"/>
              </w:rPr>
              <w:t>ional de răspuns la tuberculoză</w:t>
            </w:r>
          </w:p>
        </w:tc>
        <w:tc>
          <w:tcPr>
            <w:tcW w:w="7324" w:type="dxa"/>
          </w:tcPr>
          <w:p w14:paraId="4AAA5756" w14:textId="569E76CD" w:rsidR="006D52C7" w:rsidRPr="00B13B9A" w:rsidRDefault="006D52C7" w:rsidP="00B24768">
            <w:pPr>
              <w:pStyle w:val="ae"/>
              <w:shd w:val="clear" w:color="auto" w:fill="FFFFFF"/>
              <w:spacing w:after="0"/>
              <w:jc w:val="both"/>
              <w:textAlignment w:val="baseline"/>
              <w:rPr>
                <w:rFonts w:asciiTheme="majorHAnsi" w:hAnsiTheme="majorHAnsi" w:cstheme="majorHAnsi"/>
                <w:i/>
                <w:sz w:val="22"/>
                <w:lang w:val="ro-MD"/>
              </w:rPr>
            </w:pPr>
            <w:r w:rsidRPr="00B13B9A">
              <w:rPr>
                <w:rFonts w:asciiTheme="majorHAnsi" w:hAnsiTheme="majorHAnsi" w:cstheme="majorHAnsi"/>
                <w:i/>
                <w:sz w:val="22"/>
                <w:lang w:val="ro-MD"/>
              </w:rPr>
              <w:t>Document de politici pe termen mediu, care cuprinde priorită</w:t>
            </w:r>
            <w:r w:rsidR="00B13B9A" w:rsidRPr="00B13B9A">
              <w:rPr>
                <w:rFonts w:asciiTheme="majorHAnsi" w:hAnsiTheme="majorHAnsi" w:cstheme="majorHAnsi"/>
                <w:i/>
                <w:sz w:val="22"/>
                <w:lang w:val="ro-MD"/>
              </w:rPr>
              <w:t>ț</w:t>
            </w:r>
            <w:r w:rsidRPr="00B13B9A">
              <w:rPr>
                <w:rFonts w:asciiTheme="majorHAnsi" w:hAnsiTheme="majorHAnsi" w:cstheme="majorHAnsi"/>
                <w:i/>
                <w:sz w:val="22"/>
                <w:lang w:val="ro-MD"/>
              </w:rPr>
              <w:t>ile Guvernului orientate spre aplicarea strategiilor inovative pentru reducerea poverii tuberculozei în Republica Moldova</w:t>
            </w:r>
          </w:p>
        </w:tc>
      </w:tr>
      <w:tr w:rsidR="006D52C7" w:rsidRPr="00B13B9A" w14:paraId="772D916D" w14:textId="77777777" w:rsidTr="00B24768">
        <w:trPr>
          <w:trHeight w:val="324"/>
        </w:trPr>
        <w:tc>
          <w:tcPr>
            <w:tcW w:w="2343" w:type="dxa"/>
          </w:tcPr>
          <w:p w14:paraId="0E154A76" w14:textId="77777777" w:rsidR="006D52C7" w:rsidRPr="00B13B9A" w:rsidRDefault="006D52C7" w:rsidP="00B24768">
            <w:pPr>
              <w:rPr>
                <w:rFonts w:asciiTheme="majorHAnsi" w:hAnsiTheme="majorHAnsi" w:cstheme="majorHAnsi"/>
                <w:b/>
                <w:szCs w:val="24"/>
                <w:lang w:val="ro-MD"/>
              </w:rPr>
            </w:pPr>
            <w:r w:rsidRPr="00B13B9A">
              <w:rPr>
                <w:rFonts w:asciiTheme="majorHAnsi" w:hAnsiTheme="majorHAnsi" w:cstheme="majorHAnsi"/>
                <w:b/>
                <w:szCs w:val="24"/>
                <w:lang w:val="ro-MD"/>
              </w:rPr>
              <w:t xml:space="preserve">Tuberculoză </w:t>
            </w:r>
          </w:p>
        </w:tc>
        <w:tc>
          <w:tcPr>
            <w:tcW w:w="7324" w:type="dxa"/>
            <w:vAlign w:val="center"/>
          </w:tcPr>
          <w:p w14:paraId="61D65952" w14:textId="379CA881" w:rsidR="006D52C7" w:rsidRPr="00B13B9A" w:rsidRDefault="006D52C7" w:rsidP="007E6B0B">
            <w:pPr>
              <w:jc w:val="both"/>
              <w:rPr>
                <w:rFonts w:asciiTheme="majorHAnsi" w:hAnsiTheme="majorHAnsi" w:cstheme="majorHAnsi"/>
                <w:i/>
                <w:szCs w:val="24"/>
                <w:lang w:val="ro-MD"/>
              </w:rPr>
            </w:pPr>
            <w:r w:rsidRPr="00B13B9A">
              <w:rPr>
                <w:rFonts w:asciiTheme="majorHAnsi" w:hAnsiTheme="majorHAnsi" w:cstheme="majorHAnsi"/>
                <w:i/>
                <w:szCs w:val="24"/>
                <w:lang w:val="ro-MD"/>
              </w:rPr>
              <w:t>Boală specifică, condi</w:t>
            </w:r>
            <w:r w:rsidR="00B13B9A" w:rsidRPr="00B13B9A">
              <w:rPr>
                <w:rFonts w:asciiTheme="majorHAnsi" w:hAnsiTheme="majorHAnsi" w:cstheme="majorHAnsi"/>
                <w:i/>
                <w:szCs w:val="24"/>
                <w:lang w:val="ro-MD"/>
              </w:rPr>
              <w:t>ț</w:t>
            </w:r>
            <w:r w:rsidRPr="00B13B9A">
              <w:rPr>
                <w:rFonts w:asciiTheme="majorHAnsi" w:hAnsiTheme="majorHAnsi" w:cstheme="majorHAnsi"/>
                <w:i/>
                <w:szCs w:val="24"/>
                <w:lang w:val="ro-MD"/>
              </w:rPr>
              <w:t>ionată social, infec</w:t>
            </w:r>
            <w:r w:rsidR="00B13B9A" w:rsidRPr="00B13B9A">
              <w:rPr>
                <w:rFonts w:asciiTheme="majorHAnsi" w:hAnsiTheme="majorHAnsi" w:cstheme="majorHAnsi"/>
                <w:i/>
                <w:szCs w:val="24"/>
                <w:lang w:val="ro-MD"/>
              </w:rPr>
              <w:t>ț</w:t>
            </w:r>
            <w:r w:rsidRPr="00B13B9A">
              <w:rPr>
                <w:rFonts w:asciiTheme="majorHAnsi" w:hAnsiTheme="majorHAnsi" w:cstheme="majorHAnsi"/>
                <w:i/>
                <w:szCs w:val="24"/>
                <w:lang w:val="ro-MD"/>
              </w:rPr>
              <w:t>ioasă, cu afectarea preponderentă a plăm</w:t>
            </w:r>
            <w:r w:rsidR="007E6B0B" w:rsidRPr="00B13B9A">
              <w:rPr>
                <w:rFonts w:asciiTheme="majorHAnsi" w:hAnsiTheme="majorHAnsi" w:cstheme="majorHAnsi"/>
                <w:i/>
                <w:szCs w:val="24"/>
                <w:lang w:val="ro-MD"/>
              </w:rPr>
              <w:t>â</w:t>
            </w:r>
            <w:r w:rsidRPr="00B13B9A">
              <w:rPr>
                <w:rFonts w:asciiTheme="majorHAnsi" w:hAnsiTheme="majorHAnsi" w:cstheme="majorHAnsi"/>
                <w:i/>
                <w:szCs w:val="24"/>
                <w:lang w:val="ro-MD"/>
              </w:rPr>
              <w:t xml:space="preserve">nilor, cauzată de Mycobacterium tuberculosis (bacilul Koch), ce se caracterizează prin acutizări, recidive </w:t>
            </w:r>
            <w:r w:rsidR="00B13B9A" w:rsidRPr="00B13B9A">
              <w:rPr>
                <w:rFonts w:asciiTheme="majorHAnsi" w:hAnsiTheme="majorHAnsi" w:cstheme="majorHAnsi"/>
                <w:i/>
                <w:szCs w:val="24"/>
                <w:lang w:val="ro-MD"/>
              </w:rPr>
              <w:t>ș</w:t>
            </w:r>
            <w:r w:rsidRPr="00B13B9A">
              <w:rPr>
                <w:rFonts w:asciiTheme="majorHAnsi" w:hAnsiTheme="majorHAnsi" w:cstheme="majorHAnsi"/>
                <w:i/>
                <w:szCs w:val="24"/>
                <w:lang w:val="ro-MD"/>
              </w:rPr>
              <w:t>i remisii periodice</w:t>
            </w:r>
          </w:p>
        </w:tc>
      </w:tr>
      <w:tr w:rsidR="006D52C7" w:rsidRPr="00B13B9A" w14:paraId="6CAFF1BB" w14:textId="77777777" w:rsidTr="006D52C7">
        <w:trPr>
          <w:cnfStyle w:val="000000100000" w:firstRow="0" w:lastRow="0" w:firstColumn="0" w:lastColumn="0" w:oddVBand="0" w:evenVBand="0" w:oddHBand="1" w:evenHBand="0" w:firstRowFirstColumn="0" w:firstRowLastColumn="0" w:lastRowFirstColumn="0" w:lastRowLastColumn="0"/>
          <w:trHeight w:val="391"/>
        </w:trPr>
        <w:tc>
          <w:tcPr>
            <w:tcW w:w="2343" w:type="dxa"/>
          </w:tcPr>
          <w:p w14:paraId="2A30FF5B" w14:textId="63812DEB" w:rsidR="006D52C7" w:rsidRPr="00B13B9A" w:rsidRDefault="006D52C7" w:rsidP="00B24768">
            <w:pPr>
              <w:rPr>
                <w:rFonts w:asciiTheme="majorHAnsi" w:hAnsiTheme="majorHAnsi" w:cstheme="majorHAnsi"/>
                <w:b/>
                <w:szCs w:val="24"/>
                <w:lang w:val="ro-MD"/>
              </w:rPr>
            </w:pPr>
            <w:r w:rsidRPr="00B13B9A">
              <w:rPr>
                <w:rFonts w:asciiTheme="majorHAnsi" w:hAnsiTheme="majorHAnsi" w:cstheme="majorHAnsi"/>
                <w:b/>
                <w:szCs w:val="24"/>
                <w:lang w:val="ro-MD"/>
              </w:rPr>
              <w:t>Valoare de bilan</w:t>
            </w:r>
            <w:r w:rsidR="00B13B9A" w:rsidRPr="00B13B9A">
              <w:rPr>
                <w:rFonts w:asciiTheme="majorHAnsi" w:hAnsiTheme="majorHAnsi" w:cstheme="majorHAnsi"/>
                <w:b/>
                <w:szCs w:val="24"/>
                <w:lang w:val="ro-MD"/>
              </w:rPr>
              <w:t>ț</w:t>
            </w:r>
          </w:p>
        </w:tc>
        <w:tc>
          <w:tcPr>
            <w:tcW w:w="7324" w:type="dxa"/>
          </w:tcPr>
          <w:p w14:paraId="34C10A2B" w14:textId="332EA354" w:rsidR="006D52C7" w:rsidRPr="00B13B9A" w:rsidRDefault="006D52C7" w:rsidP="00B24768">
            <w:pPr>
              <w:jc w:val="both"/>
              <w:rPr>
                <w:rFonts w:asciiTheme="majorHAnsi" w:hAnsiTheme="majorHAnsi" w:cstheme="majorHAnsi"/>
                <w:b/>
                <w:i/>
                <w:szCs w:val="24"/>
                <w:lang w:val="ro-MD"/>
              </w:rPr>
            </w:pPr>
            <w:r w:rsidRPr="00B13B9A">
              <w:rPr>
                <w:rStyle w:val="af"/>
                <w:rFonts w:asciiTheme="majorHAnsi" w:hAnsiTheme="majorHAnsi" w:cstheme="majorHAnsi"/>
                <w:b w:val="0"/>
                <w:i/>
                <w:iCs/>
                <w:szCs w:val="24"/>
                <w:shd w:val="clear" w:color="auto" w:fill="FFFFFF"/>
                <w:lang w:val="ro-MD"/>
              </w:rPr>
              <w:t xml:space="preserve">Suma cu care un activ sau </w:t>
            </w:r>
            <w:r w:rsidR="007E6B0B" w:rsidRPr="00B13B9A">
              <w:rPr>
                <w:rStyle w:val="af"/>
                <w:rFonts w:asciiTheme="majorHAnsi" w:hAnsiTheme="majorHAnsi" w:cstheme="majorHAnsi"/>
                <w:b w:val="0"/>
                <w:i/>
                <w:iCs/>
                <w:szCs w:val="24"/>
                <w:shd w:val="clear" w:color="auto" w:fill="FFFFFF"/>
                <w:lang w:val="ro-MD"/>
              </w:rPr>
              <w:t xml:space="preserve">o </w:t>
            </w:r>
            <w:r w:rsidRPr="00B13B9A">
              <w:rPr>
                <w:rStyle w:val="af"/>
                <w:rFonts w:asciiTheme="majorHAnsi" w:hAnsiTheme="majorHAnsi" w:cstheme="majorHAnsi"/>
                <w:b w:val="0"/>
                <w:i/>
                <w:iCs/>
                <w:szCs w:val="24"/>
                <w:shd w:val="clear" w:color="auto" w:fill="FFFFFF"/>
                <w:lang w:val="ro-MD"/>
              </w:rPr>
              <w:t>datorie este evaluat</w:t>
            </w:r>
            <w:r w:rsidR="007E6B0B" w:rsidRPr="00B13B9A">
              <w:rPr>
                <w:rStyle w:val="af"/>
                <w:rFonts w:asciiTheme="majorHAnsi" w:hAnsiTheme="majorHAnsi" w:cstheme="majorHAnsi"/>
                <w:b w:val="0"/>
                <w:i/>
                <w:iCs/>
                <w:szCs w:val="24"/>
                <w:shd w:val="clear" w:color="auto" w:fill="FFFFFF"/>
                <w:lang w:val="ro-MD"/>
              </w:rPr>
              <w:t>ă</w:t>
            </w:r>
            <w:r w:rsidRPr="00B13B9A">
              <w:rPr>
                <w:rStyle w:val="af"/>
                <w:rFonts w:asciiTheme="majorHAnsi" w:hAnsiTheme="majorHAnsi" w:cstheme="majorHAnsi"/>
                <w:b w:val="0"/>
                <w:i/>
                <w:iCs/>
                <w:szCs w:val="24"/>
                <w:shd w:val="clear" w:color="auto" w:fill="FFFFFF"/>
                <w:lang w:val="ro-MD"/>
              </w:rPr>
              <w:t xml:space="preserve"> la data întocmirii bilan</w:t>
            </w:r>
            <w:r w:rsidR="00B13B9A" w:rsidRPr="00B13B9A">
              <w:rPr>
                <w:rStyle w:val="af"/>
                <w:rFonts w:asciiTheme="majorHAnsi" w:hAnsiTheme="majorHAnsi" w:cstheme="majorHAnsi"/>
                <w:b w:val="0"/>
                <w:i/>
                <w:iCs/>
                <w:szCs w:val="24"/>
                <w:shd w:val="clear" w:color="auto" w:fill="FFFFFF"/>
                <w:lang w:val="ro-MD"/>
              </w:rPr>
              <w:t>ț</w:t>
            </w:r>
            <w:r w:rsidRPr="00B13B9A">
              <w:rPr>
                <w:rStyle w:val="af"/>
                <w:rFonts w:asciiTheme="majorHAnsi" w:hAnsiTheme="majorHAnsi" w:cstheme="majorHAnsi"/>
                <w:b w:val="0"/>
                <w:i/>
                <w:iCs/>
                <w:szCs w:val="24"/>
                <w:shd w:val="clear" w:color="auto" w:fill="FFFFFF"/>
                <w:lang w:val="ro-MD"/>
              </w:rPr>
              <w:t>ului contabil</w:t>
            </w:r>
          </w:p>
        </w:tc>
      </w:tr>
      <w:tr w:rsidR="006D52C7" w:rsidRPr="00B13B9A" w14:paraId="6363CA55" w14:textId="77777777" w:rsidTr="00B24768">
        <w:trPr>
          <w:trHeight w:val="324"/>
        </w:trPr>
        <w:tc>
          <w:tcPr>
            <w:tcW w:w="2343" w:type="dxa"/>
            <w:vAlign w:val="center"/>
          </w:tcPr>
          <w:p w14:paraId="34D9722B" w14:textId="77777777" w:rsidR="006D52C7" w:rsidRPr="00B13B9A" w:rsidRDefault="006D52C7" w:rsidP="00B24768">
            <w:pPr>
              <w:rPr>
                <w:rFonts w:asciiTheme="majorHAnsi" w:hAnsiTheme="majorHAnsi" w:cstheme="majorHAnsi"/>
                <w:szCs w:val="24"/>
                <w:lang w:val="ro-MD"/>
              </w:rPr>
            </w:pPr>
          </w:p>
        </w:tc>
        <w:tc>
          <w:tcPr>
            <w:tcW w:w="7324" w:type="dxa"/>
          </w:tcPr>
          <w:p w14:paraId="14FDB05E" w14:textId="77777777" w:rsidR="006D52C7" w:rsidRPr="00B13B9A" w:rsidRDefault="006D52C7" w:rsidP="00B24768">
            <w:pPr>
              <w:jc w:val="both"/>
              <w:rPr>
                <w:rFonts w:asciiTheme="majorHAnsi" w:eastAsia="Times New Roman" w:hAnsiTheme="majorHAnsi" w:cstheme="majorHAnsi"/>
                <w:szCs w:val="24"/>
                <w:lang w:val="ro-MD"/>
              </w:rPr>
            </w:pPr>
          </w:p>
        </w:tc>
      </w:tr>
    </w:tbl>
    <w:p w14:paraId="0E7EB8F2" w14:textId="77777777" w:rsidR="009022BC" w:rsidRPr="00B13B9A" w:rsidRDefault="009022BC" w:rsidP="003657D1">
      <w:pPr>
        <w:pStyle w:val="a5"/>
        <w:spacing w:line="276" w:lineRule="auto"/>
        <w:jc w:val="both"/>
        <w:rPr>
          <w:rFonts w:asciiTheme="majorHAnsi" w:hAnsiTheme="majorHAnsi" w:cstheme="majorHAnsi"/>
          <w:b/>
          <w:color w:val="2E74B5" w:themeColor="accent1" w:themeShade="BF"/>
          <w:sz w:val="24"/>
          <w:szCs w:val="24"/>
          <w:vertAlign w:val="baseline"/>
          <w:lang w:val="ro-MD"/>
        </w:rPr>
      </w:pPr>
      <w:r w:rsidRPr="00B13B9A">
        <w:rPr>
          <w:rFonts w:asciiTheme="majorHAnsi" w:hAnsiTheme="majorHAnsi" w:cstheme="majorHAnsi"/>
          <w:b/>
          <w:color w:val="2E74B5" w:themeColor="accent1" w:themeShade="BF"/>
          <w:sz w:val="24"/>
          <w:szCs w:val="24"/>
          <w:vertAlign w:val="baseline"/>
          <w:lang w:val="ro-MD"/>
        </w:rPr>
        <w:t>Prezentul Raport de audit este destinat:</w:t>
      </w:r>
    </w:p>
    <w:p w14:paraId="2E89D59C" w14:textId="1C7305CE" w:rsidR="009022BC" w:rsidRPr="00B13B9A" w:rsidRDefault="009022BC" w:rsidP="009022BC">
      <w:pPr>
        <w:pStyle w:val="a5"/>
        <w:spacing w:line="276" w:lineRule="auto"/>
        <w:ind w:firstLine="709"/>
        <w:jc w:val="both"/>
        <w:rPr>
          <w:rFonts w:asciiTheme="majorHAnsi" w:hAnsiTheme="majorHAnsi" w:cstheme="majorHAnsi"/>
          <w:sz w:val="24"/>
          <w:szCs w:val="24"/>
          <w:vertAlign w:val="baseline"/>
          <w:lang w:val="ro-MD"/>
        </w:rPr>
      </w:pPr>
      <w:r w:rsidRPr="00B13B9A">
        <w:rPr>
          <w:rFonts w:asciiTheme="majorHAnsi" w:hAnsiTheme="majorHAnsi" w:cstheme="majorHAnsi"/>
          <w:b/>
          <w:sz w:val="24"/>
          <w:szCs w:val="24"/>
          <w:vertAlign w:val="baseline"/>
          <w:lang w:val="ro-MD"/>
        </w:rPr>
        <w:t xml:space="preserve">Parlamentului </w:t>
      </w:r>
      <w:r w:rsidR="00B13B9A" w:rsidRPr="00B13B9A">
        <w:rPr>
          <w:rFonts w:asciiTheme="majorHAnsi" w:hAnsiTheme="majorHAnsi" w:cstheme="majorHAnsi"/>
          <w:b/>
          <w:sz w:val="24"/>
          <w:szCs w:val="24"/>
          <w:vertAlign w:val="baseline"/>
          <w:lang w:val="ro-MD"/>
        </w:rPr>
        <w:t>ș</w:t>
      </w:r>
      <w:r w:rsidRPr="00B13B9A">
        <w:rPr>
          <w:rFonts w:asciiTheme="majorHAnsi" w:hAnsiTheme="majorHAnsi" w:cstheme="majorHAnsi"/>
          <w:b/>
          <w:sz w:val="24"/>
          <w:szCs w:val="24"/>
          <w:vertAlign w:val="baseline"/>
          <w:lang w:val="ro-MD"/>
        </w:rPr>
        <w:t>i Guvernului Republicii Moldova</w:t>
      </w:r>
      <w:r w:rsidRPr="00B13B9A">
        <w:rPr>
          <w:rFonts w:asciiTheme="majorHAnsi" w:hAnsiTheme="majorHAnsi" w:cstheme="majorHAnsi"/>
          <w:sz w:val="24"/>
          <w:szCs w:val="24"/>
          <w:vertAlign w:val="baseline"/>
          <w:lang w:val="ro-MD"/>
        </w:rPr>
        <w:t xml:space="preserve"> </w:t>
      </w:r>
      <w:r w:rsidR="007E6B0B" w:rsidRPr="00B13B9A">
        <w:rPr>
          <w:rFonts w:asciiTheme="majorHAnsi" w:hAnsiTheme="majorHAnsi" w:cstheme="majorHAnsi"/>
          <w:sz w:val="24"/>
          <w:szCs w:val="24"/>
          <w:vertAlign w:val="baseline"/>
          <w:lang w:val="ro-MD"/>
        </w:rPr>
        <w:t>–</w:t>
      </w:r>
      <w:r w:rsidRPr="00B13B9A">
        <w:rPr>
          <w:rFonts w:asciiTheme="majorHAnsi" w:hAnsiTheme="majorHAnsi" w:cstheme="majorHAnsi"/>
          <w:sz w:val="24"/>
          <w:szCs w:val="24"/>
          <w:vertAlign w:val="baseline"/>
          <w:lang w:val="ro-MD"/>
        </w:rPr>
        <w:t xml:space="preserve"> pentru informare, luare de atitudine, dar </w:t>
      </w:r>
      <w:r w:rsidR="00B13B9A" w:rsidRPr="00B13B9A">
        <w:rPr>
          <w:rFonts w:asciiTheme="majorHAnsi" w:hAnsiTheme="majorHAnsi" w:cstheme="majorHAnsi"/>
          <w:sz w:val="24"/>
          <w:szCs w:val="24"/>
          <w:vertAlign w:val="baseline"/>
          <w:lang w:val="ro-MD"/>
        </w:rPr>
        <w:t>ș</w:t>
      </w:r>
      <w:r w:rsidRPr="00B13B9A">
        <w:rPr>
          <w:rFonts w:asciiTheme="majorHAnsi" w:hAnsiTheme="majorHAnsi" w:cstheme="majorHAnsi"/>
          <w:sz w:val="24"/>
          <w:szCs w:val="24"/>
          <w:vertAlign w:val="baseline"/>
          <w:lang w:val="ro-MD"/>
        </w:rPr>
        <w:t>i pentru o posibilă utilizare a informa</w:t>
      </w:r>
      <w:r w:rsidR="00B13B9A" w:rsidRPr="00B13B9A">
        <w:rPr>
          <w:rFonts w:asciiTheme="majorHAnsi" w:hAnsiTheme="majorHAnsi" w:cstheme="majorHAnsi"/>
          <w:sz w:val="24"/>
          <w:szCs w:val="24"/>
          <w:vertAlign w:val="baseline"/>
          <w:lang w:val="ro-MD"/>
        </w:rPr>
        <w:t>ț</w:t>
      </w:r>
      <w:r w:rsidRPr="00B13B9A">
        <w:rPr>
          <w:rFonts w:asciiTheme="majorHAnsi" w:hAnsiTheme="majorHAnsi" w:cstheme="majorHAnsi"/>
          <w:sz w:val="24"/>
          <w:szCs w:val="24"/>
          <w:vertAlign w:val="baseline"/>
          <w:lang w:val="ro-MD"/>
        </w:rPr>
        <w:t>iilor la adoptarea deciziilor/lansarea ini</w:t>
      </w:r>
      <w:r w:rsidR="00B13B9A" w:rsidRPr="00B13B9A">
        <w:rPr>
          <w:rFonts w:asciiTheme="majorHAnsi" w:hAnsiTheme="majorHAnsi" w:cstheme="majorHAnsi"/>
          <w:sz w:val="24"/>
          <w:szCs w:val="24"/>
          <w:vertAlign w:val="baseline"/>
          <w:lang w:val="ro-MD"/>
        </w:rPr>
        <w:t>ț</w:t>
      </w:r>
      <w:r w:rsidRPr="00B13B9A">
        <w:rPr>
          <w:rFonts w:asciiTheme="majorHAnsi" w:hAnsiTheme="majorHAnsi" w:cstheme="majorHAnsi"/>
          <w:sz w:val="24"/>
          <w:szCs w:val="24"/>
          <w:vertAlign w:val="baseline"/>
          <w:lang w:val="ro-MD"/>
        </w:rPr>
        <w:t xml:space="preserve">iativelor aferente </w:t>
      </w:r>
      <w:r w:rsidR="0053013B" w:rsidRPr="00B13B9A">
        <w:rPr>
          <w:rFonts w:asciiTheme="majorHAnsi" w:hAnsiTheme="majorHAnsi" w:cstheme="majorHAnsi"/>
          <w:sz w:val="24"/>
          <w:szCs w:val="24"/>
          <w:vertAlign w:val="baseline"/>
          <w:lang w:val="ro-MD"/>
        </w:rPr>
        <w:t>domeniului sănătă</w:t>
      </w:r>
      <w:r w:rsidR="00B13B9A" w:rsidRPr="00B13B9A">
        <w:rPr>
          <w:rFonts w:asciiTheme="majorHAnsi" w:hAnsiTheme="majorHAnsi" w:cstheme="majorHAnsi"/>
          <w:sz w:val="24"/>
          <w:szCs w:val="24"/>
          <w:vertAlign w:val="baseline"/>
          <w:lang w:val="ro-MD"/>
        </w:rPr>
        <w:t>ț</w:t>
      </w:r>
      <w:r w:rsidR="0053013B" w:rsidRPr="00B13B9A">
        <w:rPr>
          <w:rFonts w:asciiTheme="majorHAnsi" w:hAnsiTheme="majorHAnsi" w:cstheme="majorHAnsi"/>
          <w:sz w:val="24"/>
          <w:szCs w:val="24"/>
          <w:vertAlign w:val="baseline"/>
          <w:lang w:val="ro-MD"/>
        </w:rPr>
        <w:t xml:space="preserve">ii </w:t>
      </w:r>
      <w:r w:rsidR="00B13B9A" w:rsidRPr="00B13B9A">
        <w:rPr>
          <w:rFonts w:asciiTheme="majorHAnsi" w:hAnsiTheme="majorHAnsi" w:cstheme="majorHAnsi"/>
          <w:sz w:val="24"/>
          <w:szCs w:val="24"/>
          <w:vertAlign w:val="baseline"/>
          <w:lang w:val="ro-MD"/>
        </w:rPr>
        <w:t>ș</w:t>
      </w:r>
      <w:r w:rsidR="0053013B" w:rsidRPr="00B13B9A">
        <w:rPr>
          <w:rFonts w:asciiTheme="majorHAnsi" w:hAnsiTheme="majorHAnsi" w:cstheme="majorHAnsi"/>
          <w:sz w:val="24"/>
          <w:szCs w:val="24"/>
          <w:vertAlign w:val="baseline"/>
          <w:lang w:val="ro-MD"/>
        </w:rPr>
        <w:t>i activită</w:t>
      </w:r>
      <w:r w:rsidR="00B13B9A" w:rsidRPr="00B13B9A">
        <w:rPr>
          <w:rFonts w:asciiTheme="majorHAnsi" w:hAnsiTheme="majorHAnsi" w:cstheme="majorHAnsi"/>
          <w:sz w:val="24"/>
          <w:szCs w:val="24"/>
          <w:vertAlign w:val="baseline"/>
          <w:lang w:val="ro-MD"/>
        </w:rPr>
        <w:t>ț</w:t>
      </w:r>
      <w:r w:rsidR="00CA5E5D" w:rsidRPr="00B13B9A">
        <w:rPr>
          <w:rFonts w:asciiTheme="majorHAnsi" w:hAnsiTheme="majorHAnsi" w:cstheme="majorHAnsi"/>
          <w:sz w:val="24"/>
          <w:szCs w:val="24"/>
          <w:vertAlign w:val="baseline"/>
          <w:lang w:val="ro-MD"/>
        </w:rPr>
        <w:t>ii institu</w:t>
      </w:r>
      <w:r w:rsidR="00B13B9A" w:rsidRPr="00B13B9A">
        <w:rPr>
          <w:rFonts w:asciiTheme="majorHAnsi" w:hAnsiTheme="majorHAnsi" w:cstheme="majorHAnsi"/>
          <w:sz w:val="24"/>
          <w:szCs w:val="24"/>
          <w:vertAlign w:val="baseline"/>
          <w:lang w:val="ro-MD"/>
        </w:rPr>
        <w:t>ț</w:t>
      </w:r>
      <w:r w:rsidR="00CA5E5D" w:rsidRPr="00B13B9A">
        <w:rPr>
          <w:rFonts w:asciiTheme="majorHAnsi" w:hAnsiTheme="majorHAnsi" w:cstheme="majorHAnsi"/>
          <w:sz w:val="24"/>
          <w:szCs w:val="24"/>
          <w:vertAlign w:val="baseline"/>
          <w:lang w:val="ro-MD"/>
        </w:rPr>
        <w:t>iilor medico-sanitare</w:t>
      </w:r>
      <w:r w:rsidR="0053013B" w:rsidRPr="00B13B9A">
        <w:rPr>
          <w:rFonts w:asciiTheme="majorHAnsi" w:hAnsiTheme="majorHAnsi" w:cstheme="majorHAnsi"/>
          <w:sz w:val="24"/>
          <w:szCs w:val="24"/>
          <w:vertAlign w:val="baseline"/>
          <w:lang w:val="ro-MD"/>
        </w:rPr>
        <w:t xml:space="preserve"> publice</w:t>
      </w:r>
      <w:r w:rsidR="00DF6DA3" w:rsidRPr="00B13B9A">
        <w:rPr>
          <w:rFonts w:asciiTheme="majorHAnsi" w:hAnsiTheme="majorHAnsi" w:cstheme="majorHAnsi"/>
          <w:sz w:val="24"/>
          <w:szCs w:val="24"/>
          <w:vertAlign w:val="baseline"/>
          <w:lang w:val="ro-MD"/>
        </w:rPr>
        <w:t>;</w:t>
      </w:r>
    </w:p>
    <w:p w14:paraId="78D49643" w14:textId="1F3B4E6D" w:rsidR="009022BC" w:rsidRPr="00B13B9A" w:rsidRDefault="009022BC" w:rsidP="009022BC">
      <w:pPr>
        <w:pStyle w:val="a5"/>
        <w:spacing w:line="276" w:lineRule="auto"/>
        <w:ind w:firstLine="709"/>
        <w:jc w:val="both"/>
        <w:rPr>
          <w:rFonts w:asciiTheme="majorHAnsi" w:hAnsiTheme="majorHAnsi" w:cstheme="majorHAnsi"/>
          <w:sz w:val="24"/>
          <w:szCs w:val="24"/>
          <w:vertAlign w:val="baseline"/>
          <w:lang w:val="ro-MD"/>
        </w:rPr>
      </w:pPr>
      <w:r w:rsidRPr="00B13B9A">
        <w:rPr>
          <w:rFonts w:asciiTheme="majorHAnsi" w:hAnsiTheme="majorHAnsi" w:cstheme="majorHAnsi"/>
          <w:b/>
          <w:sz w:val="24"/>
          <w:szCs w:val="24"/>
          <w:vertAlign w:val="baseline"/>
          <w:lang w:val="ro-MD"/>
        </w:rPr>
        <w:t>Ministerului</w:t>
      </w:r>
      <w:r w:rsidRPr="00B13B9A">
        <w:rPr>
          <w:rFonts w:asciiTheme="majorHAnsi" w:eastAsia="Times New Roman" w:hAnsiTheme="majorHAnsi" w:cstheme="majorHAnsi"/>
          <w:b/>
          <w:sz w:val="24"/>
          <w:szCs w:val="24"/>
          <w:lang w:val="ro-MD" w:eastAsia="ro-MD"/>
        </w:rPr>
        <w:t xml:space="preserve"> </w:t>
      </w:r>
      <w:r w:rsidRPr="00B13B9A">
        <w:rPr>
          <w:rFonts w:asciiTheme="majorHAnsi" w:eastAsia="Times New Roman" w:hAnsiTheme="majorHAnsi" w:cstheme="majorHAnsi"/>
          <w:b/>
          <w:sz w:val="24"/>
          <w:szCs w:val="24"/>
          <w:vertAlign w:val="baseline"/>
          <w:lang w:val="ro-MD" w:eastAsia="ro-MD"/>
        </w:rPr>
        <w:t>Sănătă</w:t>
      </w:r>
      <w:r w:rsidR="00B13B9A" w:rsidRPr="00B13B9A">
        <w:rPr>
          <w:rFonts w:asciiTheme="majorHAnsi" w:eastAsia="Times New Roman" w:hAnsiTheme="majorHAnsi" w:cstheme="majorHAnsi"/>
          <w:b/>
          <w:sz w:val="24"/>
          <w:szCs w:val="24"/>
          <w:vertAlign w:val="baseline"/>
          <w:lang w:val="ro-MD" w:eastAsia="ro-MD"/>
        </w:rPr>
        <w:t>ț</w:t>
      </w:r>
      <w:r w:rsidRPr="00B13B9A">
        <w:rPr>
          <w:rFonts w:asciiTheme="majorHAnsi" w:eastAsia="Times New Roman" w:hAnsiTheme="majorHAnsi" w:cstheme="majorHAnsi"/>
          <w:b/>
          <w:sz w:val="24"/>
          <w:szCs w:val="24"/>
          <w:vertAlign w:val="baseline"/>
          <w:lang w:val="ro-MD" w:eastAsia="ro-MD"/>
        </w:rPr>
        <w:t>ii</w:t>
      </w:r>
      <w:r w:rsidRPr="00B13B9A">
        <w:rPr>
          <w:rFonts w:asciiTheme="majorHAnsi" w:eastAsia="Times New Roman" w:hAnsiTheme="majorHAnsi" w:cstheme="majorHAnsi"/>
          <w:sz w:val="24"/>
          <w:szCs w:val="24"/>
          <w:vertAlign w:val="baseline"/>
          <w:lang w:val="ro-MD" w:eastAsia="ro-MD"/>
        </w:rPr>
        <w:t>,</w:t>
      </w:r>
      <w:r w:rsidRPr="00B13B9A">
        <w:rPr>
          <w:rFonts w:asciiTheme="majorHAnsi" w:eastAsia="Times New Roman" w:hAnsiTheme="majorHAnsi" w:cstheme="majorHAnsi"/>
          <w:b/>
          <w:sz w:val="24"/>
          <w:szCs w:val="24"/>
          <w:vertAlign w:val="baseline"/>
          <w:lang w:val="ro-MD" w:eastAsia="ro-MD"/>
        </w:rPr>
        <w:t xml:space="preserve"> </w:t>
      </w:r>
      <w:r w:rsidRPr="00B13B9A">
        <w:rPr>
          <w:rFonts w:asciiTheme="majorHAnsi" w:eastAsia="Times New Roman" w:hAnsiTheme="majorHAnsi" w:cstheme="majorHAnsi"/>
          <w:sz w:val="24"/>
          <w:szCs w:val="24"/>
          <w:vertAlign w:val="baseline"/>
          <w:lang w:val="ro-MD" w:eastAsia="ro-MD"/>
        </w:rPr>
        <w:t>ca</w:t>
      </w:r>
      <w:r w:rsidRPr="00B13B9A">
        <w:rPr>
          <w:rFonts w:asciiTheme="majorHAnsi" w:eastAsia="Times New Roman" w:hAnsiTheme="majorHAnsi" w:cstheme="majorHAnsi"/>
          <w:b/>
          <w:sz w:val="24"/>
          <w:szCs w:val="24"/>
          <w:vertAlign w:val="baseline"/>
          <w:lang w:val="ro-MD" w:eastAsia="ro-MD"/>
        </w:rPr>
        <w:t xml:space="preserve"> </w:t>
      </w:r>
      <w:r w:rsidRPr="00B13B9A">
        <w:rPr>
          <w:rFonts w:asciiTheme="majorHAnsi" w:eastAsia="Times New Roman" w:hAnsiTheme="majorHAnsi" w:cstheme="majorHAnsi"/>
          <w:sz w:val="24"/>
          <w:szCs w:val="24"/>
          <w:vertAlign w:val="baseline"/>
          <w:lang w:val="ro-MD" w:eastAsia="ro-MD"/>
        </w:rPr>
        <w:t>organ central de specialitate al administra</w:t>
      </w:r>
      <w:r w:rsidR="00B13B9A" w:rsidRPr="00B13B9A">
        <w:rPr>
          <w:rFonts w:asciiTheme="majorHAnsi" w:eastAsia="Times New Roman" w:hAnsiTheme="majorHAnsi" w:cstheme="majorHAnsi"/>
          <w:sz w:val="24"/>
          <w:szCs w:val="24"/>
          <w:vertAlign w:val="baseline"/>
          <w:lang w:val="ro-MD" w:eastAsia="ro-MD"/>
        </w:rPr>
        <w:t>ț</w:t>
      </w:r>
      <w:r w:rsidRPr="00B13B9A">
        <w:rPr>
          <w:rFonts w:asciiTheme="majorHAnsi" w:eastAsia="Times New Roman" w:hAnsiTheme="majorHAnsi" w:cstheme="majorHAnsi"/>
          <w:sz w:val="24"/>
          <w:szCs w:val="24"/>
          <w:vertAlign w:val="baseline"/>
          <w:lang w:val="ro-MD" w:eastAsia="ro-MD"/>
        </w:rPr>
        <w:t xml:space="preserve">iei publice responsabil de domeniu, precum </w:t>
      </w:r>
      <w:r w:rsidR="00B13B9A" w:rsidRPr="00B13B9A">
        <w:rPr>
          <w:rFonts w:asciiTheme="majorHAnsi" w:eastAsia="Times New Roman" w:hAnsiTheme="majorHAnsi" w:cstheme="majorHAnsi"/>
          <w:sz w:val="24"/>
          <w:szCs w:val="24"/>
          <w:vertAlign w:val="baseline"/>
          <w:lang w:val="ro-MD" w:eastAsia="ro-MD"/>
        </w:rPr>
        <w:t>ș</w:t>
      </w:r>
      <w:r w:rsidRPr="00B13B9A">
        <w:rPr>
          <w:rFonts w:asciiTheme="majorHAnsi" w:eastAsia="Times New Roman" w:hAnsiTheme="majorHAnsi" w:cstheme="majorHAnsi"/>
          <w:sz w:val="24"/>
          <w:szCs w:val="24"/>
          <w:vertAlign w:val="baseline"/>
          <w:lang w:val="ro-MD" w:eastAsia="ro-MD"/>
        </w:rPr>
        <w:t>i în calitate de fondator al institu</w:t>
      </w:r>
      <w:r w:rsidR="00B13B9A" w:rsidRPr="00B13B9A">
        <w:rPr>
          <w:rFonts w:asciiTheme="majorHAnsi" w:eastAsia="Times New Roman" w:hAnsiTheme="majorHAnsi" w:cstheme="majorHAnsi"/>
          <w:sz w:val="24"/>
          <w:szCs w:val="24"/>
          <w:vertAlign w:val="baseline"/>
          <w:lang w:val="ro-MD" w:eastAsia="ro-MD"/>
        </w:rPr>
        <w:t>ț</w:t>
      </w:r>
      <w:r w:rsidRPr="00B13B9A">
        <w:rPr>
          <w:rFonts w:asciiTheme="majorHAnsi" w:eastAsia="Times New Roman" w:hAnsiTheme="majorHAnsi" w:cstheme="majorHAnsi"/>
          <w:sz w:val="24"/>
          <w:szCs w:val="24"/>
          <w:vertAlign w:val="baseline"/>
          <w:lang w:val="ro-MD" w:eastAsia="ro-MD"/>
        </w:rPr>
        <w:t>i</w:t>
      </w:r>
      <w:r w:rsidR="00B13B9A">
        <w:rPr>
          <w:rFonts w:asciiTheme="majorHAnsi" w:eastAsia="Times New Roman" w:hAnsiTheme="majorHAnsi" w:cstheme="majorHAnsi"/>
          <w:sz w:val="24"/>
          <w:szCs w:val="24"/>
          <w:vertAlign w:val="baseline"/>
          <w:lang w:val="ro-MD" w:eastAsia="ro-MD"/>
        </w:rPr>
        <w:t>e</w:t>
      </w:r>
      <w:r w:rsidRPr="00B13B9A">
        <w:rPr>
          <w:rFonts w:asciiTheme="majorHAnsi" w:eastAsia="Times New Roman" w:hAnsiTheme="majorHAnsi" w:cstheme="majorHAnsi"/>
          <w:sz w:val="24"/>
          <w:szCs w:val="24"/>
          <w:vertAlign w:val="baseline"/>
          <w:lang w:val="ro-MD" w:eastAsia="ro-MD"/>
        </w:rPr>
        <w:t>i publice auditate</w:t>
      </w:r>
      <w:r w:rsidRPr="00B13B9A">
        <w:rPr>
          <w:rFonts w:asciiTheme="majorHAnsi" w:hAnsiTheme="majorHAnsi" w:cstheme="majorHAnsi"/>
          <w:sz w:val="24"/>
          <w:szCs w:val="24"/>
          <w:vertAlign w:val="baseline"/>
          <w:lang w:val="ro-MD"/>
        </w:rPr>
        <w:t xml:space="preserve"> – pentru informare </w:t>
      </w:r>
      <w:r w:rsidR="00B13B9A" w:rsidRPr="00B13B9A">
        <w:rPr>
          <w:rFonts w:asciiTheme="majorHAnsi" w:hAnsiTheme="majorHAnsi" w:cstheme="majorHAnsi"/>
          <w:sz w:val="24"/>
          <w:szCs w:val="24"/>
          <w:vertAlign w:val="baseline"/>
          <w:lang w:val="ro-MD"/>
        </w:rPr>
        <w:t>ș</w:t>
      </w:r>
      <w:r w:rsidRPr="00B13B9A">
        <w:rPr>
          <w:rFonts w:asciiTheme="majorHAnsi" w:hAnsiTheme="majorHAnsi" w:cstheme="majorHAnsi"/>
          <w:sz w:val="24"/>
          <w:szCs w:val="24"/>
          <w:vertAlign w:val="baseline"/>
          <w:lang w:val="ro-MD"/>
        </w:rPr>
        <w:t>i pentru o posibilă utilizare a informa</w:t>
      </w:r>
      <w:r w:rsidR="00B13B9A" w:rsidRPr="00B13B9A">
        <w:rPr>
          <w:rFonts w:asciiTheme="majorHAnsi" w:hAnsiTheme="majorHAnsi" w:cstheme="majorHAnsi"/>
          <w:sz w:val="24"/>
          <w:szCs w:val="24"/>
          <w:vertAlign w:val="baseline"/>
          <w:lang w:val="ro-MD"/>
        </w:rPr>
        <w:t>ț</w:t>
      </w:r>
      <w:r w:rsidRPr="00B13B9A">
        <w:rPr>
          <w:rFonts w:asciiTheme="majorHAnsi" w:hAnsiTheme="majorHAnsi" w:cstheme="majorHAnsi"/>
          <w:sz w:val="24"/>
          <w:szCs w:val="24"/>
          <w:vertAlign w:val="baseline"/>
          <w:lang w:val="ro-MD"/>
        </w:rPr>
        <w:t>iilor la promovarea politicii guvernamentale în domeniul sănătă</w:t>
      </w:r>
      <w:r w:rsidR="00B13B9A" w:rsidRPr="00B13B9A">
        <w:rPr>
          <w:rFonts w:asciiTheme="majorHAnsi" w:hAnsiTheme="majorHAnsi" w:cstheme="majorHAnsi"/>
          <w:sz w:val="24"/>
          <w:szCs w:val="24"/>
          <w:vertAlign w:val="baseline"/>
          <w:lang w:val="ro-MD"/>
        </w:rPr>
        <w:t>ț</w:t>
      </w:r>
      <w:r w:rsidRPr="00B13B9A">
        <w:rPr>
          <w:rFonts w:asciiTheme="majorHAnsi" w:hAnsiTheme="majorHAnsi" w:cstheme="majorHAnsi"/>
          <w:sz w:val="24"/>
          <w:szCs w:val="24"/>
          <w:vertAlign w:val="baseline"/>
          <w:lang w:val="ro-MD"/>
        </w:rPr>
        <w:t>ii;</w:t>
      </w:r>
    </w:p>
    <w:p w14:paraId="0E958B51" w14:textId="37EE63EB" w:rsidR="00D64D06" w:rsidRPr="00B13B9A" w:rsidRDefault="009022BC" w:rsidP="009022BC">
      <w:pPr>
        <w:pStyle w:val="a5"/>
        <w:spacing w:line="276" w:lineRule="auto"/>
        <w:ind w:firstLine="709"/>
        <w:jc w:val="both"/>
        <w:rPr>
          <w:rFonts w:asciiTheme="majorHAnsi" w:eastAsia="Times New Roman" w:hAnsiTheme="majorHAnsi" w:cstheme="majorHAnsi"/>
          <w:sz w:val="24"/>
          <w:szCs w:val="24"/>
          <w:vertAlign w:val="baseline"/>
          <w:lang w:val="ro-MD" w:eastAsia="ro-MD"/>
        </w:rPr>
      </w:pPr>
      <w:r w:rsidRPr="00B13B9A">
        <w:rPr>
          <w:rFonts w:asciiTheme="majorHAnsi" w:hAnsiTheme="majorHAnsi" w:cstheme="majorHAnsi"/>
          <w:b/>
          <w:sz w:val="24"/>
          <w:szCs w:val="24"/>
          <w:vertAlign w:val="baseline"/>
          <w:lang w:val="ro-MD"/>
        </w:rPr>
        <w:t>Companiei Na</w:t>
      </w:r>
      <w:r w:rsidR="00B13B9A" w:rsidRPr="00B13B9A">
        <w:rPr>
          <w:rFonts w:asciiTheme="majorHAnsi" w:hAnsiTheme="majorHAnsi" w:cstheme="majorHAnsi"/>
          <w:b/>
          <w:sz w:val="24"/>
          <w:szCs w:val="24"/>
          <w:vertAlign w:val="baseline"/>
          <w:lang w:val="ro-MD"/>
        </w:rPr>
        <w:t>ț</w:t>
      </w:r>
      <w:r w:rsidRPr="00B13B9A">
        <w:rPr>
          <w:rFonts w:asciiTheme="majorHAnsi" w:hAnsiTheme="majorHAnsi" w:cstheme="majorHAnsi"/>
          <w:b/>
          <w:sz w:val="24"/>
          <w:szCs w:val="24"/>
          <w:vertAlign w:val="baseline"/>
          <w:lang w:val="ro-MD"/>
        </w:rPr>
        <w:t xml:space="preserve">ionale de Asigurări în </w:t>
      </w:r>
      <w:r w:rsidRPr="00B13B9A">
        <w:rPr>
          <w:rFonts w:asciiTheme="majorHAnsi" w:eastAsia="Times New Roman" w:hAnsiTheme="majorHAnsi" w:cstheme="majorHAnsi"/>
          <w:b/>
          <w:sz w:val="24"/>
          <w:szCs w:val="24"/>
          <w:vertAlign w:val="baseline"/>
          <w:lang w:val="ro-MD" w:eastAsia="ro-MD"/>
        </w:rPr>
        <w:t>Medicină</w:t>
      </w:r>
      <w:r w:rsidRPr="00B13B9A">
        <w:rPr>
          <w:rFonts w:asciiTheme="majorHAnsi" w:eastAsia="Times New Roman" w:hAnsiTheme="majorHAnsi" w:cstheme="majorHAnsi"/>
          <w:sz w:val="24"/>
          <w:szCs w:val="24"/>
          <w:vertAlign w:val="baseline"/>
          <w:lang w:val="ro-MD" w:eastAsia="ro-MD"/>
        </w:rPr>
        <w:t xml:space="preserve"> </w:t>
      </w:r>
      <w:r w:rsidR="006F7395" w:rsidRPr="00B13B9A">
        <w:rPr>
          <w:rFonts w:asciiTheme="majorHAnsi" w:eastAsia="Times New Roman" w:hAnsiTheme="majorHAnsi" w:cstheme="majorHAnsi"/>
          <w:sz w:val="24"/>
          <w:szCs w:val="24"/>
          <w:vertAlign w:val="baseline"/>
          <w:lang w:val="ro-MD" w:eastAsia="ro-MD"/>
        </w:rPr>
        <w:t>–</w:t>
      </w:r>
      <w:r w:rsidR="00D64D06" w:rsidRPr="00B13B9A">
        <w:rPr>
          <w:rFonts w:asciiTheme="majorHAnsi" w:eastAsia="Times New Roman" w:hAnsiTheme="majorHAnsi" w:cstheme="majorHAnsi"/>
          <w:sz w:val="24"/>
          <w:szCs w:val="24"/>
          <w:vertAlign w:val="baseline"/>
          <w:lang w:val="ro-MD" w:eastAsia="ro-MD"/>
        </w:rPr>
        <w:t xml:space="preserve"> în calitate de</w:t>
      </w:r>
      <w:r w:rsidRPr="00B13B9A">
        <w:rPr>
          <w:rFonts w:asciiTheme="majorHAnsi" w:eastAsia="Times New Roman" w:hAnsiTheme="majorHAnsi" w:cstheme="majorHAnsi"/>
          <w:sz w:val="24"/>
          <w:szCs w:val="24"/>
          <w:vertAlign w:val="baseline"/>
          <w:lang w:val="ro-MD" w:eastAsia="ro-MD"/>
        </w:rPr>
        <w:t xml:space="preserve"> </w:t>
      </w:r>
      <w:r w:rsidR="00D64D06" w:rsidRPr="00B13B9A">
        <w:rPr>
          <w:rFonts w:asciiTheme="majorHAnsi" w:eastAsia="Times New Roman" w:hAnsiTheme="majorHAnsi" w:cstheme="majorHAnsi"/>
          <w:sz w:val="24"/>
          <w:szCs w:val="24"/>
          <w:vertAlign w:val="baseline"/>
          <w:lang w:val="ro-MD" w:eastAsia="ro-MD"/>
        </w:rPr>
        <w:t xml:space="preserve">administrator </w:t>
      </w:r>
      <w:r w:rsidR="00F50661" w:rsidRPr="00B13B9A">
        <w:rPr>
          <w:rFonts w:asciiTheme="majorHAnsi" w:eastAsia="Times New Roman" w:hAnsiTheme="majorHAnsi" w:cstheme="majorHAnsi"/>
          <w:sz w:val="24"/>
          <w:szCs w:val="24"/>
          <w:vertAlign w:val="baseline"/>
          <w:lang w:val="ro-MD" w:eastAsia="ro-MD"/>
        </w:rPr>
        <w:t xml:space="preserve">al </w:t>
      </w:r>
      <w:r w:rsidR="00D64D06" w:rsidRPr="00B13B9A">
        <w:rPr>
          <w:rFonts w:asciiTheme="majorHAnsi" w:eastAsia="Times New Roman" w:hAnsiTheme="majorHAnsi" w:cstheme="majorHAnsi"/>
          <w:sz w:val="24"/>
          <w:szCs w:val="24"/>
          <w:vertAlign w:val="baseline"/>
          <w:lang w:val="ro-MD" w:eastAsia="ro-MD"/>
        </w:rPr>
        <w:t>fondurilor asigurării obligatorii de asisten</w:t>
      </w:r>
      <w:r w:rsidR="00B13B9A" w:rsidRPr="00B13B9A">
        <w:rPr>
          <w:rFonts w:asciiTheme="majorHAnsi" w:eastAsia="Times New Roman" w:hAnsiTheme="majorHAnsi" w:cstheme="majorHAnsi"/>
          <w:sz w:val="24"/>
          <w:szCs w:val="24"/>
          <w:vertAlign w:val="baseline"/>
          <w:lang w:val="ro-MD" w:eastAsia="ro-MD"/>
        </w:rPr>
        <w:t>ț</w:t>
      </w:r>
      <w:r w:rsidR="00D64D06" w:rsidRPr="00B13B9A">
        <w:rPr>
          <w:rFonts w:asciiTheme="majorHAnsi" w:eastAsia="Times New Roman" w:hAnsiTheme="majorHAnsi" w:cstheme="majorHAnsi"/>
          <w:sz w:val="24"/>
          <w:szCs w:val="24"/>
          <w:vertAlign w:val="baseline"/>
          <w:lang w:val="ro-MD" w:eastAsia="ro-MD"/>
        </w:rPr>
        <w:t>ă medicală</w:t>
      </w:r>
      <w:r w:rsidR="00DF6DA3" w:rsidRPr="00B13B9A">
        <w:rPr>
          <w:rFonts w:asciiTheme="majorHAnsi" w:eastAsia="Times New Roman" w:hAnsiTheme="majorHAnsi" w:cstheme="majorHAnsi"/>
          <w:sz w:val="24"/>
          <w:szCs w:val="24"/>
          <w:vertAlign w:val="baseline"/>
          <w:lang w:val="ro-MD" w:eastAsia="ro-MD"/>
        </w:rPr>
        <w:t>,</w:t>
      </w:r>
      <w:r w:rsidR="00D64D06" w:rsidRPr="00B13B9A">
        <w:rPr>
          <w:rFonts w:asciiTheme="majorHAnsi" w:eastAsia="Times New Roman" w:hAnsiTheme="majorHAnsi" w:cstheme="majorHAnsi"/>
          <w:sz w:val="24"/>
          <w:szCs w:val="24"/>
          <w:vertAlign w:val="baseline"/>
          <w:lang w:val="ro-MD" w:eastAsia="ro-MD"/>
        </w:rPr>
        <w:t xml:space="preserve"> precum </w:t>
      </w:r>
      <w:r w:rsidR="00B13B9A" w:rsidRPr="00B13B9A">
        <w:rPr>
          <w:rFonts w:asciiTheme="majorHAnsi" w:eastAsia="Times New Roman" w:hAnsiTheme="majorHAnsi" w:cstheme="majorHAnsi"/>
          <w:sz w:val="24"/>
          <w:szCs w:val="24"/>
          <w:vertAlign w:val="baseline"/>
          <w:lang w:val="ro-MD" w:eastAsia="ro-MD"/>
        </w:rPr>
        <w:t>ș</w:t>
      </w:r>
      <w:r w:rsidR="00D64D06" w:rsidRPr="00B13B9A">
        <w:rPr>
          <w:rFonts w:asciiTheme="majorHAnsi" w:eastAsia="Times New Roman" w:hAnsiTheme="majorHAnsi" w:cstheme="majorHAnsi"/>
          <w:sz w:val="24"/>
          <w:szCs w:val="24"/>
          <w:vertAlign w:val="baseline"/>
          <w:lang w:val="ro-MD" w:eastAsia="ro-MD"/>
        </w:rPr>
        <w:t>i finan</w:t>
      </w:r>
      <w:r w:rsidR="00B13B9A" w:rsidRPr="00B13B9A">
        <w:rPr>
          <w:rFonts w:asciiTheme="majorHAnsi" w:eastAsia="Times New Roman" w:hAnsiTheme="majorHAnsi" w:cstheme="majorHAnsi"/>
          <w:sz w:val="24"/>
          <w:szCs w:val="24"/>
          <w:vertAlign w:val="baseline"/>
          <w:lang w:val="ro-MD" w:eastAsia="ro-MD"/>
        </w:rPr>
        <w:t>ț</w:t>
      </w:r>
      <w:r w:rsidR="00D64D06" w:rsidRPr="00B13B9A">
        <w:rPr>
          <w:rFonts w:asciiTheme="majorHAnsi" w:eastAsia="Times New Roman" w:hAnsiTheme="majorHAnsi" w:cstheme="majorHAnsi"/>
          <w:sz w:val="24"/>
          <w:szCs w:val="24"/>
          <w:vertAlign w:val="baseline"/>
          <w:lang w:val="ro-MD" w:eastAsia="ro-MD"/>
        </w:rPr>
        <w:t>ator al IMSP, prin distribuirea mijloacelor financiare în scopul asigurării prestării serviciilor medicale pentru popula</w:t>
      </w:r>
      <w:r w:rsidR="00B13B9A" w:rsidRPr="00B13B9A">
        <w:rPr>
          <w:rFonts w:asciiTheme="majorHAnsi" w:eastAsia="Times New Roman" w:hAnsiTheme="majorHAnsi" w:cstheme="majorHAnsi"/>
          <w:sz w:val="24"/>
          <w:szCs w:val="24"/>
          <w:vertAlign w:val="baseline"/>
          <w:lang w:val="ro-MD" w:eastAsia="ro-MD"/>
        </w:rPr>
        <w:t>ț</w:t>
      </w:r>
      <w:r w:rsidR="00D64D06" w:rsidRPr="00B13B9A">
        <w:rPr>
          <w:rFonts w:asciiTheme="majorHAnsi" w:eastAsia="Times New Roman" w:hAnsiTheme="majorHAnsi" w:cstheme="majorHAnsi"/>
          <w:sz w:val="24"/>
          <w:szCs w:val="24"/>
          <w:vertAlign w:val="baseline"/>
          <w:lang w:val="ro-MD" w:eastAsia="ro-MD"/>
        </w:rPr>
        <w:t>ie</w:t>
      </w:r>
      <w:r w:rsidR="0012633C" w:rsidRPr="00B13B9A">
        <w:rPr>
          <w:rFonts w:asciiTheme="majorHAnsi" w:eastAsia="Times New Roman" w:hAnsiTheme="majorHAnsi" w:cstheme="majorHAnsi"/>
          <w:sz w:val="24"/>
          <w:szCs w:val="24"/>
          <w:vertAlign w:val="baseline"/>
          <w:lang w:val="ro-MD" w:eastAsia="ro-MD"/>
        </w:rPr>
        <w:t>;</w:t>
      </w:r>
    </w:p>
    <w:p w14:paraId="1A0E6963" w14:textId="1C08FDE9" w:rsidR="009022BC" w:rsidRPr="00B13B9A" w:rsidRDefault="009022BC" w:rsidP="009022BC">
      <w:pPr>
        <w:pStyle w:val="a5"/>
        <w:spacing w:line="276" w:lineRule="auto"/>
        <w:ind w:firstLine="709"/>
        <w:jc w:val="both"/>
        <w:rPr>
          <w:rFonts w:asciiTheme="majorHAnsi" w:hAnsiTheme="majorHAnsi" w:cstheme="majorHAnsi"/>
          <w:b/>
          <w:sz w:val="24"/>
          <w:szCs w:val="24"/>
          <w:vertAlign w:val="baseline"/>
          <w:lang w:val="ro-MD"/>
        </w:rPr>
      </w:pPr>
      <w:r w:rsidRPr="00B13B9A">
        <w:rPr>
          <w:rFonts w:asciiTheme="majorHAnsi" w:hAnsiTheme="majorHAnsi" w:cstheme="majorHAnsi"/>
          <w:b/>
          <w:sz w:val="24"/>
          <w:szCs w:val="24"/>
          <w:vertAlign w:val="baseline"/>
          <w:lang w:val="ro-MD"/>
        </w:rPr>
        <w:t>societă</w:t>
      </w:r>
      <w:r w:rsidR="00B13B9A" w:rsidRPr="00B13B9A">
        <w:rPr>
          <w:rFonts w:asciiTheme="majorHAnsi" w:hAnsiTheme="majorHAnsi" w:cstheme="majorHAnsi"/>
          <w:b/>
          <w:sz w:val="24"/>
          <w:szCs w:val="24"/>
          <w:vertAlign w:val="baseline"/>
          <w:lang w:val="ro-MD"/>
        </w:rPr>
        <w:t>ț</w:t>
      </w:r>
      <w:r w:rsidRPr="00B13B9A">
        <w:rPr>
          <w:rFonts w:asciiTheme="majorHAnsi" w:hAnsiTheme="majorHAnsi" w:cstheme="majorHAnsi"/>
          <w:b/>
          <w:sz w:val="24"/>
          <w:szCs w:val="24"/>
          <w:vertAlign w:val="baseline"/>
          <w:lang w:val="ro-MD"/>
        </w:rPr>
        <w:t>ii civile, altor păr</w:t>
      </w:r>
      <w:r w:rsidR="00B13B9A" w:rsidRPr="00B13B9A">
        <w:rPr>
          <w:rFonts w:asciiTheme="majorHAnsi" w:hAnsiTheme="majorHAnsi" w:cstheme="majorHAnsi"/>
          <w:b/>
          <w:sz w:val="24"/>
          <w:szCs w:val="24"/>
          <w:vertAlign w:val="baseline"/>
          <w:lang w:val="ro-MD"/>
        </w:rPr>
        <w:t>ț</w:t>
      </w:r>
      <w:r w:rsidRPr="00B13B9A">
        <w:rPr>
          <w:rFonts w:asciiTheme="majorHAnsi" w:hAnsiTheme="majorHAnsi" w:cstheme="majorHAnsi"/>
          <w:b/>
          <w:sz w:val="24"/>
          <w:szCs w:val="24"/>
          <w:vertAlign w:val="baseline"/>
          <w:lang w:val="ro-MD"/>
        </w:rPr>
        <w:t>i interesate.</w:t>
      </w:r>
    </w:p>
    <w:p w14:paraId="35EDAEF7" w14:textId="7810A641" w:rsidR="009022BC" w:rsidRPr="00B13B9A" w:rsidRDefault="009022BC" w:rsidP="009022BC">
      <w:pPr>
        <w:spacing w:line="276" w:lineRule="auto"/>
        <w:ind w:firstLine="709"/>
        <w:jc w:val="both"/>
        <w:rPr>
          <w:rFonts w:asciiTheme="majorHAnsi" w:eastAsia="Times New Roman" w:hAnsiTheme="majorHAnsi" w:cstheme="majorHAnsi"/>
          <w:i/>
          <w:sz w:val="24"/>
          <w:szCs w:val="24"/>
          <w:lang w:val="ro-MD" w:eastAsia="ro-MD"/>
        </w:rPr>
      </w:pPr>
      <w:r w:rsidRPr="00B13B9A">
        <w:rPr>
          <w:rFonts w:asciiTheme="majorHAnsi" w:eastAsia="Times New Roman" w:hAnsiTheme="majorHAnsi" w:cstheme="majorHAnsi"/>
          <w:sz w:val="24"/>
          <w:szCs w:val="24"/>
          <w:lang w:val="ro-MD" w:eastAsia="ro-MD"/>
        </w:rPr>
        <w:t>Raportul de audit furnizează destinatarilor informa</w:t>
      </w:r>
      <w:r w:rsidR="00B13B9A" w:rsidRPr="00B13B9A">
        <w:rPr>
          <w:rFonts w:asciiTheme="majorHAnsi" w:eastAsia="Times New Roman" w:hAnsiTheme="majorHAnsi" w:cstheme="majorHAnsi"/>
          <w:sz w:val="24"/>
          <w:szCs w:val="24"/>
          <w:lang w:val="ro-MD" w:eastAsia="ro-MD"/>
        </w:rPr>
        <w:t>ț</w:t>
      </w:r>
      <w:r w:rsidRPr="00B13B9A">
        <w:rPr>
          <w:rFonts w:asciiTheme="majorHAnsi" w:eastAsia="Times New Roman" w:hAnsiTheme="majorHAnsi" w:cstheme="majorHAnsi"/>
          <w:sz w:val="24"/>
          <w:szCs w:val="24"/>
          <w:lang w:val="ro-MD" w:eastAsia="ro-MD"/>
        </w:rPr>
        <w:t xml:space="preserve">ii privind conformitatea gestionării patrimoniului public </w:t>
      </w:r>
      <w:r w:rsidR="00B13B9A" w:rsidRPr="00B13B9A">
        <w:rPr>
          <w:rFonts w:asciiTheme="majorHAnsi" w:eastAsia="Times New Roman" w:hAnsiTheme="majorHAnsi" w:cstheme="majorHAnsi"/>
          <w:sz w:val="24"/>
          <w:szCs w:val="24"/>
          <w:lang w:val="ro-MD" w:eastAsia="ro-MD"/>
        </w:rPr>
        <w:t>ș</w:t>
      </w:r>
      <w:r w:rsidRPr="00B13B9A">
        <w:rPr>
          <w:rFonts w:asciiTheme="majorHAnsi" w:eastAsia="Times New Roman" w:hAnsiTheme="majorHAnsi" w:cstheme="majorHAnsi"/>
          <w:sz w:val="24"/>
          <w:szCs w:val="24"/>
          <w:lang w:val="ro-MD" w:eastAsia="ro-MD"/>
        </w:rPr>
        <w:t>i a resurselor financiare de către IMSP Institutul de Ftiziopneumologie „Chiril Draganiuc” în anii 2021-2023</w:t>
      </w:r>
      <w:r w:rsidR="00CA5E5D" w:rsidRPr="00B13B9A">
        <w:rPr>
          <w:rFonts w:asciiTheme="majorHAnsi" w:eastAsia="Times New Roman" w:hAnsiTheme="majorHAnsi" w:cstheme="majorHAnsi"/>
          <w:sz w:val="24"/>
          <w:szCs w:val="24"/>
          <w:lang w:val="ro-MD" w:eastAsia="ro-MD"/>
        </w:rPr>
        <w:t xml:space="preserve"> (6 luni)</w:t>
      </w:r>
      <w:r w:rsidRPr="00B13B9A">
        <w:rPr>
          <w:rFonts w:asciiTheme="majorHAnsi" w:hAnsiTheme="majorHAnsi" w:cstheme="majorHAnsi"/>
          <w:sz w:val="24"/>
          <w:szCs w:val="24"/>
          <w:lang w:val="ro-MD"/>
        </w:rPr>
        <w:t>.</w:t>
      </w:r>
    </w:p>
    <w:p w14:paraId="7A5E15D0" w14:textId="77777777" w:rsidR="009359E0" w:rsidRPr="00B13B9A" w:rsidRDefault="009359E0" w:rsidP="009E7FD2">
      <w:pPr>
        <w:pStyle w:val="a7"/>
        <w:numPr>
          <w:ilvl w:val="0"/>
          <w:numId w:val="1"/>
        </w:numPr>
        <w:tabs>
          <w:tab w:val="left" w:pos="720"/>
          <w:tab w:val="left" w:pos="1710"/>
        </w:tabs>
        <w:spacing w:after="0" w:line="276" w:lineRule="auto"/>
        <w:ind w:left="0" w:firstLine="0"/>
        <w:outlineLvl w:val="0"/>
        <w:rPr>
          <w:rFonts w:asciiTheme="majorHAnsi" w:eastAsia="Times New Roman" w:hAnsiTheme="majorHAnsi" w:cstheme="majorHAnsi"/>
          <w:b/>
          <w:bCs/>
          <w:caps/>
          <w:color w:val="0070C0"/>
          <w:sz w:val="24"/>
          <w:szCs w:val="24"/>
          <w:lang w:val="ro-MD"/>
        </w:rPr>
      </w:pPr>
      <w:bookmarkStart w:id="3" w:name="_Toc154562484"/>
      <w:bookmarkStart w:id="4" w:name="_Toc123116693"/>
      <w:r w:rsidRPr="00B13B9A">
        <w:rPr>
          <w:rFonts w:asciiTheme="majorHAnsi" w:eastAsia="Times New Roman" w:hAnsiTheme="majorHAnsi" w:cstheme="majorHAnsi"/>
          <w:b/>
          <w:bCs/>
          <w:caps/>
          <w:color w:val="0070C0"/>
          <w:sz w:val="24"/>
          <w:szCs w:val="24"/>
          <w:lang w:val="ro-MD"/>
        </w:rPr>
        <w:t>SINTEZA</w:t>
      </w:r>
      <w:bookmarkEnd w:id="3"/>
    </w:p>
    <w:p w14:paraId="3E531D3A" w14:textId="2AE85491" w:rsidR="00371912" w:rsidRPr="00B13B9A" w:rsidRDefault="00371912" w:rsidP="00371912">
      <w:pPr>
        <w:pStyle w:val="a5"/>
        <w:spacing w:line="276" w:lineRule="auto"/>
        <w:jc w:val="both"/>
        <w:rPr>
          <w:rFonts w:asciiTheme="majorHAnsi" w:hAnsiTheme="majorHAnsi" w:cstheme="majorHAnsi"/>
          <w:color w:val="212121"/>
          <w:sz w:val="24"/>
          <w:szCs w:val="24"/>
          <w:shd w:val="clear" w:color="auto" w:fill="FFFFFF"/>
          <w:vertAlign w:val="baseline"/>
          <w:lang w:val="ro-MD"/>
        </w:rPr>
      </w:pPr>
      <w:r w:rsidRPr="00B13B9A">
        <w:rPr>
          <w:rFonts w:asciiTheme="majorHAnsi" w:hAnsiTheme="majorHAnsi" w:cstheme="majorHAnsi"/>
          <w:color w:val="212121"/>
          <w:sz w:val="24"/>
          <w:szCs w:val="24"/>
          <w:shd w:val="clear" w:color="auto" w:fill="FFFFFF"/>
          <w:vertAlign w:val="baseline"/>
          <w:lang w:val="ro-MD"/>
        </w:rPr>
        <w:t xml:space="preserve">IMSP IFP </w:t>
      </w:r>
      <w:r w:rsidRPr="00B13B9A">
        <w:rPr>
          <w:rFonts w:asciiTheme="majorHAnsi" w:eastAsia="Times New Roman" w:hAnsiTheme="majorHAnsi" w:cstheme="majorHAnsi"/>
          <w:sz w:val="24"/>
          <w:szCs w:val="24"/>
          <w:vertAlign w:val="baseline"/>
          <w:lang w:val="ro-MD" w:eastAsia="ro-MD"/>
        </w:rPr>
        <w:t>„Chiril Draganiuc”</w:t>
      </w:r>
      <w:r w:rsidRPr="00B13B9A">
        <w:rPr>
          <w:rFonts w:asciiTheme="majorHAnsi" w:eastAsia="Times New Roman" w:hAnsiTheme="majorHAnsi" w:cstheme="majorHAnsi"/>
          <w:sz w:val="24"/>
          <w:szCs w:val="24"/>
          <w:lang w:val="ro-MD" w:eastAsia="ro-MD"/>
        </w:rPr>
        <w:t xml:space="preserve"> </w:t>
      </w:r>
      <w:r w:rsidRPr="00B13B9A">
        <w:rPr>
          <w:rFonts w:asciiTheme="majorHAnsi" w:hAnsiTheme="majorHAnsi" w:cstheme="majorHAnsi"/>
          <w:color w:val="212121"/>
          <w:sz w:val="24"/>
          <w:szCs w:val="24"/>
          <w:shd w:val="clear" w:color="auto" w:fill="FFFFFF"/>
          <w:vertAlign w:val="baseline"/>
          <w:lang w:val="ro-MD"/>
        </w:rPr>
        <w:t>este responsabil</w:t>
      </w:r>
      <w:r w:rsidR="006D3BF2" w:rsidRPr="00B13B9A">
        <w:rPr>
          <w:rFonts w:asciiTheme="majorHAnsi" w:hAnsiTheme="majorHAnsi" w:cstheme="majorHAnsi"/>
          <w:color w:val="212121"/>
          <w:sz w:val="24"/>
          <w:szCs w:val="24"/>
          <w:shd w:val="clear" w:color="auto" w:fill="FFFFFF"/>
          <w:vertAlign w:val="baseline"/>
          <w:lang w:val="ro-MD"/>
        </w:rPr>
        <w:t>ă</w:t>
      </w:r>
      <w:r w:rsidRPr="00B13B9A">
        <w:rPr>
          <w:rFonts w:asciiTheme="majorHAnsi" w:hAnsiTheme="majorHAnsi" w:cstheme="majorHAnsi"/>
          <w:color w:val="212121"/>
          <w:sz w:val="24"/>
          <w:szCs w:val="24"/>
          <w:shd w:val="clear" w:color="auto" w:fill="FFFFFF"/>
          <w:vertAlign w:val="baseline"/>
          <w:lang w:val="ro-MD"/>
        </w:rPr>
        <w:t xml:space="preserve"> de acordarea asisten</w:t>
      </w:r>
      <w:r w:rsidR="00B13B9A" w:rsidRPr="00B13B9A">
        <w:rPr>
          <w:rFonts w:asciiTheme="majorHAnsi" w:hAnsiTheme="majorHAnsi" w:cstheme="majorHAnsi"/>
          <w:color w:val="212121"/>
          <w:sz w:val="24"/>
          <w:szCs w:val="24"/>
          <w:shd w:val="clear" w:color="auto" w:fill="FFFFFF"/>
          <w:vertAlign w:val="baseline"/>
          <w:lang w:val="ro-MD"/>
        </w:rPr>
        <w:t>ț</w:t>
      </w:r>
      <w:r w:rsidRPr="00B13B9A">
        <w:rPr>
          <w:rFonts w:asciiTheme="majorHAnsi" w:hAnsiTheme="majorHAnsi" w:cstheme="majorHAnsi"/>
          <w:color w:val="212121"/>
          <w:sz w:val="24"/>
          <w:szCs w:val="24"/>
          <w:shd w:val="clear" w:color="auto" w:fill="FFFFFF"/>
          <w:vertAlign w:val="baseline"/>
          <w:lang w:val="ro-MD"/>
        </w:rPr>
        <w:t xml:space="preserve">ei  medicale specializate, diagnosticul, tratamentul bolnavilor cu tuberculoză </w:t>
      </w:r>
      <w:r w:rsidR="00B13B9A" w:rsidRPr="00B13B9A">
        <w:rPr>
          <w:rFonts w:asciiTheme="majorHAnsi" w:hAnsiTheme="majorHAnsi" w:cstheme="majorHAnsi"/>
          <w:color w:val="212121"/>
          <w:sz w:val="24"/>
          <w:szCs w:val="24"/>
          <w:shd w:val="clear" w:color="auto" w:fill="FFFFFF"/>
          <w:vertAlign w:val="baseline"/>
          <w:lang w:val="ro-MD"/>
        </w:rPr>
        <w:t>ș</w:t>
      </w:r>
      <w:r w:rsidRPr="00B13B9A">
        <w:rPr>
          <w:rFonts w:asciiTheme="majorHAnsi" w:hAnsiTheme="majorHAnsi" w:cstheme="majorHAnsi"/>
          <w:color w:val="212121"/>
          <w:sz w:val="24"/>
          <w:szCs w:val="24"/>
          <w:shd w:val="clear" w:color="auto" w:fill="FFFFFF"/>
          <w:vertAlign w:val="baseline"/>
          <w:lang w:val="ro-MD"/>
        </w:rPr>
        <w:t xml:space="preserve">i boli specifice ale aparatului respirator. De asemenea, prin efectuarea cercetărilor </w:t>
      </w:r>
      <w:r w:rsidR="00B13B9A" w:rsidRPr="00B13B9A">
        <w:rPr>
          <w:rFonts w:asciiTheme="majorHAnsi" w:hAnsiTheme="majorHAnsi" w:cstheme="majorHAnsi"/>
          <w:color w:val="212121"/>
          <w:sz w:val="24"/>
          <w:szCs w:val="24"/>
          <w:shd w:val="clear" w:color="auto" w:fill="FFFFFF"/>
          <w:vertAlign w:val="baseline"/>
          <w:lang w:val="ro-MD"/>
        </w:rPr>
        <w:t>ș</w:t>
      </w:r>
      <w:r w:rsidRPr="00B13B9A">
        <w:rPr>
          <w:rFonts w:asciiTheme="majorHAnsi" w:hAnsiTheme="majorHAnsi" w:cstheme="majorHAnsi"/>
          <w:color w:val="212121"/>
          <w:sz w:val="24"/>
          <w:szCs w:val="24"/>
          <w:shd w:val="clear" w:color="auto" w:fill="FFFFFF"/>
          <w:vertAlign w:val="baseline"/>
          <w:lang w:val="ro-MD"/>
        </w:rPr>
        <w:t>tiin</w:t>
      </w:r>
      <w:r w:rsidR="00B13B9A" w:rsidRPr="00B13B9A">
        <w:rPr>
          <w:rFonts w:asciiTheme="majorHAnsi" w:hAnsiTheme="majorHAnsi" w:cstheme="majorHAnsi"/>
          <w:color w:val="212121"/>
          <w:sz w:val="24"/>
          <w:szCs w:val="24"/>
          <w:shd w:val="clear" w:color="auto" w:fill="FFFFFF"/>
          <w:vertAlign w:val="baseline"/>
          <w:lang w:val="ro-MD"/>
        </w:rPr>
        <w:t>ț</w:t>
      </w:r>
      <w:r w:rsidRPr="00B13B9A">
        <w:rPr>
          <w:rFonts w:asciiTheme="majorHAnsi" w:hAnsiTheme="majorHAnsi" w:cstheme="majorHAnsi"/>
          <w:color w:val="212121"/>
          <w:sz w:val="24"/>
          <w:szCs w:val="24"/>
          <w:shd w:val="clear" w:color="auto" w:fill="FFFFFF"/>
          <w:vertAlign w:val="baseline"/>
          <w:lang w:val="ro-MD"/>
        </w:rPr>
        <w:t>ifice în conformitate cu direc</w:t>
      </w:r>
      <w:r w:rsidR="00B13B9A" w:rsidRPr="00B13B9A">
        <w:rPr>
          <w:rFonts w:asciiTheme="majorHAnsi" w:hAnsiTheme="majorHAnsi" w:cstheme="majorHAnsi"/>
          <w:color w:val="212121"/>
          <w:sz w:val="24"/>
          <w:szCs w:val="24"/>
          <w:shd w:val="clear" w:color="auto" w:fill="FFFFFF"/>
          <w:vertAlign w:val="baseline"/>
          <w:lang w:val="ro-MD"/>
        </w:rPr>
        <w:t>ț</w:t>
      </w:r>
      <w:r w:rsidRPr="00B13B9A">
        <w:rPr>
          <w:rFonts w:asciiTheme="majorHAnsi" w:hAnsiTheme="majorHAnsi" w:cstheme="majorHAnsi"/>
          <w:color w:val="212121"/>
          <w:sz w:val="24"/>
          <w:szCs w:val="24"/>
          <w:shd w:val="clear" w:color="auto" w:fill="FFFFFF"/>
          <w:vertAlign w:val="baseline"/>
          <w:lang w:val="ro-MD"/>
        </w:rPr>
        <w:t xml:space="preserve">iile strategice </w:t>
      </w:r>
      <w:r w:rsidR="00B13B9A" w:rsidRPr="00B13B9A">
        <w:rPr>
          <w:rFonts w:asciiTheme="majorHAnsi" w:hAnsiTheme="majorHAnsi" w:cstheme="majorHAnsi"/>
          <w:color w:val="212121"/>
          <w:sz w:val="24"/>
          <w:szCs w:val="24"/>
          <w:shd w:val="clear" w:color="auto" w:fill="FFFFFF"/>
          <w:vertAlign w:val="baseline"/>
          <w:lang w:val="ro-MD"/>
        </w:rPr>
        <w:t>ș</w:t>
      </w:r>
      <w:r w:rsidRPr="00B13B9A">
        <w:rPr>
          <w:rFonts w:asciiTheme="majorHAnsi" w:hAnsiTheme="majorHAnsi" w:cstheme="majorHAnsi"/>
          <w:color w:val="212121"/>
          <w:sz w:val="24"/>
          <w:szCs w:val="24"/>
          <w:shd w:val="clear" w:color="auto" w:fill="FFFFFF"/>
          <w:vertAlign w:val="baseline"/>
          <w:lang w:val="ro-MD"/>
        </w:rPr>
        <w:t>i prioritare, urmăre</w:t>
      </w:r>
      <w:r w:rsidR="00B13B9A" w:rsidRPr="00B13B9A">
        <w:rPr>
          <w:rFonts w:asciiTheme="majorHAnsi" w:hAnsiTheme="majorHAnsi" w:cstheme="majorHAnsi"/>
          <w:color w:val="212121"/>
          <w:sz w:val="24"/>
          <w:szCs w:val="24"/>
          <w:shd w:val="clear" w:color="auto" w:fill="FFFFFF"/>
          <w:vertAlign w:val="baseline"/>
          <w:lang w:val="ro-MD"/>
        </w:rPr>
        <w:t>ș</w:t>
      </w:r>
      <w:r w:rsidRPr="00B13B9A">
        <w:rPr>
          <w:rFonts w:asciiTheme="majorHAnsi" w:hAnsiTheme="majorHAnsi" w:cstheme="majorHAnsi"/>
          <w:color w:val="212121"/>
          <w:sz w:val="24"/>
          <w:szCs w:val="24"/>
          <w:shd w:val="clear" w:color="auto" w:fill="FFFFFF"/>
          <w:vertAlign w:val="baseline"/>
          <w:lang w:val="ro-MD"/>
        </w:rPr>
        <w:t>te îmbunătă</w:t>
      </w:r>
      <w:r w:rsidR="00B13B9A" w:rsidRPr="00B13B9A">
        <w:rPr>
          <w:rFonts w:asciiTheme="majorHAnsi" w:hAnsiTheme="majorHAnsi" w:cstheme="majorHAnsi"/>
          <w:color w:val="212121"/>
          <w:sz w:val="24"/>
          <w:szCs w:val="24"/>
          <w:shd w:val="clear" w:color="auto" w:fill="FFFFFF"/>
          <w:vertAlign w:val="baseline"/>
          <w:lang w:val="ro-MD"/>
        </w:rPr>
        <w:t>ț</w:t>
      </w:r>
      <w:r w:rsidRPr="00B13B9A">
        <w:rPr>
          <w:rFonts w:asciiTheme="majorHAnsi" w:hAnsiTheme="majorHAnsi" w:cstheme="majorHAnsi"/>
          <w:color w:val="212121"/>
          <w:sz w:val="24"/>
          <w:szCs w:val="24"/>
          <w:shd w:val="clear" w:color="auto" w:fill="FFFFFF"/>
          <w:vertAlign w:val="baseline"/>
          <w:lang w:val="ro-MD"/>
        </w:rPr>
        <w:t>irea calită</w:t>
      </w:r>
      <w:r w:rsidR="00B13B9A" w:rsidRPr="00B13B9A">
        <w:rPr>
          <w:rFonts w:asciiTheme="majorHAnsi" w:hAnsiTheme="majorHAnsi" w:cstheme="majorHAnsi"/>
          <w:color w:val="212121"/>
          <w:sz w:val="24"/>
          <w:szCs w:val="24"/>
          <w:shd w:val="clear" w:color="auto" w:fill="FFFFFF"/>
          <w:vertAlign w:val="baseline"/>
          <w:lang w:val="ro-MD"/>
        </w:rPr>
        <w:t>ț</w:t>
      </w:r>
      <w:r w:rsidRPr="00B13B9A">
        <w:rPr>
          <w:rFonts w:asciiTheme="majorHAnsi" w:hAnsiTheme="majorHAnsi" w:cstheme="majorHAnsi"/>
          <w:color w:val="212121"/>
          <w:sz w:val="24"/>
          <w:szCs w:val="24"/>
          <w:shd w:val="clear" w:color="auto" w:fill="FFFFFF"/>
          <w:vertAlign w:val="baseline"/>
          <w:lang w:val="ro-MD"/>
        </w:rPr>
        <w:t>ii serviciilor medicale orientate spre asigurarea securită</w:t>
      </w:r>
      <w:r w:rsidR="00B13B9A" w:rsidRPr="00B13B9A">
        <w:rPr>
          <w:rFonts w:asciiTheme="majorHAnsi" w:hAnsiTheme="majorHAnsi" w:cstheme="majorHAnsi"/>
          <w:color w:val="212121"/>
          <w:sz w:val="24"/>
          <w:szCs w:val="24"/>
          <w:shd w:val="clear" w:color="auto" w:fill="FFFFFF"/>
          <w:vertAlign w:val="baseline"/>
          <w:lang w:val="ro-MD"/>
        </w:rPr>
        <w:t>ț</w:t>
      </w:r>
      <w:r w:rsidRPr="00B13B9A">
        <w:rPr>
          <w:rFonts w:asciiTheme="majorHAnsi" w:hAnsiTheme="majorHAnsi" w:cstheme="majorHAnsi"/>
          <w:color w:val="212121"/>
          <w:sz w:val="24"/>
          <w:szCs w:val="24"/>
          <w:shd w:val="clear" w:color="auto" w:fill="FFFFFF"/>
          <w:vertAlign w:val="baseline"/>
          <w:lang w:val="ro-MD"/>
        </w:rPr>
        <w:t xml:space="preserve">ii pacientului </w:t>
      </w:r>
      <w:r w:rsidR="00B13B9A" w:rsidRPr="00B13B9A">
        <w:rPr>
          <w:rFonts w:asciiTheme="majorHAnsi" w:hAnsiTheme="majorHAnsi" w:cstheme="majorHAnsi"/>
          <w:color w:val="212121"/>
          <w:sz w:val="24"/>
          <w:szCs w:val="24"/>
          <w:shd w:val="clear" w:color="auto" w:fill="FFFFFF"/>
          <w:vertAlign w:val="baseline"/>
          <w:lang w:val="ro-MD"/>
        </w:rPr>
        <w:t>ș</w:t>
      </w:r>
      <w:r w:rsidRPr="00B13B9A">
        <w:rPr>
          <w:rFonts w:asciiTheme="majorHAnsi" w:hAnsiTheme="majorHAnsi" w:cstheme="majorHAnsi"/>
          <w:color w:val="212121"/>
          <w:sz w:val="24"/>
          <w:szCs w:val="24"/>
          <w:shd w:val="clear" w:color="auto" w:fill="FFFFFF"/>
          <w:vertAlign w:val="baseline"/>
          <w:lang w:val="ro-MD"/>
        </w:rPr>
        <w:t>i respectării drepturilor acestuia.</w:t>
      </w:r>
      <w:r w:rsidRPr="00B13B9A">
        <w:rPr>
          <w:rFonts w:asciiTheme="majorHAnsi" w:hAnsiTheme="majorHAnsi" w:cstheme="majorHAnsi"/>
          <w:color w:val="212121"/>
          <w:sz w:val="24"/>
          <w:szCs w:val="24"/>
          <w:vertAlign w:val="baseline"/>
          <w:lang w:val="ro-MD"/>
        </w:rPr>
        <w:t xml:space="preserve"> </w:t>
      </w:r>
    </w:p>
    <w:p w14:paraId="1595138A" w14:textId="0ED3DD56" w:rsidR="00371912" w:rsidRPr="00B13B9A" w:rsidRDefault="00371912" w:rsidP="00371912">
      <w:pPr>
        <w:pStyle w:val="a5"/>
        <w:spacing w:line="276" w:lineRule="auto"/>
        <w:jc w:val="both"/>
        <w:rPr>
          <w:rFonts w:asciiTheme="majorHAnsi" w:hAnsiTheme="majorHAnsi" w:cstheme="majorHAnsi"/>
          <w:sz w:val="24"/>
          <w:szCs w:val="24"/>
          <w:vertAlign w:val="baseline"/>
          <w:lang w:val="ro-MD"/>
        </w:rPr>
      </w:pPr>
      <w:r w:rsidRPr="00B13B9A">
        <w:rPr>
          <w:rFonts w:asciiTheme="majorHAnsi" w:hAnsiTheme="majorHAnsi" w:cstheme="majorHAnsi"/>
          <w:sz w:val="24"/>
          <w:szCs w:val="24"/>
          <w:vertAlign w:val="baseline"/>
          <w:lang w:val="ro-MD"/>
        </w:rPr>
        <w:t xml:space="preserve">În </w:t>
      </w:r>
      <w:r w:rsidR="008B5192" w:rsidRPr="00B13B9A">
        <w:rPr>
          <w:rFonts w:asciiTheme="majorHAnsi" w:hAnsiTheme="majorHAnsi" w:cstheme="majorHAnsi"/>
          <w:sz w:val="24"/>
          <w:szCs w:val="24"/>
          <w:vertAlign w:val="baseline"/>
          <w:lang w:val="ro-MD"/>
        </w:rPr>
        <w:t xml:space="preserve">acest </w:t>
      </w:r>
      <w:r w:rsidRPr="00B13B9A">
        <w:rPr>
          <w:rFonts w:asciiTheme="majorHAnsi" w:hAnsiTheme="majorHAnsi" w:cstheme="majorHAnsi"/>
          <w:sz w:val="24"/>
          <w:szCs w:val="24"/>
          <w:vertAlign w:val="baseline"/>
          <w:lang w:val="ro-MD"/>
        </w:rPr>
        <w:t xml:space="preserve">context, Curtea de Conturi, în temeiul Legii nr.260 din 07.12.2017 </w:t>
      </w:r>
      <w:r w:rsidR="00B13B9A" w:rsidRPr="00B13B9A">
        <w:rPr>
          <w:rFonts w:asciiTheme="majorHAnsi" w:hAnsiTheme="majorHAnsi" w:cstheme="majorHAnsi"/>
          <w:sz w:val="24"/>
          <w:szCs w:val="24"/>
          <w:vertAlign w:val="baseline"/>
          <w:lang w:val="ro-MD"/>
        </w:rPr>
        <w:t>ș</w:t>
      </w:r>
      <w:r w:rsidRPr="00B13B9A">
        <w:rPr>
          <w:rFonts w:asciiTheme="majorHAnsi" w:hAnsiTheme="majorHAnsi" w:cstheme="majorHAnsi"/>
          <w:sz w:val="24"/>
          <w:szCs w:val="24"/>
          <w:vertAlign w:val="baseline"/>
          <w:lang w:val="ro-MD"/>
        </w:rPr>
        <w:t xml:space="preserve">i </w:t>
      </w:r>
      <w:r w:rsidR="00CA0BEB" w:rsidRPr="00B13B9A">
        <w:rPr>
          <w:rFonts w:asciiTheme="majorHAnsi" w:hAnsiTheme="majorHAnsi" w:cstheme="majorHAnsi"/>
          <w:sz w:val="24"/>
          <w:szCs w:val="24"/>
          <w:vertAlign w:val="baseline"/>
          <w:lang w:val="ro-MD"/>
        </w:rPr>
        <w:t>în conformitate cu</w:t>
      </w:r>
      <w:r w:rsidRPr="00B13B9A">
        <w:rPr>
          <w:rFonts w:asciiTheme="majorHAnsi" w:hAnsiTheme="majorHAnsi" w:cstheme="majorHAnsi"/>
          <w:sz w:val="24"/>
          <w:szCs w:val="24"/>
          <w:vertAlign w:val="baseline"/>
          <w:lang w:val="ro-MD"/>
        </w:rPr>
        <w:t xml:space="preserve"> Programul activită</w:t>
      </w:r>
      <w:r w:rsidR="00B13B9A" w:rsidRPr="00B13B9A">
        <w:rPr>
          <w:rFonts w:asciiTheme="majorHAnsi" w:hAnsiTheme="majorHAnsi" w:cstheme="majorHAnsi"/>
          <w:sz w:val="24"/>
          <w:szCs w:val="24"/>
          <w:vertAlign w:val="baseline"/>
          <w:lang w:val="ro-MD"/>
        </w:rPr>
        <w:t>ț</w:t>
      </w:r>
      <w:r w:rsidRPr="00B13B9A">
        <w:rPr>
          <w:rFonts w:asciiTheme="majorHAnsi" w:hAnsiTheme="majorHAnsi" w:cstheme="majorHAnsi"/>
          <w:sz w:val="24"/>
          <w:szCs w:val="24"/>
          <w:vertAlign w:val="baseline"/>
          <w:lang w:val="ro-MD"/>
        </w:rPr>
        <w:t>ii de audit pe anul 2023, a realizat prezenta misiune de audit în scopul evaluării conformită</w:t>
      </w:r>
      <w:r w:rsidR="00B13B9A" w:rsidRPr="00B13B9A">
        <w:rPr>
          <w:rFonts w:asciiTheme="majorHAnsi" w:hAnsiTheme="majorHAnsi" w:cstheme="majorHAnsi"/>
          <w:sz w:val="24"/>
          <w:szCs w:val="24"/>
          <w:vertAlign w:val="baseline"/>
          <w:lang w:val="ro-MD"/>
        </w:rPr>
        <w:t>ț</w:t>
      </w:r>
      <w:r w:rsidRPr="00B13B9A">
        <w:rPr>
          <w:rFonts w:asciiTheme="majorHAnsi" w:hAnsiTheme="majorHAnsi" w:cstheme="majorHAnsi"/>
          <w:sz w:val="24"/>
          <w:szCs w:val="24"/>
          <w:vertAlign w:val="baseline"/>
          <w:lang w:val="ro-MD"/>
        </w:rPr>
        <w:t xml:space="preserve">ii gestionării patrimoniului public </w:t>
      </w:r>
      <w:r w:rsidR="00B13B9A" w:rsidRPr="00B13B9A">
        <w:rPr>
          <w:rFonts w:asciiTheme="majorHAnsi" w:hAnsiTheme="majorHAnsi" w:cstheme="majorHAnsi"/>
          <w:sz w:val="24"/>
          <w:szCs w:val="24"/>
          <w:vertAlign w:val="baseline"/>
          <w:lang w:val="ro-MD"/>
        </w:rPr>
        <w:t>ș</w:t>
      </w:r>
      <w:r w:rsidRPr="00B13B9A">
        <w:rPr>
          <w:rFonts w:asciiTheme="majorHAnsi" w:hAnsiTheme="majorHAnsi" w:cstheme="majorHAnsi"/>
          <w:sz w:val="24"/>
          <w:szCs w:val="24"/>
          <w:vertAlign w:val="baseline"/>
          <w:lang w:val="ro-MD"/>
        </w:rPr>
        <w:t xml:space="preserve">i </w:t>
      </w:r>
      <w:r w:rsidR="00E92ECC" w:rsidRPr="00B13B9A">
        <w:rPr>
          <w:rFonts w:asciiTheme="majorHAnsi" w:hAnsiTheme="majorHAnsi" w:cstheme="majorHAnsi"/>
          <w:sz w:val="24"/>
          <w:szCs w:val="24"/>
          <w:vertAlign w:val="baseline"/>
          <w:lang w:val="ro-MD"/>
        </w:rPr>
        <w:t xml:space="preserve">a </w:t>
      </w:r>
      <w:r w:rsidRPr="00B13B9A">
        <w:rPr>
          <w:rFonts w:asciiTheme="majorHAnsi" w:hAnsiTheme="majorHAnsi" w:cstheme="majorHAnsi"/>
          <w:sz w:val="24"/>
          <w:szCs w:val="24"/>
          <w:vertAlign w:val="baseline"/>
          <w:lang w:val="ro-MD"/>
        </w:rPr>
        <w:t>resurselor financiare de</w:t>
      </w:r>
      <w:r w:rsidR="00B13B9A" w:rsidRPr="00B13B9A">
        <w:rPr>
          <w:rFonts w:asciiTheme="majorHAnsi" w:hAnsiTheme="majorHAnsi" w:cstheme="majorHAnsi"/>
          <w:sz w:val="24"/>
          <w:szCs w:val="24"/>
          <w:vertAlign w:val="baseline"/>
          <w:lang w:val="ro-MD"/>
        </w:rPr>
        <w:t>ț</w:t>
      </w:r>
      <w:r w:rsidRPr="00B13B9A">
        <w:rPr>
          <w:rFonts w:asciiTheme="majorHAnsi" w:hAnsiTheme="majorHAnsi" w:cstheme="majorHAnsi"/>
          <w:sz w:val="24"/>
          <w:szCs w:val="24"/>
          <w:vertAlign w:val="baseline"/>
          <w:lang w:val="ro-MD"/>
        </w:rPr>
        <w:t xml:space="preserve">inute de IMSP IFP </w:t>
      </w:r>
      <w:r w:rsidRPr="00B13B9A">
        <w:rPr>
          <w:rFonts w:asciiTheme="majorHAnsi" w:eastAsia="Times New Roman" w:hAnsiTheme="majorHAnsi" w:cstheme="majorHAnsi"/>
          <w:sz w:val="24"/>
          <w:szCs w:val="24"/>
          <w:vertAlign w:val="baseline"/>
          <w:lang w:val="ro-MD" w:eastAsia="ro-MD"/>
        </w:rPr>
        <w:t>„Chiril Draganiuc”</w:t>
      </w:r>
      <w:r w:rsidRPr="00B13B9A">
        <w:rPr>
          <w:rFonts w:asciiTheme="majorHAnsi" w:eastAsia="Times New Roman" w:hAnsiTheme="majorHAnsi" w:cstheme="majorHAnsi"/>
          <w:sz w:val="24"/>
          <w:szCs w:val="24"/>
          <w:lang w:val="ro-MD" w:eastAsia="ro-MD"/>
        </w:rPr>
        <w:t xml:space="preserve"> </w:t>
      </w:r>
      <w:r w:rsidRPr="00B13B9A">
        <w:rPr>
          <w:rFonts w:asciiTheme="majorHAnsi" w:hAnsiTheme="majorHAnsi" w:cstheme="majorHAnsi"/>
          <w:sz w:val="24"/>
          <w:szCs w:val="24"/>
          <w:vertAlign w:val="baseline"/>
          <w:lang w:val="ro-MD"/>
        </w:rPr>
        <w:t>în anii 2021-2023 (6 luni).</w:t>
      </w:r>
    </w:p>
    <w:p w14:paraId="131B43F7" w14:textId="7ACF9CAE" w:rsidR="00371912" w:rsidRPr="00B13B9A" w:rsidRDefault="00371912" w:rsidP="00371912">
      <w:pPr>
        <w:pStyle w:val="a5"/>
        <w:spacing w:line="276" w:lineRule="auto"/>
        <w:jc w:val="both"/>
        <w:rPr>
          <w:rFonts w:asciiTheme="majorHAnsi" w:hAnsiTheme="majorHAnsi" w:cstheme="majorHAnsi"/>
          <w:sz w:val="24"/>
          <w:szCs w:val="24"/>
          <w:vertAlign w:val="baseline"/>
          <w:lang w:val="ro-MD"/>
        </w:rPr>
      </w:pPr>
      <w:r w:rsidRPr="00B13B9A">
        <w:rPr>
          <w:rFonts w:asciiTheme="majorHAnsi" w:hAnsiTheme="majorHAnsi" w:cstheme="majorHAnsi"/>
          <w:sz w:val="24"/>
          <w:szCs w:val="24"/>
          <w:vertAlign w:val="baseline"/>
          <w:lang w:val="ro-MD"/>
        </w:rPr>
        <w:t>Rezultatele auditului ofer</w:t>
      </w:r>
      <w:r w:rsidR="008B5192" w:rsidRPr="00B13B9A">
        <w:rPr>
          <w:rFonts w:asciiTheme="majorHAnsi" w:hAnsiTheme="majorHAnsi" w:cstheme="majorHAnsi"/>
          <w:sz w:val="24"/>
          <w:szCs w:val="24"/>
          <w:vertAlign w:val="baseline"/>
          <w:lang w:val="ro-MD"/>
        </w:rPr>
        <w:t>ă</w:t>
      </w:r>
      <w:r w:rsidRPr="00B13B9A">
        <w:rPr>
          <w:rFonts w:asciiTheme="majorHAnsi" w:hAnsiTheme="majorHAnsi" w:cstheme="majorHAnsi"/>
          <w:sz w:val="24"/>
          <w:szCs w:val="24"/>
          <w:vertAlign w:val="baseline"/>
          <w:lang w:val="ro-MD"/>
        </w:rPr>
        <w:t xml:space="preserve"> informa</w:t>
      </w:r>
      <w:r w:rsidR="00B13B9A" w:rsidRPr="00B13B9A">
        <w:rPr>
          <w:rFonts w:asciiTheme="majorHAnsi" w:hAnsiTheme="majorHAnsi" w:cstheme="majorHAnsi"/>
          <w:sz w:val="24"/>
          <w:szCs w:val="24"/>
          <w:vertAlign w:val="baseline"/>
          <w:lang w:val="ro-MD"/>
        </w:rPr>
        <w:t>ț</w:t>
      </w:r>
      <w:r w:rsidRPr="00B13B9A">
        <w:rPr>
          <w:rFonts w:asciiTheme="majorHAnsi" w:hAnsiTheme="majorHAnsi" w:cstheme="majorHAnsi"/>
          <w:sz w:val="24"/>
          <w:szCs w:val="24"/>
          <w:vertAlign w:val="baseline"/>
          <w:lang w:val="ro-MD"/>
        </w:rPr>
        <w:t>ii relevante păr</w:t>
      </w:r>
      <w:r w:rsidR="00B13B9A" w:rsidRPr="00B13B9A">
        <w:rPr>
          <w:rFonts w:asciiTheme="majorHAnsi" w:hAnsiTheme="majorHAnsi" w:cstheme="majorHAnsi"/>
          <w:sz w:val="24"/>
          <w:szCs w:val="24"/>
          <w:vertAlign w:val="baseline"/>
          <w:lang w:val="ro-MD"/>
        </w:rPr>
        <w:t>ț</w:t>
      </w:r>
      <w:r w:rsidRPr="00B13B9A">
        <w:rPr>
          <w:rFonts w:asciiTheme="majorHAnsi" w:hAnsiTheme="majorHAnsi" w:cstheme="majorHAnsi"/>
          <w:sz w:val="24"/>
          <w:szCs w:val="24"/>
          <w:vertAlign w:val="baseline"/>
          <w:lang w:val="ro-MD"/>
        </w:rPr>
        <w:t xml:space="preserve">ilor implicate </w:t>
      </w:r>
      <w:r w:rsidR="00B13B9A" w:rsidRPr="00B13B9A">
        <w:rPr>
          <w:rFonts w:asciiTheme="majorHAnsi" w:hAnsiTheme="majorHAnsi" w:cstheme="majorHAnsi"/>
          <w:sz w:val="24"/>
          <w:szCs w:val="24"/>
          <w:vertAlign w:val="baseline"/>
          <w:lang w:val="ro-MD"/>
        </w:rPr>
        <w:t>ș</w:t>
      </w:r>
      <w:r w:rsidRPr="00B13B9A">
        <w:rPr>
          <w:rFonts w:asciiTheme="majorHAnsi" w:hAnsiTheme="majorHAnsi" w:cstheme="majorHAnsi"/>
          <w:sz w:val="24"/>
          <w:szCs w:val="24"/>
          <w:vertAlign w:val="baseline"/>
          <w:lang w:val="ro-MD"/>
        </w:rPr>
        <w:t xml:space="preserve">i interesate, pentru posibilele decizii strategice necesare, precum </w:t>
      </w:r>
      <w:r w:rsidR="00B13B9A" w:rsidRPr="00B13B9A">
        <w:rPr>
          <w:rFonts w:asciiTheme="majorHAnsi" w:hAnsiTheme="majorHAnsi" w:cstheme="majorHAnsi"/>
          <w:sz w:val="24"/>
          <w:szCs w:val="24"/>
          <w:vertAlign w:val="baseline"/>
          <w:lang w:val="ro-MD"/>
        </w:rPr>
        <w:t>ș</w:t>
      </w:r>
      <w:r w:rsidRPr="00B13B9A">
        <w:rPr>
          <w:rFonts w:asciiTheme="majorHAnsi" w:hAnsiTheme="majorHAnsi" w:cstheme="majorHAnsi"/>
          <w:sz w:val="24"/>
          <w:szCs w:val="24"/>
          <w:vertAlign w:val="baseline"/>
          <w:lang w:val="ro-MD"/>
        </w:rPr>
        <w:t>i realizarea regulamentară a activită</w:t>
      </w:r>
      <w:r w:rsidR="00B13B9A" w:rsidRPr="00B13B9A">
        <w:rPr>
          <w:rFonts w:asciiTheme="majorHAnsi" w:hAnsiTheme="majorHAnsi" w:cstheme="majorHAnsi"/>
          <w:sz w:val="24"/>
          <w:szCs w:val="24"/>
          <w:vertAlign w:val="baseline"/>
          <w:lang w:val="ro-MD"/>
        </w:rPr>
        <w:t>ț</w:t>
      </w:r>
      <w:r w:rsidRPr="00B13B9A">
        <w:rPr>
          <w:rFonts w:asciiTheme="majorHAnsi" w:hAnsiTheme="majorHAnsi" w:cstheme="majorHAnsi"/>
          <w:sz w:val="24"/>
          <w:szCs w:val="24"/>
          <w:vertAlign w:val="baseline"/>
          <w:lang w:val="ro-MD"/>
        </w:rPr>
        <w:t>ilor aferente acestui domeniu.</w:t>
      </w:r>
    </w:p>
    <w:p w14:paraId="180B225D" w14:textId="5C6AD5F6" w:rsidR="00371912" w:rsidRPr="00B13B9A" w:rsidRDefault="00371912" w:rsidP="00371912">
      <w:pPr>
        <w:spacing w:after="0" w:line="276" w:lineRule="auto"/>
        <w:jc w:val="both"/>
        <w:rPr>
          <w:rFonts w:asciiTheme="majorHAnsi" w:eastAsia="Times New Roman" w:hAnsiTheme="majorHAnsi" w:cstheme="majorHAnsi"/>
          <w:iCs/>
          <w:sz w:val="24"/>
          <w:szCs w:val="24"/>
          <w:lang w:val="ro-MD" w:eastAsia="ro-MD"/>
        </w:rPr>
      </w:pPr>
      <w:r w:rsidRPr="00B13B9A">
        <w:rPr>
          <w:rFonts w:asciiTheme="majorHAnsi" w:eastAsia="Times New Roman" w:hAnsiTheme="majorHAnsi" w:cstheme="majorHAnsi"/>
          <w:iCs/>
          <w:sz w:val="24"/>
          <w:szCs w:val="24"/>
          <w:lang w:val="ro-MD" w:eastAsia="ro-MD"/>
        </w:rPr>
        <w:t xml:space="preserve">Generalizând constatările </w:t>
      </w:r>
      <w:r w:rsidR="00B13B9A" w:rsidRPr="00B13B9A">
        <w:rPr>
          <w:rFonts w:asciiTheme="majorHAnsi" w:eastAsia="Times New Roman" w:hAnsiTheme="majorHAnsi" w:cstheme="majorHAnsi"/>
          <w:iCs/>
          <w:sz w:val="24"/>
          <w:szCs w:val="24"/>
          <w:lang w:val="ro-MD" w:eastAsia="ro-MD"/>
        </w:rPr>
        <w:t>ș</w:t>
      </w:r>
      <w:r w:rsidRPr="00B13B9A">
        <w:rPr>
          <w:rFonts w:asciiTheme="majorHAnsi" w:eastAsia="Times New Roman" w:hAnsiTheme="majorHAnsi" w:cstheme="majorHAnsi"/>
          <w:iCs/>
          <w:sz w:val="24"/>
          <w:szCs w:val="24"/>
          <w:lang w:val="ro-MD" w:eastAsia="ro-MD"/>
        </w:rPr>
        <w:t>i concluziile formulate</w:t>
      </w:r>
      <w:r w:rsidRPr="00B13B9A">
        <w:rPr>
          <w:rFonts w:asciiTheme="majorHAnsi" w:eastAsia="Times New Roman" w:hAnsiTheme="majorHAnsi" w:cstheme="majorHAnsi"/>
          <w:sz w:val="24"/>
          <w:szCs w:val="24"/>
          <w:lang w:val="ro-MD" w:eastAsia="ro-MD"/>
        </w:rPr>
        <w:t xml:space="preserve">, </w:t>
      </w:r>
      <w:r w:rsidRPr="00B13B9A">
        <w:rPr>
          <w:rFonts w:asciiTheme="majorHAnsi" w:eastAsia="Times New Roman" w:hAnsiTheme="majorHAnsi" w:cstheme="majorHAnsi"/>
          <w:iCs/>
          <w:sz w:val="24"/>
          <w:szCs w:val="24"/>
          <w:lang w:val="ro-MD" w:eastAsia="ro-MD"/>
        </w:rPr>
        <w:t>auditul prezintă rezultatul acestora prin prisma neconformită</w:t>
      </w:r>
      <w:r w:rsidR="00B13B9A" w:rsidRPr="00B13B9A">
        <w:rPr>
          <w:rFonts w:asciiTheme="majorHAnsi" w:eastAsia="Times New Roman" w:hAnsiTheme="majorHAnsi" w:cstheme="majorHAnsi"/>
          <w:iCs/>
          <w:sz w:val="24"/>
          <w:szCs w:val="24"/>
          <w:lang w:val="ro-MD" w:eastAsia="ro-MD"/>
        </w:rPr>
        <w:t>ț</w:t>
      </w:r>
      <w:r w:rsidRPr="00B13B9A">
        <w:rPr>
          <w:rFonts w:asciiTheme="majorHAnsi" w:eastAsia="Times New Roman" w:hAnsiTheme="majorHAnsi" w:cstheme="majorHAnsi"/>
          <w:iCs/>
          <w:sz w:val="24"/>
          <w:szCs w:val="24"/>
          <w:lang w:val="ro-MD" w:eastAsia="ro-MD"/>
        </w:rPr>
        <w:t xml:space="preserve">ilor propriu-zise, precum </w:t>
      </w:r>
      <w:r w:rsidR="00B13B9A" w:rsidRPr="00B13B9A">
        <w:rPr>
          <w:rFonts w:asciiTheme="majorHAnsi" w:eastAsia="Times New Roman" w:hAnsiTheme="majorHAnsi" w:cstheme="majorHAnsi"/>
          <w:iCs/>
          <w:sz w:val="24"/>
          <w:szCs w:val="24"/>
          <w:lang w:val="ro-MD" w:eastAsia="ro-MD"/>
        </w:rPr>
        <w:t>ș</w:t>
      </w:r>
      <w:r w:rsidRPr="00B13B9A">
        <w:rPr>
          <w:rFonts w:asciiTheme="majorHAnsi" w:eastAsia="Times New Roman" w:hAnsiTheme="majorHAnsi" w:cstheme="majorHAnsi"/>
          <w:iCs/>
          <w:sz w:val="24"/>
          <w:szCs w:val="24"/>
          <w:lang w:val="ro-MD" w:eastAsia="ro-MD"/>
        </w:rPr>
        <w:t xml:space="preserve">i a cauzelor </w:t>
      </w:r>
      <w:r w:rsidR="00B13B9A" w:rsidRPr="00B13B9A">
        <w:rPr>
          <w:rFonts w:asciiTheme="majorHAnsi" w:eastAsia="Times New Roman" w:hAnsiTheme="majorHAnsi" w:cstheme="majorHAnsi"/>
          <w:iCs/>
          <w:sz w:val="24"/>
          <w:szCs w:val="24"/>
          <w:lang w:val="ro-MD" w:eastAsia="ro-MD"/>
        </w:rPr>
        <w:t>ș</w:t>
      </w:r>
      <w:r w:rsidRPr="00B13B9A">
        <w:rPr>
          <w:rFonts w:asciiTheme="majorHAnsi" w:eastAsia="Times New Roman" w:hAnsiTheme="majorHAnsi" w:cstheme="majorHAnsi"/>
          <w:iCs/>
          <w:sz w:val="24"/>
          <w:szCs w:val="24"/>
          <w:lang w:val="ro-MD" w:eastAsia="ro-MD"/>
        </w:rPr>
        <w:t xml:space="preserve">i impactului lor. </w:t>
      </w:r>
    </w:p>
    <w:p w14:paraId="62881A13" w14:textId="6005187C" w:rsidR="00371912" w:rsidRPr="00B13B9A" w:rsidRDefault="00371912" w:rsidP="00415D9E">
      <w:pPr>
        <w:spacing w:after="0" w:line="276" w:lineRule="auto"/>
        <w:jc w:val="both"/>
        <w:rPr>
          <w:rFonts w:asciiTheme="majorHAnsi" w:hAnsiTheme="majorHAnsi" w:cstheme="majorHAnsi"/>
          <w:b/>
          <w:color w:val="000000" w:themeColor="text1"/>
          <w:sz w:val="24"/>
          <w:szCs w:val="24"/>
          <w:lang w:val="ro-MD"/>
        </w:rPr>
      </w:pPr>
      <w:r w:rsidRPr="00B13B9A">
        <w:rPr>
          <w:rFonts w:asciiTheme="majorHAnsi" w:eastAsia="Times New Roman" w:hAnsiTheme="majorHAnsi" w:cs="Times New Roman"/>
          <w:iCs/>
          <w:sz w:val="24"/>
          <w:szCs w:val="24"/>
          <w:lang w:val="ro-MD" w:eastAsia="ro-MD"/>
        </w:rPr>
        <w:t xml:space="preserve">În perioada supusă auditului, </w:t>
      </w:r>
      <w:r w:rsidRPr="00B13B9A">
        <w:rPr>
          <w:rFonts w:asciiTheme="majorHAnsi" w:hAnsiTheme="majorHAnsi" w:cstheme="minorHAnsi"/>
          <w:sz w:val="24"/>
          <w:szCs w:val="24"/>
          <w:lang w:val="ro-MD"/>
        </w:rPr>
        <w:t>au fost identificate unele deficien</w:t>
      </w:r>
      <w:r w:rsidR="00B13B9A" w:rsidRPr="00B13B9A">
        <w:rPr>
          <w:rFonts w:asciiTheme="majorHAnsi" w:hAnsiTheme="majorHAnsi" w:cstheme="minorHAnsi"/>
          <w:sz w:val="24"/>
          <w:szCs w:val="24"/>
          <w:lang w:val="ro-MD"/>
        </w:rPr>
        <w:t>ț</w:t>
      </w:r>
      <w:r w:rsidRPr="00B13B9A">
        <w:rPr>
          <w:rFonts w:asciiTheme="majorHAnsi" w:hAnsiTheme="majorHAnsi" w:cstheme="minorHAnsi"/>
          <w:sz w:val="24"/>
          <w:szCs w:val="24"/>
          <w:lang w:val="ro-MD"/>
        </w:rPr>
        <w:t xml:space="preserve">e </w:t>
      </w:r>
      <w:r w:rsidR="00B13B9A" w:rsidRPr="00B13B9A">
        <w:rPr>
          <w:rFonts w:asciiTheme="majorHAnsi" w:hAnsiTheme="majorHAnsi" w:cstheme="minorHAnsi"/>
          <w:sz w:val="24"/>
          <w:szCs w:val="24"/>
          <w:lang w:val="ro-MD"/>
        </w:rPr>
        <w:t>ș</w:t>
      </w:r>
      <w:r w:rsidRPr="00B13B9A">
        <w:rPr>
          <w:rFonts w:asciiTheme="majorHAnsi" w:hAnsiTheme="majorHAnsi" w:cstheme="minorHAnsi"/>
          <w:sz w:val="24"/>
          <w:szCs w:val="24"/>
          <w:lang w:val="ro-MD"/>
        </w:rPr>
        <w:t>i neconformită</w:t>
      </w:r>
      <w:r w:rsidR="00B13B9A" w:rsidRPr="00B13B9A">
        <w:rPr>
          <w:rFonts w:asciiTheme="majorHAnsi" w:hAnsiTheme="majorHAnsi" w:cstheme="minorHAnsi"/>
          <w:sz w:val="24"/>
          <w:szCs w:val="24"/>
          <w:lang w:val="ro-MD"/>
        </w:rPr>
        <w:t>ț</w:t>
      </w:r>
      <w:r w:rsidRPr="00B13B9A">
        <w:rPr>
          <w:rFonts w:asciiTheme="majorHAnsi" w:hAnsiTheme="majorHAnsi" w:cstheme="minorHAnsi"/>
          <w:sz w:val="24"/>
          <w:szCs w:val="24"/>
          <w:lang w:val="ro-MD"/>
        </w:rPr>
        <w:t>i aferente gestionării patrimoniului public încredin</w:t>
      </w:r>
      <w:r w:rsidR="00B13B9A" w:rsidRPr="00B13B9A">
        <w:rPr>
          <w:rFonts w:asciiTheme="majorHAnsi" w:hAnsiTheme="majorHAnsi" w:cstheme="minorHAnsi"/>
          <w:sz w:val="24"/>
          <w:szCs w:val="24"/>
          <w:lang w:val="ro-MD"/>
        </w:rPr>
        <w:t>ț</w:t>
      </w:r>
      <w:r w:rsidRPr="00B13B9A">
        <w:rPr>
          <w:rFonts w:asciiTheme="majorHAnsi" w:hAnsiTheme="majorHAnsi" w:cstheme="minorHAnsi"/>
          <w:sz w:val="24"/>
          <w:szCs w:val="24"/>
          <w:lang w:val="ro-MD"/>
        </w:rPr>
        <w:t>at, exprimate prin următoarele:</w:t>
      </w:r>
    </w:p>
    <w:p w14:paraId="1A5D3155" w14:textId="66721220" w:rsidR="00371912" w:rsidRPr="00B13B9A" w:rsidRDefault="00371912" w:rsidP="0082109A">
      <w:pPr>
        <w:pStyle w:val="a7"/>
        <w:numPr>
          <w:ilvl w:val="0"/>
          <w:numId w:val="13"/>
        </w:numPr>
        <w:ind w:left="0" w:firstLine="0"/>
        <w:jc w:val="both"/>
        <w:rPr>
          <w:rFonts w:asciiTheme="majorHAnsi" w:hAnsiTheme="majorHAnsi" w:cstheme="majorHAnsi"/>
          <w:sz w:val="24"/>
          <w:szCs w:val="24"/>
          <w:lang w:val="ro-MD"/>
        </w:rPr>
      </w:pPr>
      <w:r w:rsidRPr="00B13B9A">
        <w:rPr>
          <w:rFonts w:asciiTheme="majorHAnsi" w:hAnsiTheme="majorHAnsi" w:cstheme="majorHAnsi"/>
          <w:color w:val="000000"/>
          <w:sz w:val="24"/>
          <w:szCs w:val="24"/>
          <w:shd w:val="clear" w:color="auto" w:fill="FFFFFF"/>
          <w:lang w:val="ro-MD"/>
        </w:rPr>
        <w:t xml:space="preserve">procesul de </w:t>
      </w:r>
      <w:r w:rsidRPr="00B13B9A">
        <w:rPr>
          <w:rFonts w:asciiTheme="majorHAnsi" w:hAnsiTheme="majorHAnsi" w:cstheme="majorHAnsi"/>
          <w:sz w:val="24"/>
          <w:szCs w:val="24"/>
          <w:lang w:val="ro-MD"/>
        </w:rPr>
        <w:t>delimitare a proprietă</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ii publice</w:t>
      </w:r>
      <w:r w:rsidRPr="00B13B9A">
        <w:rPr>
          <w:rFonts w:asciiTheme="majorHAnsi" w:hAnsiTheme="majorHAnsi" w:cstheme="majorHAnsi"/>
          <w:color w:val="000000"/>
          <w:sz w:val="24"/>
          <w:szCs w:val="24"/>
          <w:shd w:val="clear" w:color="auto" w:fill="FFFFFF"/>
          <w:lang w:val="ro-MD"/>
        </w:rPr>
        <w:t xml:space="preserve"> nu este finalizat conform,</w:t>
      </w:r>
      <w:r w:rsidRPr="00B13B9A">
        <w:rPr>
          <w:rFonts w:asciiTheme="majorHAnsi" w:hAnsiTheme="majorHAnsi" w:cstheme="majorHAnsi"/>
          <w:sz w:val="24"/>
          <w:szCs w:val="24"/>
          <w:lang w:val="ro-MD"/>
        </w:rPr>
        <w:t xml:space="preserve"> iar datoriile aferente patrimoniului primit în gestiune economică </w:t>
      </w:r>
      <w:r w:rsidR="00B13B9A" w:rsidRPr="00B13B9A">
        <w:rPr>
          <w:rFonts w:asciiTheme="majorHAnsi" w:hAnsiTheme="majorHAnsi" w:cstheme="majorHAnsi"/>
          <w:sz w:val="24"/>
          <w:szCs w:val="24"/>
          <w:lang w:val="ro-MD"/>
        </w:rPr>
        <w:t>ș</w:t>
      </w:r>
      <w:r w:rsidRPr="00B13B9A">
        <w:rPr>
          <w:rFonts w:asciiTheme="majorHAnsi" w:hAnsiTheme="majorHAnsi" w:cstheme="majorHAnsi"/>
          <w:sz w:val="24"/>
          <w:szCs w:val="24"/>
          <w:lang w:val="ro-MD"/>
        </w:rPr>
        <w:t>i, respectiv, aferente patrimoniului primit de la stat cu drept de proprietate nu sunt reflectate regulamentar</w:t>
      </w:r>
      <w:r w:rsidRPr="00B13B9A">
        <w:rPr>
          <w:rFonts w:asciiTheme="majorHAnsi" w:hAnsiTheme="majorHAnsi" w:cstheme="majorHAnsi"/>
          <w:color w:val="000000"/>
          <w:sz w:val="24"/>
          <w:szCs w:val="24"/>
          <w:shd w:val="clear" w:color="auto" w:fill="FFFFFF"/>
          <w:lang w:val="ro-MD"/>
        </w:rPr>
        <w:t xml:space="preserve">, ceea ce </w:t>
      </w:r>
      <w:r w:rsidR="0082109A">
        <w:rPr>
          <w:rFonts w:asciiTheme="majorHAnsi" w:hAnsiTheme="majorHAnsi" w:cstheme="majorHAnsi"/>
          <w:color w:val="000000"/>
          <w:sz w:val="24"/>
          <w:szCs w:val="24"/>
          <w:shd w:val="clear" w:color="auto" w:fill="FFFFFF"/>
          <w:lang w:val="ro-MD"/>
        </w:rPr>
        <w:t>va determina</w:t>
      </w:r>
      <w:r w:rsidR="0082109A" w:rsidRPr="00B13B9A">
        <w:rPr>
          <w:rFonts w:asciiTheme="majorHAnsi" w:hAnsiTheme="majorHAnsi" w:cstheme="majorHAnsi"/>
          <w:color w:val="000000"/>
          <w:sz w:val="24"/>
          <w:szCs w:val="24"/>
          <w:shd w:val="clear" w:color="auto" w:fill="FFFFFF"/>
          <w:lang w:val="ro-MD"/>
        </w:rPr>
        <w:t xml:space="preserve"> </w:t>
      </w:r>
      <w:r w:rsidRPr="00B13B9A">
        <w:rPr>
          <w:rFonts w:asciiTheme="majorHAnsi" w:hAnsiTheme="majorHAnsi" w:cstheme="majorHAnsi"/>
          <w:color w:val="000000"/>
          <w:sz w:val="24"/>
          <w:szCs w:val="24"/>
          <w:shd w:val="clear" w:color="auto" w:fill="FFFFFF"/>
          <w:lang w:val="ro-MD"/>
        </w:rPr>
        <w:t>unele deficien</w:t>
      </w:r>
      <w:r w:rsidR="00B13B9A" w:rsidRPr="00B13B9A">
        <w:rPr>
          <w:rFonts w:asciiTheme="majorHAnsi" w:hAnsiTheme="majorHAnsi" w:cstheme="majorHAnsi"/>
          <w:color w:val="000000"/>
          <w:sz w:val="24"/>
          <w:szCs w:val="24"/>
          <w:shd w:val="clear" w:color="auto" w:fill="FFFFFF"/>
          <w:lang w:val="ro-MD"/>
        </w:rPr>
        <w:t>ț</w:t>
      </w:r>
      <w:r w:rsidRPr="00B13B9A">
        <w:rPr>
          <w:rFonts w:asciiTheme="majorHAnsi" w:hAnsiTheme="majorHAnsi" w:cstheme="majorHAnsi"/>
          <w:color w:val="000000"/>
          <w:sz w:val="24"/>
          <w:szCs w:val="24"/>
          <w:shd w:val="clear" w:color="auto" w:fill="FFFFFF"/>
          <w:lang w:val="ro-MD"/>
        </w:rPr>
        <w:t>e privind apărarea dreptului de proprietate publică asupra acestuia (pct. 4.1.1, 4.1.4, 4.1.8);</w:t>
      </w:r>
    </w:p>
    <w:p w14:paraId="043A48F9" w14:textId="23EA8FC1" w:rsidR="00371912" w:rsidRPr="00B13B9A" w:rsidRDefault="00371912" w:rsidP="00371912">
      <w:pPr>
        <w:pStyle w:val="a7"/>
        <w:numPr>
          <w:ilvl w:val="0"/>
          <w:numId w:val="13"/>
        </w:numPr>
        <w:ind w:left="0" w:firstLine="0"/>
        <w:jc w:val="both"/>
        <w:rPr>
          <w:rFonts w:asciiTheme="majorHAnsi" w:hAnsiTheme="majorHAnsi" w:cstheme="majorHAnsi"/>
          <w:sz w:val="24"/>
          <w:szCs w:val="24"/>
          <w:lang w:val="ro-MD"/>
        </w:rPr>
      </w:pPr>
      <w:r w:rsidRPr="00B13B9A">
        <w:rPr>
          <w:rFonts w:asciiTheme="majorHAnsi" w:hAnsiTheme="majorHAnsi" w:cstheme="majorHAnsi"/>
          <w:sz w:val="24"/>
          <w:szCs w:val="24"/>
          <w:lang w:val="ro-MD"/>
        </w:rPr>
        <w:t>raportarea veridică a situa</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iilor financiare este influen</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ată de reflectarea neconformă a imobilizăril</w:t>
      </w:r>
      <w:r w:rsidR="008B5192" w:rsidRPr="00B13B9A">
        <w:rPr>
          <w:rFonts w:asciiTheme="majorHAnsi" w:hAnsiTheme="majorHAnsi" w:cstheme="majorHAnsi"/>
          <w:sz w:val="24"/>
          <w:szCs w:val="24"/>
          <w:lang w:val="ro-MD"/>
        </w:rPr>
        <w:t>or</w:t>
      </w:r>
      <w:r w:rsidRPr="00B13B9A">
        <w:rPr>
          <w:rFonts w:asciiTheme="majorHAnsi" w:hAnsiTheme="majorHAnsi" w:cstheme="majorHAnsi"/>
          <w:sz w:val="24"/>
          <w:szCs w:val="24"/>
          <w:lang w:val="ro-MD"/>
        </w:rPr>
        <w:t xml:space="preserve"> corporale neutilizate în activitatea opera</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 xml:space="preserve">ională, precum </w:t>
      </w:r>
      <w:r w:rsidR="00B13B9A" w:rsidRPr="00B13B9A">
        <w:rPr>
          <w:rFonts w:asciiTheme="majorHAnsi" w:hAnsiTheme="majorHAnsi" w:cstheme="majorHAnsi"/>
          <w:sz w:val="24"/>
          <w:szCs w:val="24"/>
          <w:lang w:val="ro-MD"/>
        </w:rPr>
        <w:t>ș</w:t>
      </w:r>
      <w:r w:rsidRPr="00B13B9A">
        <w:rPr>
          <w:rFonts w:asciiTheme="majorHAnsi" w:hAnsiTheme="majorHAnsi" w:cstheme="majorHAnsi"/>
          <w:sz w:val="24"/>
          <w:szCs w:val="24"/>
          <w:lang w:val="ro-MD"/>
        </w:rPr>
        <w:t>i de lipsa eviden</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ei apartamentelor privatizate (pct.4.1.2, 4.1.3);</w:t>
      </w:r>
    </w:p>
    <w:p w14:paraId="4B0E29AF" w14:textId="5445BDCE" w:rsidR="00371912" w:rsidRPr="00B13B9A" w:rsidRDefault="00371912" w:rsidP="00371912">
      <w:pPr>
        <w:pStyle w:val="a7"/>
        <w:numPr>
          <w:ilvl w:val="0"/>
          <w:numId w:val="13"/>
        </w:numPr>
        <w:ind w:left="0" w:firstLine="0"/>
        <w:jc w:val="both"/>
        <w:rPr>
          <w:rFonts w:asciiTheme="majorHAnsi" w:hAnsiTheme="majorHAnsi" w:cstheme="majorHAnsi"/>
          <w:sz w:val="24"/>
          <w:szCs w:val="24"/>
          <w:lang w:val="ro-MD"/>
        </w:rPr>
      </w:pPr>
      <w:r w:rsidRPr="00B13B9A">
        <w:rPr>
          <w:rFonts w:asciiTheme="majorHAnsi" w:hAnsiTheme="majorHAnsi" w:cstheme="majorHAnsi"/>
          <w:sz w:val="24"/>
          <w:szCs w:val="24"/>
          <w:lang w:val="ro-MD"/>
        </w:rPr>
        <w:t>lipsa</w:t>
      </w:r>
      <w:r w:rsidRPr="00B13B9A">
        <w:rPr>
          <w:rFonts w:asciiTheme="majorHAnsi" w:hAnsiTheme="majorHAnsi" w:cstheme="majorHAnsi"/>
          <w:color w:val="FF0000"/>
          <w:sz w:val="24"/>
          <w:szCs w:val="24"/>
          <w:lang w:val="ro-MD"/>
        </w:rPr>
        <w:t xml:space="preserve"> </w:t>
      </w:r>
      <w:r w:rsidRPr="00B13B9A">
        <w:rPr>
          <w:rFonts w:asciiTheme="majorHAnsi" w:hAnsiTheme="majorHAnsi" w:cstheme="majorHAnsi"/>
          <w:sz w:val="24"/>
          <w:szCs w:val="24"/>
          <w:lang w:val="ro-MD"/>
        </w:rPr>
        <w:t xml:space="preserve">deciziilor </w:t>
      </w:r>
      <w:r w:rsidR="008B5192" w:rsidRPr="00B13B9A">
        <w:rPr>
          <w:rFonts w:asciiTheme="majorHAnsi" w:hAnsiTheme="majorHAnsi" w:cstheme="majorHAnsi"/>
          <w:sz w:val="24"/>
          <w:szCs w:val="24"/>
          <w:lang w:val="ro-MD"/>
        </w:rPr>
        <w:t xml:space="preserve">luate </w:t>
      </w:r>
      <w:r w:rsidRPr="00B13B9A">
        <w:rPr>
          <w:rFonts w:asciiTheme="majorHAnsi" w:hAnsiTheme="majorHAnsi" w:cstheme="majorHAnsi"/>
          <w:sz w:val="24"/>
          <w:szCs w:val="24"/>
          <w:lang w:val="ro-MD"/>
        </w:rPr>
        <w:t>în termen oportun în raport cu schimbarea destina</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iei unor obiecte, punerea în func</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iune a activel</w:t>
      </w:r>
      <w:r w:rsidR="008B5192" w:rsidRPr="00B13B9A">
        <w:rPr>
          <w:rFonts w:asciiTheme="majorHAnsi" w:hAnsiTheme="majorHAnsi" w:cstheme="majorHAnsi"/>
          <w:sz w:val="24"/>
          <w:szCs w:val="24"/>
          <w:lang w:val="ro-MD"/>
        </w:rPr>
        <w:t>or</w:t>
      </w:r>
      <w:r w:rsidRPr="00B13B9A">
        <w:rPr>
          <w:rFonts w:asciiTheme="majorHAnsi" w:hAnsiTheme="majorHAnsi" w:cstheme="majorHAnsi"/>
          <w:sz w:val="24"/>
          <w:szCs w:val="24"/>
          <w:lang w:val="ro-MD"/>
        </w:rPr>
        <w:t xml:space="preserve"> corporale aflate în curs de execu</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 xml:space="preserve">ie (blocul 2 </w:t>
      </w:r>
      <w:r w:rsidR="00701824" w:rsidRPr="00B13B9A">
        <w:rPr>
          <w:rFonts w:asciiTheme="majorHAnsi" w:hAnsiTheme="majorHAnsi" w:cstheme="majorHAnsi"/>
          <w:sz w:val="24"/>
          <w:szCs w:val="24"/>
          <w:lang w:val="ro-MD"/>
        </w:rPr>
        <w:t xml:space="preserve">al </w:t>
      </w:r>
      <w:r w:rsidRPr="00B13B9A">
        <w:rPr>
          <w:rFonts w:asciiTheme="majorHAnsi" w:hAnsiTheme="majorHAnsi" w:cstheme="majorHAnsi"/>
          <w:sz w:val="24"/>
          <w:szCs w:val="24"/>
          <w:lang w:val="ro-MD"/>
        </w:rPr>
        <w:t>clinic</w:t>
      </w:r>
      <w:r w:rsidR="00701824" w:rsidRPr="00B13B9A">
        <w:rPr>
          <w:rFonts w:asciiTheme="majorHAnsi" w:hAnsiTheme="majorHAnsi" w:cstheme="majorHAnsi"/>
          <w:sz w:val="24"/>
          <w:szCs w:val="24"/>
          <w:lang w:val="ro-MD"/>
        </w:rPr>
        <w:t>ii din s.</w:t>
      </w:r>
      <w:r w:rsidRPr="00B13B9A">
        <w:rPr>
          <w:rFonts w:asciiTheme="majorHAnsi" w:hAnsiTheme="majorHAnsi" w:cstheme="majorHAnsi"/>
          <w:sz w:val="24"/>
          <w:szCs w:val="24"/>
          <w:lang w:val="ro-MD"/>
        </w:rPr>
        <w:t xml:space="preserve"> Vorniceni), nu contribuie la gestionarea conformă </w:t>
      </w:r>
      <w:r w:rsidR="00B13B9A" w:rsidRPr="00B13B9A">
        <w:rPr>
          <w:rFonts w:asciiTheme="majorHAnsi" w:hAnsiTheme="majorHAnsi" w:cstheme="majorHAnsi"/>
          <w:sz w:val="24"/>
          <w:szCs w:val="24"/>
          <w:lang w:val="ro-MD"/>
        </w:rPr>
        <w:t>ș</w:t>
      </w:r>
      <w:r w:rsidRPr="00B13B9A">
        <w:rPr>
          <w:rFonts w:asciiTheme="majorHAnsi" w:hAnsiTheme="majorHAnsi" w:cstheme="majorHAnsi"/>
          <w:sz w:val="24"/>
          <w:szCs w:val="24"/>
          <w:lang w:val="ro-MD"/>
        </w:rPr>
        <w:t>i eficientă a patrimoniului (pct. 4.1.5, pct. 4.1.7);</w:t>
      </w:r>
    </w:p>
    <w:p w14:paraId="7962055F" w14:textId="14C9205E" w:rsidR="00371912" w:rsidRPr="00B13B9A" w:rsidRDefault="00371912" w:rsidP="00371912">
      <w:pPr>
        <w:pStyle w:val="a7"/>
        <w:numPr>
          <w:ilvl w:val="0"/>
          <w:numId w:val="13"/>
        </w:numPr>
        <w:ind w:left="0" w:firstLine="0"/>
        <w:jc w:val="both"/>
        <w:rPr>
          <w:rFonts w:asciiTheme="majorHAnsi" w:hAnsiTheme="majorHAnsi" w:cstheme="majorHAnsi"/>
          <w:sz w:val="24"/>
          <w:szCs w:val="24"/>
          <w:lang w:val="ro-MD"/>
        </w:rPr>
      </w:pPr>
      <w:r w:rsidRPr="00B13B9A">
        <w:rPr>
          <w:rFonts w:asciiTheme="majorHAnsi" w:hAnsiTheme="majorHAnsi" w:cstheme="majorHAnsi"/>
          <w:color w:val="000000" w:themeColor="text1"/>
          <w:sz w:val="24"/>
          <w:szCs w:val="24"/>
          <w:lang w:val="ro-MD"/>
        </w:rPr>
        <w:t>men</w:t>
      </w:r>
      <w:r w:rsidR="00B13B9A" w:rsidRPr="00B13B9A">
        <w:rPr>
          <w:rFonts w:asciiTheme="majorHAnsi" w:hAnsiTheme="majorHAnsi" w:cstheme="majorHAnsi"/>
          <w:color w:val="000000" w:themeColor="text1"/>
          <w:sz w:val="24"/>
          <w:szCs w:val="24"/>
          <w:lang w:val="ro-MD"/>
        </w:rPr>
        <w:t>ț</w:t>
      </w:r>
      <w:r w:rsidRPr="00B13B9A">
        <w:rPr>
          <w:rFonts w:asciiTheme="majorHAnsi" w:hAnsiTheme="majorHAnsi" w:cstheme="majorHAnsi"/>
          <w:color w:val="000000" w:themeColor="text1"/>
          <w:sz w:val="24"/>
          <w:szCs w:val="24"/>
          <w:lang w:val="ro-MD"/>
        </w:rPr>
        <w:t>inerea func</w:t>
      </w:r>
      <w:r w:rsidR="00B13B9A" w:rsidRPr="00B13B9A">
        <w:rPr>
          <w:rFonts w:asciiTheme="majorHAnsi" w:hAnsiTheme="majorHAnsi" w:cstheme="majorHAnsi"/>
          <w:color w:val="000000" w:themeColor="text1"/>
          <w:sz w:val="24"/>
          <w:szCs w:val="24"/>
          <w:lang w:val="ro-MD"/>
        </w:rPr>
        <w:t>ț</w:t>
      </w:r>
      <w:r w:rsidRPr="00B13B9A">
        <w:rPr>
          <w:rFonts w:asciiTheme="majorHAnsi" w:hAnsiTheme="majorHAnsi" w:cstheme="majorHAnsi"/>
          <w:color w:val="000000" w:themeColor="text1"/>
          <w:sz w:val="24"/>
          <w:szCs w:val="24"/>
          <w:lang w:val="ro-MD"/>
        </w:rPr>
        <w:t>ionalită</w:t>
      </w:r>
      <w:r w:rsidR="00B13B9A" w:rsidRPr="00B13B9A">
        <w:rPr>
          <w:rFonts w:asciiTheme="majorHAnsi" w:hAnsiTheme="majorHAnsi" w:cstheme="majorHAnsi"/>
          <w:color w:val="000000" w:themeColor="text1"/>
          <w:sz w:val="24"/>
          <w:szCs w:val="24"/>
          <w:lang w:val="ro-MD"/>
        </w:rPr>
        <w:t>ț</w:t>
      </w:r>
      <w:r w:rsidRPr="00B13B9A">
        <w:rPr>
          <w:rFonts w:asciiTheme="majorHAnsi" w:hAnsiTheme="majorHAnsi" w:cstheme="majorHAnsi"/>
          <w:color w:val="000000" w:themeColor="text1"/>
          <w:sz w:val="24"/>
          <w:szCs w:val="24"/>
          <w:lang w:val="ro-MD"/>
        </w:rPr>
        <w:t>ii Clinicii amplasate în s. Vorniceni, în raport cu numărul mic de pacien</w:t>
      </w:r>
      <w:r w:rsidR="00B13B9A" w:rsidRPr="00B13B9A">
        <w:rPr>
          <w:rFonts w:asciiTheme="majorHAnsi" w:hAnsiTheme="majorHAnsi" w:cstheme="majorHAnsi"/>
          <w:color w:val="000000" w:themeColor="text1"/>
          <w:sz w:val="24"/>
          <w:szCs w:val="24"/>
          <w:lang w:val="ro-MD"/>
        </w:rPr>
        <w:t>ț</w:t>
      </w:r>
      <w:r w:rsidRPr="00B13B9A">
        <w:rPr>
          <w:rFonts w:asciiTheme="majorHAnsi" w:hAnsiTheme="majorHAnsi" w:cstheme="majorHAnsi"/>
          <w:color w:val="000000" w:themeColor="text1"/>
          <w:sz w:val="24"/>
          <w:szCs w:val="24"/>
          <w:lang w:val="ro-MD"/>
        </w:rPr>
        <w:t xml:space="preserve">i (de la </w:t>
      </w:r>
      <w:r w:rsidR="0082109A" w:rsidRPr="00B13B9A">
        <w:rPr>
          <w:rFonts w:asciiTheme="majorHAnsi" w:hAnsiTheme="majorHAnsi" w:cstheme="majorHAnsi"/>
          <w:color w:val="000000" w:themeColor="text1"/>
          <w:sz w:val="24"/>
          <w:szCs w:val="24"/>
          <w:lang w:val="ro-MD"/>
        </w:rPr>
        <w:t>78</w:t>
      </w:r>
      <w:r w:rsidRPr="00B13B9A">
        <w:rPr>
          <w:rFonts w:asciiTheme="majorHAnsi" w:hAnsiTheme="majorHAnsi" w:cstheme="majorHAnsi"/>
          <w:color w:val="000000" w:themeColor="text1"/>
          <w:sz w:val="24"/>
          <w:szCs w:val="24"/>
          <w:lang w:val="ro-MD"/>
        </w:rPr>
        <w:t xml:space="preserve"> până la </w:t>
      </w:r>
      <w:r w:rsidR="0082109A" w:rsidRPr="00B13B9A">
        <w:rPr>
          <w:rFonts w:asciiTheme="majorHAnsi" w:hAnsiTheme="majorHAnsi" w:cstheme="majorHAnsi"/>
          <w:color w:val="000000" w:themeColor="text1"/>
          <w:sz w:val="24"/>
          <w:szCs w:val="24"/>
          <w:lang w:val="ro-MD"/>
        </w:rPr>
        <w:t>12</w:t>
      </w:r>
      <w:r w:rsidRPr="00B13B9A">
        <w:rPr>
          <w:rFonts w:asciiTheme="majorHAnsi" w:hAnsiTheme="majorHAnsi" w:cstheme="majorHAnsi"/>
          <w:color w:val="000000" w:themeColor="text1"/>
          <w:sz w:val="24"/>
          <w:szCs w:val="24"/>
          <w:lang w:val="ro-MD"/>
        </w:rPr>
        <w:t xml:space="preserve"> </w:t>
      </w:r>
      <w:r w:rsidR="00701824" w:rsidRPr="00B13B9A">
        <w:rPr>
          <w:rFonts w:asciiTheme="majorHAnsi" w:hAnsiTheme="majorHAnsi" w:cstheme="majorHAnsi"/>
          <w:color w:val="000000" w:themeColor="text1"/>
          <w:sz w:val="24"/>
          <w:szCs w:val="24"/>
          <w:lang w:val="ro-MD"/>
        </w:rPr>
        <w:t xml:space="preserve">de </w:t>
      </w:r>
      <w:r w:rsidRPr="00B13B9A">
        <w:rPr>
          <w:rFonts w:asciiTheme="majorHAnsi" w:hAnsiTheme="majorHAnsi" w:cstheme="majorHAnsi"/>
          <w:color w:val="000000" w:themeColor="text1"/>
          <w:sz w:val="24"/>
          <w:szCs w:val="24"/>
          <w:lang w:val="ro-MD"/>
        </w:rPr>
        <w:t>pacien</w:t>
      </w:r>
      <w:r w:rsidR="00B13B9A" w:rsidRPr="00B13B9A">
        <w:rPr>
          <w:rFonts w:asciiTheme="majorHAnsi" w:hAnsiTheme="majorHAnsi" w:cstheme="majorHAnsi"/>
          <w:color w:val="000000" w:themeColor="text1"/>
          <w:sz w:val="24"/>
          <w:szCs w:val="24"/>
          <w:lang w:val="ro-MD"/>
        </w:rPr>
        <w:t>ț</w:t>
      </w:r>
      <w:r w:rsidRPr="00B13B9A">
        <w:rPr>
          <w:rFonts w:asciiTheme="majorHAnsi" w:hAnsiTheme="majorHAnsi" w:cstheme="majorHAnsi"/>
          <w:color w:val="000000" w:themeColor="text1"/>
          <w:sz w:val="24"/>
          <w:szCs w:val="24"/>
          <w:lang w:val="ro-MD"/>
        </w:rPr>
        <w:t>i per zi), determină o presiune economică asupra IMSP prin suportarea unor cheltuieli de între</w:t>
      </w:r>
      <w:r w:rsidR="00B13B9A" w:rsidRPr="00B13B9A">
        <w:rPr>
          <w:rFonts w:asciiTheme="majorHAnsi" w:hAnsiTheme="majorHAnsi" w:cstheme="majorHAnsi"/>
          <w:color w:val="000000" w:themeColor="text1"/>
          <w:sz w:val="24"/>
          <w:szCs w:val="24"/>
          <w:lang w:val="ro-MD"/>
        </w:rPr>
        <w:t>ț</w:t>
      </w:r>
      <w:r w:rsidRPr="00B13B9A">
        <w:rPr>
          <w:rFonts w:asciiTheme="majorHAnsi" w:hAnsiTheme="majorHAnsi" w:cstheme="majorHAnsi"/>
          <w:color w:val="000000" w:themeColor="text1"/>
          <w:sz w:val="24"/>
          <w:szCs w:val="24"/>
          <w:lang w:val="ro-MD"/>
        </w:rPr>
        <w:t>inere de circa 20,0 mil. lei pe</w:t>
      </w:r>
      <w:r w:rsidR="00701824" w:rsidRPr="00B13B9A">
        <w:rPr>
          <w:rFonts w:asciiTheme="majorHAnsi" w:hAnsiTheme="majorHAnsi" w:cstheme="majorHAnsi"/>
          <w:color w:val="000000" w:themeColor="text1"/>
          <w:sz w:val="24"/>
          <w:szCs w:val="24"/>
          <w:lang w:val="ro-MD"/>
        </w:rPr>
        <w:t>r</w:t>
      </w:r>
      <w:r w:rsidRPr="00B13B9A">
        <w:rPr>
          <w:rFonts w:asciiTheme="majorHAnsi" w:hAnsiTheme="majorHAnsi" w:cstheme="majorHAnsi"/>
          <w:color w:val="000000" w:themeColor="text1"/>
          <w:sz w:val="24"/>
          <w:szCs w:val="24"/>
          <w:lang w:val="ro-MD"/>
        </w:rPr>
        <w:t xml:space="preserve"> an </w:t>
      </w:r>
      <w:r w:rsidRPr="00B13B9A">
        <w:rPr>
          <w:rFonts w:asciiTheme="majorHAnsi" w:hAnsiTheme="majorHAnsi" w:cstheme="majorHAnsi"/>
          <w:sz w:val="24"/>
          <w:szCs w:val="24"/>
          <w:lang w:val="ro-MD"/>
        </w:rPr>
        <w:t xml:space="preserve">(pct.4.1.6); </w:t>
      </w:r>
    </w:p>
    <w:p w14:paraId="407515CE" w14:textId="001180EB" w:rsidR="00371912" w:rsidRPr="00B13B9A" w:rsidRDefault="00371912" w:rsidP="00371912">
      <w:pPr>
        <w:pStyle w:val="a7"/>
        <w:numPr>
          <w:ilvl w:val="0"/>
          <w:numId w:val="13"/>
        </w:numPr>
        <w:ind w:left="0" w:firstLine="0"/>
        <w:jc w:val="both"/>
        <w:rPr>
          <w:rFonts w:asciiTheme="majorHAnsi" w:hAnsiTheme="majorHAnsi" w:cstheme="majorHAnsi"/>
          <w:sz w:val="24"/>
          <w:szCs w:val="24"/>
          <w:lang w:val="ro-MD"/>
        </w:rPr>
      </w:pPr>
      <w:r w:rsidRPr="00B13B9A">
        <w:rPr>
          <w:rFonts w:asciiTheme="majorHAnsi" w:hAnsiTheme="majorHAnsi" w:cstheme="majorHAnsi"/>
          <w:sz w:val="24"/>
          <w:szCs w:val="24"/>
          <w:lang w:val="ro-MD"/>
        </w:rPr>
        <w:t>utilajele medicale nefunc</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 xml:space="preserve">ionale </w:t>
      </w:r>
      <w:r w:rsidR="00B13B9A" w:rsidRPr="00B13B9A">
        <w:rPr>
          <w:rFonts w:asciiTheme="majorHAnsi" w:hAnsiTheme="majorHAnsi" w:cstheme="majorHAnsi"/>
          <w:sz w:val="24"/>
          <w:szCs w:val="24"/>
          <w:lang w:val="ro-MD"/>
        </w:rPr>
        <w:t>ș</w:t>
      </w:r>
      <w:r w:rsidRPr="00B13B9A">
        <w:rPr>
          <w:rFonts w:asciiTheme="majorHAnsi" w:hAnsiTheme="majorHAnsi" w:cstheme="majorHAnsi"/>
          <w:sz w:val="24"/>
          <w:szCs w:val="24"/>
          <w:lang w:val="ro-MD"/>
        </w:rPr>
        <w:t>i uzate, dar men</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inute în eviden</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ă, darea în exploatare a altor dispozitive ce nu sunt utilizate în activitatea institu</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 xml:space="preserve">iei, precum </w:t>
      </w:r>
      <w:r w:rsidR="00B13B9A" w:rsidRPr="00B13B9A">
        <w:rPr>
          <w:rFonts w:asciiTheme="majorHAnsi" w:hAnsiTheme="majorHAnsi" w:cstheme="majorHAnsi"/>
          <w:sz w:val="24"/>
          <w:szCs w:val="24"/>
          <w:lang w:val="ro-MD"/>
        </w:rPr>
        <w:t>ș</w:t>
      </w:r>
      <w:r w:rsidRPr="00B13B9A">
        <w:rPr>
          <w:rFonts w:asciiTheme="majorHAnsi" w:hAnsiTheme="majorHAnsi" w:cstheme="majorHAnsi"/>
          <w:sz w:val="24"/>
          <w:szCs w:val="24"/>
          <w:lang w:val="ro-MD"/>
        </w:rPr>
        <w:t xml:space="preserve">i nesupunerea </w:t>
      </w:r>
      <w:r w:rsidR="00701824" w:rsidRPr="00B13B9A">
        <w:rPr>
          <w:rFonts w:asciiTheme="majorHAnsi" w:hAnsiTheme="majorHAnsi" w:cstheme="majorHAnsi"/>
          <w:sz w:val="24"/>
          <w:szCs w:val="24"/>
          <w:lang w:val="ro-MD"/>
        </w:rPr>
        <w:t xml:space="preserve">acestora </w:t>
      </w:r>
      <w:r w:rsidRPr="00B13B9A">
        <w:rPr>
          <w:rFonts w:asciiTheme="majorHAnsi" w:hAnsiTheme="majorHAnsi" w:cstheme="majorHAnsi"/>
          <w:sz w:val="24"/>
          <w:szCs w:val="24"/>
          <w:lang w:val="ro-MD"/>
        </w:rPr>
        <w:t>verificărilor periodice obligatorii, nu asigură eviden</w:t>
      </w:r>
      <w:r w:rsidR="00B13B9A" w:rsidRPr="00B13B9A">
        <w:rPr>
          <w:rFonts w:asciiTheme="majorHAnsi" w:hAnsiTheme="majorHAnsi" w:cstheme="majorHAnsi"/>
          <w:sz w:val="24"/>
          <w:szCs w:val="24"/>
          <w:lang w:val="ro-MD"/>
        </w:rPr>
        <w:t>ț</w:t>
      </w:r>
      <w:r w:rsidR="00701824" w:rsidRPr="00B13B9A">
        <w:rPr>
          <w:rFonts w:asciiTheme="majorHAnsi" w:hAnsiTheme="majorHAnsi" w:cstheme="majorHAnsi"/>
          <w:sz w:val="24"/>
          <w:szCs w:val="24"/>
          <w:lang w:val="ro-MD"/>
        </w:rPr>
        <w:t>a</w:t>
      </w:r>
      <w:r w:rsidRPr="00B13B9A">
        <w:rPr>
          <w:rFonts w:asciiTheme="majorHAnsi" w:hAnsiTheme="majorHAnsi" w:cstheme="majorHAnsi"/>
          <w:sz w:val="24"/>
          <w:szCs w:val="24"/>
          <w:lang w:val="ro-MD"/>
        </w:rPr>
        <w:t xml:space="preserve"> </w:t>
      </w:r>
      <w:r w:rsidR="00B13B9A" w:rsidRPr="00B13B9A">
        <w:rPr>
          <w:rFonts w:asciiTheme="majorHAnsi" w:hAnsiTheme="majorHAnsi" w:cstheme="majorHAnsi"/>
          <w:sz w:val="24"/>
          <w:szCs w:val="24"/>
          <w:lang w:val="ro-MD"/>
        </w:rPr>
        <w:t>ș</w:t>
      </w:r>
      <w:r w:rsidRPr="00B13B9A">
        <w:rPr>
          <w:rFonts w:asciiTheme="majorHAnsi" w:hAnsiTheme="majorHAnsi" w:cstheme="majorHAnsi"/>
          <w:sz w:val="24"/>
          <w:szCs w:val="24"/>
          <w:lang w:val="ro-MD"/>
        </w:rPr>
        <w:t xml:space="preserve">i gestionarea conformă a </w:t>
      </w:r>
      <w:r w:rsidR="00701824" w:rsidRPr="00B13B9A">
        <w:rPr>
          <w:rFonts w:asciiTheme="majorHAnsi" w:hAnsiTheme="majorHAnsi" w:cstheme="majorHAnsi"/>
          <w:sz w:val="24"/>
          <w:szCs w:val="24"/>
          <w:lang w:val="ro-MD"/>
        </w:rPr>
        <w:t>lor</w:t>
      </w:r>
      <w:r w:rsidRPr="00B13B9A">
        <w:rPr>
          <w:rFonts w:asciiTheme="majorHAnsi" w:hAnsiTheme="majorHAnsi" w:cstheme="majorHAnsi"/>
          <w:sz w:val="24"/>
          <w:szCs w:val="24"/>
          <w:lang w:val="ro-MD"/>
        </w:rPr>
        <w:t xml:space="preserve"> (pct.4.1.9. 4.1.10, 4.1.11); </w:t>
      </w:r>
    </w:p>
    <w:p w14:paraId="66D26942" w14:textId="1C01499A" w:rsidR="00371912" w:rsidRPr="00B13B9A" w:rsidRDefault="00371912" w:rsidP="00371912">
      <w:pPr>
        <w:pStyle w:val="a7"/>
        <w:numPr>
          <w:ilvl w:val="0"/>
          <w:numId w:val="14"/>
        </w:numPr>
        <w:ind w:left="0" w:firstLine="0"/>
        <w:jc w:val="both"/>
        <w:rPr>
          <w:rFonts w:asciiTheme="majorHAnsi" w:hAnsiTheme="majorHAnsi" w:cstheme="majorHAnsi"/>
          <w:sz w:val="24"/>
          <w:szCs w:val="24"/>
          <w:lang w:val="ro-MD"/>
        </w:rPr>
      </w:pPr>
      <w:r w:rsidRPr="00B13B9A">
        <w:rPr>
          <w:rFonts w:asciiTheme="majorHAnsi" w:hAnsiTheme="majorHAnsi" w:cstheme="majorHAnsi"/>
          <w:sz w:val="24"/>
          <w:szCs w:val="24"/>
          <w:lang w:val="ro-MD"/>
        </w:rPr>
        <w:t>insuficien</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a mecanismelor institu</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 xml:space="preserve">ionale de control în cadrul IMSP, a cauzat calcularea </w:t>
      </w:r>
      <w:r w:rsidR="00B13B9A" w:rsidRPr="00B13B9A">
        <w:rPr>
          <w:rFonts w:asciiTheme="majorHAnsi" w:hAnsiTheme="majorHAnsi" w:cstheme="majorHAnsi"/>
          <w:sz w:val="24"/>
          <w:szCs w:val="24"/>
          <w:lang w:val="ro-MD"/>
        </w:rPr>
        <w:t>ș</w:t>
      </w:r>
      <w:r w:rsidRPr="00B13B9A">
        <w:rPr>
          <w:rFonts w:asciiTheme="majorHAnsi" w:hAnsiTheme="majorHAnsi" w:cstheme="majorHAnsi"/>
          <w:sz w:val="24"/>
          <w:szCs w:val="24"/>
          <w:lang w:val="ro-MD"/>
        </w:rPr>
        <w:t xml:space="preserve">i achitarea neregulamentară a salariilor pentru unele persoane ce nu se aflau pe teritoriul Republicii Moldova </w:t>
      </w:r>
      <w:r w:rsidR="00B13B9A" w:rsidRPr="00B13B9A">
        <w:rPr>
          <w:rFonts w:asciiTheme="majorHAnsi" w:hAnsiTheme="majorHAnsi" w:cstheme="majorHAnsi"/>
          <w:sz w:val="24"/>
          <w:szCs w:val="24"/>
          <w:lang w:val="ro-MD"/>
        </w:rPr>
        <w:t>ș</w:t>
      </w:r>
      <w:r w:rsidRPr="00B13B9A">
        <w:rPr>
          <w:rFonts w:asciiTheme="majorHAnsi" w:hAnsiTheme="majorHAnsi" w:cstheme="majorHAnsi"/>
          <w:sz w:val="24"/>
          <w:szCs w:val="24"/>
          <w:lang w:val="ro-MD"/>
        </w:rPr>
        <w:t>i, respectiv, la locul de muncă, ceea ce a determinat cheltuieli nejustificate în sumă de 47,1 mii lei (pct.4.2.1);</w:t>
      </w:r>
    </w:p>
    <w:p w14:paraId="311CF89F" w14:textId="61C0CA69" w:rsidR="00371912" w:rsidRPr="00B13B9A" w:rsidRDefault="00371912" w:rsidP="00371912">
      <w:pPr>
        <w:pStyle w:val="a7"/>
        <w:numPr>
          <w:ilvl w:val="0"/>
          <w:numId w:val="14"/>
        </w:numPr>
        <w:ind w:left="0" w:firstLine="0"/>
        <w:jc w:val="both"/>
        <w:rPr>
          <w:rFonts w:asciiTheme="majorHAnsi" w:hAnsiTheme="majorHAnsi" w:cstheme="majorHAnsi"/>
          <w:sz w:val="24"/>
          <w:szCs w:val="24"/>
          <w:lang w:val="ro-MD"/>
        </w:rPr>
      </w:pPr>
      <w:r w:rsidRPr="00B13B9A">
        <w:rPr>
          <w:rFonts w:asciiTheme="majorHAnsi" w:hAnsiTheme="majorHAnsi" w:cstheme="majorHAnsi"/>
          <w:sz w:val="24"/>
          <w:szCs w:val="24"/>
          <w:lang w:val="ro-MD"/>
        </w:rPr>
        <w:t>desemnarea personalului antrenat nemijlocit în tratamentul pacien</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ilor infecta</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 xml:space="preserve">i cu COVID-19, nu a fost asigurat conform, ceea ce a determinat solicitarea </w:t>
      </w:r>
      <w:r w:rsidR="00B13B9A" w:rsidRPr="00B13B9A">
        <w:rPr>
          <w:rFonts w:asciiTheme="majorHAnsi" w:hAnsiTheme="majorHAnsi" w:cstheme="majorHAnsi"/>
          <w:sz w:val="24"/>
          <w:szCs w:val="24"/>
          <w:lang w:val="ro-MD"/>
        </w:rPr>
        <w:t>ș</w:t>
      </w:r>
      <w:r w:rsidRPr="00B13B9A">
        <w:rPr>
          <w:rFonts w:asciiTheme="majorHAnsi" w:hAnsiTheme="majorHAnsi" w:cstheme="majorHAnsi"/>
          <w:sz w:val="24"/>
          <w:szCs w:val="24"/>
          <w:lang w:val="ro-MD"/>
        </w:rPr>
        <w:t xml:space="preserve">i alocarea de mijloace financiare din FAOAM în sumă de 110,0 mii lei, care au fost utilizate </w:t>
      </w:r>
      <w:r w:rsidR="00B13B9A" w:rsidRPr="00B13B9A">
        <w:rPr>
          <w:rFonts w:asciiTheme="majorHAnsi" w:hAnsiTheme="majorHAnsi" w:cstheme="majorHAnsi"/>
          <w:sz w:val="24"/>
          <w:szCs w:val="24"/>
          <w:lang w:val="ro-MD"/>
        </w:rPr>
        <w:t>ș</w:t>
      </w:r>
      <w:r w:rsidRPr="00B13B9A">
        <w:rPr>
          <w:rFonts w:asciiTheme="majorHAnsi" w:hAnsiTheme="majorHAnsi" w:cstheme="majorHAnsi"/>
          <w:sz w:val="24"/>
          <w:szCs w:val="24"/>
          <w:lang w:val="ro-MD"/>
        </w:rPr>
        <w:t>i raportate necorespunzător</w:t>
      </w:r>
      <w:r w:rsidRPr="00B13B9A" w:rsidDel="004964D3">
        <w:rPr>
          <w:rFonts w:asciiTheme="majorHAnsi" w:hAnsiTheme="majorHAnsi" w:cstheme="majorHAnsi"/>
          <w:sz w:val="24"/>
          <w:szCs w:val="24"/>
          <w:lang w:val="ro-MD"/>
        </w:rPr>
        <w:t xml:space="preserve"> </w:t>
      </w:r>
      <w:r w:rsidRPr="00B13B9A">
        <w:rPr>
          <w:rFonts w:asciiTheme="majorHAnsi" w:hAnsiTheme="majorHAnsi" w:cstheme="majorHAnsi"/>
          <w:sz w:val="24"/>
          <w:szCs w:val="24"/>
          <w:lang w:val="ro-MD"/>
        </w:rPr>
        <w:t>(pct.4.2.2);</w:t>
      </w:r>
    </w:p>
    <w:p w14:paraId="3F7AB7F7" w14:textId="6BAE1875" w:rsidR="00371912" w:rsidRPr="00B13B9A" w:rsidRDefault="00371912" w:rsidP="00371912">
      <w:pPr>
        <w:pStyle w:val="a7"/>
        <w:numPr>
          <w:ilvl w:val="0"/>
          <w:numId w:val="14"/>
        </w:numPr>
        <w:ind w:left="0" w:firstLine="0"/>
        <w:jc w:val="both"/>
        <w:rPr>
          <w:rFonts w:asciiTheme="majorHAnsi" w:hAnsiTheme="majorHAnsi" w:cstheme="majorHAnsi"/>
          <w:sz w:val="24"/>
          <w:szCs w:val="24"/>
          <w:lang w:val="ro-MD"/>
        </w:rPr>
      </w:pPr>
      <w:r w:rsidRPr="00B13B9A">
        <w:rPr>
          <w:rFonts w:asciiTheme="majorHAnsi" w:hAnsiTheme="majorHAnsi" w:cstheme="majorHAnsi"/>
          <w:sz w:val="24"/>
          <w:szCs w:val="24"/>
          <w:lang w:val="ro-MD"/>
        </w:rPr>
        <w:t xml:space="preserve">acumularea </w:t>
      </w:r>
      <w:r w:rsidR="00701824" w:rsidRPr="00B13B9A">
        <w:rPr>
          <w:rFonts w:asciiTheme="majorHAnsi" w:hAnsiTheme="majorHAnsi" w:cstheme="majorHAnsi"/>
          <w:sz w:val="24"/>
          <w:szCs w:val="24"/>
          <w:lang w:val="ro-MD"/>
        </w:rPr>
        <w:t xml:space="preserve">a 6 770 de </w:t>
      </w:r>
      <w:r w:rsidRPr="00B13B9A">
        <w:rPr>
          <w:rFonts w:asciiTheme="majorHAnsi" w:hAnsiTheme="majorHAnsi" w:cstheme="majorHAnsi"/>
          <w:sz w:val="24"/>
          <w:szCs w:val="24"/>
          <w:lang w:val="ro-MD"/>
        </w:rPr>
        <w:t>zile de concediu anual nefolosite atrage după sine eventuale cheltuieli suplimentare celor planificate</w:t>
      </w:r>
      <w:r w:rsidR="00701824" w:rsidRPr="00B13B9A">
        <w:rPr>
          <w:rFonts w:asciiTheme="majorHAnsi" w:hAnsiTheme="majorHAnsi" w:cstheme="majorHAnsi"/>
          <w:sz w:val="24"/>
          <w:szCs w:val="24"/>
          <w:lang w:val="ro-MD"/>
        </w:rPr>
        <w:t>,</w:t>
      </w:r>
      <w:r w:rsidRPr="00B13B9A">
        <w:rPr>
          <w:rFonts w:asciiTheme="majorHAnsi" w:hAnsiTheme="majorHAnsi" w:cstheme="majorHAnsi"/>
          <w:sz w:val="24"/>
          <w:szCs w:val="24"/>
          <w:lang w:val="ro-MD"/>
        </w:rPr>
        <w:t xml:space="preserve"> estimate de audit în valoare de 4 648,5 mii lei</w:t>
      </w:r>
      <w:r w:rsidR="004B12E2" w:rsidRPr="00B13B9A">
        <w:rPr>
          <w:rFonts w:asciiTheme="majorHAnsi" w:hAnsiTheme="majorHAnsi" w:cstheme="majorHAnsi"/>
          <w:sz w:val="24"/>
          <w:szCs w:val="24"/>
          <w:lang w:val="ro-MD"/>
        </w:rPr>
        <w:t>,</w:t>
      </w:r>
      <w:r w:rsidRPr="00B13B9A">
        <w:rPr>
          <w:rFonts w:asciiTheme="majorHAnsi" w:hAnsiTheme="majorHAnsi" w:cstheme="majorHAnsi"/>
          <w:sz w:val="24"/>
          <w:szCs w:val="24"/>
          <w:lang w:val="ro-MD"/>
        </w:rPr>
        <w:t xml:space="preserve"> </w:t>
      </w:r>
      <w:r w:rsidR="004B12E2" w:rsidRPr="00B13B9A">
        <w:rPr>
          <w:rFonts w:asciiTheme="majorHAnsi" w:hAnsiTheme="majorHAnsi" w:cstheme="majorHAnsi"/>
          <w:sz w:val="24"/>
          <w:szCs w:val="24"/>
          <w:lang w:val="ro-MD"/>
        </w:rPr>
        <w:t>ceea ce</w:t>
      </w:r>
      <w:r w:rsidRPr="00B13B9A">
        <w:rPr>
          <w:rFonts w:asciiTheme="majorHAnsi" w:hAnsiTheme="majorHAnsi" w:cstheme="majorHAnsi"/>
          <w:sz w:val="24"/>
          <w:szCs w:val="24"/>
          <w:lang w:val="ro-MD"/>
        </w:rPr>
        <w:t xml:space="preserve"> poate afecta stabilitatea financiară a institu</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 xml:space="preserve">iei, </w:t>
      </w:r>
      <w:r w:rsidR="0082109A">
        <w:rPr>
          <w:rFonts w:asciiTheme="majorHAnsi" w:hAnsiTheme="majorHAnsi" w:cstheme="majorHAnsi"/>
          <w:sz w:val="24"/>
          <w:szCs w:val="24"/>
          <w:lang w:val="ro-MD"/>
        </w:rPr>
        <w:t>în special</w:t>
      </w:r>
      <w:r w:rsidR="0082109A" w:rsidRPr="00B13B9A">
        <w:rPr>
          <w:rFonts w:asciiTheme="majorHAnsi" w:hAnsiTheme="majorHAnsi" w:cstheme="majorHAnsi"/>
          <w:sz w:val="24"/>
          <w:szCs w:val="24"/>
          <w:lang w:val="ro-MD"/>
        </w:rPr>
        <w:t xml:space="preserve"> </w:t>
      </w:r>
      <w:r w:rsidRPr="00B13B9A">
        <w:rPr>
          <w:rFonts w:asciiTheme="majorHAnsi" w:hAnsiTheme="majorHAnsi" w:cstheme="majorHAnsi"/>
          <w:sz w:val="24"/>
          <w:szCs w:val="24"/>
          <w:lang w:val="ro-MD"/>
        </w:rPr>
        <w:t xml:space="preserve">din lipsa </w:t>
      </w:r>
      <w:r w:rsidR="00701824" w:rsidRPr="00B13B9A">
        <w:rPr>
          <w:rFonts w:asciiTheme="majorHAnsi" w:hAnsiTheme="majorHAnsi" w:cstheme="majorHAnsi"/>
          <w:sz w:val="24"/>
          <w:szCs w:val="24"/>
          <w:lang w:val="ro-MD"/>
        </w:rPr>
        <w:t>re</w:t>
      </w:r>
      <w:r w:rsidRPr="00B13B9A">
        <w:rPr>
          <w:rFonts w:asciiTheme="majorHAnsi" w:hAnsiTheme="majorHAnsi" w:cstheme="majorHAnsi"/>
          <w:sz w:val="24"/>
          <w:szCs w:val="24"/>
          <w:lang w:val="ro-MD"/>
        </w:rPr>
        <w:t>surselor de suportare a acestora (pct. 4.2.3);</w:t>
      </w:r>
    </w:p>
    <w:p w14:paraId="61F04E27" w14:textId="4DF0E69A" w:rsidR="00371912" w:rsidRPr="00B13B9A" w:rsidRDefault="00371912" w:rsidP="00371912">
      <w:pPr>
        <w:pStyle w:val="a7"/>
        <w:numPr>
          <w:ilvl w:val="0"/>
          <w:numId w:val="14"/>
        </w:numPr>
        <w:ind w:left="0" w:firstLine="0"/>
        <w:jc w:val="both"/>
        <w:rPr>
          <w:rFonts w:asciiTheme="majorHAnsi" w:hAnsiTheme="majorHAnsi" w:cstheme="majorHAnsi"/>
          <w:sz w:val="24"/>
          <w:szCs w:val="24"/>
          <w:lang w:val="ro-MD"/>
        </w:rPr>
      </w:pPr>
      <w:r w:rsidRPr="00B13B9A">
        <w:rPr>
          <w:rFonts w:asciiTheme="majorHAnsi" w:hAnsiTheme="majorHAnsi" w:cstheme="majorHAnsi"/>
          <w:sz w:val="24"/>
          <w:szCs w:val="24"/>
          <w:lang w:val="ro-MD"/>
        </w:rPr>
        <w:t>planificarea necorespunzătoare a necesită</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ilor reale de achizi</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 xml:space="preserve">ii publice (247,9 mii lei), divizarea contractelor (777,8 mii lei), precum </w:t>
      </w:r>
      <w:r w:rsidR="00B13B9A" w:rsidRPr="00B13B9A">
        <w:rPr>
          <w:rFonts w:asciiTheme="majorHAnsi" w:hAnsiTheme="majorHAnsi" w:cstheme="majorHAnsi"/>
          <w:sz w:val="24"/>
          <w:szCs w:val="24"/>
          <w:lang w:val="ro-MD"/>
        </w:rPr>
        <w:t>ș</w:t>
      </w:r>
      <w:r w:rsidRPr="00B13B9A">
        <w:rPr>
          <w:rFonts w:asciiTheme="majorHAnsi" w:hAnsiTheme="majorHAnsi" w:cstheme="majorHAnsi"/>
          <w:sz w:val="24"/>
          <w:szCs w:val="24"/>
          <w:lang w:val="ro-MD"/>
        </w:rPr>
        <w:t>i atribuirea incorectă a procedurilor de achizi</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ii publice (960,0 mii lei) a</w:t>
      </w:r>
      <w:r w:rsidR="004B12E2" w:rsidRPr="00B13B9A">
        <w:rPr>
          <w:rFonts w:asciiTheme="majorHAnsi" w:hAnsiTheme="majorHAnsi" w:cstheme="majorHAnsi"/>
          <w:sz w:val="24"/>
          <w:szCs w:val="24"/>
          <w:lang w:val="ro-MD"/>
        </w:rPr>
        <w:t>u</w:t>
      </w:r>
      <w:r w:rsidRPr="00B13B9A">
        <w:rPr>
          <w:rFonts w:asciiTheme="majorHAnsi" w:hAnsiTheme="majorHAnsi" w:cstheme="majorHAnsi"/>
          <w:sz w:val="24"/>
          <w:szCs w:val="24"/>
          <w:lang w:val="ro-MD"/>
        </w:rPr>
        <w:t xml:space="preserve"> fost cauzat</w:t>
      </w:r>
      <w:r w:rsidR="004B12E2" w:rsidRPr="00B13B9A">
        <w:rPr>
          <w:rFonts w:asciiTheme="majorHAnsi" w:hAnsiTheme="majorHAnsi" w:cstheme="majorHAnsi"/>
          <w:sz w:val="24"/>
          <w:szCs w:val="24"/>
          <w:lang w:val="ro-MD"/>
        </w:rPr>
        <w:t>e</w:t>
      </w:r>
      <w:r w:rsidRPr="00B13B9A">
        <w:rPr>
          <w:rFonts w:asciiTheme="majorHAnsi" w:hAnsiTheme="majorHAnsi" w:cstheme="majorHAnsi"/>
          <w:sz w:val="24"/>
          <w:szCs w:val="24"/>
          <w:lang w:val="ro-MD"/>
        </w:rPr>
        <w:t xml:space="preserve"> de nerespectarea de către IMSP a prevederilor actelor normative în domeniu (pct. 4.2.5, 4.2.6, 4.2.7);</w:t>
      </w:r>
    </w:p>
    <w:p w14:paraId="5AF31CB0" w14:textId="6BB7B3E5" w:rsidR="00371912" w:rsidRPr="00B13B9A" w:rsidRDefault="00371912" w:rsidP="00371912">
      <w:pPr>
        <w:pStyle w:val="a7"/>
        <w:numPr>
          <w:ilvl w:val="0"/>
          <w:numId w:val="14"/>
        </w:numPr>
        <w:ind w:left="0" w:firstLine="0"/>
        <w:jc w:val="both"/>
        <w:rPr>
          <w:rFonts w:asciiTheme="majorHAnsi" w:hAnsiTheme="majorHAnsi" w:cstheme="majorHAnsi"/>
          <w:sz w:val="24"/>
          <w:szCs w:val="24"/>
          <w:lang w:val="ro-MD"/>
        </w:rPr>
      </w:pPr>
      <w:r w:rsidRPr="00B13B9A">
        <w:rPr>
          <w:rFonts w:asciiTheme="majorHAnsi" w:hAnsiTheme="majorHAnsi" w:cstheme="majorHAnsi"/>
          <w:sz w:val="24"/>
          <w:szCs w:val="24"/>
          <w:lang w:val="ro-MD"/>
        </w:rPr>
        <w:t>procesul de alimenta</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ie</w:t>
      </w:r>
      <w:r w:rsidR="004B12E2" w:rsidRPr="00B13B9A">
        <w:rPr>
          <w:rFonts w:asciiTheme="majorHAnsi" w:hAnsiTheme="majorHAnsi" w:cstheme="majorHAnsi"/>
          <w:sz w:val="24"/>
          <w:szCs w:val="24"/>
          <w:lang w:val="ro-MD"/>
        </w:rPr>
        <w:t xml:space="preserve"> a</w:t>
      </w:r>
      <w:r w:rsidRPr="00B13B9A">
        <w:rPr>
          <w:rFonts w:asciiTheme="majorHAnsi" w:hAnsiTheme="majorHAnsi" w:cstheme="majorHAnsi"/>
          <w:sz w:val="24"/>
          <w:szCs w:val="24"/>
          <w:lang w:val="ro-MD"/>
        </w:rPr>
        <w:t xml:space="preserve"> pacien</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ilor nu este asigurat regulamentar, prin corelarea numărului real de pacien</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i cu necesită</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ile de produse alimentare (pct.4.2.8);</w:t>
      </w:r>
    </w:p>
    <w:p w14:paraId="3BA062B4" w14:textId="2A671506" w:rsidR="00371912" w:rsidRPr="00B13B9A" w:rsidRDefault="00371912" w:rsidP="00371912">
      <w:pPr>
        <w:pStyle w:val="a7"/>
        <w:numPr>
          <w:ilvl w:val="0"/>
          <w:numId w:val="14"/>
        </w:numPr>
        <w:ind w:left="0" w:firstLine="0"/>
        <w:jc w:val="both"/>
        <w:rPr>
          <w:rFonts w:asciiTheme="majorHAnsi" w:hAnsiTheme="majorHAnsi" w:cstheme="majorHAnsi"/>
          <w:sz w:val="24"/>
          <w:szCs w:val="24"/>
          <w:lang w:val="ro-MD"/>
        </w:rPr>
      </w:pPr>
      <w:r w:rsidRPr="00B13B9A">
        <w:rPr>
          <w:rFonts w:asciiTheme="majorHAnsi" w:hAnsiTheme="majorHAnsi" w:cstheme="majorHAnsi"/>
          <w:sz w:val="24"/>
          <w:szCs w:val="24"/>
          <w:lang w:val="ro-MD"/>
        </w:rPr>
        <w:t>lipsa unui cadru legal de reglementare distinctă a activită</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ii IMSP în condi</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 xml:space="preserve">ii de autogestiune </w:t>
      </w:r>
      <w:r w:rsidR="00B13B9A" w:rsidRPr="00B13B9A">
        <w:rPr>
          <w:rFonts w:asciiTheme="majorHAnsi" w:hAnsiTheme="majorHAnsi" w:cstheme="majorHAnsi"/>
          <w:sz w:val="24"/>
          <w:szCs w:val="24"/>
          <w:lang w:val="ro-MD"/>
        </w:rPr>
        <w:t>ș</w:t>
      </w:r>
      <w:r w:rsidRPr="00B13B9A">
        <w:rPr>
          <w:rFonts w:asciiTheme="majorHAnsi" w:hAnsiTheme="majorHAnsi" w:cstheme="majorHAnsi"/>
          <w:sz w:val="24"/>
          <w:szCs w:val="24"/>
          <w:lang w:val="ro-MD"/>
        </w:rPr>
        <w:t>i non-profit (pct.4.2.1</w:t>
      </w:r>
      <w:r w:rsidR="00350A1E" w:rsidRPr="00B13B9A">
        <w:rPr>
          <w:rFonts w:asciiTheme="majorHAnsi" w:hAnsiTheme="majorHAnsi" w:cstheme="majorHAnsi"/>
          <w:sz w:val="24"/>
          <w:szCs w:val="24"/>
          <w:lang w:val="ro-MD"/>
        </w:rPr>
        <w:t>2</w:t>
      </w:r>
      <w:r w:rsidRPr="00B13B9A">
        <w:rPr>
          <w:rFonts w:asciiTheme="majorHAnsi" w:hAnsiTheme="majorHAnsi" w:cstheme="majorHAnsi"/>
          <w:sz w:val="24"/>
          <w:szCs w:val="24"/>
          <w:lang w:val="ro-MD"/>
        </w:rPr>
        <w:t>);</w:t>
      </w:r>
    </w:p>
    <w:p w14:paraId="12F77A45" w14:textId="77777777" w:rsidR="00371912" w:rsidRPr="00B13B9A" w:rsidRDefault="00371912" w:rsidP="00371912">
      <w:pPr>
        <w:pStyle w:val="a7"/>
        <w:numPr>
          <w:ilvl w:val="0"/>
          <w:numId w:val="14"/>
        </w:numPr>
        <w:ind w:left="0" w:firstLine="0"/>
        <w:jc w:val="both"/>
        <w:rPr>
          <w:rFonts w:asciiTheme="majorHAnsi" w:hAnsiTheme="majorHAnsi" w:cstheme="majorHAnsi"/>
          <w:sz w:val="24"/>
          <w:szCs w:val="24"/>
          <w:lang w:val="ro-MD"/>
        </w:rPr>
      </w:pPr>
      <w:r w:rsidRPr="00B13B9A">
        <w:rPr>
          <w:rFonts w:asciiTheme="majorHAnsi" w:hAnsiTheme="majorHAnsi" w:cstheme="majorHAnsi"/>
          <w:sz w:val="24"/>
          <w:szCs w:val="24"/>
          <w:lang w:val="ro-MD"/>
        </w:rPr>
        <w:t>contabilizarea neconformă a veniturilor aferente bunurilor primite cu titlul gratuit a determinat diminuarea rezultatelor financiare ale IMSP IFP în perioadele precedente, estimate de audit la circa 63 mil.lei (pct.4.2.1</w:t>
      </w:r>
      <w:r w:rsidR="00350A1E" w:rsidRPr="00B13B9A">
        <w:rPr>
          <w:rFonts w:asciiTheme="majorHAnsi" w:hAnsiTheme="majorHAnsi" w:cstheme="majorHAnsi"/>
          <w:sz w:val="24"/>
          <w:szCs w:val="24"/>
          <w:lang w:val="ro-MD"/>
        </w:rPr>
        <w:t>0</w:t>
      </w:r>
      <w:r w:rsidRPr="00B13B9A">
        <w:rPr>
          <w:rFonts w:asciiTheme="majorHAnsi" w:hAnsiTheme="majorHAnsi" w:cstheme="majorHAnsi"/>
          <w:sz w:val="24"/>
          <w:szCs w:val="24"/>
          <w:lang w:val="ro-MD"/>
        </w:rPr>
        <w:t>);</w:t>
      </w:r>
    </w:p>
    <w:p w14:paraId="3B1A6B9A" w14:textId="1FA78593" w:rsidR="00371912" w:rsidRPr="00B13B9A" w:rsidRDefault="00371912" w:rsidP="00371912">
      <w:pPr>
        <w:pStyle w:val="a7"/>
        <w:numPr>
          <w:ilvl w:val="0"/>
          <w:numId w:val="14"/>
        </w:numPr>
        <w:ind w:left="0" w:firstLine="0"/>
        <w:jc w:val="both"/>
        <w:rPr>
          <w:rFonts w:asciiTheme="majorHAnsi" w:hAnsiTheme="majorHAnsi" w:cstheme="majorHAnsi"/>
          <w:sz w:val="24"/>
          <w:szCs w:val="24"/>
          <w:lang w:val="ro-MD"/>
        </w:rPr>
      </w:pPr>
      <w:r w:rsidRPr="00B13B9A">
        <w:rPr>
          <w:rFonts w:asciiTheme="majorHAnsi" w:hAnsiTheme="majorHAnsi" w:cstheme="majorHAnsi"/>
          <w:sz w:val="24"/>
          <w:szCs w:val="24"/>
          <w:lang w:val="ro-MD"/>
        </w:rPr>
        <w:t>eviden</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 xml:space="preserve">a neconformă a veniturilor </w:t>
      </w:r>
      <w:r w:rsidR="00B13B9A" w:rsidRPr="00B13B9A">
        <w:rPr>
          <w:rFonts w:asciiTheme="majorHAnsi" w:hAnsiTheme="majorHAnsi" w:cstheme="majorHAnsi"/>
          <w:sz w:val="24"/>
          <w:szCs w:val="24"/>
          <w:lang w:val="ro-MD"/>
        </w:rPr>
        <w:t>ș</w:t>
      </w:r>
      <w:r w:rsidRPr="00B13B9A">
        <w:rPr>
          <w:rFonts w:asciiTheme="majorHAnsi" w:hAnsiTheme="majorHAnsi" w:cstheme="majorHAnsi"/>
          <w:sz w:val="24"/>
          <w:szCs w:val="24"/>
          <w:lang w:val="ro-MD"/>
        </w:rPr>
        <w:t xml:space="preserve">i cheltuielilor </w:t>
      </w:r>
      <w:r w:rsidR="0082109A">
        <w:rPr>
          <w:rFonts w:asciiTheme="majorHAnsi" w:hAnsiTheme="majorHAnsi" w:cstheme="majorHAnsi"/>
          <w:sz w:val="24"/>
          <w:szCs w:val="24"/>
          <w:lang w:val="ro-MD"/>
        </w:rPr>
        <w:t xml:space="preserve"> </w:t>
      </w:r>
      <w:r w:rsidRPr="00B13B9A">
        <w:rPr>
          <w:rFonts w:asciiTheme="majorHAnsi" w:hAnsiTheme="majorHAnsi" w:cstheme="majorHAnsi"/>
          <w:sz w:val="24"/>
          <w:szCs w:val="24"/>
          <w:lang w:val="ro-MD"/>
        </w:rPr>
        <w:t>aferente unor tipuri de servicii prestate</w:t>
      </w:r>
      <w:r w:rsidR="00C56197">
        <w:rPr>
          <w:rFonts w:asciiTheme="majorHAnsi" w:hAnsiTheme="majorHAnsi" w:cstheme="majorHAnsi"/>
          <w:sz w:val="24"/>
          <w:szCs w:val="24"/>
          <w:lang w:val="ro-MD"/>
        </w:rPr>
        <w:t xml:space="preserve"> (lipsa evidenței separate a acestora)</w:t>
      </w:r>
      <w:r w:rsidRPr="00B13B9A">
        <w:rPr>
          <w:rFonts w:asciiTheme="majorHAnsi" w:hAnsiTheme="majorHAnsi" w:cstheme="majorHAnsi"/>
          <w:sz w:val="24"/>
          <w:szCs w:val="24"/>
          <w:lang w:val="ro-MD"/>
        </w:rPr>
        <w:t xml:space="preserve">, neasigurarea confirmării documentare a unor tipuri de venituri </w:t>
      </w:r>
      <w:r w:rsidR="00B13B9A" w:rsidRPr="00B13B9A">
        <w:rPr>
          <w:rFonts w:asciiTheme="majorHAnsi" w:hAnsiTheme="majorHAnsi" w:cstheme="majorHAnsi"/>
          <w:sz w:val="24"/>
          <w:szCs w:val="24"/>
          <w:lang w:val="ro-MD"/>
        </w:rPr>
        <w:t>ș</w:t>
      </w:r>
      <w:r w:rsidRPr="00B13B9A">
        <w:rPr>
          <w:rFonts w:asciiTheme="majorHAnsi" w:hAnsiTheme="majorHAnsi" w:cstheme="majorHAnsi"/>
          <w:sz w:val="24"/>
          <w:szCs w:val="24"/>
          <w:lang w:val="ro-MD"/>
        </w:rPr>
        <w:t xml:space="preserve">i </w:t>
      </w:r>
      <w:r w:rsidR="004B370E" w:rsidRPr="00B13B9A">
        <w:rPr>
          <w:rFonts w:asciiTheme="majorHAnsi" w:hAnsiTheme="majorHAnsi" w:cstheme="majorHAnsi"/>
          <w:sz w:val="24"/>
          <w:szCs w:val="24"/>
          <w:lang w:val="ro-MD"/>
        </w:rPr>
        <w:t xml:space="preserve">neasigurarea </w:t>
      </w:r>
      <w:r w:rsidRPr="00B13B9A">
        <w:rPr>
          <w:rFonts w:asciiTheme="majorHAnsi" w:hAnsiTheme="majorHAnsi" w:cstheme="majorHAnsi"/>
          <w:sz w:val="24"/>
          <w:szCs w:val="24"/>
          <w:lang w:val="ro-MD"/>
        </w:rPr>
        <w:t>determinării cheltuielilor aferente acestora, denaturează informa</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 xml:space="preserve">iile </w:t>
      </w:r>
      <w:r w:rsidR="004B12E2" w:rsidRPr="00B13B9A">
        <w:rPr>
          <w:rFonts w:asciiTheme="majorHAnsi" w:hAnsiTheme="majorHAnsi" w:cstheme="majorHAnsi"/>
          <w:sz w:val="24"/>
          <w:szCs w:val="24"/>
          <w:lang w:val="ro-MD"/>
        </w:rPr>
        <w:t xml:space="preserve">cu privire la </w:t>
      </w:r>
      <w:r w:rsidRPr="00B13B9A">
        <w:rPr>
          <w:rFonts w:asciiTheme="majorHAnsi" w:hAnsiTheme="majorHAnsi" w:cstheme="majorHAnsi"/>
          <w:sz w:val="24"/>
          <w:szCs w:val="24"/>
          <w:lang w:val="ro-MD"/>
        </w:rPr>
        <w:t>performan</w:t>
      </w:r>
      <w:r w:rsidR="00B13B9A" w:rsidRPr="00B13B9A">
        <w:rPr>
          <w:rFonts w:asciiTheme="majorHAnsi" w:hAnsiTheme="majorHAnsi" w:cstheme="majorHAnsi"/>
          <w:sz w:val="24"/>
          <w:szCs w:val="24"/>
          <w:lang w:val="ro-MD"/>
        </w:rPr>
        <w:t>ț</w:t>
      </w:r>
      <w:r w:rsidR="004B12E2" w:rsidRPr="00B13B9A">
        <w:rPr>
          <w:rFonts w:asciiTheme="majorHAnsi" w:hAnsiTheme="majorHAnsi" w:cstheme="majorHAnsi"/>
          <w:sz w:val="24"/>
          <w:szCs w:val="24"/>
          <w:lang w:val="ro-MD"/>
        </w:rPr>
        <w:t>a</w:t>
      </w:r>
      <w:r w:rsidRPr="00B13B9A">
        <w:rPr>
          <w:rFonts w:asciiTheme="majorHAnsi" w:hAnsiTheme="majorHAnsi" w:cstheme="majorHAnsi"/>
          <w:sz w:val="24"/>
          <w:szCs w:val="24"/>
          <w:lang w:val="ro-MD"/>
        </w:rPr>
        <w:t xml:space="preserve"> financiar</w:t>
      </w:r>
      <w:r w:rsidR="004B12E2" w:rsidRPr="00B13B9A">
        <w:rPr>
          <w:rFonts w:asciiTheme="majorHAnsi" w:hAnsiTheme="majorHAnsi" w:cstheme="majorHAnsi"/>
          <w:sz w:val="24"/>
          <w:szCs w:val="24"/>
          <w:lang w:val="ro-MD"/>
        </w:rPr>
        <w:t>ă</w:t>
      </w:r>
      <w:r w:rsidRPr="00B13B9A">
        <w:rPr>
          <w:rFonts w:asciiTheme="majorHAnsi" w:hAnsiTheme="majorHAnsi" w:cstheme="majorHAnsi"/>
          <w:sz w:val="24"/>
          <w:szCs w:val="24"/>
          <w:lang w:val="ro-MD"/>
        </w:rPr>
        <w:t xml:space="preserve"> a acestor servicii, precum </w:t>
      </w:r>
      <w:r w:rsidR="00B13B9A" w:rsidRPr="00B13B9A">
        <w:rPr>
          <w:rFonts w:asciiTheme="majorHAnsi" w:hAnsiTheme="majorHAnsi" w:cstheme="majorHAnsi"/>
          <w:sz w:val="24"/>
          <w:szCs w:val="24"/>
          <w:lang w:val="ro-MD"/>
        </w:rPr>
        <w:t>ș</w:t>
      </w:r>
      <w:r w:rsidRPr="00B13B9A">
        <w:rPr>
          <w:rFonts w:asciiTheme="majorHAnsi" w:hAnsiTheme="majorHAnsi" w:cstheme="majorHAnsi"/>
          <w:sz w:val="24"/>
          <w:szCs w:val="24"/>
          <w:lang w:val="ro-MD"/>
        </w:rPr>
        <w:t xml:space="preserve">i </w:t>
      </w:r>
      <w:r w:rsidR="004B12E2" w:rsidRPr="00B13B9A">
        <w:rPr>
          <w:rFonts w:asciiTheme="majorHAnsi" w:hAnsiTheme="majorHAnsi" w:cstheme="majorHAnsi"/>
          <w:sz w:val="24"/>
          <w:szCs w:val="24"/>
          <w:lang w:val="ro-MD"/>
        </w:rPr>
        <w:t xml:space="preserve">a </w:t>
      </w:r>
      <w:r w:rsidRPr="00B13B9A">
        <w:rPr>
          <w:rFonts w:asciiTheme="majorHAnsi" w:hAnsiTheme="majorHAnsi" w:cstheme="majorHAnsi"/>
          <w:sz w:val="24"/>
          <w:szCs w:val="24"/>
          <w:lang w:val="ro-MD"/>
        </w:rPr>
        <w:t>cel</w:t>
      </w:r>
      <w:r w:rsidR="004B12E2" w:rsidRPr="00B13B9A">
        <w:rPr>
          <w:rFonts w:asciiTheme="majorHAnsi" w:hAnsiTheme="majorHAnsi" w:cstheme="majorHAnsi"/>
          <w:sz w:val="24"/>
          <w:szCs w:val="24"/>
          <w:lang w:val="ro-MD"/>
        </w:rPr>
        <w:t>or</w:t>
      </w:r>
      <w:r w:rsidRPr="00B13B9A">
        <w:rPr>
          <w:rFonts w:asciiTheme="majorHAnsi" w:hAnsiTheme="majorHAnsi" w:cstheme="majorHAnsi"/>
          <w:sz w:val="24"/>
          <w:szCs w:val="24"/>
          <w:lang w:val="ro-MD"/>
        </w:rPr>
        <w:t xml:space="preserve"> prezentate </w:t>
      </w:r>
      <w:r w:rsidR="004B12E2" w:rsidRPr="00B13B9A">
        <w:rPr>
          <w:rFonts w:asciiTheme="majorHAnsi" w:hAnsiTheme="majorHAnsi" w:cstheme="majorHAnsi"/>
          <w:sz w:val="24"/>
          <w:szCs w:val="24"/>
          <w:lang w:val="ro-MD"/>
        </w:rPr>
        <w:t>M</w:t>
      </w:r>
      <w:r w:rsidRPr="00B13B9A">
        <w:rPr>
          <w:rFonts w:asciiTheme="majorHAnsi" w:hAnsiTheme="majorHAnsi" w:cstheme="majorHAnsi"/>
          <w:sz w:val="24"/>
          <w:szCs w:val="24"/>
          <w:lang w:val="ro-MD"/>
        </w:rPr>
        <w:t xml:space="preserve">inisterului </w:t>
      </w:r>
      <w:r w:rsidR="004B12E2" w:rsidRPr="00B13B9A">
        <w:rPr>
          <w:rFonts w:asciiTheme="majorHAnsi" w:hAnsiTheme="majorHAnsi" w:cstheme="majorHAnsi"/>
          <w:sz w:val="24"/>
          <w:szCs w:val="24"/>
          <w:lang w:val="ro-MD"/>
        </w:rPr>
        <w:t>S</w:t>
      </w:r>
      <w:r w:rsidRPr="00B13B9A">
        <w:rPr>
          <w:rFonts w:asciiTheme="majorHAnsi" w:hAnsiTheme="majorHAnsi" w:cstheme="majorHAnsi"/>
          <w:sz w:val="24"/>
          <w:szCs w:val="24"/>
          <w:lang w:val="ro-MD"/>
        </w:rPr>
        <w:t>ănătă</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ii utilizate la determinarea tarifelor pentru serviciile medicale (pct.4.2.1</w:t>
      </w:r>
      <w:r w:rsidR="00350A1E" w:rsidRPr="00B13B9A">
        <w:rPr>
          <w:rFonts w:asciiTheme="majorHAnsi" w:hAnsiTheme="majorHAnsi" w:cstheme="majorHAnsi"/>
          <w:sz w:val="24"/>
          <w:szCs w:val="24"/>
          <w:lang w:val="ro-MD"/>
        </w:rPr>
        <w:t>0</w:t>
      </w:r>
      <w:r w:rsidRPr="00B13B9A">
        <w:rPr>
          <w:rFonts w:asciiTheme="majorHAnsi" w:hAnsiTheme="majorHAnsi" w:cstheme="majorHAnsi"/>
          <w:sz w:val="24"/>
          <w:szCs w:val="24"/>
          <w:lang w:val="ro-MD"/>
        </w:rPr>
        <w:t>, 4.2.1</w:t>
      </w:r>
      <w:r w:rsidR="00350A1E" w:rsidRPr="00B13B9A">
        <w:rPr>
          <w:rFonts w:asciiTheme="majorHAnsi" w:hAnsiTheme="majorHAnsi" w:cstheme="majorHAnsi"/>
          <w:sz w:val="24"/>
          <w:szCs w:val="24"/>
          <w:lang w:val="ro-MD"/>
        </w:rPr>
        <w:t>1</w:t>
      </w:r>
      <w:r w:rsidRPr="00B13B9A">
        <w:rPr>
          <w:rFonts w:asciiTheme="majorHAnsi" w:hAnsiTheme="majorHAnsi" w:cstheme="majorHAnsi"/>
          <w:sz w:val="24"/>
          <w:szCs w:val="24"/>
          <w:lang w:val="ro-MD"/>
        </w:rPr>
        <w:t>);</w:t>
      </w:r>
    </w:p>
    <w:p w14:paraId="0BD7F90A" w14:textId="4A4B70C6" w:rsidR="00371912" w:rsidRPr="00B13B9A" w:rsidRDefault="00371912" w:rsidP="00371912">
      <w:pPr>
        <w:spacing w:after="0" w:line="276" w:lineRule="auto"/>
        <w:jc w:val="both"/>
        <w:rPr>
          <w:rFonts w:asciiTheme="majorHAnsi" w:hAnsiTheme="majorHAnsi" w:cstheme="majorHAnsi"/>
          <w:sz w:val="24"/>
          <w:szCs w:val="24"/>
          <w:lang w:val="ro-MD"/>
        </w:rPr>
      </w:pPr>
      <w:r w:rsidRPr="00B13B9A">
        <w:rPr>
          <w:rFonts w:asciiTheme="majorHAnsi" w:eastAsia="Times New Roman" w:hAnsiTheme="majorHAnsi" w:cstheme="majorHAnsi"/>
          <w:iCs/>
          <w:sz w:val="24"/>
          <w:szCs w:val="24"/>
          <w:lang w:val="ro-MD" w:eastAsia="ro-MD"/>
        </w:rPr>
        <w:t>Deficien</w:t>
      </w:r>
      <w:r w:rsidR="00B13B9A" w:rsidRPr="00B13B9A">
        <w:rPr>
          <w:rFonts w:asciiTheme="majorHAnsi" w:eastAsia="Times New Roman" w:hAnsiTheme="majorHAnsi" w:cstheme="majorHAnsi"/>
          <w:iCs/>
          <w:sz w:val="24"/>
          <w:szCs w:val="24"/>
          <w:lang w:val="ro-MD" w:eastAsia="ro-MD"/>
        </w:rPr>
        <w:t>ț</w:t>
      </w:r>
      <w:r w:rsidRPr="00B13B9A">
        <w:rPr>
          <w:rFonts w:asciiTheme="majorHAnsi" w:eastAsia="Times New Roman" w:hAnsiTheme="majorHAnsi" w:cstheme="majorHAnsi"/>
          <w:iCs/>
          <w:sz w:val="24"/>
          <w:szCs w:val="24"/>
          <w:lang w:val="ro-MD" w:eastAsia="ro-MD"/>
        </w:rPr>
        <w:t>ele men</w:t>
      </w:r>
      <w:r w:rsidR="00B13B9A" w:rsidRPr="00B13B9A">
        <w:rPr>
          <w:rFonts w:asciiTheme="majorHAnsi" w:eastAsia="Times New Roman" w:hAnsiTheme="majorHAnsi" w:cstheme="majorHAnsi"/>
          <w:iCs/>
          <w:sz w:val="24"/>
          <w:szCs w:val="24"/>
          <w:lang w:val="ro-MD" w:eastAsia="ro-MD"/>
        </w:rPr>
        <w:t>ț</w:t>
      </w:r>
      <w:r w:rsidRPr="00B13B9A">
        <w:rPr>
          <w:rFonts w:asciiTheme="majorHAnsi" w:eastAsia="Times New Roman" w:hAnsiTheme="majorHAnsi" w:cstheme="majorHAnsi"/>
          <w:iCs/>
          <w:sz w:val="24"/>
          <w:szCs w:val="24"/>
          <w:lang w:val="ro-MD" w:eastAsia="ro-MD"/>
        </w:rPr>
        <w:t xml:space="preserve">ionate sunt </w:t>
      </w:r>
      <w:r w:rsidRPr="00B13B9A">
        <w:rPr>
          <w:rFonts w:asciiTheme="majorHAnsi" w:hAnsiTheme="majorHAnsi" w:cstheme="majorHAnsi"/>
          <w:sz w:val="24"/>
          <w:szCs w:val="24"/>
          <w:lang w:val="ro-MD"/>
        </w:rPr>
        <w:t xml:space="preserve">cauzate atât de unele lacune ale sistemului de control intern managerial, cât </w:t>
      </w:r>
      <w:r w:rsidR="00B13B9A" w:rsidRPr="00B13B9A">
        <w:rPr>
          <w:rFonts w:asciiTheme="majorHAnsi" w:hAnsiTheme="majorHAnsi" w:cstheme="majorHAnsi"/>
          <w:sz w:val="24"/>
          <w:szCs w:val="24"/>
          <w:lang w:val="ro-MD"/>
        </w:rPr>
        <w:t>ș</w:t>
      </w:r>
      <w:r w:rsidRPr="00B13B9A">
        <w:rPr>
          <w:rFonts w:asciiTheme="majorHAnsi" w:hAnsiTheme="majorHAnsi" w:cstheme="majorHAnsi"/>
          <w:sz w:val="24"/>
          <w:szCs w:val="24"/>
          <w:lang w:val="ro-MD"/>
        </w:rPr>
        <w:t>i de neconformarea responsabililor din cadrul entită</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 xml:space="preserve">ilor la prevederile legale.  În baza constatărilor </w:t>
      </w:r>
      <w:r w:rsidR="00B13B9A" w:rsidRPr="00B13B9A">
        <w:rPr>
          <w:rFonts w:asciiTheme="majorHAnsi" w:hAnsiTheme="majorHAnsi" w:cstheme="majorHAnsi"/>
          <w:sz w:val="24"/>
          <w:szCs w:val="24"/>
          <w:lang w:val="ro-MD"/>
        </w:rPr>
        <w:t>ș</w:t>
      </w:r>
      <w:r w:rsidRPr="00B13B9A">
        <w:rPr>
          <w:rFonts w:asciiTheme="majorHAnsi" w:hAnsiTheme="majorHAnsi" w:cstheme="majorHAnsi"/>
          <w:sz w:val="24"/>
          <w:szCs w:val="24"/>
          <w:lang w:val="ro-MD"/>
        </w:rPr>
        <w:t xml:space="preserve">i concluziilor auditului public extern, au fost înaintate recomandări menite să asigure remedierea lacunelor </w:t>
      </w:r>
      <w:r w:rsidR="00D975EC" w:rsidRPr="00B13B9A">
        <w:rPr>
          <w:rFonts w:asciiTheme="majorHAnsi" w:hAnsiTheme="majorHAnsi" w:cstheme="majorHAnsi"/>
          <w:sz w:val="24"/>
          <w:szCs w:val="24"/>
          <w:lang w:val="ro-MD"/>
        </w:rPr>
        <w:t xml:space="preserve">din </w:t>
      </w:r>
      <w:r w:rsidRPr="00B13B9A">
        <w:rPr>
          <w:rFonts w:asciiTheme="majorHAnsi" w:hAnsiTheme="majorHAnsi" w:cstheme="majorHAnsi"/>
          <w:sz w:val="24"/>
          <w:szCs w:val="24"/>
          <w:lang w:val="ro-MD"/>
        </w:rPr>
        <w:t xml:space="preserve">cadrul de control intern instituit, precum </w:t>
      </w:r>
      <w:r w:rsidR="00B13B9A" w:rsidRPr="00B13B9A">
        <w:rPr>
          <w:rFonts w:asciiTheme="majorHAnsi" w:hAnsiTheme="majorHAnsi" w:cstheme="majorHAnsi"/>
          <w:sz w:val="24"/>
          <w:szCs w:val="24"/>
          <w:lang w:val="ro-MD"/>
        </w:rPr>
        <w:t>ș</w:t>
      </w:r>
      <w:r w:rsidRPr="00B13B9A">
        <w:rPr>
          <w:rFonts w:asciiTheme="majorHAnsi" w:hAnsiTheme="majorHAnsi" w:cstheme="majorHAnsi"/>
          <w:sz w:val="24"/>
          <w:szCs w:val="24"/>
          <w:lang w:val="ro-MD"/>
        </w:rPr>
        <w:t>i elaborarea ac</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iunilor cu specificarea responsabililor în vederea solu</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 xml:space="preserve">ionării problemelor identificate </w:t>
      </w:r>
      <w:r w:rsidR="00B13B9A" w:rsidRPr="00B13B9A">
        <w:rPr>
          <w:rFonts w:asciiTheme="majorHAnsi" w:hAnsiTheme="majorHAnsi" w:cstheme="majorHAnsi"/>
          <w:sz w:val="24"/>
          <w:szCs w:val="24"/>
          <w:lang w:val="ro-MD"/>
        </w:rPr>
        <w:t>ș</w:t>
      </w:r>
      <w:r w:rsidRPr="00B13B9A">
        <w:rPr>
          <w:rFonts w:asciiTheme="majorHAnsi" w:hAnsiTheme="majorHAnsi" w:cstheme="majorHAnsi"/>
          <w:sz w:val="24"/>
          <w:szCs w:val="24"/>
          <w:lang w:val="ro-MD"/>
        </w:rPr>
        <w:t>i a neconformită</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ilor propriu-zise.</w:t>
      </w:r>
    </w:p>
    <w:p w14:paraId="77799B38" w14:textId="77777777" w:rsidR="00EC6065" w:rsidRPr="00B13B9A" w:rsidRDefault="00EC6065" w:rsidP="00EC6065">
      <w:pPr>
        <w:pStyle w:val="a7"/>
        <w:ind w:left="0"/>
        <w:jc w:val="both"/>
        <w:rPr>
          <w:rFonts w:asciiTheme="majorHAnsi" w:hAnsiTheme="majorHAnsi" w:cstheme="majorHAnsi"/>
          <w:sz w:val="24"/>
          <w:szCs w:val="24"/>
          <w:lang w:val="ro-MD"/>
        </w:rPr>
      </w:pPr>
    </w:p>
    <w:p w14:paraId="0F44A217" w14:textId="77777777" w:rsidR="0098634F" w:rsidRPr="00B13B9A" w:rsidRDefault="0098634F" w:rsidP="00330637">
      <w:pPr>
        <w:pStyle w:val="a7"/>
        <w:tabs>
          <w:tab w:val="left" w:pos="720"/>
          <w:tab w:val="left" w:pos="1710"/>
        </w:tabs>
        <w:spacing w:after="0" w:line="276" w:lineRule="auto"/>
        <w:ind w:left="0"/>
        <w:rPr>
          <w:rFonts w:asciiTheme="majorHAnsi" w:eastAsia="Times New Roman" w:hAnsiTheme="majorHAnsi" w:cstheme="majorHAnsi"/>
          <w:b/>
          <w:bCs/>
          <w:caps/>
          <w:color w:val="0070C0"/>
          <w:sz w:val="24"/>
          <w:szCs w:val="24"/>
          <w:lang w:val="ro-MD"/>
        </w:rPr>
      </w:pPr>
    </w:p>
    <w:p w14:paraId="570B11D0" w14:textId="77777777" w:rsidR="009E7FD2" w:rsidRPr="00B13B9A" w:rsidRDefault="009E7FD2" w:rsidP="009E7FD2">
      <w:pPr>
        <w:pStyle w:val="a7"/>
        <w:numPr>
          <w:ilvl w:val="0"/>
          <w:numId w:val="1"/>
        </w:numPr>
        <w:tabs>
          <w:tab w:val="left" w:pos="720"/>
          <w:tab w:val="left" w:pos="1710"/>
        </w:tabs>
        <w:spacing w:after="0" w:line="276" w:lineRule="auto"/>
        <w:ind w:left="0" w:firstLine="0"/>
        <w:outlineLvl w:val="0"/>
        <w:rPr>
          <w:rFonts w:asciiTheme="majorHAnsi" w:eastAsia="Times New Roman" w:hAnsiTheme="majorHAnsi" w:cstheme="majorHAnsi"/>
          <w:b/>
          <w:bCs/>
          <w:caps/>
          <w:color w:val="0070C0"/>
          <w:sz w:val="24"/>
          <w:szCs w:val="24"/>
          <w:lang w:val="ro-MD"/>
        </w:rPr>
      </w:pPr>
      <w:bookmarkStart w:id="5" w:name="_Toc154562485"/>
      <w:r w:rsidRPr="00B13B9A">
        <w:rPr>
          <w:rFonts w:asciiTheme="majorHAnsi" w:eastAsia="Times New Roman" w:hAnsiTheme="majorHAnsi" w:cstheme="majorHAnsi"/>
          <w:b/>
          <w:bCs/>
          <w:caps/>
          <w:color w:val="0070C0"/>
          <w:sz w:val="24"/>
          <w:szCs w:val="24"/>
          <w:lang w:val="ro-MD"/>
        </w:rPr>
        <w:t>Prezentare generală</w:t>
      </w:r>
      <w:bookmarkEnd w:id="4"/>
      <w:bookmarkEnd w:id="5"/>
    </w:p>
    <w:p w14:paraId="5EB74103" w14:textId="67F22229" w:rsidR="009E7FD2" w:rsidRPr="00B13B9A" w:rsidRDefault="00FC0F04" w:rsidP="0028256D">
      <w:pPr>
        <w:tabs>
          <w:tab w:val="left" w:pos="720"/>
        </w:tabs>
        <w:spacing w:after="0" w:line="276" w:lineRule="auto"/>
        <w:outlineLvl w:val="1"/>
        <w:rPr>
          <w:rFonts w:asciiTheme="majorHAnsi" w:eastAsia="Times New Roman" w:hAnsiTheme="majorHAnsi" w:cstheme="majorHAnsi"/>
          <w:b/>
          <w:bCs/>
          <w:color w:val="00B0F0"/>
          <w:sz w:val="24"/>
          <w:szCs w:val="24"/>
          <w:lang w:val="ro-MD"/>
        </w:rPr>
      </w:pPr>
      <w:bookmarkStart w:id="6" w:name="_Toc154562486"/>
      <w:r w:rsidRPr="00B13B9A">
        <w:rPr>
          <w:rFonts w:asciiTheme="majorHAnsi" w:hAnsiTheme="majorHAnsi" w:cstheme="majorHAnsi"/>
          <w:b/>
          <w:color w:val="00B0F0"/>
          <w:sz w:val="24"/>
          <w:szCs w:val="24"/>
          <w:lang w:val="ro-MD"/>
        </w:rPr>
        <w:t>Informa</w:t>
      </w:r>
      <w:r w:rsidR="00B13B9A" w:rsidRPr="00B13B9A">
        <w:rPr>
          <w:rFonts w:asciiTheme="majorHAnsi" w:hAnsiTheme="majorHAnsi" w:cstheme="majorHAnsi"/>
          <w:b/>
          <w:color w:val="00B0F0"/>
          <w:sz w:val="24"/>
          <w:szCs w:val="24"/>
          <w:lang w:val="ro-MD"/>
        </w:rPr>
        <w:t>ț</w:t>
      </w:r>
      <w:r w:rsidRPr="00B13B9A">
        <w:rPr>
          <w:rFonts w:asciiTheme="majorHAnsi" w:hAnsiTheme="majorHAnsi" w:cstheme="majorHAnsi"/>
          <w:b/>
          <w:color w:val="00B0F0"/>
          <w:sz w:val="24"/>
          <w:szCs w:val="24"/>
          <w:lang w:val="ro-MD"/>
        </w:rPr>
        <w:t xml:space="preserve">ii generale privind rolul </w:t>
      </w:r>
      <w:r w:rsidR="00B13B9A" w:rsidRPr="00B13B9A">
        <w:rPr>
          <w:rFonts w:asciiTheme="majorHAnsi" w:hAnsiTheme="majorHAnsi" w:cstheme="majorHAnsi"/>
          <w:b/>
          <w:color w:val="00B0F0"/>
          <w:sz w:val="24"/>
          <w:szCs w:val="24"/>
          <w:lang w:val="ro-MD"/>
        </w:rPr>
        <w:t>ș</w:t>
      </w:r>
      <w:r w:rsidRPr="00B13B9A">
        <w:rPr>
          <w:rFonts w:asciiTheme="majorHAnsi" w:hAnsiTheme="majorHAnsi" w:cstheme="majorHAnsi"/>
          <w:b/>
          <w:color w:val="00B0F0"/>
          <w:sz w:val="24"/>
          <w:szCs w:val="24"/>
          <w:lang w:val="ro-MD"/>
        </w:rPr>
        <w:t xml:space="preserve">i activitatea IMSP IFP </w:t>
      </w:r>
      <w:r w:rsidR="00D975EC" w:rsidRPr="00B13B9A">
        <w:rPr>
          <w:rFonts w:asciiTheme="majorHAnsi" w:hAnsiTheme="majorHAnsi" w:cstheme="majorHAnsi"/>
          <w:b/>
          <w:color w:val="00B0F0"/>
          <w:sz w:val="24"/>
          <w:szCs w:val="24"/>
          <w:lang w:val="ro-MD"/>
        </w:rPr>
        <w:t>„</w:t>
      </w:r>
      <w:r w:rsidRPr="00B13B9A">
        <w:rPr>
          <w:rFonts w:asciiTheme="majorHAnsi" w:hAnsiTheme="majorHAnsi" w:cstheme="majorHAnsi"/>
          <w:b/>
          <w:color w:val="00B0F0"/>
          <w:sz w:val="24"/>
          <w:szCs w:val="24"/>
          <w:lang w:val="ro-MD"/>
        </w:rPr>
        <w:t>Chiril Draganiuc</w:t>
      </w:r>
      <w:r w:rsidR="00D975EC" w:rsidRPr="00B13B9A">
        <w:rPr>
          <w:rFonts w:asciiTheme="majorHAnsi" w:hAnsiTheme="majorHAnsi" w:cstheme="majorHAnsi"/>
          <w:b/>
          <w:color w:val="00B0F0"/>
          <w:sz w:val="24"/>
          <w:szCs w:val="24"/>
          <w:lang w:val="ro-MD"/>
        </w:rPr>
        <w:t>”</w:t>
      </w:r>
      <w:bookmarkEnd w:id="6"/>
    </w:p>
    <w:p w14:paraId="3745F1DF" w14:textId="15D27F84" w:rsidR="006327C5" w:rsidRPr="00B13B9A" w:rsidRDefault="006327C5" w:rsidP="006327C5">
      <w:pPr>
        <w:tabs>
          <w:tab w:val="left" w:pos="993"/>
        </w:tabs>
        <w:autoSpaceDE w:val="0"/>
        <w:autoSpaceDN w:val="0"/>
        <w:adjustRightInd w:val="0"/>
        <w:spacing w:after="0" w:line="276" w:lineRule="auto"/>
        <w:jc w:val="both"/>
        <w:rPr>
          <w:rFonts w:asciiTheme="majorHAnsi" w:eastAsia="Times New Roman" w:hAnsiTheme="majorHAnsi" w:cstheme="majorHAnsi"/>
          <w:sz w:val="24"/>
          <w:szCs w:val="24"/>
          <w:lang w:val="ro-MD" w:eastAsia="ro-MD"/>
        </w:rPr>
      </w:pPr>
      <w:r w:rsidRPr="00B13B9A">
        <w:rPr>
          <w:rFonts w:asciiTheme="majorHAnsi" w:eastAsia="Times New Roman" w:hAnsiTheme="majorHAnsi" w:cstheme="majorHAnsi"/>
          <w:sz w:val="24"/>
          <w:szCs w:val="24"/>
          <w:lang w:val="ro-MD" w:eastAsia="ro-MD"/>
        </w:rPr>
        <w:t>IMSP Institutul de Ftiziopneumologie „Chiril Draganiuc” este о institu</w:t>
      </w:r>
      <w:r w:rsidR="00B13B9A" w:rsidRPr="00B13B9A">
        <w:rPr>
          <w:rFonts w:asciiTheme="majorHAnsi" w:eastAsia="Times New Roman" w:hAnsiTheme="majorHAnsi" w:cstheme="majorHAnsi"/>
          <w:sz w:val="24"/>
          <w:szCs w:val="24"/>
          <w:lang w:val="ro-MD" w:eastAsia="ro-MD"/>
        </w:rPr>
        <w:t>ț</w:t>
      </w:r>
      <w:r w:rsidRPr="00B13B9A">
        <w:rPr>
          <w:rFonts w:asciiTheme="majorHAnsi" w:eastAsia="Times New Roman" w:hAnsiTheme="majorHAnsi" w:cstheme="majorHAnsi"/>
          <w:sz w:val="24"/>
          <w:szCs w:val="24"/>
          <w:lang w:val="ro-MD" w:eastAsia="ro-MD"/>
        </w:rPr>
        <w:t>ie medico-sanitară publică, care acordă servicii medicale popula</w:t>
      </w:r>
      <w:r w:rsidR="00B13B9A" w:rsidRPr="00B13B9A">
        <w:rPr>
          <w:rFonts w:asciiTheme="majorHAnsi" w:eastAsia="Times New Roman" w:hAnsiTheme="majorHAnsi" w:cstheme="majorHAnsi"/>
          <w:sz w:val="24"/>
          <w:szCs w:val="24"/>
          <w:lang w:val="ro-MD" w:eastAsia="ro-MD"/>
        </w:rPr>
        <w:t>ț</w:t>
      </w:r>
      <w:r w:rsidRPr="00B13B9A">
        <w:rPr>
          <w:rFonts w:asciiTheme="majorHAnsi" w:eastAsia="Times New Roman" w:hAnsiTheme="majorHAnsi" w:cstheme="majorHAnsi"/>
          <w:sz w:val="24"/>
          <w:szCs w:val="24"/>
          <w:lang w:val="ro-MD" w:eastAsia="ro-MD"/>
        </w:rPr>
        <w:t>iei în domeniul ftiziopulmonologie</w:t>
      </w:r>
      <w:r w:rsidR="00D975EC" w:rsidRPr="00B13B9A">
        <w:rPr>
          <w:rFonts w:asciiTheme="majorHAnsi" w:eastAsia="Times New Roman" w:hAnsiTheme="majorHAnsi" w:cstheme="majorHAnsi"/>
          <w:sz w:val="24"/>
          <w:szCs w:val="24"/>
          <w:lang w:val="ro-MD" w:eastAsia="ro-MD"/>
        </w:rPr>
        <w:t>i</w:t>
      </w:r>
      <w:r w:rsidRPr="00B13B9A">
        <w:rPr>
          <w:rFonts w:asciiTheme="majorHAnsi" w:eastAsia="Times New Roman" w:hAnsiTheme="majorHAnsi" w:cstheme="majorHAnsi"/>
          <w:sz w:val="24"/>
          <w:szCs w:val="24"/>
          <w:lang w:val="ro-MD" w:eastAsia="ro-MD"/>
        </w:rPr>
        <w:t>, iar activitatea de bază este centrată pe accesul pacien</w:t>
      </w:r>
      <w:r w:rsidR="00B13B9A" w:rsidRPr="00B13B9A">
        <w:rPr>
          <w:rFonts w:asciiTheme="majorHAnsi" w:eastAsia="Times New Roman" w:hAnsiTheme="majorHAnsi" w:cstheme="majorHAnsi"/>
          <w:sz w:val="24"/>
          <w:szCs w:val="24"/>
          <w:lang w:val="ro-MD" w:eastAsia="ro-MD"/>
        </w:rPr>
        <w:t>ț</w:t>
      </w:r>
      <w:r w:rsidRPr="00B13B9A">
        <w:rPr>
          <w:rFonts w:asciiTheme="majorHAnsi" w:eastAsia="Times New Roman" w:hAnsiTheme="majorHAnsi" w:cstheme="majorHAnsi"/>
          <w:sz w:val="24"/>
          <w:szCs w:val="24"/>
          <w:lang w:val="ro-MD" w:eastAsia="ro-MD"/>
        </w:rPr>
        <w:t>ilor la aceste servicii. De men</w:t>
      </w:r>
      <w:r w:rsidR="00B13B9A" w:rsidRPr="00B13B9A">
        <w:rPr>
          <w:rFonts w:asciiTheme="majorHAnsi" w:eastAsia="Times New Roman" w:hAnsiTheme="majorHAnsi" w:cstheme="majorHAnsi"/>
          <w:sz w:val="24"/>
          <w:szCs w:val="24"/>
          <w:lang w:val="ro-MD" w:eastAsia="ro-MD"/>
        </w:rPr>
        <w:t>ț</w:t>
      </w:r>
      <w:r w:rsidRPr="00B13B9A">
        <w:rPr>
          <w:rFonts w:asciiTheme="majorHAnsi" w:eastAsia="Times New Roman" w:hAnsiTheme="majorHAnsi" w:cstheme="majorHAnsi"/>
          <w:sz w:val="24"/>
          <w:szCs w:val="24"/>
          <w:lang w:val="ro-MD" w:eastAsia="ro-MD"/>
        </w:rPr>
        <w:t>ionat că tuberculoza este una dintre problemele prioritare de sănătate publică în plan na</w:t>
      </w:r>
      <w:r w:rsidR="00B13B9A" w:rsidRPr="00B13B9A">
        <w:rPr>
          <w:rFonts w:asciiTheme="majorHAnsi" w:eastAsia="Times New Roman" w:hAnsiTheme="majorHAnsi" w:cstheme="majorHAnsi"/>
          <w:sz w:val="24"/>
          <w:szCs w:val="24"/>
          <w:lang w:val="ro-MD" w:eastAsia="ro-MD"/>
        </w:rPr>
        <w:t>ț</w:t>
      </w:r>
      <w:r w:rsidRPr="00B13B9A">
        <w:rPr>
          <w:rFonts w:asciiTheme="majorHAnsi" w:eastAsia="Times New Roman" w:hAnsiTheme="majorHAnsi" w:cstheme="majorHAnsi"/>
          <w:sz w:val="24"/>
          <w:szCs w:val="24"/>
          <w:lang w:val="ro-MD" w:eastAsia="ro-MD"/>
        </w:rPr>
        <w:t xml:space="preserve">ional, </w:t>
      </w:r>
      <w:r w:rsidR="003018A6" w:rsidRPr="00B13B9A">
        <w:rPr>
          <w:rFonts w:asciiTheme="majorHAnsi" w:eastAsia="Times New Roman" w:hAnsiTheme="majorHAnsi" w:cstheme="majorHAnsi"/>
          <w:sz w:val="24"/>
          <w:szCs w:val="24"/>
          <w:lang w:val="ro-MD" w:eastAsia="ro-MD"/>
        </w:rPr>
        <w:t>Republica Moldova</w:t>
      </w:r>
      <w:r w:rsidRPr="00B13B9A">
        <w:rPr>
          <w:rFonts w:asciiTheme="majorHAnsi" w:eastAsia="Times New Roman" w:hAnsiTheme="majorHAnsi" w:cstheme="majorHAnsi"/>
          <w:sz w:val="24"/>
          <w:szCs w:val="24"/>
          <w:lang w:val="ro-MD" w:eastAsia="ro-MD"/>
        </w:rPr>
        <w:t xml:space="preserve"> aflându-se printre cele 30 de </w:t>
      </w:r>
      <w:r w:rsidR="00B13B9A" w:rsidRPr="00B13B9A">
        <w:rPr>
          <w:rFonts w:asciiTheme="majorHAnsi" w:eastAsia="Times New Roman" w:hAnsiTheme="majorHAnsi" w:cstheme="majorHAnsi"/>
          <w:sz w:val="24"/>
          <w:szCs w:val="24"/>
          <w:lang w:val="ro-MD" w:eastAsia="ro-MD"/>
        </w:rPr>
        <w:t>ț</w:t>
      </w:r>
      <w:r w:rsidRPr="00B13B9A">
        <w:rPr>
          <w:rFonts w:asciiTheme="majorHAnsi" w:eastAsia="Times New Roman" w:hAnsiTheme="majorHAnsi" w:cstheme="majorHAnsi"/>
          <w:sz w:val="24"/>
          <w:szCs w:val="24"/>
          <w:lang w:val="ro-MD" w:eastAsia="ro-MD"/>
        </w:rPr>
        <w:t>ări cu povară înaltă a tuberculozei multidrog</w:t>
      </w:r>
      <w:r w:rsidR="003018A6" w:rsidRPr="00B13B9A">
        <w:rPr>
          <w:rFonts w:asciiTheme="majorHAnsi" w:eastAsia="Times New Roman" w:hAnsiTheme="majorHAnsi" w:cstheme="majorHAnsi"/>
          <w:sz w:val="24"/>
          <w:szCs w:val="24"/>
          <w:lang w:val="ro-MD" w:eastAsia="ro-MD"/>
        </w:rPr>
        <w:t xml:space="preserve"> </w:t>
      </w:r>
      <w:r w:rsidRPr="00B13B9A">
        <w:rPr>
          <w:rFonts w:asciiTheme="majorHAnsi" w:eastAsia="Times New Roman" w:hAnsiTheme="majorHAnsi" w:cstheme="majorHAnsi"/>
          <w:sz w:val="24"/>
          <w:szCs w:val="24"/>
          <w:lang w:val="ro-MD" w:eastAsia="ro-MD"/>
        </w:rPr>
        <w:t>rezistente din lume, priorită</w:t>
      </w:r>
      <w:r w:rsidR="00B13B9A" w:rsidRPr="00B13B9A">
        <w:rPr>
          <w:rFonts w:asciiTheme="majorHAnsi" w:eastAsia="Times New Roman" w:hAnsiTheme="majorHAnsi" w:cstheme="majorHAnsi"/>
          <w:sz w:val="24"/>
          <w:szCs w:val="24"/>
          <w:lang w:val="ro-MD" w:eastAsia="ro-MD"/>
        </w:rPr>
        <w:t>ț</w:t>
      </w:r>
      <w:r w:rsidRPr="00B13B9A">
        <w:rPr>
          <w:rFonts w:asciiTheme="majorHAnsi" w:eastAsia="Times New Roman" w:hAnsiTheme="majorHAnsi" w:cstheme="majorHAnsi"/>
          <w:sz w:val="24"/>
          <w:szCs w:val="24"/>
          <w:lang w:val="ro-MD" w:eastAsia="ro-MD"/>
        </w:rPr>
        <w:t>ile strategice, în special reducerea poverii tuberculozei</w:t>
      </w:r>
      <w:r w:rsidR="00D975EC" w:rsidRPr="00B13B9A">
        <w:rPr>
          <w:rFonts w:asciiTheme="majorHAnsi" w:eastAsia="Times New Roman" w:hAnsiTheme="majorHAnsi" w:cstheme="majorHAnsi"/>
          <w:sz w:val="24"/>
          <w:szCs w:val="24"/>
          <w:lang w:val="ro-MD" w:eastAsia="ro-MD"/>
        </w:rPr>
        <w:t>,</w:t>
      </w:r>
      <w:r w:rsidRPr="00B13B9A">
        <w:rPr>
          <w:rFonts w:asciiTheme="majorHAnsi" w:eastAsia="Times New Roman" w:hAnsiTheme="majorHAnsi" w:cstheme="majorHAnsi"/>
          <w:sz w:val="24"/>
          <w:szCs w:val="24"/>
          <w:lang w:val="ro-MD" w:eastAsia="ro-MD"/>
        </w:rPr>
        <w:t xml:space="preserve"> fiind stabilită </w:t>
      </w:r>
      <w:r w:rsidR="00B13B9A" w:rsidRPr="00B13B9A">
        <w:rPr>
          <w:rFonts w:asciiTheme="majorHAnsi" w:eastAsia="Times New Roman" w:hAnsiTheme="majorHAnsi" w:cstheme="majorHAnsi"/>
          <w:sz w:val="24"/>
          <w:szCs w:val="24"/>
          <w:lang w:val="ro-MD" w:eastAsia="ro-MD"/>
        </w:rPr>
        <w:t>ș</w:t>
      </w:r>
      <w:r w:rsidRPr="00B13B9A">
        <w:rPr>
          <w:rFonts w:asciiTheme="majorHAnsi" w:eastAsia="Times New Roman" w:hAnsiTheme="majorHAnsi" w:cstheme="majorHAnsi"/>
          <w:sz w:val="24"/>
          <w:szCs w:val="24"/>
          <w:lang w:val="ro-MD" w:eastAsia="ro-MD"/>
        </w:rPr>
        <w:t>i în obiectivele Agendei de dezvoltare durabilă 2030</w:t>
      </w:r>
      <w:r w:rsidR="00121C49" w:rsidRPr="00B13B9A">
        <w:rPr>
          <w:rFonts w:asciiTheme="majorHAnsi" w:eastAsia="Times New Roman" w:hAnsiTheme="majorHAnsi" w:cstheme="majorHAnsi"/>
          <w:sz w:val="24"/>
          <w:szCs w:val="24"/>
          <w:lang w:val="ro-MD" w:eastAsia="ro-MD"/>
        </w:rPr>
        <w:t>,</w:t>
      </w:r>
      <w:r w:rsidRPr="00B13B9A">
        <w:rPr>
          <w:rFonts w:asciiTheme="majorHAnsi" w:eastAsia="Times New Roman" w:hAnsiTheme="majorHAnsi" w:cstheme="majorHAnsi"/>
          <w:sz w:val="24"/>
          <w:szCs w:val="24"/>
          <w:lang w:val="ro-MD" w:eastAsia="ro-MD"/>
        </w:rPr>
        <w:t xml:space="preserve"> </w:t>
      </w:r>
      <w:r w:rsidR="00C56197">
        <w:rPr>
          <w:rFonts w:asciiTheme="majorHAnsi" w:eastAsia="Times New Roman" w:hAnsiTheme="majorHAnsi" w:cstheme="majorHAnsi"/>
          <w:sz w:val="24"/>
          <w:szCs w:val="24"/>
          <w:lang w:val="ro-MD" w:eastAsia="ro-MD"/>
        </w:rPr>
        <w:t xml:space="preserve">adaptate </w:t>
      </w:r>
      <w:r w:rsidRPr="00B13B9A">
        <w:rPr>
          <w:rFonts w:asciiTheme="majorHAnsi" w:eastAsia="Times New Roman" w:hAnsiTheme="majorHAnsi" w:cstheme="majorHAnsi"/>
          <w:sz w:val="24"/>
          <w:szCs w:val="24"/>
          <w:lang w:val="ro-MD" w:eastAsia="ro-MD"/>
        </w:rPr>
        <w:t xml:space="preserve">la contextul Republicii Moldova. </w:t>
      </w:r>
    </w:p>
    <w:p w14:paraId="115CD36D" w14:textId="321F90FB" w:rsidR="006327C5" w:rsidRPr="00B13B9A" w:rsidRDefault="00121C49" w:rsidP="006327C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ajorHAnsi" w:hAnsiTheme="majorHAnsi" w:cs="Calibri Light"/>
          <w:sz w:val="24"/>
          <w:szCs w:val="24"/>
          <w:lang w:val="ro-MD" w:eastAsia="ru-RU"/>
        </w:rPr>
      </w:pPr>
      <w:r w:rsidRPr="00B13B9A">
        <w:rPr>
          <w:rFonts w:asciiTheme="majorHAnsi" w:eastAsia="Times New Roman" w:hAnsiTheme="majorHAnsi" w:cstheme="majorHAnsi"/>
          <w:sz w:val="24"/>
          <w:szCs w:val="24"/>
          <w:lang w:val="ro-MD"/>
        </w:rPr>
        <w:t>P</w:t>
      </w:r>
      <w:r w:rsidR="006327C5" w:rsidRPr="00B13B9A">
        <w:rPr>
          <w:rFonts w:asciiTheme="majorHAnsi" w:eastAsia="Times New Roman" w:hAnsiTheme="majorHAnsi" w:cstheme="majorHAnsi"/>
          <w:sz w:val="24"/>
          <w:szCs w:val="24"/>
          <w:lang w:val="ro-MD"/>
        </w:rPr>
        <w:t xml:space="preserve">entru perioada 2001-2025 </w:t>
      </w:r>
      <w:r w:rsidR="006327C5" w:rsidRPr="00B13B9A">
        <w:rPr>
          <w:rFonts w:asciiTheme="majorHAnsi" w:eastAsia="Times New Roman" w:hAnsiTheme="majorHAnsi" w:cs="Calibri Light"/>
          <w:sz w:val="24"/>
          <w:szCs w:val="24"/>
          <w:lang w:val="ro-MD"/>
        </w:rPr>
        <w:t>au fost aprobate cinci programe na</w:t>
      </w:r>
      <w:r w:rsidR="00B13B9A" w:rsidRPr="00B13B9A">
        <w:rPr>
          <w:rFonts w:asciiTheme="majorHAnsi" w:eastAsia="Times New Roman" w:hAnsiTheme="majorHAnsi" w:cs="Calibri Light"/>
          <w:sz w:val="24"/>
          <w:szCs w:val="24"/>
          <w:lang w:val="ro-MD"/>
        </w:rPr>
        <w:t>ț</w:t>
      </w:r>
      <w:r w:rsidR="006327C5" w:rsidRPr="00B13B9A">
        <w:rPr>
          <w:rFonts w:asciiTheme="majorHAnsi" w:eastAsia="Times New Roman" w:hAnsiTheme="majorHAnsi" w:cs="Calibri Light"/>
          <w:sz w:val="24"/>
          <w:szCs w:val="24"/>
          <w:lang w:val="ro-MD"/>
        </w:rPr>
        <w:t xml:space="preserve">ionale pentru combaterea tuberculozei, inclusiv cu reducerea costurilor semnificative asociate acesteia </w:t>
      </w:r>
      <w:r w:rsidR="00B13B9A" w:rsidRPr="00B13B9A">
        <w:rPr>
          <w:rFonts w:asciiTheme="majorHAnsi" w:eastAsia="Times New Roman" w:hAnsiTheme="majorHAnsi" w:cs="Calibri Light"/>
          <w:sz w:val="24"/>
          <w:szCs w:val="24"/>
          <w:lang w:val="ro-MD"/>
        </w:rPr>
        <w:t>ș</w:t>
      </w:r>
      <w:r w:rsidR="006327C5" w:rsidRPr="00B13B9A">
        <w:rPr>
          <w:rFonts w:asciiTheme="majorHAnsi" w:eastAsia="Times New Roman" w:hAnsiTheme="majorHAnsi" w:cs="Calibri Light"/>
          <w:sz w:val="24"/>
          <w:szCs w:val="24"/>
          <w:lang w:val="ro-MD"/>
        </w:rPr>
        <w:t>i asumate de către stat</w:t>
      </w:r>
      <w:r w:rsidR="006327C5" w:rsidRPr="00B13B9A">
        <w:rPr>
          <w:rStyle w:val="a9"/>
          <w:rFonts w:asciiTheme="majorHAnsi" w:eastAsia="Times New Roman" w:hAnsiTheme="majorHAnsi" w:cs="Calibri Light"/>
          <w:sz w:val="24"/>
          <w:szCs w:val="24"/>
          <w:lang w:val="ro-MD"/>
        </w:rPr>
        <w:footnoteReference w:id="1"/>
      </w:r>
      <w:r w:rsidR="006327C5" w:rsidRPr="00B13B9A">
        <w:rPr>
          <w:rFonts w:asciiTheme="majorHAnsi" w:eastAsia="Times New Roman" w:hAnsiTheme="majorHAnsi" w:cs="Calibri Light"/>
          <w:bCs/>
          <w:sz w:val="24"/>
          <w:szCs w:val="24"/>
          <w:lang w:val="ro-MD"/>
        </w:rPr>
        <w:t>.</w:t>
      </w:r>
    </w:p>
    <w:p w14:paraId="3127C727" w14:textId="2E6BE06A" w:rsidR="006327C5" w:rsidRPr="00B13B9A" w:rsidRDefault="006327C5" w:rsidP="006A58F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ajorHAnsi" w:hAnsiTheme="majorHAnsi" w:cs="Calibri Light"/>
          <w:sz w:val="24"/>
          <w:szCs w:val="24"/>
          <w:lang w:val="ro-MD" w:eastAsia="ru-RU"/>
        </w:rPr>
      </w:pPr>
      <w:r w:rsidRPr="00B13B9A">
        <w:rPr>
          <w:rFonts w:asciiTheme="majorHAnsi" w:hAnsiTheme="majorHAnsi" w:cs="Calibri Light"/>
          <w:sz w:val="24"/>
          <w:szCs w:val="24"/>
          <w:lang w:val="ro-MD" w:eastAsia="ru-RU"/>
        </w:rPr>
        <w:t>Actualul Program este al cincilea program na</w:t>
      </w:r>
      <w:r w:rsidR="00B13B9A" w:rsidRPr="00B13B9A">
        <w:rPr>
          <w:rFonts w:asciiTheme="majorHAnsi" w:hAnsiTheme="majorHAnsi" w:cs="Calibri Light"/>
          <w:sz w:val="24"/>
          <w:szCs w:val="24"/>
          <w:lang w:val="ro-MD" w:eastAsia="ru-RU"/>
        </w:rPr>
        <w:t>ț</w:t>
      </w:r>
      <w:r w:rsidRPr="00B13B9A">
        <w:rPr>
          <w:rFonts w:asciiTheme="majorHAnsi" w:hAnsiTheme="majorHAnsi" w:cs="Calibri Light"/>
          <w:sz w:val="24"/>
          <w:szCs w:val="24"/>
          <w:lang w:val="ro-MD" w:eastAsia="ru-RU"/>
        </w:rPr>
        <w:t xml:space="preserve">ional de reducere a tuberculozei </w:t>
      </w:r>
      <w:r w:rsidR="00B13B9A" w:rsidRPr="00B13B9A">
        <w:rPr>
          <w:rFonts w:asciiTheme="majorHAnsi" w:hAnsiTheme="majorHAnsi" w:cs="Calibri Light"/>
          <w:sz w:val="24"/>
          <w:szCs w:val="24"/>
          <w:lang w:val="ro-MD" w:eastAsia="ru-RU"/>
        </w:rPr>
        <w:t>ș</w:t>
      </w:r>
      <w:r w:rsidRPr="00B13B9A">
        <w:rPr>
          <w:rFonts w:asciiTheme="majorHAnsi" w:hAnsiTheme="majorHAnsi" w:cs="Calibri Light"/>
          <w:sz w:val="24"/>
          <w:szCs w:val="24"/>
          <w:lang w:val="ro-MD" w:eastAsia="ru-RU"/>
        </w:rPr>
        <w:t>i reprezintă o viziune pe termen lung, care urmează să contribuie la îmbunătă</w:t>
      </w:r>
      <w:r w:rsidR="00B13B9A" w:rsidRPr="00B13B9A">
        <w:rPr>
          <w:rFonts w:asciiTheme="majorHAnsi" w:hAnsiTheme="majorHAnsi" w:cs="Calibri Light"/>
          <w:sz w:val="24"/>
          <w:szCs w:val="24"/>
          <w:lang w:val="ro-MD" w:eastAsia="ru-RU"/>
        </w:rPr>
        <w:t>ț</w:t>
      </w:r>
      <w:r w:rsidRPr="00B13B9A">
        <w:rPr>
          <w:rFonts w:asciiTheme="majorHAnsi" w:hAnsiTheme="majorHAnsi" w:cs="Calibri Light"/>
          <w:sz w:val="24"/>
          <w:szCs w:val="24"/>
          <w:lang w:val="ro-MD" w:eastAsia="ru-RU"/>
        </w:rPr>
        <w:t>irea sănătă</w:t>
      </w:r>
      <w:r w:rsidR="00B13B9A" w:rsidRPr="00B13B9A">
        <w:rPr>
          <w:rFonts w:asciiTheme="majorHAnsi" w:hAnsiTheme="majorHAnsi" w:cs="Calibri Light"/>
          <w:sz w:val="24"/>
          <w:szCs w:val="24"/>
          <w:lang w:val="ro-MD" w:eastAsia="ru-RU"/>
        </w:rPr>
        <w:t>ț</w:t>
      </w:r>
      <w:r w:rsidRPr="00B13B9A">
        <w:rPr>
          <w:rFonts w:asciiTheme="majorHAnsi" w:hAnsiTheme="majorHAnsi" w:cs="Calibri Light"/>
          <w:sz w:val="24"/>
          <w:szCs w:val="24"/>
          <w:lang w:val="ro-MD" w:eastAsia="ru-RU"/>
        </w:rPr>
        <w:t>ii popula</w:t>
      </w:r>
      <w:r w:rsidR="00B13B9A" w:rsidRPr="00B13B9A">
        <w:rPr>
          <w:rFonts w:asciiTheme="majorHAnsi" w:hAnsiTheme="majorHAnsi" w:cs="Calibri Light"/>
          <w:sz w:val="24"/>
          <w:szCs w:val="24"/>
          <w:lang w:val="ro-MD" w:eastAsia="ru-RU"/>
        </w:rPr>
        <w:t>ț</w:t>
      </w:r>
      <w:r w:rsidRPr="00B13B9A">
        <w:rPr>
          <w:rFonts w:asciiTheme="majorHAnsi" w:hAnsiTheme="majorHAnsi" w:cs="Calibri Light"/>
          <w:sz w:val="24"/>
          <w:szCs w:val="24"/>
          <w:lang w:val="ro-MD" w:eastAsia="ru-RU"/>
        </w:rPr>
        <w:t xml:space="preserve">iei </w:t>
      </w:r>
      <w:r w:rsidR="00B13B9A" w:rsidRPr="00B13B9A">
        <w:rPr>
          <w:rFonts w:asciiTheme="majorHAnsi" w:hAnsiTheme="majorHAnsi" w:cs="Calibri Light"/>
          <w:sz w:val="24"/>
          <w:szCs w:val="24"/>
          <w:lang w:val="ro-MD" w:eastAsia="ru-RU"/>
        </w:rPr>
        <w:t>ș</w:t>
      </w:r>
      <w:r w:rsidRPr="00B13B9A">
        <w:rPr>
          <w:rFonts w:asciiTheme="majorHAnsi" w:hAnsiTheme="majorHAnsi" w:cs="Calibri Light"/>
          <w:sz w:val="24"/>
          <w:szCs w:val="24"/>
          <w:lang w:val="ro-MD" w:eastAsia="ru-RU"/>
        </w:rPr>
        <w:t xml:space="preserve">i </w:t>
      </w:r>
      <w:r w:rsidR="00111DD0" w:rsidRPr="00B13B9A">
        <w:rPr>
          <w:rFonts w:asciiTheme="majorHAnsi" w:hAnsiTheme="majorHAnsi" w:cs="Calibri Light"/>
          <w:sz w:val="24"/>
          <w:szCs w:val="24"/>
          <w:lang w:val="ro-MD" w:eastAsia="ru-RU"/>
        </w:rPr>
        <w:t xml:space="preserve">la </w:t>
      </w:r>
      <w:r w:rsidRPr="00B13B9A">
        <w:rPr>
          <w:rFonts w:asciiTheme="majorHAnsi" w:hAnsiTheme="majorHAnsi" w:cs="Calibri Light"/>
          <w:sz w:val="24"/>
          <w:szCs w:val="24"/>
          <w:lang w:val="ro-MD" w:eastAsia="ru-RU"/>
        </w:rPr>
        <w:t>consolidarea coeren</w:t>
      </w:r>
      <w:r w:rsidR="00B13B9A" w:rsidRPr="00B13B9A">
        <w:rPr>
          <w:rFonts w:asciiTheme="majorHAnsi" w:hAnsiTheme="majorHAnsi" w:cs="Calibri Light"/>
          <w:sz w:val="24"/>
          <w:szCs w:val="24"/>
          <w:lang w:val="ro-MD" w:eastAsia="ru-RU"/>
        </w:rPr>
        <w:t>ț</w:t>
      </w:r>
      <w:r w:rsidRPr="00B13B9A">
        <w:rPr>
          <w:rFonts w:asciiTheme="majorHAnsi" w:hAnsiTheme="majorHAnsi" w:cs="Calibri Light"/>
          <w:sz w:val="24"/>
          <w:szCs w:val="24"/>
          <w:lang w:val="ro-MD" w:eastAsia="ru-RU"/>
        </w:rPr>
        <w:t xml:space="preserve">ei în controlul tuberculozei, prin asigurarea accesului universal la diagnosticul </w:t>
      </w:r>
      <w:r w:rsidR="00B13B9A" w:rsidRPr="00B13B9A">
        <w:rPr>
          <w:rFonts w:asciiTheme="majorHAnsi" w:hAnsiTheme="majorHAnsi" w:cs="Calibri Light"/>
          <w:sz w:val="24"/>
          <w:szCs w:val="24"/>
          <w:lang w:val="ro-MD" w:eastAsia="ru-RU"/>
        </w:rPr>
        <w:t>ș</w:t>
      </w:r>
      <w:r w:rsidRPr="00B13B9A">
        <w:rPr>
          <w:rFonts w:asciiTheme="majorHAnsi" w:hAnsiTheme="majorHAnsi" w:cs="Calibri Light"/>
          <w:sz w:val="24"/>
          <w:szCs w:val="24"/>
          <w:lang w:val="ro-MD" w:eastAsia="ru-RU"/>
        </w:rPr>
        <w:t>i tratamentul tuturor formelor de tuberculoză, a responsabilită</w:t>
      </w:r>
      <w:r w:rsidR="00B13B9A" w:rsidRPr="00B13B9A">
        <w:rPr>
          <w:rFonts w:asciiTheme="majorHAnsi" w:hAnsiTheme="majorHAnsi" w:cs="Calibri Light"/>
          <w:sz w:val="24"/>
          <w:szCs w:val="24"/>
          <w:lang w:val="ro-MD" w:eastAsia="ru-RU"/>
        </w:rPr>
        <w:t>ț</w:t>
      </w:r>
      <w:r w:rsidRPr="00B13B9A">
        <w:rPr>
          <w:rFonts w:asciiTheme="majorHAnsi" w:hAnsiTheme="majorHAnsi" w:cs="Calibri Light"/>
          <w:sz w:val="24"/>
          <w:szCs w:val="24"/>
          <w:lang w:val="ro-MD" w:eastAsia="ru-RU"/>
        </w:rPr>
        <w:t>ilor clar definite ale păr</w:t>
      </w:r>
      <w:r w:rsidR="00B13B9A" w:rsidRPr="00B13B9A">
        <w:rPr>
          <w:rFonts w:asciiTheme="majorHAnsi" w:hAnsiTheme="majorHAnsi" w:cs="Calibri Light"/>
          <w:sz w:val="24"/>
          <w:szCs w:val="24"/>
          <w:lang w:val="ro-MD" w:eastAsia="ru-RU"/>
        </w:rPr>
        <w:t>ț</w:t>
      </w:r>
      <w:r w:rsidRPr="00B13B9A">
        <w:rPr>
          <w:rFonts w:asciiTheme="majorHAnsi" w:hAnsiTheme="majorHAnsi" w:cs="Calibri Light"/>
          <w:sz w:val="24"/>
          <w:szCs w:val="24"/>
          <w:lang w:val="ro-MD" w:eastAsia="ru-RU"/>
        </w:rPr>
        <w:t xml:space="preserve">ilor implicate în prestarea serviciilor centrate pe pacient, precum </w:t>
      </w:r>
      <w:r w:rsidR="00B13B9A" w:rsidRPr="00B13B9A">
        <w:rPr>
          <w:rFonts w:asciiTheme="majorHAnsi" w:hAnsiTheme="majorHAnsi" w:cs="Calibri Light"/>
          <w:sz w:val="24"/>
          <w:szCs w:val="24"/>
          <w:lang w:val="ro-MD" w:eastAsia="ru-RU"/>
        </w:rPr>
        <w:t>ș</w:t>
      </w:r>
      <w:r w:rsidR="00562B6C" w:rsidRPr="00B13B9A">
        <w:rPr>
          <w:rFonts w:asciiTheme="majorHAnsi" w:hAnsiTheme="majorHAnsi" w:cs="Calibri Light"/>
          <w:sz w:val="24"/>
          <w:szCs w:val="24"/>
          <w:lang w:val="ro-MD" w:eastAsia="ru-RU"/>
        </w:rPr>
        <w:t>i</w:t>
      </w:r>
      <w:r w:rsidRPr="00B13B9A">
        <w:rPr>
          <w:rFonts w:asciiTheme="majorHAnsi" w:hAnsiTheme="majorHAnsi" w:cs="Calibri Light"/>
          <w:sz w:val="24"/>
          <w:szCs w:val="24"/>
          <w:lang w:val="ro-MD" w:eastAsia="ru-RU"/>
        </w:rPr>
        <w:t xml:space="preserve"> prin asigurarea finan</w:t>
      </w:r>
      <w:r w:rsidR="00B13B9A" w:rsidRPr="00B13B9A">
        <w:rPr>
          <w:rFonts w:asciiTheme="majorHAnsi" w:hAnsiTheme="majorHAnsi" w:cs="Calibri Light"/>
          <w:sz w:val="24"/>
          <w:szCs w:val="24"/>
          <w:lang w:val="ro-MD" w:eastAsia="ru-RU"/>
        </w:rPr>
        <w:t>ț</w:t>
      </w:r>
      <w:r w:rsidRPr="00B13B9A">
        <w:rPr>
          <w:rFonts w:asciiTheme="majorHAnsi" w:hAnsiTheme="majorHAnsi" w:cs="Calibri Light"/>
          <w:sz w:val="24"/>
          <w:szCs w:val="24"/>
          <w:lang w:val="ro-MD" w:eastAsia="ru-RU"/>
        </w:rPr>
        <w:t xml:space="preserve">ării </w:t>
      </w:r>
      <w:r w:rsidR="00B13B9A" w:rsidRPr="00B13B9A">
        <w:rPr>
          <w:rFonts w:asciiTheme="majorHAnsi" w:hAnsiTheme="majorHAnsi" w:cs="Calibri Light"/>
          <w:sz w:val="24"/>
          <w:szCs w:val="24"/>
          <w:lang w:val="ro-MD" w:eastAsia="ru-RU"/>
        </w:rPr>
        <w:t>ș</w:t>
      </w:r>
      <w:r w:rsidR="00562B6C" w:rsidRPr="00B13B9A">
        <w:rPr>
          <w:rFonts w:asciiTheme="majorHAnsi" w:hAnsiTheme="majorHAnsi" w:cs="Calibri Light"/>
          <w:sz w:val="24"/>
          <w:szCs w:val="24"/>
          <w:lang w:val="ro-MD" w:eastAsia="ru-RU"/>
        </w:rPr>
        <w:t>i</w:t>
      </w:r>
      <w:r w:rsidRPr="00B13B9A">
        <w:rPr>
          <w:rFonts w:asciiTheme="majorHAnsi" w:hAnsiTheme="majorHAnsi" w:cs="Calibri Light"/>
          <w:sz w:val="24"/>
          <w:szCs w:val="24"/>
          <w:lang w:val="ro-MD" w:eastAsia="ru-RU"/>
        </w:rPr>
        <w:t xml:space="preserve"> împuternicirea corespunzătoare a unită</w:t>
      </w:r>
      <w:r w:rsidR="00B13B9A" w:rsidRPr="00B13B9A">
        <w:rPr>
          <w:rFonts w:asciiTheme="majorHAnsi" w:hAnsiTheme="majorHAnsi" w:cs="Calibri Light"/>
          <w:sz w:val="24"/>
          <w:szCs w:val="24"/>
          <w:lang w:val="ro-MD" w:eastAsia="ru-RU"/>
        </w:rPr>
        <w:t>ț</w:t>
      </w:r>
      <w:r w:rsidRPr="00B13B9A">
        <w:rPr>
          <w:rFonts w:asciiTheme="majorHAnsi" w:hAnsiTheme="majorHAnsi" w:cs="Calibri Light"/>
          <w:sz w:val="24"/>
          <w:szCs w:val="24"/>
          <w:lang w:val="ro-MD" w:eastAsia="ru-RU"/>
        </w:rPr>
        <w:t>ii de coordonare a Programului.</w:t>
      </w:r>
    </w:p>
    <w:p w14:paraId="5E0FF2BE" w14:textId="06F02B66" w:rsidR="006327C5" w:rsidRPr="00B13B9A" w:rsidRDefault="006327C5" w:rsidP="006327C5">
      <w:pPr>
        <w:spacing w:after="0" w:line="276" w:lineRule="auto"/>
        <w:jc w:val="both"/>
        <w:rPr>
          <w:rFonts w:asciiTheme="majorHAnsi" w:hAnsiTheme="majorHAnsi" w:cs="Calibri Light"/>
          <w:sz w:val="24"/>
          <w:szCs w:val="24"/>
          <w:lang w:val="ro-MD" w:eastAsia="ru-RU"/>
        </w:rPr>
      </w:pPr>
    </w:p>
    <w:p w14:paraId="24E0391E" w14:textId="77EB1087" w:rsidR="006327C5" w:rsidRPr="00B13B9A" w:rsidRDefault="006327C5" w:rsidP="006327C5">
      <w:pPr>
        <w:tabs>
          <w:tab w:val="left" w:pos="993"/>
        </w:tabs>
        <w:autoSpaceDE w:val="0"/>
        <w:autoSpaceDN w:val="0"/>
        <w:adjustRightInd w:val="0"/>
        <w:spacing w:after="0" w:line="276" w:lineRule="auto"/>
        <w:jc w:val="both"/>
        <w:rPr>
          <w:rFonts w:asciiTheme="majorHAnsi" w:hAnsiTheme="majorHAnsi" w:cs="Calibri Light"/>
          <w:sz w:val="24"/>
          <w:szCs w:val="28"/>
          <w:lang w:val="ro-MD"/>
        </w:rPr>
      </w:pPr>
      <w:r w:rsidRPr="00B13B9A">
        <w:rPr>
          <w:rFonts w:asciiTheme="majorHAnsi" w:hAnsiTheme="majorHAnsi" w:cs="Calibri Light"/>
          <w:sz w:val="24"/>
          <w:szCs w:val="24"/>
          <w:lang w:val="ro-MD" w:eastAsia="ru-RU"/>
        </w:rPr>
        <w:t>IMSP IFP „Chiril Draganiuc” este institu</w:t>
      </w:r>
      <w:r w:rsidR="00B13B9A" w:rsidRPr="00B13B9A">
        <w:rPr>
          <w:rFonts w:asciiTheme="majorHAnsi" w:hAnsiTheme="majorHAnsi" w:cs="Calibri Light"/>
          <w:sz w:val="24"/>
          <w:szCs w:val="24"/>
          <w:lang w:val="ro-MD" w:eastAsia="ru-RU"/>
        </w:rPr>
        <w:t>ț</w:t>
      </w:r>
      <w:r w:rsidRPr="00B13B9A">
        <w:rPr>
          <w:rFonts w:asciiTheme="majorHAnsi" w:hAnsiTheme="majorHAnsi" w:cs="Calibri Light"/>
          <w:sz w:val="24"/>
          <w:szCs w:val="24"/>
          <w:lang w:val="ro-MD" w:eastAsia="ru-RU"/>
        </w:rPr>
        <w:t xml:space="preserve">ia responsabilă de coordonarea, implementarea </w:t>
      </w:r>
      <w:r w:rsidR="00B13B9A" w:rsidRPr="00B13B9A">
        <w:rPr>
          <w:rFonts w:asciiTheme="majorHAnsi" w:hAnsiTheme="majorHAnsi" w:cs="Calibri Light"/>
          <w:sz w:val="24"/>
          <w:szCs w:val="24"/>
          <w:lang w:val="ro-MD" w:eastAsia="ru-RU"/>
        </w:rPr>
        <w:t>ș</w:t>
      </w:r>
      <w:r w:rsidRPr="00B13B9A">
        <w:rPr>
          <w:rFonts w:asciiTheme="majorHAnsi" w:hAnsiTheme="majorHAnsi" w:cs="Calibri Light"/>
          <w:sz w:val="24"/>
          <w:szCs w:val="24"/>
          <w:lang w:val="ro-MD" w:eastAsia="ru-RU"/>
        </w:rPr>
        <w:t>i monitorizarea realizării Programului na</w:t>
      </w:r>
      <w:r w:rsidR="00B13B9A" w:rsidRPr="00B13B9A">
        <w:rPr>
          <w:rFonts w:asciiTheme="majorHAnsi" w:hAnsiTheme="majorHAnsi" w:cs="Calibri Light"/>
          <w:sz w:val="24"/>
          <w:szCs w:val="24"/>
          <w:lang w:val="ro-MD" w:eastAsia="ru-RU"/>
        </w:rPr>
        <w:t>ț</w:t>
      </w:r>
      <w:r w:rsidRPr="00B13B9A">
        <w:rPr>
          <w:rFonts w:asciiTheme="majorHAnsi" w:hAnsiTheme="majorHAnsi" w:cs="Calibri Light"/>
          <w:sz w:val="24"/>
          <w:szCs w:val="24"/>
          <w:lang w:val="ro-MD" w:eastAsia="ru-RU"/>
        </w:rPr>
        <w:t>ional</w:t>
      </w:r>
      <w:r w:rsidR="009F0EDC" w:rsidRPr="00B13B9A">
        <w:rPr>
          <w:rFonts w:asciiTheme="majorHAnsi" w:hAnsiTheme="majorHAnsi" w:cs="Calibri Light"/>
          <w:sz w:val="24"/>
          <w:szCs w:val="24"/>
          <w:lang w:val="ro-MD" w:eastAsia="ru-RU"/>
        </w:rPr>
        <w:t xml:space="preserve"> </w:t>
      </w:r>
      <w:r w:rsidR="009F0EDC" w:rsidRPr="00B13B9A">
        <w:rPr>
          <w:rFonts w:asciiTheme="majorHAnsi" w:hAnsiTheme="majorHAnsi" w:cstheme="majorHAnsi"/>
          <w:sz w:val="24"/>
          <w:szCs w:val="24"/>
          <w:lang w:val="ro-MD"/>
        </w:rPr>
        <w:t>de răspuns la tuberculoză</w:t>
      </w:r>
      <w:r w:rsidRPr="00B13B9A">
        <w:rPr>
          <w:rFonts w:asciiTheme="majorHAnsi" w:hAnsiTheme="majorHAnsi" w:cs="Calibri Light"/>
          <w:sz w:val="24"/>
          <w:szCs w:val="24"/>
          <w:lang w:val="ro-MD" w:eastAsia="ru-RU"/>
        </w:rPr>
        <w:t xml:space="preserve"> pentru anii 2022-2025.</w:t>
      </w:r>
      <w:r w:rsidRPr="00B13B9A">
        <w:rPr>
          <w:rFonts w:asciiTheme="majorHAnsi" w:hAnsiTheme="majorHAnsi" w:cs="Calibri Light"/>
          <w:color w:val="000000"/>
          <w:sz w:val="24"/>
          <w:szCs w:val="24"/>
          <w:lang w:val="ro-MD"/>
        </w:rPr>
        <w:t xml:space="preserve"> </w:t>
      </w:r>
      <w:r w:rsidRPr="00B13B9A">
        <w:rPr>
          <w:rFonts w:asciiTheme="majorHAnsi" w:hAnsiTheme="majorHAnsi" w:cs="Calibri Light"/>
          <w:sz w:val="24"/>
          <w:szCs w:val="24"/>
          <w:lang w:val="ro-MD" w:eastAsia="ru-RU"/>
        </w:rPr>
        <w:t>Finan</w:t>
      </w:r>
      <w:r w:rsidR="00B13B9A" w:rsidRPr="00B13B9A">
        <w:rPr>
          <w:rFonts w:asciiTheme="majorHAnsi" w:hAnsiTheme="majorHAnsi" w:cs="Calibri Light"/>
          <w:sz w:val="24"/>
          <w:szCs w:val="24"/>
          <w:lang w:val="ro-MD" w:eastAsia="ru-RU"/>
        </w:rPr>
        <w:t>ț</w:t>
      </w:r>
      <w:r w:rsidRPr="00B13B9A">
        <w:rPr>
          <w:rFonts w:asciiTheme="majorHAnsi" w:hAnsiTheme="majorHAnsi" w:cs="Calibri Light"/>
          <w:sz w:val="24"/>
          <w:szCs w:val="24"/>
          <w:lang w:val="ro-MD" w:eastAsia="ru-RU"/>
        </w:rPr>
        <w:t xml:space="preserve">area programului este efectuată din contul </w:t>
      </w:r>
      <w:r w:rsidR="00B13B9A" w:rsidRPr="00B13B9A">
        <w:rPr>
          <w:rFonts w:asciiTheme="majorHAnsi" w:hAnsiTheme="majorHAnsi" w:cs="Calibri Light"/>
          <w:sz w:val="24"/>
          <w:szCs w:val="24"/>
          <w:lang w:val="ro-MD" w:eastAsia="ru-RU"/>
        </w:rPr>
        <w:t>ș</w:t>
      </w:r>
      <w:r w:rsidRPr="00B13B9A">
        <w:rPr>
          <w:rFonts w:asciiTheme="majorHAnsi" w:hAnsiTheme="majorHAnsi" w:cs="Calibri Light"/>
          <w:sz w:val="24"/>
          <w:szCs w:val="24"/>
          <w:lang w:val="ro-MD" w:eastAsia="ru-RU"/>
        </w:rPr>
        <w:t>i în limitele mijloacelor aprobate anual în bugetul public na</w:t>
      </w:r>
      <w:r w:rsidR="00B13B9A" w:rsidRPr="00B13B9A">
        <w:rPr>
          <w:rFonts w:asciiTheme="majorHAnsi" w:hAnsiTheme="majorHAnsi" w:cs="Calibri Light"/>
          <w:sz w:val="24"/>
          <w:szCs w:val="24"/>
          <w:lang w:val="ro-MD" w:eastAsia="ru-RU"/>
        </w:rPr>
        <w:t>ț</w:t>
      </w:r>
      <w:r w:rsidRPr="00B13B9A">
        <w:rPr>
          <w:rFonts w:asciiTheme="majorHAnsi" w:hAnsiTheme="majorHAnsi" w:cs="Calibri Light"/>
          <w:sz w:val="24"/>
          <w:szCs w:val="24"/>
          <w:lang w:val="ro-MD" w:eastAsia="ru-RU"/>
        </w:rPr>
        <w:t xml:space="preserve">ional, precum </w:t>
      </w:r>
      <w:r w:rsidR="00B13B9A" w:rsidRPr="00B13B9A">
        <w:rPr>
          <w:rFonts w:asciiTheme="majorHAnsi" w:hAnsiTheme="majorHAnsi" w:cs="Calibri Light"/>
          <w:sz w:val="24"/>
          <w:szCs w:val="24"/>
          <w:lang w:val="ro-MD" w:eastAsia="ru-RU"/>
        </w:rPr>
        <w:t>ș</w:t>
      </w:r>
      <w:r w:rsidRPr="00B13B9A">
        <w:rPr>
          <w:rFonts w:asciiTheme="majorHAnsi" w:hAnsiTheme="majorHAnsi" w:cs="Calibri Light"/>
          <w:sz w:val="24"/>
          <w:szCs w:val="24"/>
          <w:lang w:val="ro-MD" w:eastAsia="ru-RU"/>
        </w:rPr>
        <w:t>i din alte surse, conform legisla</w:t>
      </w:r>
      <w:r w:rsidR="00B13B9A" w:rsidRPr="00B13B9A">
        <w:rPr>
          <w:rFonts w:asciiTheme="majorHAnsi" w:hAnsiTheme="majorHAnsi" w:cs="Calibri Light"/>
          <w:sz w:val="24"/>
          <w:szCs w:val="24"/>
          <w:lang w:val="ro-MD" w:eastAsia="ru-RU"/>
        </w:rPr>
        <w:t>ț</w:t>
      </w:r>
      <w:r w:rsidRPr="00B13B9A">
        <w:rPr>
          <w:rFonts w:asciiTheme="majorHAnsi" w:hAnsiTheme="majorHAnsi" w:cs="Calibri Light"/>
          <w:sz w:val="24"/>
          <w:szCs w:val="24"/>
          <w:lang w:val="ro-MD" w:eastAsia="ru-RU"/>
        </w:rPr>
        <w:t xml:space="preserve">iei. </w:t>
      </w:r>
      <w:r w:rsidRPr="00B13B9A">
        <w:rPr>
          <w:rFonts w:asciiTheme="majorHAnsi" w:eastAsia="Times New Roman" w:hAnsiTheme="majorHAnsi" w:cstheme="majorHAnsi"/>
          <w:sz w:val="24"/>
          <w:szCs w:val="24"/>
          <w:lang w:val="ro-MD" w:eastAsia="ro-MD"/>
        </w:rPr>
        <w:t>Astfel, IMSP Institutul de Ftiziopneumologie „Chiril Draganiuc” acordă servicii la toate formele de asisten</w:t>
      </w:r>
      <w:r w:rsidR="00B13B9A" w:rsidRPr="00B13B9A">
        <w:rPr>
          <w:rFonts w:asciiTheme="majorHAnsi" w:eastAsia="Times New Roman" w:hAnsiTheme="majorHAnsi" w:cstheme="majorHAnsi"/>
          <w:sz w:val="24"/>
          <w:szCs w:val="24"/>
          <w:lang w:val="ro-MD" w:eastAsia="ro-MD"/>
        </w:rPr>
        <w:t>ț</w:t>
      </w:r>
      <w:r w:rsidRPr="00B13B9A">
        <w:rPr>
          <w:rFonts w:asciiTheme="majorHAnsi" w:eastAsia="Times New Roman" w:hAnsiTheme="majorHAnsi" w:cstheme="majorHAnsi"/>
          <w:sz w:val="24"/>
          <w:szCs w:val="24"/>
          <w:lang w:val="ro-MD" w:eastAsia="ro-MD"/>
        </w:rPr>
        <w:t xml:space="preserve">ă medicală în domeniul ftiziopneumologiei </w:t>
      </w:r>
      <w:r w:rsidR="00B13B9A" w:rsidRPr="00B13B9A">
        <w:rPr>
          <w:rFonts w:asciiTheme="majorHAnsi" w:eastAsia="Times New Roman" w:hAnsiTheme="majorHAnsi" w:cstheme="majorHAnsi"/>
          <w:sz w:val="24"/>
          <w:szCs w:val="24"/>
          <w:lang w:val="ro-MD" w:eastAsia="ro-MD"/>
        </w:rPr>
        <w:t>ș</w:t>
      </w:r>
      <w:r w:rsidRPr="00B13B9A">
        <w:rPr>
          <w:rFonts w:asciiTheme="majorHAnsi" w:eastAsia="Times New Roman" w:hAnsiTheme="majorHAnsi" w:cstheme="majorHAnsi"/>
          <w:sz w:val="24"/>
          <w:szCs w:val="24"/>
          <w:lang w:val="ro-MD" w:eastAsia="ro-MD"/>
        </w:rPr>
        <w:t>i pneumologiei,</w:t>
      </w:r>
      <w:r w:rsidR="009F0EDC" w:rsidRPr="00B13B9A">
        <w:rPr>
          <w:rFonts w:asciiTheme="majorHAnsi" w:eastAsia="Times New Roman" w:hAnsiTheme="majorHAnsi" w:cstheme="majorHAnsi"/>
          <w:sz w:val="24"/>
          <w:szCs w:val="24"/>
          <w:lang w:val="ro-MD" w:eastAsia="ro-MD"/>
        </w:rPr>
        <w:t xml:space="preserve"> asisten</w:t>
      </w:r>
      <w:r w:rsidR="00B13B9A" w:rsidRPr="00B13B9A">
        <w:rPr>
          <w:rFonts w:asciiTheme="majorHAnsi" w:eastAsia="Times New Roman" w:hAnsiTheme="majorHAnsi" w:cstheme="majorHAnsi"/>
          <w:sz w:val="24"/>
          <w:szCs w:val="24"/>
          <w:lang w:val="ro-MD" w:eastAsia="ro-MD"/>
        </w:rPr>
        <w:t>ț</w:t>
      </w:r>
      <w:r w:rsidR="009F0EDC" w:rsidRPr="00B13B9A">
        <w:rPr>
          <w:rFonts w:asciiTheme="majorHAnsi" w:eastAsia="Times New Roman" w:hAnsiTheme="majorHAnsi" w:cstheme="majorHAnsi"/>
          <w:sz w:val="24"/>
          <w:szCs w:val="24"/>
          <w:lang w:val="ro-MD" w:eastAsia="ro-MD"/>
        </w:rPr>
        <w:t>ă medicală</w:t>
      </w:r>
      <w:r w:rsidRPr="00B13B9A">
        <w:rPr>
          <w:rFonts w:asciiTheme="majorHAnsi" w:eastAsia="Times New Roman" w:hAnsiTheme="majorHAnsi" w:cstheme="majorHAnsi"/>
          <w:sz w:val="24"/>
          <w:szCs w:val="24"/>
          <w:lang w:val="ro-MD" w:eastAsia="ro-MD"/>
        </w:rPr>
        <w:t xml:space="preserve"> ambulatorie specializată </w:t>
      </w:r>
      <w:r w:rsidR="00B13B9A" w:rsidRPr="00B13B9A">
        <w:rPr>
          <w:rFonts w:asciiTheme="majorHAnsi" w:eastAsia="Times New Roman" w:hAnsiTheme="majorHAnsi" w:cstheme="majorHAnsi"/>
          <w:sz w:val="24"/>
          <w:szCs w:val="24"/>
          <w:lang w:val="ro-MD" w:eastAsia="ro-MD"/>
        </w:rPr>
        <w:t>ș</w:t>
      </w:r>
      <w:r w:rsidRPr="00B13B9A">
        <w:rPr>
          <w:rFonts w:asciiTheme="majorHAnsi" w:eastAsia="Times New Roman" w:hAnsiTheme="majorHAnsi" w:cstheme="majorHAnsi"/>
          <w:sz w:val="24"/>
          <w:szCs w:val="24"/>
          <w:lang w:val="ro-MD" w:eastAsia="ro-MD"/>
        </w:rPr>
        <w:t>i spitalicească, consultan</w:t>
      </w:r>
      <w:r w:rsidR="00B13B9A" w:rsidRPr="00B13B9A">
        <w:rPr>
          <w:rFonts w:asciiTheme="majorHAnsi" w:eastAsia="Times New Roman" w:hAnsiTheme="majorHAnsi" w:cstheme="majorHAnsi"/>
          <w:sz w:val="24"/>
          <w:szCs w:val="24"/>
          <w:lang w:val="ro-MD" w:eastAsia="ro-MD"/>
        </w:rPr>
        <w:t>ț</w:t>
      </w:r>
      <w:r w:rsidRPr="00B13B9A">
        <w:rPr>
          <w:rFonts w:asciiTheme="majorHAnsi" w:eastAsia="Times New Roman" w:hAnsiTheme="majorHAnsi" w:cstheme="majorHAnsi"/>
          <w:sz w:val="24"/>
          <w:szCs w:val="24"/>
          <w:lang w:val="ro-MD" w:eastAsia="ro-MD"/>
        </w:rPr>
        <w:t>ă, diagnostic, prin acordarea consulta</w:t>
      </w:r>
      <w:r w:rsidR="00B13B9A" w:rsidRPr="00B13B9A">
        <w:rPr>
          <w:rFonts w:asciiTheme="majorHAnsi" w:eastAsia="Times New Roman" w:hAnsiTheme="majorHAnsi" w:cstheme="majorHAnsi"/>
          <w:sz w:val="24"/>
          <w:szCs w:val="24"/>
          <w:lang w:val="ro-MD" w:eastAsia="ro-MD"/>
        </w:rPr>
        <w:t>ț</w:t>
      </w:r>
      <w:r w:rsidRPr="00B13B9A">
        <w:rPr>
          <w:rFonts w:asciiTheme="majorHAnsi" w:eastAsia="Times New Roman" w:hAnsiTheme="majorHAnsi" w:cstheme="majorHAnsi"/>
          <w:sz w:val="24"/>
          <w:szCs w:val="24"/>
          <w:lang w:val="ro-MD" w:eastAsia="ro-MD"/>
        </w:rPr>
        <w:t>iilor, investiga</w:t>
      </w:r>
      <w:r w:rsidR="00B13B9A" w:rsidRPr="00B13B9A">
        <w:rPr>
          <w:rFonts w:asciiTheme="majorHAnsi" w:eastAsia="Times New Roman" w:hAnsiTheme="majorHAnsi" w:cstheme="majorHAnsi"/>
          <w:sz w:val="24"/>
          <w:szCs w:val="24"/>
          <w:lang w:val="ro-MD" w:eastAsia="ro-MD"/>
        </w:rPr>
        <w:t>ț</w:t>
      </w:r>
      <w:r w:rsidRPr="00B13B9A">
        <w:rPr>
          <w:rFonts w:asciiTheme="majorHAnsi" w:eastAsia="Times New Roman" w:hAnsiTheme="majorHAnsi" w:cstheme="majorHAnsi"/>
          <w:sz w:val="24"/>
          <w:szCs w:val="24"/>
          <w:lang w:val="ro-MD" w:eastAsia="ro-MD"/>
        </w:rPr>
        <w:t xml:space="preserve">iilor, tratamentelor, transportării </w:t>
      </w:r>
      <w:r w:rsidR="00B13B9A" w:rsidRPr="00B13B9A">
        <w:rPr>
          <w:rFonts w:asciiTheme="majorHAnsi" w:eastAsia="Times New Roman" w:hAnsiTheme="majorHAnsi" w:cstheme="majorHAnsi"/>
          <w:sz w:val="24"/>
          <w:szCs w:val="24"/>
          <w:lang w:val="ro-MD" w:eastAsia="ro-MD"/>
        </w:rPr>
        <w:t>ș</w:t>
      </w:r>
      <w:r w:rsidRPr="00B13B9A">
        <w:rPr>
          <w:rFonts w:asciiTheme="majorHAnsi" w:eastAsia="Times New Roman" w:hAnsiTheme="majorHAnsi" w:cstheme="majorHAnsi"/>
          <w:sz w:val="24"/>
          <w:szCs w:val="24"/>
          <w:lang w:val="ro-MD" w:eastAsia="ro-MD"/>
        </w:rPr>
        <w:t xml:space="preserve">i а altor îngrijiri medicale bolnavilor. De asemenea, </w:t>
      </w:r>
      <w:r w:rsidRPr="00B13B9A">
        <w:rPr>
          <w:rFonts w:asciiTheme="majorHAnsi" w:hAnsiTheme="majorHAnsi" w:cs="Calibri Light"/>
          <w:sz w:val="24"/>
          <w:szCs w:val="28"/>
          <w:lang w:val="ro-MD"/>
        </w:rPr>
        <w:t xml:space="preserve">IMSP IFP </w:t>
      </w:r>
      <w:r w:rsidR="00111DD0" w:rsidRPr="00B13B9A">
        <w:rPr>
          <w:rFonts w:asciiTheme="majorHAnsi" w:hAnsiTheme="majorHAnsi" w:cs="Calibri Light"/>
          <w:sz w:val="24"/>
          <w:szCs w:val="28"/>
          <w:lang w:val="ro-MD"/>
        </w:rPr>
        <w:t>„</w:t>
      </w:r>
      <w:r w:rsidRPr="00B13B9A">
        <w:rPr>
          <w:rFonts w:asciiTheme="majorHAnsi" w:hAnsiTheme="majorHAnsi" w:cs="Calibri Light"/>
          <w:sz w:val="24"/>
          <w:szCs w:val="28"/>
          <w:lang w:val="ro-MD"/>
        </w:rPr>
        <w:t xml:space="preserve">Chiril Draganiuc” asigură cu medicamente antituberculoase </w:t>
      </w:r>
      <w:r w:rsidR="00B13B9A" w:rsidRPr="00B13B9A">
        <w:rPr>
          <w:rFonts w:asciiTheme="majorHAnsi" w:hAnsiTheme="majorHAnsi" w:cs="Calibri Light"/>
          <w:sz w:val="24"/>
          <w:szCs w:val="28"/>
          <w:lang w:val="ro-MD"/>
        </w:rPr>
        <w:t>ș</w:t>
      </w:r>
      <w:r w:rsidRPr="00B13B9A">
        <w:rPr>
          <w:rFonts w:asciiTheme="majorHAnsi" w:hAnsiTheme="majorHAnsi" w:cs="Calibri Light"/>
          <w:sz w:val="24"/>
          <w:szCs w:val="28"/>
          <w:lang w:val="ro-MD"/>
        </w:rPr>
        <w:t xml:space="preserve">i dispozitive medicale pentru </w:t>
      </w:r>
      <w:r w:rsidR="009F0EDC" w:rsidRPr="00B13B9A">
        <w:rPr>
          <w:rFonts w:asciiTheme="majorHAnsi" w:hAnsiTheme="majorHAnsi" w:cs="Calibri Light"/>
          <w:sz w:val="24"/>
          <w:szCs w:val="28"/>
          <w:lang w:val="ro-MD"/>
        </w:rPr>
        <w:t xml:space="preserve">stabilirea </w:t>
      </w:r>
      <w:r w:rsidRPr="00B13B9A">
        <w:rPr>
          <w:rFonts w:asciiTheme="majorHAnsi" w:hAnsiTheme="majorHAnsi" w:cs="Calibri Light"/>
          <w:sz w:val="24"/>
          <w:szCs w:val="28"/>
          <w:lang w:val="ro-MD"/>
        </w:rPr>
        <w:t xml:space="preserve">diagnosticului tuberculozei </w:t>
      </w:r>
      <w:r w:rsidR="00B13B9A" w:rsidRPr="00B13B9A">
        <w:rPr>
          <w:rFonts w:asciiTheme="majorHAnsi" w:hAnsiTheme="majorHAnsi" w:cs="Calibri Light"/>
          <w:sz w:val="24"/>
          <w:szCs w:val="28"/>
          <w:lang w:val="ro-MD"/>
        </w:rPr>
        <w:t>ș</w:t>
      </w:r>
      <w:r w:rsidRPr="00B13B9A">
        <w:rPr>
          <w:rFonts w:asciiTheme="majorHAnsi" w:hAnsiTheme="majorHAnsi" w:cs="Calibri Light"/>
          <w:sz w:val="24"/>
          <w:szCs w:val="28"/>
          <w:lang w:val="ro-MD"/>
        </w:rPr>
        <w:t>i monitorizarea eficien</w:t>
      </w:r>
      <w:r w:rsidR="00B13B9A" w:rsidRPr="00B13B9A">
        <w:rPr>
          <w:rFonts w:asciiTheme="majorHAnsi" w:hAnsiTheme="majorHAnsi" w:cs="Calibri Light"/>
          <w:sz w:val="24"/>
          <w:szCs w:val="28"/>
          <w:lang w:val="ro-MD"/>
        </w:rPr>
        <w:t>ț</w:t>
      </w:r>
      <w:r w:rsidRPr="00B13B9A">
        <w:rPr>
          <w:rFonts w:asciiTheme="majorHAnsi" w:hAnsiTheme="majorHAnsi" w:cs="Calibri Light"/>
          <w:sz w:val="24"/>
          <w:szCs w:val="28"/>
          <w:lang w:val="ro-MD"/>
        </w:rPr>
        <w:t>ei tratamentului.</w:t>
      </w:r>
    </w:p>
    <w:p w14:paraId="48FC026C" w14:textId="0466C59B" w:rsidR="006A58F1" w:rsidRPr="00B13B9A" w:rsidRDefault="006A58F1" w:rsidP="002418A9">
      <w:pPr>
        <w:spacing w:line="276" w:lineRule="auto"/>
        <w:jc w:val="both"/>
        <w:rPr>
          <w:rFonts w:asciiTheme="majorHAnsi" w:eastAsia="Times New Roman" w:hAnsiTheme="majorHAnsi" w:cstheme="majorHAnsi"/>
          <w:sz w:val="24"/>
          <w:szCs w:val="24"/>
          <w:lang w:val="ro-MD" w:eastAsia="ro-MD"/>
        </w:rPr>
      </w:pPr>
      <w:r w:rsidRPr="00B13B9A">
        <w:rPr>
          <w:rFonts w:asciiTheme="majorHAnsi" w:eastAsia="Times New Roman" w:hAnsiTheme="majorHAnsi" w:cstheme="majorHAnsi"/>
          <w:sz w:val="24"/>
          <w:szCs w:val="24"/>
          <w:lang w:val="ro-MD" w:eastAsia="ro-MD"/>
        </w:rPr>
        <w:t>IMSP Institutul de Ftiziopneumologie „Chiril Draganiuc” î</w:t>
      </w:r>
      <w:r w:rsidR="00B13B9A" w:rsidRPr="00B13B9A">
        <w:rPr>
          <w:rFonts w:asciiTheme="majorHAnsi" w:eastAsia="Times New Roman" w:hAnsiTheme="majorHAnsi" w:cstheme="majorHAnsi"/>
          <w:sz w:val="24"/>
          <w:szCs w:val="24"/>
          <w:lang w:val="ro-MD" w:eastAsia="ro-MD"/>
        </w:rPr>
        <w:t>ș</w:t>
      </w:r>
      <w:r w:rsidRPr="00B13B9A">
        <w:rPr>
          <w:rFonts w:asciiTheme="majorHAnsi" w:eastAsia="Times New Roman" w:hAnsiTheme="majorHAnsi" w:cstheme="majorHAnsi"/>
          <w:sz w:val="24"/>
          <w:szCs w:val="24"/>
          <w:lang w:val="ro-MD" w:eastAsia="ro-MD"/>
        </w:rPr>
        <w:t>i desfă</w:t>
      </w:r>
      <w:r w:rsidR="00B13B9A" w:rsidRPr="00B13B9A">
        <w:rPr>
          <w:rFonts w:asciiTheme="majorHAnsi" w:eastAsia="Times New Roman" w:hAnsiTheme="majorHAnsi" w:cstheme="majorHAnsi"/>
          <w:sz w:val="24"/>
          <w:szCs w:val="24"/>
          <w:lang w:val="ro-MD" w:eastAsia="ro-MD"/>
        </w:rPr>
        <w:t>ș</w:t>
      </w:r>
      <w:r w:rsidRPr="00B13B9A">
        <w:rPr>
          <w:rFonts w:asciiTheme="majorHAnsi" w:eastAsia="Times New Roman" w:hAnsiTheme="majorHAnsi" w:cstheme="majorHAnsi"/>
          <w:sz w:val="24"/>
          <w:szCs w:val="24"/>
          <w:lang w:val="ro-MD" w:eastAsia="ro-MD"/>
        </w:rPr>
        <w:t xml:space="preserve">oară activitatea </w:t>
      </w:r>
      <w:r w:rsidR="00111DD0" w:rsidRPr="00B13B9A">
        <w:rPr>
          <w:rFonts w:asciiTheme="majorHAnsi" w:eastAsia="Times New Roman" w:hAnsiTheme="majorHAnsi" w:cstheme="majorHAnsi"/>
          <w:sz w:val="24"/>
          <w:szCs w:val="24"/>
          <w:lang w:val="ro-MD" w:eastAsia="ro-MD"/>
        </w:rPr>
        <w:t>în baza</w:t>
      </w:r>
      <w:r w:rsidRPr="00B13B9A">
        <w:rPr>
          <w:rFonts w:asciiTheme="majorHAnsi" w:eastAsia="Times New Roman" w:hAnsiTheme="majorHAnsi" w:cstheme="majorHAnsi"/>
          <w:sz w:val="24"/>
          <w:szCs w:val="24"/>
          <w:lang w:val="ro-MD" w:eastAsia="ro-MD"/>
        </w:rPr>
        <w:t xml:space="preserve"> principiul</w:t>
      </w:r>
      <w:r w:rsidR="00111DD0" w:rsidRPr="00B13B9A">
        <w:rPr>
          <w:rFonts w:asciiTheme="majorHAnsi" w:eastAsia="Times New Roman" w:hAnsiTheme="majorHAnsi" w:cstheme="majorHAnsi"/>
          <w:sz w:val="24"/>
          <w:szCs w:val="24"/>
          <w:lang w:val="ro-MD" w:eastAsia="ro-MD"/>
        </w:rPr>
        <w:t>ui de</w:t>
      </w:r>
      <w:r w:rsidRPr="00B13B9A">
        <w:rPr>
          <w:rFonts w:asciiTheme="majorHAnsi" w:eastAsia="Times New Roman" w:hAnsiTheme="majorHAnsi" w:cstheme="majorHAnsi"/>
          <w:sz w:val="24"/>
          <w:szCs w:val="24"/>
          <w:lang w:val="ro-MD" w:eastAsia="ro-MD"/>
        </w:rPr>
        <w:t xml:space="preserve"> autonomie financiar</w:t>
      </w:r>
      <w:r w:rsidR="00111DD0" w:rsidRPr="00B13B9A">
        <w:rPr>
          <w:rFonts w:asciiTheme="majorHAnsi" w:eastAsia="Times New Roman" w:hAnsiTheme="majorHAnsi" w:cstheme="majorHAnsi"/>
          <w:sz w:val="24"/>
          <w:szCs w:val="24"/>
          <w:lang w:val="ro-MD" w:eastAsia="ro-MD"/>
        </w:rPr>
        <w:t xml:space="preserve">ă </w:t>
      </w:r>
      <w:r w:rsidR="00B13B9A" w:rsidRPr="00B13B9A">
        <w:rPr>
          <w:rFonts w:asciiTheme="majorHAnsi" w:eastAsia="Times New Roman" w:hAnsiTheme="majorHAnsi" w:cstheme="majorHAnsi"/>
          <w:sz w:val="24"/>
          <w:szCs w:val="24"/>
          <w:lang w:val="ro-MD" w:eastAsia="ro-MD"/>
        </w:rPr>
        <w:t>ș</w:t>
      </w:r>
      <w:r w:rsidR="00111DD0" w:rsidRPr="00B13B9A">
        <w:rPr>
          <w:rFonts w:asciiTheme="majorHAnsi" w:eastAsia="Times New Roman" w:hAnsiTheme="majorHAnsi" w:cstheme="majorHAnsi"/>
          <w:sz w:val="24"/>
          <w:szCs w:val="24"/>
          <w:lang w:val="ro-MD" w:eastAsia="ro-MD"/>
        </w:rPr>
        <w:t>i</w:t>
      </w:r>
      <w:r w:rsidRPr="00B13B9A">
        <w:rPr>
          <w:rFonts w:asciiTheme="majorHAnsi" w:eastAsia="Times New Roman" w:hAnsiTheme="majorHAnsi" w:cstheme="majorHAnsi"/>
          <w:sz w:val="24"/>
          <w:szCs w:val="24"/>
          <w:lang w:val="ro-MD" w:eastAsia="ro-MD"/>
        </w:rPr>
        <w:t xml:space="preserve"> de non-profit. Mijloacele financiare provin din fondurile asigurării obligatorii de asisten</w:t>
      </w:r>
      <w:r w:rsidR="00B13B9A" w:rsidRPr="00B13B9A">
        <w:rPr>
          <w:rFonts w:asciiTheme="majorHAnsi" w:eastAsia="Times New Roman" w:hAnsiTheme="majorHAnsi" w:cstheme="majorHAnsi"/>
          <w:sz w:val="24"/>
          <w:szCs w:val="24"/>
          <w:lang w:val="ro-MD" w:eastAsia="ro-MD"/>
        </w:rPr>
        <w:t>ț</w:t>
      </w:r>
      <w:r w:rsidRPr="00B13B9A">
        <w:rPr>
          <w:rFonts w:asciiTheme="majorHAnsi" w:eastAsia="Times New Roman" w:hAnsiTheme="majorHAnsi" w:cstheme="majorHAnsi"/>
          <w:sz w:val="24"/>
          <w:szCs w:val="24"/>
          <w:lang w:val="ro-MD" w:eastAsia="ro-MD"/>
        </w:rPr>
        <w:t>ă medicală, în bаză de contracte încheiate cu Compania Na</w:t>
      </w:r>
      <w:r w:rsidR="00B13B9A" w:rsidRPr="00B13B9A">
        <w:rPr>
          <w:rFonts w:asciiTheme="majorHAnsi" w:eastAsia="Times New Roman" w:hAnsiTheme="majorHAnsi" w:cstheme="majorHAnsi"/>
          <w:sz w:val="24"/>
          <w:szCs w:val="24"/>
          <w:lang w:val="ro-MD" w:eastAsia="ro-MD"/>
        </w:rPr>
        <w:t>ț</w:t>
      </w:r>
      <w:r w:rsidRPr="00B13B9A">
        <w:rPr>
          <w:rFonts w:asciiTheme="majorHAnsi" w:eastAsia="Times New Roman" w:hAnsiTheme="majorHAnsi" w:cstheme="majorHAnsi"/>
          <w:sz w:val="24"/>
          <w:szCs w:val="24"/>
          <w:lang w:val="ro-MD" w:eastAsia="ro-MD"/>
        </w:rPr>
        <w:t xml:space="preserve">ională de Asigurări în Medicină, din sursele bugetului de stat </w:t>
      </w:r>
      <w:r w:rsidR="00B13B9A" w:rsidRPr="00B13B9A">
        <w:rPr>
          <w:rFonts w:asciiTheme="majorHAnsi" w:eastAsia="Times New Roman" w:hAnsiTheme="majorHAnsi" w:cstheme="majorHAnsi"/>
          <w:sz w:val="24"/>
          <w:szCs w:val="24"/>
          <w:lang w:val="ro-MD" w:eastAsia="ro-MD"/>
        </w:rPr>
        <w:t>ș</w:t>
      </w:r>
      <w:r w:rsidRPr="00B13B9A">
        <w:rPr>
          <w:rFonts w:asciiTheme="majorHAnsi" w:eastAsia="Times New Roman" w:hAnsiTheme="majorHAnsi" w:cstheme="majorHAnsi"/>
          <w:sz w:val="24"/>
          <w:szCs w:val="24"/>
          <w:lang w:val="ro-MD" w:eastAsia="ro-MD"/>
        </w:rPr>
        <w:t>i bugetelor locale, din veniturile colectate de institu</w:t>
      </w:r>
      <w:r w:rsidR="00B13B9A" w:rsidRPr="00B13B9A">
        <w:rPr>
          <w:rFonts w:asciiTheme="majorHAnsi" w:eastAsia="Times New Roman" w:hAnsiTheme="majorHAnsi" w:cstheme="majorHAnsi"/>
          <w:sz w:val="24"/>
          <w:szCs w:val="24"/>
          <w:lang w:val="ro-MD" w:eastAsia="ro-MD"/>
        </w:rPr>
        <w:t>ț</w:t>
      </w:r>
      <w:r w:rsidRPr="00B13B9A">
        <w:rPr>
          <w:rFonts w:asciiTheme="majorHAnsi" w:eastAsia="Times New Roman" w:hAnsiTheme="majorHAnsi" w:cstheme="majorHAnsi"/>
          <w:sz w:val="24"/>
          <w:szCs w:val="24"/>
          <w:lang w:val="ro-MD" w:eastAsia="ro-MD"/>
        </w:rPr>
        <w:t xml:space="preserve">ie, precum </w:t>
      </w:r>
      <w:r w:rsidR="00B13B9A" w:rsidRPr="00B13B9A">
        <w:rPr>
          <w:rFonts w:asciiTheme="majorHAnsi" w:eastAsia="Times New Roman" w:hAnsiTheme="majorHAnsi" w:cstheme="majorHAnsi"/>
          <w:sz w:val="24"/>
          <w:szCs w:val="24"/>
          <w:lang w:val="ro-MD" w:eastAsia="ro-MD"/>
        </w:rPr>
        <w:t>ș</w:t>
      </w:r>
      <w:r w:rsidRPr="00B13B9A">
        <w:rPr>
          <w:rFonts w:asciiTheme="majorHAnsi" w:eastAsia="Times New Roman" w:hAnsiTheme="majorHAnsi" w:cstheme="majorHAnsi"/>
          <w:sz w:val="24"/>
          <w:szCs w:val="24"/>
          <w:lang w:val="ro-MD" w:eastAsia="ro-MD"/>
        </w:rPr>
        <w:t>i din alte surse permise de legisla</w:t>
      </w:r>
      <w:r w:rsidR="00B13B9A" w:rsidRPr="00B13B9A">
        <w:rPr>
          <w:rFonts w:asciiTheme="majorHAnsi" w:eastAsia="Times New Roman" w:hAnsiTheme="majorHAnsi" w:cstheme="majorHAnsi"/>
          <w:sz w:val="24"/>
          <w:szCs w:val="24"/>
          <w:lang w:val="ro-MD" w:eastAsia="ro-MD"/>
        </w:rPr>
        <w:t>ț</w:t>
      </w:r>
      <w:r w:rsidRPr="00B13B9A">
        <w:rPr>
          <w:rFonts w:asciiTheme="majorHAnsi" w:eastAsia="Times New Roman" w:hAnsiTheme="majorHAnsi" w:cstheme="majorHAnsi"/>
          <w:sz w:val="24"/>
          <w:szCs w:val="24"/>
          <w:lang w:val="ro-MD" w:eastAsia="ro-MD"/>
        </w:rPr>
        <w:t>ie (dona</w:t>
      </w:r>
      <w:r w:rsidR="00B13B9A" w:rsidRPr="00B13B9A">
        <w:rPr>
          <w:rFonts w:asciiTheme="majorHAnsi" w:eastAsia="Times New Roman" w:hAnsiTheme="majorHAnsi" w:cstheme="majorHAnsi"/>
          <w:sz w:val="24"/>
          <w:szCs w:val="24"/>
          <w:lang w:val="ro-MD" w:eastAsia="ro-MD"/>
        </w:rPr>
        <w:t>ț</w:t>
      </w:r>
      <w:r w:rsidRPr="00B13B9A">
        <w:rPr>
          <w:rFonts w:asciiTheme="majorHAnsi" w:eastAsia="Times New Roman" w:hAnsiTheme="majorHAnsi" w:cstheme="majorHAnsi"/>
          <w:sz w:val="24"/>
          <w:szCs w:val="24"/>
          <w:lang w:val="ro-MD" w:eastAsia="ro-MD"/>
        </w:rPr>
        <w:t>ii, sponsorizări etc.)</w:t>
      </w:r>
      <w:r w:rsidR="00111DD0" w:rsidRPr="00B13B9A">
        <w:rPr>
          <w:rFonts w:asciiTheme="majorHAnsi" w:eastAsia="Times New Roman" w:hAnsiTheme="majorHAnsi" w:cstheme="majorHAnsi"/>
          <w:sz w:val="24"/>
          <w:szCs w:val="24"/>
          <w:lang w:val="ro-MD" w:eastAsia="ro-MD"/>
        </w:rPr>
        <w:t>.</w:t>
      </w:r>
    </w:p>
    <w:p w14:paraId="06F5D0DD" w14:textId="4387FFC0" w:rsidR="006A58F1" w:rsidRPr="00B13B9A" w:rsidRDefault="005C1C26" w:rsidP="002418A9">
      <w:pPr>
        <w:pStyle w:val="cn"/>
        <w:spacing w:line="276" w:lineRule="auto"/>
        <w:ind w:right="71"/>
        <w:jc w:val="both"/>
        <w:rPr>
          <w:rFonts w:asciiTheme="majorHAnsi" w:hAnsiTheme="majorHAnsi" w:cstheme="majorHAnsi"/>
          <w:bCs/>
          <w:color w:val="000000" w:themeColor="text1"/>
          <w:lang w:val="ro-MD"/>
        </w:rPr>
      </w:pPr>
      <w:r>
        <w:rPr>
          <w:rFonts w:asciiTheme="majorHAnsi" w:hAnsiTheme="majorHAnsi" w:cstheme="majorHAnsi"/>
          <w:bCs/>
          <w:color w:val="000000" w:themeColor="text1"/>
          <w:lang w:val="ro-MD"/>
        </w:rPr>
        <w:t>Misiunea de</w:t>
      </w:r>
      <w:r w:rsidRPr="00B13B9A">
        <w:rPr>
          <w:rFonts w:asciiTheme="majorHAnsi" w:hAnsiTheme="majorHAnsi" w:cstheme="majorHAnsi"/>
          <w:bCs/>
          <w:color w:val="000000" w:themeColor="text1"/>
          <w:lang w:val="ro-MD"/>
        </w:rPr>
        <w:t xml:space="preserve"> </w:t>
      </w:r>
      <w:r w:rsidR="006A58F1" w:rsidRPr="00B13B9A">
        <w:rPr>
          <w:rFonts w:asciiTheme="majorHAnsi" w:hAnsiTheme="majorHAnsi" w:cstheme="majorHAnsi"/>
          <w:bCs/>
          <w:color w:val="000000" w:themeColor="text1"/>
          <w:lang w:val="ro-MD"/>
        </w:rPr>
        <w:t>audit s</w:t>
      </w:r>
      <w:r>
        <w:rPr>
          <w:rFonts w:asciiTheme="majorHAnsi" w:hAnsiTheme="majorHAnsi" w:cstheme="majorHAnsi"/>
          <w:bCs/>
          <w:color w:val="000000" w:themeColor="text1"/>
          <w:lang w:val="ro-MD"/>
        </w:rPr>
        <w:t>-a</w:t>
      </w:r>
      <w:r w:rsidR="006A58F1" w:rsidRPr="00B13B9A">
        <w:rPr>
          <w:rFonts w:asciiTheme="majorHAnsi" w:hAnsiTheme="majorHAnsi" w:cstheme="majorHAnsi"/>
          <w:bCs/>
          <w:color w:val="000000" w:themeColor="text1"/>
          <w:lang w:val="ro-MD"/>
        </w:rPr>
        <w:t xml:space="preserve"> axa</w:t>
      </w:r>
      <w:r>
        <w:rPr>
          <w:rFonts w:asciiTheme="majorHAnsi" w:hAnsiTheme="majorHAnsi" w:cstheme="majorHAnsi"/>
          <w:bCs/>
          <w:color w:val="000000" w:themeColor="text1"/>
          <w:lang w:val="ro-MD"/>
        </w:rPr>
        <w:t>t</w:t>
      </w:r>
      <w:r w:rsidR="006A58F1" w:rsidRPr="00B13B9A">
        <w:rPr>
          <w:rFonts w:asciiTheme="majorHAnsi" w:hAnsiTheme="majorHAnsi" w:cstheme="majorHAnsi"/>
          <w:bCs/>
          <w:color w:val="000000" w:themeColor="text1"/>
          <w:lang w:val="ro-MD"/>
        </w:rPr>
        <w:t xml:space="preserve"> pe analiza concentrată a mai multor procese/activită</w:t>
      </w:r>
      <w:r w:rsidR="00B13B9A" w:rsidRPr="00B13B9A">
        <w:rPr>
          <w:rFonts w:asciiTheme="majorHAnsi" w:hAnsiTheme="majorHAnsi" w:cstheme="majorHAnsi"/>
          <w:bCs/>
          <w:color w:val="000000" w:themeColor="text1"/>
          <w:lang w:val="ro-MD"/>
        </w:rPr>
        <w:t>ț</w:t>
      </w:r>
      <w:r w:rsidR="006A58F1" w:rsidRPr="00B13B9A">
        <w:rPr>
          <w:rFonts w:asciiTheme="majorHAnsi" w:hAnsiTheme="majorHAnsi" w:cstheme="majorHAnsi"/>
          <w:bCs/>
          <w:color w:val="000000" w:themeColor="text1"/>
          <w:lang w:val="ro-MD"/>
        </w:rPr>
        <w:t xml:space="preserve">i din cadrul </w:t>
      </w:r>
      <w:r w:rsidR="006A58F1" w:rsidRPr="00B13B9A">
        <w:rPr>
          <w:rFonts w:asciiTheme="majorHAnsi" w:hAnsiTheme="majorHAnsi" w:cstheme="majorHAnsi"/>
          <w:color w:val="000000" w:themeColor="text1"/>
          <w:lang w:val="ro-MD"/>
        </w:rPr>
        <w:t>IMSP Institutul de Ftiziopneumologie „Chiril Draganiuc</w:t>
      </w:r>
      <w:r w:rsidR="00D54702" w:rsidRPr="00B13B9A">
        <w:rPr>
          <w:rFonts w:asciiTheme="majorHAnsi" w:hAnsiTheme="majorHAnsi" w:cstheme="majorHAnsi"/>
          <w:color w:val="000000" w:themeColor="text1"/>
          <w:lang w:val="ro-MD"/>
        </w:rPr>
        <w:t>”</w:t>
      </w:r>
      <w:r w:rsidR="002418A9" w:rsidRPr="00B13B9A">
        <w:rPr>
          <w:rFonts w:asciiTheme="majorHAnsi" w:hAnsiTheme="majorHAnsi" w:cstheme="majorHAnsi"/>
          <w:bCs/>
          <w:color w:val="000000" w:themeColor="text1"/>
          <w:lang w:val="ro-MD"/>
        </w:rPr>
        <w:t xml:space="preserve">, realizate în perioada 2021-2023 (6 luni), cum ar fi: </w:t>
      </w:r>
      <w:r w:rsidR="006A58F1" w:rsidRPr="00B13B9A">
        <w:rPr>
          <w:rFonts w:asciiTheme="majorHAnsi" w:hAnsiTheme="majorHAnsi" w:cstheme="majorHAnsi"/>
          <w:bCs/>
          <w:color w:val="000000" w:themeColor="text1"/>
          <w:lang w:val="ro-MD"/>
        </w:rPr>
        <w:t xml:space="preserve">procesul de gestionare a fondurilor </w:t>
      </w:r>
      <w:r w:rsidR="00B13B9A" w:rsidRPr="00B13B9A">
        <w:rPr>
          <w:rFonts w:asciiTheme="majorHAnsi" w:hAnsiTheme="majorHAnsi" w:cstheme="majorHAnsi"/>
          <w:bCs/>
          <w:color w:val="000000" w:themeColor="text1"/>
          <w:lang w:val="ro-MD"/>
        </w:rPr>
        <w:t>ș</w:t>
      </w:r>
      <w:r w:rsidR="006A58F1" w:rsidRPr="00B13B9A">
        <w:rPr>
          <w:rFonts w:asciiTheme="majorHAnsi" w:hAnsiTheme="majorHAnsi" w:cstheme="majorHAnsi"/>
          <w:bCs/>
          <w:color w:val="000000" w:themeColor="text1"/>
          <w:lang w:val="ro-MD"/>
        </w:rPr>
        <w:t>i a patrimoniului public; respectarea condi</w:t>
      </w:r>
      <w:r w:rsidR="00B13B9A" w:rsidRPr="00B13B9A">
        <w:rPr>
          <w:rFonts w:asciiTheme="majorHAnsi" w:hAnsiTheme="majorHAnsi" w:cstheme="majorHAnsi"/>
          <w:bCs/>
          <w:color w:val="000000" w:themeColor="text1"/>
          <w:lang w:val="ro-MD"/>
        </w:rPr>
        <w:t>ț</w:t>
      </w:r>
      <w:r w:rsidR="006A58F1" w:rsidRPr="00B13B9A">
        <w:rPr>
          <w:rFonts w:asciiTheme="majorHAnsi" w:hAnsiTheme="majorHAnsi" w:cstheme="majorHAnsi"/>
          <w:bCs/>
          <w:color w:val="000000" w:themeColor="text1"/>
          <w:lang w:val="ro-MD"/>
        </w:rPr>
        <w:t>iilor la desfă</w:t>
      </w:r>
      <w:r w:rsidR="00B13B9A" w:rsidRPr="00B13B9A">
        <w:rPr>
          <w:rFonts w:asciiTheme="majorHAnsi" w:hAnsiTheme="majorHAnsi" w:cstheme="majorHAnsi"/>
          <w:bCs/>
          <w:color w:val="000000" w:themeColor="text1"/>
          <w:lang w:val="ro-MD"/>
        </w:rPr>
        <w:t>ș</w:t>
      </w:r>
      <w:r w:rsidR="006A58F1" w:rsidRPr="00B13B9A">
        <w:rPr>
          <w:rFonts w:asciiTheme="majorHAnsi" w:hAnsiTheme="majorHAnsi" w:cstheme="majorHAnsi"/>
          <w:bCs/>
          <w:color w:val="000000" w:themeColor="text1"/>
          <w:lang w:val="ro-MD"/>
        </w:rPr>
        <w:t xml:space="preserve">urarea </w:t>
      </w:r>
      <w:r w:rsidR="002418A9" w:rsidRPr="00B13B9A">
        <w:rPr>
          <w:rFonts w:asciiTheme="majorHAnsi" w:hAnsiTheme="majorHAnsi" w:cstheme="majorHAnsi"/>
          <w:bCs/>
          <w:color w:val="000000" w:themeColor="text1"/>
          <w:lang w:val="ro-MD"/>
        </w:rPr>
        <w:t>procesului de achizi</w:t>
      </w:r>
      <w:r w:rsidR="00B13B9A" w:rsidRPr="00B13B9A">
        <w:rPr>
          <w:rFonts w:asciiTheme="majorHAnsi" w:hAnsiTheme="majorHAnsi" w:cstheme="majorHAnsi"/>
          <w:bCs/>
          <w:color w:val="000000" w:themeColor="text1"/>
          <w:lang w:val="ro-MD"/>
        </w:rPr>
        <w:t>ț</w:t>
      </w:r>
      <w:r w:rsidR="002418A9" w:rsidRPr="00B13B9A">
        <w:rPr>
          <w:rFonts w:asciiTheme="majorHAnsi" w:hAnsiTheme="majorHAnsi" w:cstheme="majorHAnsi"/>
          <w:bCs/>
          <w:color w:val="000000" w:themeColor="text1"/>
          <w:lang w:val="ro-MD"/>
        </w:rPr>
        <w:t>ii publice</w:t>
      </w:r>
      <w:r w:rsidR="006A58F1" w:rsidRPr="00B13B9A">
        <w:rPr>
          <w:rFonts w:asciiTheme="majorHAnsi" w:hAnsiTheme="majorHAnsi" w:cstheme="majorHAnsi"/>
          <w:bCs/>
          <w:color w:val="000000" w:themeColor="text1"/>
          <w:lang w:val="ro-MD"/>
        </w:rPr>
        <w:t xml:space="preserve">; administrarea veniturilor publice </w:t>
      </w:r>
      <w:r w:rsidR="00B13B9A" w:rsidRPr="00B13B9A">
        <w:rPr>
          <w:rFonts w:asciiTheme="majorHAnsi" w:hAnsiTheme="majorHAnsi" w:cstheme="majorHAnsi"/>
          <w:bCs/>
          <w:color w:val="000000" w:themeColor="text1"/>
          <w:lang w:val="ro-MD"/>
        </w:rPr>
        <w:t>ș</w:t>
      </w:r>
      <w:r w:rsidR="006A58F1" w:rsidRPr="00B13B9A">
        <w:rPr>
          <w:rFonts w:asciiTheme="majorHAnsi" w:hAnsiTheme="majorHAnsi" w:cstheme="majorHAnsi"/>
          <w:bCs/>
          <w:color w:val="000000" w:themeColor="text1"/>
          <w:lang w:val="ro-MD"/>
        </w:rPr>
        <w:t xml:space="preserve">i </w:t>
      </w:r>
      <w:r w:rsidR="009F0EDC" w:rsidRPr="00B13B9A">
        <w:rPr>
          <w:rFonts w:asciiTheme="majorHAnsi" w:hAnsiTheme="majorHAnsi" w:cstheme="majorHAnsi"/>
          <w:bCs/>
          <w:color w:val="000000" w:themeColor="text1"/>
          <w:lang w:val="ro-MD"/>
        </w:rPr>
        <w:t xml:space="preserve">a celor </w:t>
      </w:r>
      <w:r w:rsidR="006A58F1" w:rsidRPr="00B13B9A">
        <w:rPr>
          <w:rFonts w:asciiTheme="majorHAnsi" w:hAnsiTheme="majorHAnsi" w:cstheme="majorHAnsi"/>
          <w:bCs/>
          <w:color w:val="000000" w:themeColor="text1"/>
          <w:lang w:val="ro-MD"/>
        </w:rPr>
        <w:t xml:space="preserve">proprii; respectarea prevederilor legale </w:t>
      </w:r>
      <w:r w:rsidR="002418A9" w:rsidRPr="00B13B9A">
        <w:rPr>
          <w:rFonts w:asciiTheme="majorHAnsi" w:hAnsiTheme="majorHAnsi" w:cstheme="majorHAnsi"/>
          <w:bCs/>
          <w:color w:val="000000" w:themeColor="text1"/>
          <w:lang w:val="ro-MD"/>
        </w:rPr>
        <w:t xml:space="preserve">la efectuarea cheltuielilor, în special </w:t>
      </w:r>
      <w:r w:rsidR="006A58F1" w:rsidRPr="00B13B9A">
        <w:rPr>
          <w:rFonts w:asciiTheme="majorHAnsi" w:hAnsiTheme="majorHAnsi" w:cstheme="majorHAnsi"/>
          <w:bCs/>
          <w:color w:val="000000" w:themeColor="text1"/>
          <w:lang w:val="ro-MD"/>
        </w:rPr>
        <w:t xml:space="preserve">în procesul </w:t>
      </w:r>
      <w:r w:rsidR="009F0EDC" w:rsidRPr="00B13B9A">
        <w:rPr>
          <w:rFonts w:asciiTheme="majorHAnsi" w:hAnsiTheme="majorHAnsi" w:cstheme="majorHAnsi"/>
          <w:bCs/>
          <w:color w:val="000000" w:themeColor="text1"/>
          <w:lang w:val="ro-MD"/>
        </w:rPr>
        <w:t xml:space="preserve">de </w:t>
      </w:r>
      <w:r w:rsidR="006A58F1" w:rsidRPr="00B13B9A">
        <w:rPr>
          <w:rFonts w:asciiTheme="majorHAnsi" w:hAnsiTheme="majorHAnsi" w:cstheme="majorHAnsi"/>
          <w:bCs/>
          <w:color w:val="000000" w:themeColor="text1"/>
          <w:lang w:val="ro-MD"/>
        </w:rPr>
        <w:t>salariz</w:t>
      </w:r>
      <w:r w:rsidR="009F0EDC" w:rsidRPr="00B13B9A">
        <w:rPr>
          <w:rFonts w:asciiTheme="majorHAnsi" w:hAnsiTheme="majorHAnsi" w:cstheme="majorHAnsi"/>
          <w:bCs/>
          <w:color w:val="000000" w:themeColor="text1"/>
          <w:lang w:val="ro-MD"/>
        </w:rPr>
        <w:t>are a</w:t>
      </w:r>
      <w:r w:rsidR="006A58F1" w:rsidRPr="00B13B9A">
        <w:rPr>
          <w:rFonts w:asciiTheme="majorHAnsi" w:hAnsiTheme="majorHAnsi" w:cstheme="majorHAnsi"/>
          <w:bCs/>
          <w:color w:val="000000" w:themeColor="text1"/>
          <w:lang w:val="ro-MD"/>
        </w:rPr>
        <w:t xml:space="preserve"> angaja</w:t>
      </w:r>
      <w:r w:rsidR="00B13B9A" w:rsidRPr="00B13B9A">
        <w:rPr>
          <w:rFonts w:asciiTheme="majorHAnsi" w:hAnsiTheme="majorHAnsi" w:cstheme="majorHAnsi"/>
          <w:bCs/>
          <w:color w:val="000000" w:themeColor="text1"/>
          <w:lang w:val="ro-MD"/>
        </w:rPr>
        <w:t>ț</w:t>
      </w:r>
      <w:r w:rsidR="006A58F1" w:rsidRPr="00B13B9A">
        <w:rPr>
          <w:rFonts w:asciiTheme="majorHAnsi" w:hAnsiTheme="majorHAnsi" w:cstheme="majorHAnsi"/>
          <w:bCs/>
          <w:color w:val="000000" w:themeColor="text1"/>
          <w:lang w:val="ro-MD"/>
        </w:rPr>
        <w:t>i</w:t>
      </w:r>
      <w:r w:rsidR="002418A9" w:rsidRPr="00B13B9A">
        <w:rPr>
          <w:rFonts w:asciiTheme="majorHAnsi" w:hAnsiTheme="majorHAnsi" w:cstheme="majorHAnsi"/>
          <w:bCs/>
          <w:color w:val="000000" w:themeColor="text1"/>
          <w:lang w:val="ro-MD"/>
        </w:rPr>
        <w:t>lor,</w:t>
      </w:r>
      <w:r w:rsidR="009F0EDC" w:rsidRPr="00B13B9A">
        <w:rPr>
          <w:rFonts w:asciiTheme="majorHAnsi" w:hAnsiTheme="majorHAnsi" w:cstheme="majorHAnsi"/>
          <w:bCs/>
          <w:color w:val="000000" w:themeColor="text1"/>
          <w:lang w:val="ro-MD"/>
        </w:rPr>
        <w:t xml:space="preserve"> pentru</w:t>
      </w:r>
      <w:r w:rsidR="002418A9" w:rsidRPr="00B13B9A">
        <w:rPr>
          <w:rFonts w:asciiTheme="majorHAnsi" w:hAnsiTheme="majorHAnsi" w:cstheme="majorHAnsi"/>
          <w:bCs/>
          <w:color w:val="000000" w:themeColor="text1"/>
          <w:lang w:val="ro-MD"/>
        </w:rPr>
        <w:t xml:space="preserve"> alimenta</w:t>
      </w:r>
      <w:r w:rsidR="00B13B9A" w:rsidRPr="00B13B9A">
        <w:rPr>
          <w:rFonts w:asciiTheme="majorHAnsi" w:hAnsiTheme="majorHAnsi" w:cstheme="majorHAnsi"/>
          <w:bCs/>
          <w:color w:val="000000" w:themeColor="text1"/>
          <w:lang w:val="ro-MD"/>
        </w:rPr>
        <w:t>ț</w:t>
      </w:r>
      <w:r w:rsidR="002418A9" w:rsidRPr="00B13B9A">
        <w:rPr>
          <w:rFonts w:asciiTheme="majorHAnsi" w:hAnsiTheme="majorHAnsi" w:cstheme="majorHAnsi"/>
          <w:bCs/>
          <w:color w:val="000000" w:themeColor="text1"/>
          <w:lang w:val="ro-MD"/>
        </w:rPr>
        <w:t>ie, medicamente etc.</w:t>
      </w:r>
      <w:r w:rsidR="009F0EDC" w:rsidRPr="00B13B9A">
        <w:rPr>
          <w:rFonts w:asciiTheme="majorHAnsi" w:hAnsiTheme="majorHAnsi" w:cstheme="majorHAnsi"/>
          <w:bCs/>
          <w:color w:val="000000" w:themeColor="text1"/>
          <w:lang w:val="ro-MD"/>
        </w:rPr>
        <w:t>,</w:t>
      </w:r>
      <w:r w:rsidR="002418A9" w:rsidRPr="00B13B9A">
        <w:rPr>
          <w:rFonts w:asciiTheme="majorHAnsi" w:hAnsiTheme="majorHAnsi" w:cstheme="majorHAnsi"/>
          <w:bCs/>
          <w:color w:val="000000" w:themeColor="text1"/>
          <w:lang w:val="ro-MD"/>
        </w:rPr>
        <w:t xml:space="preserve"> oferind a</w:t>
      </w:r>
      <w:r w:rsidR="006A58F1" w:rsidRPr="00B13B9A">
        <w:rPr>
          <w:rFonts w:asciiTheme="majorHAnsi" w:hAnsiTheme="majorHAnsi" w:cstheme="majorHAnsi"/>
          <w:color w:val="000000" w:themeColor="text1"/>
          <w:lang w:val="ro-MD"/>
        </w:rPr>
        <w:t>sigurare limitată</w:t>
      </w:r>
      <w:r w:rsidR="002418A9" w:rsidRPr="00B13B9A">
        <w:rPr>
          <w:rFonts w:asciiTheme="majorHAnsi" w:hAnsiTheme="majorHAnsi" w:cstheme="majorHAnsi"/>
          <w:color w:val="000000" w:themeColor="text1"/>
          <w:lang w:val="ro-MD"/>
        </w:rPr>
        <w:t>.</w:t>
      </w:r>
    </w:p>
    <w:p w14:paraId="1F5A69C8" w14:textId="77777777" w:rsidR="009359E0" w:rsidRPr="00B13B9A" w:rsidRDefault="009359E0" w:rsidP="00DA7A12">
      <w:pPr>
        <w:pStyle w:val="cn"/>
        <w:spacing w:line="276" w:lineRule="auto"/>
        <w:jc w:val="both"/>
        <w:rPr>
          <w:rFonts w:asciiTheme="majorHAnsi" w:hAnsiTheme="majorHAnsi" w:cstheme="majorHAnsi"/>
          <w:lang w:val="ro-MD" w:eastAsia="ro-MD"/>
        </w:rPr>
      </w:pPr>
    </w:p>
    <w:p w14:paraId="6A98D9AC" w14:textId="0D3B9217" w:rsidR="006354E6" w:rsidRPr="00B13B9A" w:rsidRDefault="006354E6" w:rsidP="006354E6">
      <w:pPr>
        <w:tabs>
          <w:tab w:val="left" w:pos="720"/>
        </w:tabs>
        <w:spacing w:after="0" w:line="276" w:lineRule="auto"/>
        <w:outlineLvl w:val="1"/>
        <w:rPr>
          <w:rFonts w:asciiTheme="majorHAnsi" w:hAnsiTheme="majorHAnsi" w:cstheme="majorHAnsi"/>
          <w:b/>
          <w:color w:val="00B0F0"/>
          <w:sz w:val="24"/>
          <w:szCs w:val="24"/>
          <w:lang w:val="ro-MD"/>
        </w:rPr>
      </w:pPr>
      <w:bookmarkStart w:id="7" w:name="_Toc154562487"/>
      <w:r w:rsidRPr="00B13B9A">
        <w:rPr>
          <w:rFonts w:asciiTheme="majorHAnsi" w:hAnsiTheme="majorHAnsi" w:cstheme="majorHAnsi"/>
          <w:b/>
          <w:color w:val="00B0F0"/>
          <w:sz w:val="24"/>
          <w:szCs w:val="24"/>
          <w:lang w:val="ro-MD"/>
        </w:rPr>
        <w:t>Patrimoniul gestionat</w:t>
      </w:r>
      <w:bookmarkEnd w:id="7"/>
      <w:r w:rsidRPr="00B13B9A">
        <w:rPr>
          <w:rFonts w:asciiTheme="majorHAnsi" w:hAnsiTheme="majorHAnsi" w:cstheme="majorHAnsi"/>
          <w:b/>
          <w:color w:val="00B0F0"/>
          <w:sz w:val="24"/>
          <w:szCs w:val="24"/>
          <w:lang w:val="ro-MD"/>
        </w:rPr>
        <w:t xml:space="preserve"> </w:t>
      </w:r>
    </w:p>
    <w:p w14:paraId="04E38849" w14:textId="17582870" w:rsidR="006354E6" w:rsidRPr="00B13B9A" w:rsidRDefault="006354E6" w:rsidP="006354E6">
      <w:pPr>
        <w:spacing w:line="276" w:lineRule="auto"/>
        <w:jc w:val="both"/>
        <w:rPr>
          <w:rFonts w:asciiTheme="majorHAnsi" w:hAnsiTheme="majorHAnsi" w:cstheme="majorHAnsi"/>
          <w:color w:val="000000" w:themeColor="text1"/>
          <w:sz w:val="24"/>
          <w:szCs w:val="24"/>
          <w:lang w:val="ro-MD"/>
        </w:rPr>
      </w:pPr>
      <w:r w:rsidRPr="00B13B9A">
        <w:rPr>
          <w:rFonts w:asciiTheme="majorHAnsi" w:hAnsiTheme="majorHAnsi" w:cstheme="majorHAnsi"/>
          <w:color w:val="000000" w:themeColor="text1"/>
          <w:sz w:val="24"/>
          <w:szCs w:val="24"/>
          <w:lang w:val="ro-MD"/>
        </w:rPr>
        <w:t>Patrimoniul gestionat de IMSP apar</w:t>
      </w:r>
      <w:r w:rsidR="00B13B9A" w:rsidRPr="00B13B9A">
        <w:rPr>
          <w:rFonts w:asciiTheme="majorHAnsi" w:hAnsiTheme="majorHAnsi" w:cstheme="majorHAnsi"/>
          <w:color w:val="000000" w:themeColor="text1"/>
          <w:sz w:val="24"/>
          <w:szCs w:val="24"/>
          <w:lang w:val="ro-MD"/>
        </w:rPr>
        <w:t>ț</w:t>
      </w:r>
      <w:r w:rsidRPr="00B13B9A">
        <w:rPr>
          <w:rFonts w:asciiTheme="majorHAnsi" w:hAnsiTheme="majorHAnsi" w:cstheme="majorHAnsi"/>
          <w:color w:val="000000" w:themeColor="text1"/>
          <w:sz w:val="24"/>
          <w:szCs w:val="24"/>
          <w:lang w:val="ro-MD"/>
        </w:rPr>
        <w:t xml:space="preserve">ine în totalitate statului </w:t>
      </w:r>
      <w:r w:rsidR="00B13B9A" w:rsidRPr="00B13B9A">
        <w:rPr>
          <w:rFonts w:asciiTheme="majorHAnsi" w:hAnsiTheme="majorHAnsi" w:cstheme="majorHAnsi"/>
          <w:color w:val="000000" w:themeColor="text1"/>
          <w:sz w:val="24"/>
          <w:szCs w:val="24"/>
          <w:lang w:val="ro-MD"/>
        </w:rPr>
        <w:t>ș</w:t>
      </w:r>
      <w:r w:rsidRPr="00B13B9A">
        <w:rPr>
          <w:rFonts w:asciiTheme="majorHAnsi" w:hAnsiTheme="majorHAnsi" w:cstheme="majorHAnsi"/>
          <w:color w:val="000000" w:themeColor="text1"/>
          <w:sz w:val="24"/>
          <w:szCs w:val="24"/>
          <w:lang w:val="ro-MD"/>
        </w:rPr>
        <w:t>i, în aspectul existen</w:t>
      </w:r>
      <w:r w:rsidR="00B13B9A" w:rsidRPr="00B13B9A">
        <w:rPr>
          <w:rFonts w:asciiTheme="majorHAnsi" w:hAnsiTheme="majorHAnsi" w:cstheme="majorHAnsi"/>
          <w:color w:val="000000" w:themeColor="text1"/>
          <w:sz w:val="24"/>
          <w:szCs w:val="24"/>
          <w:lang w:val="ro-MD"/>
        </w:rPr>
        <w:t>ț</w:t>
      </w:r>
      <w:r w:rsidRPr="00B13B9A">
        <w:rPr>
          <w:rFonts w:asciiTheme="majorHAnsi" w:hAnsiTheme="majorHAnsi" w:cstheme="majorHAnsi"/>
          <w:color w:val="000000" w:themeColor="text1"/>
          <w:sz w:val="24"/>
          <w:szCs w:val="24"/>
          <w:lang w:val="ro-MD"/>
        </w:rPr>
        <w:t xml:space="preserve">ei </w:t>
      </w:r>
      <w:r w:rsidR="00B13B9A" w:rsidRPr="00B13B9A">
        <w:rPr>
          <w:rFonts w:asciiTheme="majorHAnsi" w:hAnsiTheme="majorHAnsi" w:cstheme="majorHAnsi"/>
          <w:color w:val="000000" w:themeColor="text1"/>
          <w:sz w:val="24"/>
          <w:szCs w:val="24"/>
          <w:lang w:val="ro-MD"/>
        </w:rPr>
        <w:t>ș</w:t>
      </w:r>
      <w:r w:rsidRPr="00B13B9A">
        <w:rPr>
          <w:rFonts w:asciiTheme="majorHAnsi" w:hAnsiTheme="majorHAnsi" w:cstheme="majorHAnsi"/>
          <w:color w:val="000000" w:themeColor="text1"/>
          <w:sz w:val="24"/>
          <w:szCs w:val="24"/>
          <w:lang w:val="ro-MD"/>
        </w:rPr>
        <w:t>i componen</w:t>
      </w:r>
      <w:r w:rsidR="00B13B9A" w:rsidRPr="00B13B9A">
        <w:rPr>
          <w:rFonts w:asciiTheme="majorHAnsi" w:hAnsiTheme="majorHAnsi" w:cstheme="majorHAnsi"/>
          <w:color w:val="000000" w:themeColor="text1"/>
          <w:sz w:val="24"/>
          <w:szCs w:val="24"/>
          <w:lang w:val="ro-MD"/>
        </w:rPr>
        <w:t>ț</w:t>
      </w:r>
      <w:r w:rsidRPr="00B13B9A">
        <w:rPr>
          <w:rFonts w:asciiTheme="majorHAnsi" w:hAnsiTheme="majorHAnsi" w:cstheme="majorHAnsi"/>
          <w:color w:val="000000" w:themeColor="text1"/>
          <w:sz w:val="24"/>
          <w:szCs w:val="24"/>
          <w:lang w:val="ro-MD"/>
        </w:rPr>
        <w:t>ei materiale, la finele anului 2022 a constituit 273 131,9 mii lei (</w:t>
      </w:r>
      <w:r w:rsidR="000906C3" w:rsidRPr="00B13B9A">
        <w:rPr>
          <w:rFonts w:asciiTheme="majorHAnsi" w:hAnsiTheme="majorHAnsi" w:cstheme="majorHAnsi"/>
          <w:color w:val="000000" w:themeColor="text1"/>
          <w:sz w:val="24"/>
          <w:szCs w:val="24"/>
          <w:lang w:val="ro-MD"/>
        </w:rPr>
        <w:t>vezi A</w:t>
      </w:r>
      <w:r w:rsidR="00D54702" w:rsidRPr="00B13B9A">
        <w:rPr>
          <w:rFonts w:asciiTheme="majorHAnsi" w:hAnsiTheme="majorHAnsi" w:cstheme="majorHAnsi"/>
          <w:color w:val="000000" w:themeColor="text1"/>
          <w:sz w:val="24"/>
          <w:szCs w:val="24"/>
          <w:lang w:val="ro-MD"/>
        </w:rPr>
        <w:t xml:space="preserve">nexa </w:t>
      </w:r>
      <w:r w:rsidR="008A7674" w:rsidRPr="00B13B9A">
        <w:rPr>
          <w:rFonts w:asciiTheme="majorHAnsi" w:hAnsiTheme="majorHAnsi" w:cstheme="majorHAnsi"/>
          <w:color w:val="000000" w:themeColor="text1"/>
          <w:sz w:val="24"/>
          <w:szCs w:val="24"/>
          <w:lang w:val="ro-MD"/>
        </w:rPr>
        <w:t>nr.</w:t>
      </w:r>
      <w:r w:rsidR="00D54702" w:rsidRPr="00B13B9A">
        <w:rPr>
          <w:rFonts w:asciiTheme="majorHAnsi" w:hAnsiTheme="majorHAnsi" w:cstheme="majorHAnsi"/>
          <w:color w:val="000000" w:themeColor="text1"/>
          <w:sz w:val="24"/>
          <w:szCs w:val="24"/>
          <w:lang w:val="ro-MD"/>
        </w:rPr>
        <w:t>5</w:t>
      </w:r>
      <w:r w:rsidR="008A7674" w:rsidRPr="00B13B9A">
        <w:rPr>
          <w:rFonts w:asciiTheme="majorHAnsi" w:hAnsiTheme="majorHAnsi" w:cstheme="majorHAnsi"/>
          <w:color w:val="000000" w:themeColor="text1"/>
          <w:sz w:val="24"/>
          <w:szCs w:val="24"/>
          <w:lang w:val="ro-MD"/>
        </w:rPr>
        <w:t xml:space="preserve"> la prezentul Raport de audit</w:t>
      </w:r>
      <w:r w:rsidRPr="00B13B9A">
        <w:rPr>
          <w:rFonts w:asciiTheme="majorHAnsi" w:hAnsiTheme="majorHAnsi" w:cstheme="majorHAnsi"/>
          <w:color w:val="000000" w:themeColor="text1"/>
          <w:sz w:val="24"/>
          <w:szCs w:val="24"/>
          <w:lang w:val="ro-MD"/>
        </w:rPr>
        <w:t>), cu o mic</w:t>
      </w:r>
      <w:r w:rsidR="00B13B9A" w:rsidRPr="00B13B9A">
        <w:rPr>
          <w:rFonts w:asciiTheme="majorHAnsi" w:hAnsiTheme="majorHAnsi" w:cstheme="majorHAnsi"/>
          <w:color w:val="000000" w:themeColor="text1"/>
          <w:sz w:val="24"/>
          <w:szCs w:val="24"/>
          <w:lang w:val="ro-MD"/>
        </w:rPr>
        <w:t>ș</w:t>
      </w:r>
      <w:r w:rsidRPr="00B13B9A">
        <w:rPr>
          <w:rFonts w:asciiTheme="majorHAnsi" w:hAnsiTheme="majorHAnsi" w:cstheme="majorHAnsi"/>
          <w:color w:val="000000" w:themeColor="text1"/>
          <w:sz w:val="24"/>
          <w:szCs w:val="24"/>
          <w:lang w:val="ro-MD"/>
        </w:rPr>
        <w:t>orare fa</w:t>
      </w:r>
      <w:r w:rsidR="00B13B9A" w:rsidRPr="00B13B9A">
        <w:rPr>
          <w:rFonts w:asciiTheme="majorHAnsi" w:hAnsiTheme="majorHAnsi" w:cstheme="majorHAnsi"/>
          <w:color w:val="000000" w:themeColor="text1"/>
          <w:sz w:val="24"/>
          <w:szCs w:val="24"/>
          <w:lang w:val="ro-MD"/>
        </w:rPr>
        <w:t>ț</w:t>
      </w:r>
      <w:r w:rsidRPr="00B13B9A">
        <w:rPr>
          <w:rFonts w:asciiTheme="majorHAnsi" w:hAnsiTheme="majorHAnsi" w:cstheme="majorHAnsi"/>
          <w:color w:val="000000" w:themeColor="text1"/>
          <w:sz w:val="24"/>
          <w:szCs w:val="24"/>
          <w:lang w:val="ro-MD"/>
        </w:rPr>
        <w:t>ă de perioada precedentă de 11 557,5 mii lei. Totodată, ponderea cea mai mare în situa</w:t>
      </w:r>
      <w:r w:rsidR="00B13B9A" w:rsidRPr="00B13B9A">
        <w:rPr>
          <w:rFonts w:asciiTheme="majorHAnsi" w:hAnsiTheme="majorHAnsi" w:cstheme="majorHAnsi"/>
          <w:color w:val="000000" w:themeColor="text1"/>
          <w:sz w:val="24"/>
          <w:szCs w:val="24"/>
          <w:lang w:val="ro-MD"/>
        </w:rPr>
        <w:t>ț</w:t>
      </w:r>
      <w:r w:rsidRPr="00B13B9A">
        <w:rPr>
          <w:rFonts w:asciiTheme="majorHAnsi" w:hAnsiTheme="majorHAnsi" w:cstheme="majorHAnsi"/>
          <w:color w:val="000000" w:themeColor="text1"/>
          <w:sz w:val="24"/>
          <w:szCs w:val="24"/>
          <w:lang w:val="ro-MD"/>
        </w:rPr>
        <w:t xml:space="preserve">ia patrimonial-financiară se atestă la capitolul </w:t>
      </w:r>
      <w:r w:rsidR="008A7674" w:rsidRPr="00B13B9A">
        <w:rPr>
          <w:rFonts w:asciiTheme="majorHAnsi" w:hAnsiTheme="majorHAnsi" w:cstheme="majorHAnsi"/>
          <w:color w:val="000000" w:themeColor="text1"/>
          <w:sz w:val="24"/>
          <w:szCs w:val="24"/>
          <w:lang w:val="ro-MD"/>
        </w:rPr>
        <w:t>„</w:t>
      </w:r>
      <w:r w:rsidRPr="00B13B9A">
        <w:rPr>
          <w:rFonts w:asciiTheme="majorHAnsi" w:hAnsiTheme="majorHAnsi" w:cstheme="majorHAnsi"/>
          <w:color w:val="000000" w:themeColor="text1"/>
          <w:sz w:val="24"/>
          <w:szCs w:val="24"/>
          <w:lang w:val="ro-MD"/>
        </w:rPr>
        <w:t>Imobilizări corporale</w:t>
      </w:r>
      <w:r w:rsidR="008A7674" w:rsidRPr="00B13B9A">
        <w:rPr>
          <w:rFonts w:asciiTheme="majorHAnsi" w:hAnsiTheme="majorHAnsi" w:cstheme="majorHAnsi"/>
          <w:color w:val="000000" w:themeColor="text1"/>
          <w:sz w:val="24"/>
          <w:szCs w:val="24"/>
          <w:lang w:val="ro-MD"/>
        </w:rPr>
        <w:t>”,</w:t>
      </w:r>
      <w:r w:rsidRPr="00B13B9A">
        <w:rPr>
          <w:rFonts w:asciiTheme="majorHAnsi" w:hAnsiTheme="majorHAnsi" w:cstheme="majorHAnsi"/>
          <w:color w:val="000000" w:themeColor="text1"/>
          <w:sz w:val="24"/>
          <w:szCs w:val="24"/>
          <w:lang w:val="ro-MD"/>
        </w:rPr>
        <w:t xml:space="preserve"> în valoare de 216 130,4 mii lei pe partea de activ</w:t>
      </w:r>
      <w:r w:rsidR="008A7674" w:rsidRPr="00B13B9A">
        <w:rPr>
          <w:rFonts w:asciiTheme="majorHAnsi" w:hAnsiTheme="majorHAnsi" w:cstheme="majorHAnsi"/>
          <w:color w:val="000000" w:themeColor="text1"/>
          <w:sz w:val="24"/>
          <w:szCs w:val="24"/>
          <w:lang w:val="ro-MD"/>
        </w:rPr>
        <w:t>,</w:t>
      </w:r>
      <w:r w:rsidRPr="00B13B9A">
        <w:rPr>
          <w:rFonts w:asciiTheme="majorHAnsi" w:hAnsiTheme="majorHAnsi" w:cstheme="majorHAnsi"/>
          <w:color w:val="000000" w:themeColor="text1"/>
          <w:sz w:val="24"/>
          <w:szCs w:val="24"/>
          <w:lang w:val="ro-MD"/>
        </w:rPr>
        <w:t xml:space="preserve"> </w:t>
      </w:r>
      <w:r w:rsidR="00B13B9A" w:rsidRPr="00B13B9A">
        <w:rPr>
          <w:rFonts w:asciiTheme="majorHAnsi" w:hAnsiTheme="majorHAnsi" w:cstheme="majorHAnsi"/>
          <w:color w:val="000000" w:themeColor="text1"/>
          <w:sz w:val="24"/>
          <w:szCs w:val="24"/>
          <w:lang w:val="ro-MD"/>
        </w:rPr>
        <w:t>ș</w:t>
      </w:r>
      <w:r w:rsidRPr="00B13B9A">
        <w:rPr>
          <w:rFonts w:asciiTheme="majorHAnsi" w:hAnsiTheme="majorHAnsi" w:cstheme="majorHAnsi"/>
          <w:color w:val="000000" w:themeColor="text1"/>
          <w:sz w:val="24"/>
          <w:szCs w:val="24"/>
          <w:lang w:val="ro-MD"/>
        </w:rPr>
        <w:t xml:space="preserve">i capital propriu în valoare de 228 124,3 mii lei pe partea de pasiv. Analizând </w:t>
      </w:r>
      <w:r w:rsidR="005C1C26">
        <w:rPr>
          <w:rFonts w:asciiTheme="majorHAnsi" w:hAnsiTheme="majorHAnsi" w:cstheme="majorHAnsi"/>
          <w:color w:val="000000" w:themeColor="text1"/>
          <w:sz w:val="24"/>
          <w:szCs w:val="24"/>
          <w:lang w:val="ro-MD"/>
        </w:rPr>
        <w:t>situațiile financiare</w:t>
      </w:r>
      <w:r w:rsidRPr="00B13B9A">
        <w:rPr>
          <w:rFonts w:asciiTheme="majorHAnsi" w:hAnsiTheme="majorHAnsi" w:cstheme="majorHAnsi"/>
          <w:color w:val="000000" w:themeColor="text1"/>
          <w:sz w:val="24"/>
          <w:szCs w:val="24"/>
          <w:lang w:val="ro-MD"/>
        </w:rPr>
        <w:t xml:space="preserve"> raportate pentru anii 2022 </w:t>
      </w:r>
      <w:r w:rsidR="00B13B9A" w:rsidRPr="00B13B9A">
        <w:rPr>
          <w:rFonts w:asciiTheme="majorHAnsi" w:hAnsiTheme="majorHAnsi" w:cstheme="majorHAnsi"/>
          <w:color w:val="000000" w:themeColor="text1"/>
          <w:sz w:val="24"/>
          <w:szCs w:val="24"/>
          <w:lang w:val="ro-MD"/>
        </w:rPr>
        <w:t>ș</w:t>
      </w:r>
      <w:r w:rsidRPr="00B13B9A">
        <w:rPr>
          <w:rFonts w:asciiTheme="majorHAnsi" w:hAnsiTheme="majorHAnsi" w:cstheme="majorHAnsi"/>
          <w:color w:val="000000" w:themeColor="text1"/>
          <w:sz w:val="24"/>
          <w:szCs w:val="24"/>
          <w:lang w:val="ro-MD"/>
        </w:rPr>
        <w:t>i 2021</w:t>
      </w:r>
      <w:r w:rsidR="008A7674" w:rsidRPr="00B13B9A">
        <w:rPr>
          <w:rFonts w:asciiTheme="majorHAnsi" w:hAnsiTheme="majorHAnsi" w:cstheme="majorHAnsi"/>
          <w:color w:val="000000" w:themeColor="text1"/>
          <w:sz w:val="24"/>
          <w:szCs w:val="24"/>
          <w:lang w:val="ro-MD"/>
        </w:rPr>
        <w:t>,</w:t>
      </w:r>
      <w:r w:rsidRPr="00B13B9A">
        <w:rPr>
          <w:rFonts w:asciiTheme="majorHAnsi" w:hAnsiTheme="majorHAnsi" w:cstheme="majorHAnsi"/>
          <w:color w:val="000000" w:themeColor="text1"/>
          <w:sz w:val="24"/>
          <w:szCs w:val="24"/>
          <w:lang w:val="ro-MD"/>
        </w:rPr>
        <w:t xml:space="preserve"> se denotă următoare</w:t>
      </w:r>
      <w:r w:rsidR="005C1C26">
        <w:rPr>
          <w:rFonts w:asciiTheme="majorHAnsi" w:hAnsiTheme="majorHAnsi" w:cstheme="majorHAnsi"/>
          <w:color w:val="000000" w:themeColor="text1"/>
          <w:sz w:val="24"/>
          <w:szCs w:val="24"/>
          <w:lang w:val="ro-MD"/>
        </w:rPr>
        <w:t>le</w:t>
      </w:r>
      <w:r w:rsidRPr="00B13B9A">
        <w:rPr>
          <w:rFonts w:asciiTheme="majorHAnsi" w:hAnsiTheme="majorHAnsi" w:cstheme="majorHAnsi"/>
          <w:color w:val="000000" w:themeColor="text1"/>
          <w:sz w:val="24"/>
          <w:szCs w:val="24"/>
          <w:lang w:val="ro-MD"/>
        </w:rPr>
        <w:t xml:space="preserve">: activele imobilizate în anul 2022 au constituit 216 130,4 mii lei, </w:t>
      </w:r>
      <w:r w:rsidR="00562B6C" w:rsidRPr="00B13B9A">
        <w:rPr>
          <w:rFonts w:asciiTheme="majorHAnsi" w:hAnsiTheme="majorHAnsi" w:cstheme="majorHAnsi"/>
          <w:color w:val="000000" w:themeColor="text1"/>
          <w:sz w:val="24"/>
          <w:szCs w:val="24"/>
          <w:lang w:val="ro-MD"/>
        </w:rPr>
        <w:t>înregistrând</w:t>
      </w:r>
      <w:r w:rsidRPr="00B13B9A">
        <w:rPr>
          <w:rFonts w:asciiTheme="majorHAnsi" w:hAnsiTheme="majorHAnsi" w:cstheme="majorHAnsi"/>
          <w:color w:val="000000" w:themeColor="text1"/>
          <w:sz w:val="24"/>
          <w:szCs w:val="24"/>
          <w:lang w:val="ro-MD"/>
        </w:rPr>
        <w:t xml:space="preserve"> o mic</w:t>
      </w:r>
      <w:r w:rsidR="00B13B9A" w:rsidRPr="00B13B9A">
        <w:rPr>
          <w:rFonts w:asciiTheme="majorHAnsi" w:hAnsiTheme="majorHAnsi" w:cstheme="majorHAnsi"/>
          <w:color w:val="000000" w:themeColor="text1"/>
          <w:sz w:val="24"/>
          <w:szCs w:val="24"/>
          <w:lang w:val="ro-MD"/>
        </w:rPr>
        <w:t>ș</w:t>
      </w:r>
      <w:r w:rsidRPr="00B13B9A">
        <w:rPr>
          <w:rFonts w:asciiTheme="majorHAnsi" w:hAnsiTheme="majorHAnsi" w:cstheme="majorHAnsi"/>
          <w:color w:val="000000" w:themeColor="text1"/>
          <w:sz w:val="24"/>
          <w:szCs w:val="24"/>
          <w:lang w:val="ro-MD"/>
        </w:rPr>
        <w:t>orare cu 1 200,1 mii lei</w:t>
      </w:r>
      <w:r w:rsidR="008A7674" w:rsidRPr="00B13B9A">
        <w:rPr>
          <w:rFonts w:asciiTheme="majorHAnsi" w:hAnsiTheme="majorHAnsi" w:cstheme="majorHAnsi"/>
          <w:color w:val="000000" w:themeColor="text1"/>
          <w:sz w:val="24"/>
          <w:szCs w:val="24"/>
          <w:lang w:val="ro-MD"/>
        </w:rPr>
        <w:t>,</w:t>
      </w:r>
      <w:r w:rsidRPr="00B13B9A">
        <w:rPr>
          <w:rFonts w:asciiTheme="majorHAnsi" w:hAnsiTheme="majorHAnsi" w:cstheme="majorHAnsi"/>
          <w:color w:val="000000" w:themeColor="text1"/>
          <w:sz w:val="24"/>
          <w:szCs w:val="24"/>
          <w:lang w:val="ro-MD"/>
        </w:rPr>
        <w:t xml:space="preserve"> sau </w:t>
      </w:r>
      <w:r w:rsidR="008A7674" w:rsidRPr="00B13B9A">
        <w:rPr>
          <w:rFonts w:asciiTheme="majorHAnsi" w:hAnsiTheme="majorHAnsi" w:cstheme="majorHAnsi"/>
          <w:color w:val="000000" w:themeColor="text1"/>
          <w:sz w:val="24"/>
          <w:szCs w:val="24"/>
          <w:lang w:val="ro-MD"/>
        </w:rPr>
        <w:t xml:space="preserve">cu </w:t>
      </w:r>
      <w:r w:rsidRPr="00B13B9A">
        <w:rPr>
          <w:rFonts w:asciiTheme="majorHAnsi" w:hAnsiTheme="majorHAnsi" w:cstheme="majorHAnsi"/>
          <w:color w:val="000000" w:themeColor="text1"/>
          <w:sz w:val="24"/>
          <w:szCs w:val="24"/>
          <w:lang w:val="ro-MD"/>
        </w:rPr>
        <w:t>0,6 la sută. Activele circulante la finele anului 2022 au constituit 57 001,5 mii lei</w:t>
      </w:r>
      <w:r w:rsidR="008A7674" w:rsidRPr="00B13B9A">
        <w:rPr>
          <w:rFonts w:asciiTheme="majorHAnsi" w:hAnsiTheme="majorHAnsi" w:cstheme="majorHAnsi"/>
          <w:color w:val="000000" w:themeColor="text1"/>
          <w:sz w:val="24"/>
          <w:szCs w:val="24"/>
          <w:lang w:val="ro-MD"/>
        </w:rPr>
        <w:t>,</w:t>
      </w:r>
      <w:r w:rsidRPr="00B13B9A">
        <w:rPr>
          <w:rFonts w:asciiTheme="majorHAnsi" w:hAnsiTheme="majorHAnsi" w:cstheme="majorHAnsi"/>
          <w:color w:val="000000" w:themeColor="text1"/>
          <w:sz w:val="24"/>
          <w:szCs w:val="24"/>
          <w:lang w:val="ro-MD"/>
        </w:rPr>
        <w:t xml:space="preserve"> înregistrând o mic</w:t>
      </w:r>
      <w:r w:rsidR="00B13B9A" w:rsidRPr="00B13B9A">
        <w:rPr>
          <w:rFonts w:asciiTheme="majorHAnsi" w:hAnsiTheme="majorHAnsi" w:cstheme="majorHAnsi"/>
          <w:color w:val="000000" w:themeColor="text1"/>
          <w:sz w:val="24"/>
          <w:szCs w:val="24"/>
          <w:lang w:val="ro-MD"/>
        </w:rPr>
        <w:t>ș</w:t>
      </w:r>
      <w:r w:rsidRPr="00B13B9A">
        <w:rPr>
          <w:rFonts w:asciiTheme="majorHAnsi" w:hAnsiTheme="majorHAnsi" w:cstheme="majorHAnsi"/>
          <w:color w:val="000000" w:themeColor="text1"/>
          <w:sz w:val="24"/>
          <w:szCs w:val="24"/>
          <w:lang w:val="ro-MD"/>
        </w:rPr>
        <w:t>orare cu 10 357,3 mii lei</w:t>
      </w:r>
      <w:r w:rsidR="008A7674" w:rsidRPr="00B13B9A">
        <w:rPr>
          <w:rFonts w:asciiTheme="majorHAnsi" w:hAnsiTheme="majorHAnsi" w:cstheme="majorHAnsi"/>
          <w:color w:val="000000" w:themeColor="text1"/>
          <w:sz w:val="24"/>
          <w:szCs w:val="24"/>
          <w:lang w:val="ro-MD"/>
        </w:rPr>
        <w:t>,</w:t>
      </w:r>
      <w:r w:rsidRPr="00B13B9A">
        <w:rPr>
          <w:rFonts w:asciiTheme="majorHAnsi" w:hAnsiTheme="majorHAnsi" w:cstheme="majorHAnsi"/>
          <w:color w:val="000000" w:themeColor="text1"/>
          <w:sz w:val="24"/>
          <w:szCs w:val="24"/>
          <w:lang w:val="ro-MD"/>
        </w:rPr>
        <w:t xml:space="preserve"> sau cu 15,4 la sută fa</w:t>
      </w:r>
      <w:r w:rsidR="00B13B9A" w:rsidRPr="00B13B9A">
        <w:rPr>
          <w:rFonts w:asciiTheme="majorHAnsi" w:hAnsiTheme="majorHAnsi" w:cstheme="majorHAnsi"/>
          <w:color w:val="000000" w:themeColor="text1"/>
          <w:sz w:val="24"/>
          <w:szCs w:val="24"/>
          <w:lang w:val="ro-MD"/>
        </w:rPr>
        <w:t>ț</w:t>
      </w:r>
      <w:r w:rsidRPr="00B13B9A">
        <w:rPr>
          <w:rFonts w:asciiTheme="majorHAnsi" w:hAnsiTheme="majorHAnsi" w:cstheme="majorHAnsi"/>
          <w:color w:val="000000" w:themeColor="text1"/>
          <w:sz w:val="24"/>
          <w:szCs w:val="24"/>
          <w:lang w:val="ro-MD"/>
        </w:rPr>
        <w:t>ă de anul precedent. La partea de pasiv</w:t>
      </w:r>
      <w:r w:rsidR="008A7674" w:rsidRPr="00B13B9A">
        <w:rPr>
          <w:rFonts w:asciiTheme="majorHAnsi" w:hAnsiTheme="majorHAnsi" w:cstheme="majorHAnsi"/>
          <w:color w:val="000000" w:themeColor="text1"/>
          <w:sz w:val="24"/>
          <w:szCs w:val="24"/>
          <w:lang w:val="ro-MD"/>
        </w:rPr>
        <w:t>,</w:t>
      </w:r>
      <w:r w:rsidRPr="00B13B9A">
        <w:rPr>
          <w:rFonts w:asciiTheme="majorHAnsi" w:hAnsiTheme="majorHAnsi" w:cstheme="majorHAnsi"/>
          <w:color w:val="000000" w:themeColor="text1"/>
          <w:sz w:val="24"/>
          <w:szCs w:val="24"/>
          <w:lang w:val="ro-MD"/>
        </w:rPr>
        <w:t xml:space="preserve"> la finele anului capitalul propriu a constituit 228 124,3 mii lei</w:t>
      </w:r>
      <w:r w:rsidR="008A7674" w:rsidRPr="00B13B9A">
        <w:rPr>
          <w:rFonts w:asciiTheme="majorHAnsi" w:hAnsiTheme="majorHAnsi" w:cstheme="majorHAnsi"/>
          <w:color w:val="000000" w:themeColor="text1"/>
          <w:sz w:val="24"/>
          <w:szCs w:val="24"/>
          <w:lang w:val="ro-MD"/>
        </w:rPr>
        <w:t>,</w:t>
      </w:r>
      <w:r w:rsidRPr="00B13B9A">
        <w:rPr>
          <w:rFonts w:asciiTheme="majorHAnsi" w:hAnsiTheme="majorHAnsi" w:cstheme="majorHAnsi"/>
          <w:color w:val="000000" w:themeColor="text1"/>
          <w:sz w:val="24"/>
          <w:szCs w:val="24"/>
          <w:lang w:val="ro-MD"/>
        </w:rPr>
        <w:t xml:space="preserve"> la fel </w:t>
      </w:r>
      <w:r w:rsidR="00562B6C" w:rsidRPr="00B13B9A">
        <w:rPr>
          <w:rFonts w:asciiTheme="majorHAnsi" w:hAnsiTheme="majorHAnsi" w:cstheme="majorHAnsi"/>
          <w:color w:val="000000" w:themeColor="text1"/>
          <w:sz w:val="24"/>
          <w:szCs w:val="24"/>
          <w:lang w:val="ro-MD"/>
        </w:rPr>
        <w:t>mic</w:t>
      </w:r>
      <w:r w:rsidR="00B13B9A" w:rsidRPr="00B13B9A">
        <w:rPr>
          <w:rFonts w:asciiTheme="majorHAnsi" w:hAnsiTheme="majorHAnsi" w:cstheme="majorHAnsi"/>
          <w:color w:val="000000" w:themeColor="text1"/>
          <w:sz w:val="24"/>
          <w:szCs w:val="24"/>
          <w:lang w:val="ro-MD"/>
        </w:rPr>
        <w:t>ș</w:t>
      </w:r>
      <w:r w:rsidR="00562B6C" w:rsidRPr="00B13B9A">
        <w:rPr>
          <w:rFonts w:asciiTheme="majorHAnsi" w:hAnsiTheme="majorHAnsi" w:cstheme="majorHAnsi"/>
          <w:color w:val="000000" w:themeColor="text1"/>
          <w:sz w:val="24"/>
          <w:szCs w:val="24"/>
          <w:lang w:val="ro-MD"/>
        </w:rPr>
        <w:t>orându-se</w:t>
      </w:r>
      <w:r w:rsidRPr="00B13B9A">
        <w:rPr>
          <w:rFonts w:asciiTheme="majorHAnsi" w:hAnsiTheme="majorHAnsi" w:cstheme="majorHAnsi"/>
          <w:color w:val="000000" w:themeColor="text1"/>
          <w:sz w:val="24"/>
          <w:szCs w:val="24"/>
          <w:lang w:val="ro-MD"/>
        </w:rPr>
        <w:t xml:space="preserve"> cu 1 605,5 mii lei, la datorii pe termen lung s-a înregistrat o mic</w:t>
      </w:r>
      <w:r w:rsidR="00B13B9A" w:rsidRPr="00B13B9A">
        <w:rPr>
          <w:rFonts w:asciiTheme="majorHAnsi" w:hAnsiTheme="majorHAnsi" w:cstheme="majorHAnsi"/>
          <w:color w:val="000000" w:themeColor="text1"/>
          <w:sz w:val="24"/>
          <w:szCs w:val="24"/>
          <w:lang w:val="ro-MD"/>
        </w:rPr>
        <w:t>ș</w:t>
      </w:r>
      <w:r w:rsidRPr="00B13B9A">
        <w:rPr>
          <w:rFonts w:asciiTheme="majorHAnsi" w:hAnsiTheme="majorHAnsi" w:cstheme="majorHAnsi"/>
          <w:color w:val="000000" w:themeColor="text1"/>
          <w:sz w:val="24"/>
          <w:szCs w:val="24"/>
          <w:lang w:val="ro-MD"/>
        </w:rPr>
        <w:t xml:space="preserve">orare aproximativ egală cu cea a datoriilor curente în mărime de 4 513,0 mii lei </w:t>
      </w:r>
      <w:r w:rsidR="00B13B9A" w:rsidRPr="00B13B9A">
        <w:rPr>
          <w:rFonts w:asciiTheme="majorHAnsi" w:hAnsiTheme="majorHAnsi" w:cstheme="majorHAnsi"/>
          <w:color w:val="000000" w:themeColor="text1"/>
          <w:sz w:val="24"/>
          <w:szCs w:val="24"/>
          <w:lang w:val="ro-MD"/>
        </w:rPr>
        <w:t>ș</w:t>
      </w:r>
      <w:r w:rsidRPr="00B13B9A">
        <w:rPr>
          <w:rFonts w:asciiTheme="majorHAnsi" w:hAnsiTheme="majorHAnsi" w:cstheme="majorHAnsi"/>
          <w:color w:val="000000" w:themeColor="text1"/>
          <w:sz w:val="24"/>
          <w:szCs w:val="24"/>
          <w:lang w:val="ro-MD"/>
        </w:rPr>
        <w:t xml:space="preserve">i, respectiv, </w:t>
      </w:r>
      <w:r w:rsidR="008A7674" w:rsidRPr="00B13B9A">
        <w:rPr>
          <w:rFonts w:asciiTheme="majorHAnsi" w:hAnsiTheme="majorHAnsi" w:cstheme="majorHAnsi"/>
          <w:color w:val="000000" w:themeColor="text1"/>
          <w:sz w:val="24"/>
          <w:szCs w:val="24"/>
          <w:lang w:val="ro-MD"/>
        </w:rPr>
        <w:t xml:space="preserve">de </w:t>
      </w:r>
      <w:r w:rsidRPr="00B13B9A">
        <w:rPr>
          <w:rFonts w:asciiTheme="majorHAnsi" w:hAnsiTheme="majorHAnsi" w:cstheme="majorHAnsi"/>
          <w:color w:val="000000" w:themeColor="text1"/>
          <w:sz w:val="24"/>
          <w:szCs w:val="24"/>
          <w:lang w:val="ro-MD"/>
        </w:rPr>
        <w:t xml:space="preserve">5 438,9 mii lei. </w:t>
      </w:r>
    </w:p>
    <w:p w14:paraId="27F0021B" w14:textId="3B2445FC" w:rsidR="006354E6" w:rsidRPr="00B13B9A" w:rsidRDefault="006354E6" w:rsidP="00077FEE">
      <w:pPr>
        <w:spacing w:line="276" w:lineRule="auto"/>
        <w:jc w:val="both"/>
        <w:rPr>
          <w:rFonts w:asciiTheme="majorHAnsi" w:eastAsia="Times New Roman" w:hAnsiTheme="majorHAnsi" w:cstheme="majorHAnsi"/>
          <w:sz w:val="24"/>
          <w:szCs w:val="24"/>
          <w:lang w:val="ro-MD" w:eastAsia="ro-MD"/>
        </w:rPr>
      </w:pPr>
      <w:r w:rsidRPr="00B13B9A">
        <w:rPr>
          <w:rFonts w:asciiTheme="majorHAnsi" w:hAnsiTheme="majorHAnsi" w:cstheme="majorHAnsi"/>
          <w:sz w:val="24"/>
          <w:szCs w:val="24"/>
          <w:lang w:val="ro-MD"/>
        </w:rPr>
        <w:t>Eviden</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a contabilă a institu</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 xml:space="preserve">iei este </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inută în baza Legii contabilită</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 xml:space="preserve">ii </w:t>
      </w:r>
      <w:r w:rsidR="00B13B9A" w:rsidRPr="00B13B9A">
        <w:rPr>
          <w:rFonts w:asciiTheme="majorHAnsi" w:hAnsiTheme="majorHAnsi" w:cstheme="majorHAnsi"/>
          <w:sz w:val="24"/>
          <w:szCs w:val="24"/>
          <w:lang w:val="ro-MD"/>
        </w:rPr>
        <w:t>ș</w:t>
      </w:r>
      <w:r w:rsidRPr="00B13B9A">
        <w:rPr>
          <w:rFonts w:asciiTheme="majorHAnsi" w:hAnsiTheme="majorHAnsi" w:cstheme="majorHAnsi"/>
          <w:sz w:val="24"/>
          <w:szCs w:val="24"/>
          <w:lang w:val="ro-MD"/>
        </w:rPr>
        <w:t>i raportării financiare</w:t>
      </w:r>
      <w:r w:rsidRPr="00B13B9A">
        <w:rPr>
          <w:rStyle w:val="a9"/>
          <w:rFonts w:asciiTheme="majorHAnsi" w:hAnsiTheme="majorHAnsi" w:cstheme="majorHAnsi"/>
          <w:sz w:val="24"/>
          <w:szCs w:val="24"/>
          <w:lang w:val="ro-MD"/>
        </w:rPr>
        <w:footnoteReference w:id="2"/>
      </w:r>
      <w:r w:rsidR="008A7674" w:rsidRPr="00B13B9A">
        <w:rPr>
          <w:rFonts w:asciiTheme="majorHAnsi" w:hAnsiTheme="majorHAnsi" w:cstheme="majorHAnsi"/>
          <w:sz w:val="24"/>
          <w:szCs w:val="24"/>
          <w:lang w:val="ro-MD"/>
        </w:rPr>
        <w:t>,</w:t>
      </w:r>
      <w:r w:rsidRPr="00B13B9A">
        <w:rPr>
          <w:rFonts w:asciiTheme="majorHAnsi" w:hAnsiTheme="majorHAnsi" w:cstheme="majorHAnsi"/>
          <w:sz w:val="24"/>
          <w:szCs w:val="24"/>
          <w:lang w:val="ro-MD"/>
        </w:rPr>
        <w:t xml:space="preserve"> precum </w:t>
      </w:r>
      <w:r w:rsidR="00B13B9A" w:rsidRPr="00B13B9A">
        <w:rPr>
          <w:rFonts w:asciiTheme="majorHAnsi" w:hAnsiTheme="majorHAnsi" w:cstheme="majorHAnsi"/>
          <w:sz w:val="24"/>
          <w:szCs w:val="24"/>
          <w:lang w:val="ro-MD"/>
        </w:rPr>
        <w:t>ș</w:t>
      </w:r>
      <w:r w:rsidRPr="00B13B9A">
        <w:rPr>
          <w:rFonts w:asciiTheme="majorHAnsi" w:hAnsiTheme="majorHAnsi" w:cstheme="majorHAnsi"/>
          <w:sz w:val="24"/>
          <w:szCs w:val="24"/>
          <w:lang w:val="ro-MD"/>
        </w:rPr>
        <w:t>i în baza Standardelor Na</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ionale de Contabilitate</w:t>
      </w:r>
      <w:r w:rsidRPr="00B13B9A">
        <w:rPr>
          <w:rStyle w:val="a9"/>
          <w:rFonts w:asciiTheme="majorHAnsi" w:hAnsiTheme="majorHAnsi" w:cstheme="majorHAnsi"/>
          <w:sz w:val="24"/>
          <w:szCs w:val="24"/>
          <w:lang w:val="ro-MD"/>
        </w:rPr>
        <w:footnoteReference w:id="3"/>
      </w:r>
      <w:r w:rsidRPr="00B13B9A">
        <w:rPr>
          <w:rFonts w:asciiTheme="majorHAnsi" w:hAnsiTheme="majorHAnsi" w:cstheme="majorHAnsi"/>
          <w:sz w:val="24"/>
          <w:szCs w:val="24"/>
          <w:lang w:val="ro-MD"/>
        </w:rPr>
        <w:t>.</w:t>
      </w:r>
    </w:p>
    <w:p w14:paraId="3D8D9861" w14:textId="3E3415A4" w:rsidR="006354E6" w:rsidRPr="00B13B9A" w:rsidRDefault="006354E6" w:rsidP="00077FEE">
      <w:pPr>
        <w:pStyle w:val="a7"/>
        <w:spacing w:after="0" w:line="276" w:lineRule="auto"/>
        <w:ind w:left="0"/>
        <w:jc w:val="both"/>
        <w:rPr>
          <w:rFonts w:asciiTheme="majorHAnsi" w:eastAsia="Times New Roman" w:hAnsiTheme="majorHAnsi" w:cstheme="majorHAnsi"/>
          <w:sz w:val="24"/>
          <w:szCs w:val="24"/>
          <w:lang w:val="ro-MD" w:eastAsia="ro-MD"/>
        </w:rPr>
      </w:pPr>
      <w:r w:rsidRPr="00B13B9A">
        <w:rPr>
          <w:rFonts w:asciiTheme="majorHAnsi" w:eastAsia="Times New Roman" w:hAnsiTheme="majorHAnsi" w:cstheme="majorHAnsi"/>
          <w:sz w:val="24"/>
          <w:szCs w:val="24"/>
          <w:lang w:val="ro-MD" w:eastAsia="ro-MD"/>
        </w:rPr>
        <w:t>Informa</w:t>
      </w:r>
      <w:r w:rsidR="00B13B9A" w:rsidRPr="00B13B9A">
        <w:rPr>
          <w:rFonts w:asciiTheme="majorHAnsi" w:eastAsia="Times New Roman" w:hAnsiTheme="majorHAnsi" w:cstheme="majorHAnsi"/>
          <w:sz w:val="24"/>
          <w:szCs w:val="24"/>
          <w:lang w:val="ro-MD" w:eastAsia="ro-MD"/>
        </w:rPr>
        <w:t>ț</w:t>
      </w:r>
      <w:r w:rsidRPr="00B13B9A">
        <w:rPr>
          <w:rFonts w:asciiTheme="majorHAnsi" w:eastAsia="Times New Roman" w:hAnsiTheme="majorHAnsi" w:cstheme="majorHAnsi"/>
          <w:sz w:val="24"/>
          <w:szCs w:val="24"/>
          <w:lang w:val="ro-MD" w:eastAsia="ro-MD"/>
        </w:rPr>
        <w:t xml:space="preserve">iile detaliate privind structura veniturile </w:t>
      </w:r>
      <w:r w:rsidR="00B13B9A" w:rsidRPr="00B13B9A">
        <w:rPr>
          <w:rFonts w:asciiTheme="majorHAnsi" w:eastAsia="Times New Roman" w:hAnsiTheme="majorHAnsi" w:cstheme="majorHAnsi"/>
          <w:sz w:val="24"/>
          <w:szCs w:val="24"/>
          <w:lang w:val="ro-MD" w:eastAsia="ro-MD"/>
        </w:rPr>
        <w:t>ș</w:t>
      </w:r>
      <w:r w:rsidRPr="00B13B9A">
        <w:rPr>
          <w:rFonts w:asciiTheme="majorHAnsi" w:eastAsia="Times New Roman" w:hAnsiTheme="majorHAnsi" w:cstheme="majorHAnsi"/>
          <w:sz w:val="24"/>
          <w:szCs w:val="24"/>
          <w:lang w:val="ro-MD" w:eastAsia="ro-MD"/>
        </w:rPr>
        <w:t xml:space="preserve">i cheltuielile IMSP IFP </w:t>
      </w:r>
      <w:r w:rsidR="00EC3F5F" w:rsidRPr="00B13B9A">
        <w:rPr>
          <w:rFonts w:asciiTheme="majorHAnsi" w:eastAsia="Times New Roman" w:hAnsiTheme="majorHAnsi" w:cstheme="majorHAnsi"/>
          <w:sz w:val="24"/>
          <w:szCs w:val="24"/>
          <w:lang w:val="ro-MD" w:eastAsia="ro-MD"/>
        </w:rPr>
        <w:t xml:space="preserve">„Chiril Draganiuc” </w:t>
      </w:r>
      <w:r w:rsidRPr="00B13B9A">
        <w:rPr>
          <w:rFonts w:asciiTheme="majorHAnsi" w:eastAsia="Times New Roman" w:hAnsiTheme="majorHAnsi" w:cstheme="majorHAnsi"/>
          <w:sz w:val="24"/>
          <w:szCs w:val="24"/>
          <w:lang w:val="ro-MD" w:eastAsia="ro-MD"/>
        </w:rPr>
        <w:t>pe anii 2021-2022 sunt expuse în Anexa nr.</w:t>
      </w:r>
      <w:r w:rsidR="007B43A3">
        <w:rPr>
          <w:rFonts w:asciiTheme="majorHAnsi" w:eastAsia="Times New Roman" w:hAnsiTheme="majorHAnsi" w:cstheme="majorHAnsi"/>
          <w:sz w:val="24"/>
          <w:szCs w:val="24"/>
          <w:lang w:val="ro-MD" w:eastAsia="ro-MD"/>
        </w:rPr>
        <w:t>3</w:t>
      </w:r>
      <w:r w:rsidR="00946A1F" w:rsidRPr="00B13B9A">
        <w:rPr>
          <w:rFonts w:asciiTheme="majorHAnsi" w:eastAsia="Times New Roman" w:hAnsiTheme="majorHAnsi" w:cstheme="majorHAnsi"/>
          <w:sz w:val="24"/>
          <w:szCs w:val="24"/>
          <w:lang w:val="ro-MD" w:eastAsia="ro-MD"/>
        </w:rPr>
        <w:t xml:space="preserve"> la prezentul Raport de audit</w:t>
      </w:r>
      <w:r w:rsidRPr="00B13B9A">
        <w:rPr>
          <w:rFonts w:asciiTheme="majorHAnsi" w:eastAsia="Times New Roman" w:hAnsiTheme="majorHAnsi" w:cstheme="majorHAnsi"/>
          <w:i/>
          <w:sz w:val="24"/>
          <w:szCs w:val="24"/>
          <w:lang w:val="ro-MD" w:eastAsia="ro-MD"/>
        </w:rPr>
        <w:t>.</w:t>
      </w:r>
      <w:r w:rsidRPr="00B13B9A">
        <w:rPr>
          <w:rFonts w:asciiTheme="majorHAnsi" w:eastAsia="Times New Roman" w:hAnsiTheme="majorHAnsi" w:cstheme="majorHAnsi"/>
          <w:sz w:val="24"/>
          <w:szCs w:val="24"/>
          <w:lang w:val="ro-MD" w:eastAsia="ro-MD"/>
        </w:rPr>
        <w:t xml:space="preserve"> O analiză a veniturilor denotă faptul că ponderea cea mai mare a </w:t>
      </w:r>
      <w:r w:rsidR="00337CCA" w:rsidRPr="00B13B9A">
        <w:rPr>
          <w:rFonts w:asciiTheme="majorHAnsi" w:eastAsia="Times New Roman" w:hAnsiTheme="majorHAnsi" w:cstheme="majorHAnsi"/>
          <w:sz w:val="24"/>
          <w:szCs w:val="24"/>
          <w:lang w:val="ro-MD" w:eastAsia="ro-MD"/>
        </w:rPr>
        <w:t>acestora</w:t>
      </w:r>
      <w:r w:rsidRPr="00B13B9A">
        <w:rPr>
          <w:rFonts w:asciiTheme="majorHAnsi" w:eastAsia="Times New Roman" w:hAnsiTheme="majorHAnsi" w:cstheme="majorHAnsi"/>
          <w:sz w:val="24"/>
          <w:szCs w:val="24"/>
          <w:lang w:val="ro-MD" w:eastAsia="ro-MD"/>
        </w:rPr>
        <w:t xml:space="preserve"> </w:t>
      </w:r>
      <w:r w:rsidR="00337CCA" w:rsidRPr="00B13B9A">
        <w:rPr>
          <w:rFonts w:asciiTheme="majorHAnsi" w:eastAsia="Times New Roman" w:hAnsiTheme="majorHAnsi" w:cstheme="majorHAnsi"/>
          <w:sz w:val="24"/>
          <w:szCs w:val="24"/>
          <w:lang w:val="ro-MD" w:eastAsia="ro-MD"/>
        </w:rPr>
        <w:t>o reprezintă</w:t>
      </w:r>
      <w:r w:rsidRPr="00B13B9A">
        <w:rPr>
          <w:rFonts w:asciiTheme="majorHAnsi" w:eastAsia="Times New Roman" w:hAnsiTheme="majorHAnsi" w:cstheme="majorHAnsi"/>
          <w:sz w:val="24"/>
          <w:szCs w:val="24"/>
          <w:lang w:val="ro-MD" w:eastAsia="ro-MD"/>
        </w:rPr>
        <w:t xml:space="preserve"> </w:t>
      </w:r>
      <w:r w:rsidR="00602543" w:rsidRPr="00B13B9A">
        <w:rPr>
          <w:rFonts w:asciiTheme="majorHAnsi" w:eastAsia="Times New Roman" w:hAnsiTheme="majorHAnsi" w:cstheme="majorHAnsi"/>
          <w:sz w:val="24"/>
          <w:szCs w:val="24"/>
          <w:lang w:val="ro-MD" w:eastAsia="ro-MD"/>
        </w:rPr>
        <w:t xml:space="preserve">mijloacele financiare primite de la </w:t>
      </w:r>
      <w:r w:rsidRPr="00B13B9A">
        <w:rPr>
          <w:rFonts w:asciiTheme="majorHAnsi" w:eastAsia="Times New Roman" w:hAnsiTheme="majorHAnsi" w:cstheme="majorHAnsi"/>
          <w:sz w:val="24"/>
          <w:szCs w:val="24"/>
          <w:lang w:val="ro-MD" w:eastAsia="ro-MD"/>
        </w:rPr>
        <w:t>CNAM</w:t>
      </w:r>
      <w:r w:rsidR="00C86EC9" w:rsidRPr="00B13B9A">
        <w:rPr>
          <w:rFonts w:asciiTheme="majorHAnsi" w:eastAsia="Times New Roman" w:hAnsiTheme="majorHAnsi" w:cstheme="majorHAnsi"/>
          <w:sz w:val="24"/>
          <w:szCs w:val="24"/>
          <w:lang w:val="ro-MD" w:eastAsia="ro-MD"/>
        </w:rPr>
        <w:t>, în baza contractelor de acordare a serviciilor</w:t>
      </w:r>
      <w:r w:rsidRPr="00B13B9A">
        <w:rPr>
          <w:rFonts w:asciiTheme="majorHAnsi" w:eastAsia="Times New Roman" w:hAnsiTheme="majorHAnsi" w:cstheme="majorHAnsi"/>
          <w:sz w:val="24"/>
          <w:szCs w:val="24"/>
          <w:lang w:val="ro-MD" w:eastAsia="ro-MD"/>
        </w:rPr>
        <w:t xml:space="preserve"> în </w:t>
      </w:r>
      <w:r w:rsidR="00C86EC9" w:rsidRPr="00B13B9A">
        <w:rPr>
          <w:rFonts w:asciiTheme="majorHAnsi" w:eastAsia="Times New Roman" w:hAnsiTheme="majorHAnsi" w:cstheme="majorHAnsi"/>
          <w:sz w:val="24"/>
          <w:szCs w:val="24"/>
          <w:lang w:val="ro-MD" w:eastAsia="ro-MD"/>
        </w:rPr>
        <w:t>sumă de</w:t>
      </w:r>
      <w:r w:rsidRPr="00B13B9A">
        <w:rPr>
          <w:rFonts w:asciiTheme="majorHAnsi" w:eastAsia="Times New Roman" w:hAnsiTheme="majorHAnsi" w:cstheme="majorHAnsi"/>
          <w:sz w:val="24"/>
          <w:szCs w:val="24"/>
          <w:lang w:val="ro-MD" w:eastAsia="ro-MD"/>
        </w:rPr>
        <w:t xml:space="preserve"> 115 657,7 mii lei în anul 2021 </w:t>
      </w:r>
      <w:r w:rsidR="00B13B9A" w:rsidRPr="00B13B9A">
        <w:rPr>
          <w:rFonts w:asciiTheme="majorHAnsi" w:eastAsia="Times New Roman" w:hAnsiTheme="majorHAnsi" w:cstheme="majorHAnsi"/>
          <w:sz w:val="24"/>
          <w:szCs w:val="24"/>
          <w:lang w:val="ro-MD" w:eastAsia="ro-MD"/>
        </w:rPr>
        <w:t>ș</w:t>
      </w:r>
      <w:r w:rsidRPr="00B13B9A">
        <w:rPr>
          <w:rFonts w:asciiTheme="majorHAnsi" w:eastAsia="Times New Roman" w:hAnsiTheme="majorHAnsi" w:cstheme="majorHAnsi"/>
          <w:sz w:val="24"/>
          <w:szCs w:val="24"/>
          <w:lang w:val="ro-MD" w:eastAsia="ro-MD"/>
        </w:rPr>
        <w:t xml:space="preserve">i </w:t>
      </w:r>
      <w:r w:rsidR="00337CCA" w:rsidRPr="00B13B9A">
        <w:rPr>
          <w:rFonts w:asciiTheme="majorHAnsi" w:eastAsia="Times New Roman" w:hAnsiTheme="majorHAnsi" w:cstheme="majorHAnsi"/>
          <w:sz w:val="24"/>
          <w:szCs w:val="24"/>
          <w:lang w:val="ro-MD" w:eastAsia="ro-MD"/>
        </w:rPr>
        <w:t xml:space="preserve">de </w:t>
      </w:r>
      <w:r w:rsidRPr="00B13B9A">
        <w:rPr>
          <w:rFonts w:asciiTheme="majorHAnsi" w:eastAsia="Times New Roman" w:hAnsiTheme="majorHAnsi" w:cstheme="majorHAnsi"/>
          <w:sz w:val="24"/>
          <w:szCs w:val="24"/>
          <w:lang w:val="ro-MD" w:eastAsia="ro-MD"/>
        </w:rPr>
        <w:t>117 890,4 mii lei în anul 2022</w:t>
      </w:r>
      <w:r w:rsidR="00337CCA" w:rsidRPr="00B13B9A">
        <w:rPr>
          <w:rFonts w:asciiTheme="majorHAnsi" w:eastAsia="Times New Roman" w:hAnsiTheme="majorHAnsi" w:cstheme="majorHAnsi"/>
          <w:sz w:val="24"/>
          <w:szCs w:val="24"/>
          <w:lang w:val="ro-MD" w:eastAsia="ro-MD"/>
        </w:rPr>
        <w:t>,</w:t>
      </w:r>
      <w:r w:rsidRPr="00B13B9A">
        <w:rPr>
          <w:rFonts w:asciiTheme="majorHAnsi" w:eastAsia="Times New Roman" w:hAnsiTheme="majorHAnsi" w:cstheme="majorHAnsi"/>
          <w:sz w:val="24"/>
          <w:szCs w:val="24"/>
          <w:lang w:val="ro-MD" w:eastAsia="ro-MD"/>
        </w:rPr>
        <w:t xml:space="preserve"> sau cca 73,4% din volumul total de venituri. Acestea</w:t>
      </w:r>
      <w:r w:rsidR="006F78BD" w:rsidRPr="00B13B9A">
        <w:rPr>
          <w:rFonts w:asciiTheme="majorHAnsi" w:eastAsia="Times New Roman" w:hAnsiTheme="majorHAnsi" w:cstheme="majorHAnsi"/>
          <w:sz w:val="24"/>
          <w:szCs w:val="24"/>
          <w:lang w:val="ro-MD" w:eastAsia="ro-MD"/>
        </w:rPr>
        <w:t xml:space="preserve"> sunt urmate</w:t>
      </w:r>
      <w:r w:rsidRPr="00B13B9A">
        <w:rPr>
          <w:rFonts w:asciiTheme="majorHAnsi" w:eastAsia="Times New Roman" w:hAnsiTheme="majorHAnsi" w:cstheme="majorHAnsi"/>
          <w:sz w:val="24"/>
          <w:szCs w:val="24"/>
          <w:lang w:val="ro-MD" w:eastAsia="ro-MD"/>
        </w:rPr>
        <w:t xml:space="preserve"> de ajutoarele umanitare primite în </w:t>
      </w:r>
      <w:r w:rsidR="006F78BD" w:rsidRPr="00B13B9A">
        <w:rPr>
          <w:rFonts w:asciiTheme="majorHAnsi" w:eastAsia="Times New Roman" w:hAnsiTheme="majorHAnsi" w:cstheme="majorHAnsi"/>
          <w:sz w:val="24"/>
          <w:szCs w:val="24"/>
          <w:lang w:val="ro-MD" w:eastAsia="ro-MD"/>
        </w:rPr>
        <w:t>sumă</w:t>
      </w:r>
      <w:r w:rsidRPr="00B13B9A">
        <w:rPr>
          <w:rFonts w:asciiTheme="majorHAnsi" w:eastAsia="Times New Roman" w:hAnsiTheme="majorHAnsi" w:cstheme="majorHAnsi"/>
          <w:sz w:val="24"/>
          <w:szCs w:val="24"/>
          <w:lang w:val="ro-MD" w:eastAsia="ro-MD"/>
        </w:rPr>
        <w:t xml:space="preserve"> de 25 837,3 mii lei în anul 2021 </w:t>
      </w:r>
      <w:r w:rsidR="00B13B9A" w:rsidRPr="00B13B9A">
        <w:rPr>
          <w:rFonts w:asciiTheme="majorHAnsi" w:eastAsia="Times New Roman" w:hAnsiTheme="majorHAnsi" w:cstheme="majorHAnsi"/>
          <w:sz w:val="24"/>
          <w:szCs w:val="24"/>
          <w:lang w:val="ro-MD" w:eastAsia="ro-MD"/>
        </w:rPr>
        <w:t>ș</w:t>
      </w:r>
      <w:r w:rsidRPr="00B13B9A">
        <w:rPr>
          <w:rFonts w:asciiTheme="majorHAnsi" w:eastAsia="Times New Roman" w:hAnsiTheme="majorHAnsi" w:cstheme="majorHAnsi"/>
          <w:sz w:val="24"/>
          <w:szCs w:val="24"/>
          <w:lang w:val="ro-MD" w:eastAsia="ro-MD"/>
        </w:rPr>
        <w:t xml:space="preserve">i </w:t>
      </w:r>
      <w:r w:rsidR="00337CCA" w:rsidRPr="00B13B9A">
        <w:rPr>
          <w:rFonts w:asciiTheme="majorHAnsi" w:eastAsia="Times New Roman" w:hAnsiTheme="majorHAnsi" w:cstheme="majorHAnsi"/>
          <w:sz w:val="24"/>
          <w:szCs w:val="24"/>
          <w:lang w:val="ro-MD" w:eastAsia="ro-MD"/>
        </w:rPr>
        <w:t xml:space="preserve">de </w:t>
      </w:r>
      <w:r w:rsidRPr="00B13B9A">
        <w:rPr>
          <w:rFonts w:asciiTheme="majorHAnsi" w:eastAsia="Times New Roman" w:hAnsiTheme="majorHAnsi" w:cstheme="majorHAnsi"/>
          <w:sz w:val="24"/>
          <w:szCs w:val="24"/>
          <w:lang w:val="ro-MD" w:eastAsia="ro-MD"/>
        </w:rPr>
        <w:t>28 785,2 mii lei în anul 2022</w:t>
      </w:r>
      <w:r w:rsidR="001942DA" w:rsidRPr="00B13B9A">
        <w:rPr>
          <w:rFonts w:asciiTheme="majorHAnsi" w:eastAsia="Times New Roman" w:hAnsiTheme="majorHAnsi" w:cstheme="majorHAnsi"/>
          <w:sz w:val="24"/>
          <w:szCs w:val="24"/>
          <w:lang w:val="ro-MD" w:eastAsia="ro-MD"/>
        </w:rPr>
        <w:t>, ceea ce constituie</w:t>
      </w:r>
      <w:r w:rsidRPr="00B13B9A">
        <w:rPr>
          <w:rFonts w:asciiTheme="majorHAnsi" w:eastAsia="Times New Roman" w:hAnsiTheme="majorHAnsi" w:cstheme="majorHAnsi"/>
          <w:sz w:val="24"/>
          <w:szCs w:val="24"/>
          <w:lang w:val="ro-MD" w:eastAsia="ro-MD"/>
        </w:rPr>
        <w:t xml:space="preserve"> cca 17,2%. Aloca</w:t>
      </w:r>
      <w:r w:rsidR="00B13B9A" w:rsidRPr="00B13B9A">
        <w:rPr>
          <w:rFonts w:asciiTheme="majorHAnsi" w:eastAsia="Times New Roman" w:hAnsiTheme="majorHAnsi" w:cstheme="majorHAnsi"/>
          <w:sz w:val="24"/>
          <w:szCs w:val="24"/>
          <w:lang w:val="ro-MD" w:eastAsia="ro-MD"/>
        </w:rPr>
        <w:t>ț</w:t>
      </w:r>
      <w:r w:rsidRPr="00B13B9A">
        <w:rPr>
          <w:rFonts w:asciiTheme="majorHAnsi" w:eastAsia="Times New Roman" w:hAnsiTheme="majorHAnsi" w:cstheme="majorHAnsi"/>
          <w:sz w:val="24"/>
          <w:szCs w:val="24"/>
          <w:lang w:val="ro-MD" w:eastAsia="ro-MD"/>
        </w:rPr>
        <w:t>iile din proiecte cu finan</w:t>
      </w:r>
      <w:r w:rsidR="00B13B9A" w:rsidRPr="00B13B9A">
        <w:rPr>
          <w:rFonts w:asciiTheme="majorHAnsi" w:eastAsia="Times New Roman" w:hAnsiTheme="majorHAnsi" w:cstheme="majorHAnsi"/>
          <w:sz w:val="24"/>
          <w:szCs w:val="24"/>
          <w:lang w:val="ro-MD" w:eastAsia="ro-MD"/>
        </w:rPr>
        <w:t>ț</w:t>
      </w:r>
      <w:r w:rsidRPr="00B13B9A">
        <w:rPr>
          <w:rFonts w:asciiTheme="majorHAnsi" w:eastAsia="Times New Roman" w:hAnsiTheme="majorHAnsi" w:cstheme="majorHAnsi"/>
          <w:sz w:val="24"/>
          <w:szCs w:val="24"/>
          <w:lang w:val="ro-MD" w:eastAsia="ro-MD"/>
        </w:rPr>
        <w:t>are externă a</w:t>
      </w:r>
      <w:r w:rsidR="001942DA" w:rsidRPr="00B13B9A">
        <w:rPr>
          <w:rFonts w:asciiTheme="majorHAnsi" w:eastAsia="Times New Roman" w:hAnsiTheme="majorHAnsi" w:cstheme="majorHAnsi"/>
          <w:sz w:val="24"/>
          <w:szCs w:val="24"/>
          <w:lang w:val="ro-MD" w:eastAsia="ro-MD"/>
        </w:rPr>
        <w:t>u</w:t>
      </w:r>
      <w:r w:rsidRPr="00B13B9A">
        <w:rPr>
          <w:rFonts w:asciiTheme="majorHAnsi" w:eastAsia="Times New Roman" w:hAnsiTheme="majorHAnsi" w:cstheme="majorHAnsi"/>
          <w:sz w:val="24"/>
          <w:szCs w:val="24"/>
          <w:lang w:val="ro-MD" w:eastAsia="ro-MD"/>
        </w:rPr>
        <w:t xml:space="preserve"> constituit 11 212,4 mii lei în anul 2021 </w:t>
      </w:r>
      <w:r w:rsidR="00B13B9A" w:rsidRPr="00B13B9A">
        <w:rPr>
          <w:rFonts w:asciiTheme="majorHAnsi" w:eastAsia="Times New Roman" w:hAnsiTheme="majorHAnsi" w:cstheme="majorHAnsi"/>
          <w:sz w:val="24"/>
          <w:szCs w:val="24"/>
          <w:lang w:val="ro-MD" w:eastAsia="ro-MD"/>
        </w:rPr>
        <w:t>ș</w:t>
      </w:r>
      <w:r w:rsidRPr="00B13B9A">
        <w:rPr>
          <w:rFonts w:asciiTheme="majorHAnsi" w:eastAsia="Times New Roman" w:hAnsiTheme="majorHAnsi" w:cstheme="majorHAnsi"/>
          <w:sz w:val="24"/>
          <w:szCs w:val="24"/>
          <w:lang w:val="ro-MD" w:eastAsia="ro-MD"/>
        </w:rPr>
        <w:t xml:space="preserve">i </w:t>
      </w:r>
      <w:r w:rsidR="00337CCA" w:rsidRPr="00B13B9A">
        <w:rPr>
          <w:rFonts w:asciiTheme="majorHAnsi" w:eastAsia="Times New Roman" w:hAnsiTheme="majorHAnsi" w:cstheme="majorHAnsi"/>
          <w:sz w:val="24"/>
          <w:szCs w:val="24"/>
          <w:lang w:val="ro-MD" w:eastAsia="ro-MD"/>
        </w:rPr>
        <w:t xml:space="preserve">de </w:t>
      </w:r>
      <w:r w:rsidRPr="00B13B9A">
        <w:rPr>
          <w:rFonts w:asciiTheme="majorHAnsi" w:eastAsia="Times New Roman" w:hAnsiTheme="majorHAnsi" w:cstheme="majorHAnsi"/>
          <w:sz w:val="24"/>
          <w:szCs w:val="24"/>
          <w:lang w:val="ro-MD" w:eastAsia="ro-MD"/>
        </w:rPr>
        <w:t>9 558,3 mii lei în anul 2022</w:t>
      </w:r>
      <w:r w:rsidR="001942DA" w:rsidRPr="00B13B9A">
        <w:rPr>
          <w:rFonts w:asciiTheme="majorHAnsi" w:eastAsia="Times New Roman" w:hAnsiTheme="majorHAnsi" w:cstheme="majorHAnsi"/>
          <w:sz w:val="24"/>
          <w:szCs w:val="24"/>
          <w:lang w:val="ro-MD" w:eastAsia="ro-MD"/>
        </w:rPr>
        <w:t>, sau cca 6,5%. V</w:t>
      </w:r>
      <w:r w:rsidRPr="00B13B9A">
        <w:rPr>
          <w:rFonts w:asciiTheme="majorHAnsi" w:eastAsia="Times New Roman" w:hAnsiTheme="majorHAnsi" w:cstheme="majorHAnsi"/>
          <w:sz w:val="24"/>
          <w:szCs w:val="24"/>
          <w:lang w:val="ro-MD" w:eastAsia="ro-MD"/>
        </w:rPr>
        <w:t>enituril</w:t>
      </w:r>
      <w:r w:rsidR="001942DA" w:rsidRPr="00B13B9A">
        <w:rPr>
          <w:rFonts w:asciiTheme="majorHAnsi" w:eastAsia="Times New Roman" w:hAnsiTheme="majorHAnsi" w:cstheme="majorHAnsi"/>
          <w:sz w:val="24"/>
          <w:szCs w:val="24"/>
          <w:lang w:val="ro-MD" w:eastAsia="ro-MD"/>
        </w:rPr>
        <w:t>e</w:t>
      </w:r>
      <w:r w:rsidRPr="00B13B9A">
        <w:rPr>
          <w:rFonts w:asciiTheme="majorHAnsi" w:eastAsia="Times New Roman" w:hAnsiTheme="majorHAnsi" w:cstheme="majorHAnsi"/>
          <w:sz w:val="24"/>
          <w:szCs w:val="24"/>
          <w:lang w:val="ro-MD" w:eastAsia="ro-MD"/>
        </w:rPr>
        <w:t xml:space="preserve"> din </w:t>
      </w:r>
      <w:r w:rsidR="00AE15A5" w:rsidRPr="00B13B9A">
        <w:rPr>
          <w:rFonts w:asciiTheme="majorHAnsi" w:eastAsia="Times New Roman" w:hAnsiTheme="majorHAnsi" w:cstheme="majorHAnsi"/>
          <w:sz w:val="24"/>
          <w:szCs w:val="24"/>
          <w:lang w:val="ro-MD" w:eastAsia="ro-MD"/>
        </w:rPr>
        <w:t xml:space="preserve">activitatea </w:t>
      </w:r>
      <w:r w:rsidR="00B13B9A" w:rsidRPr="00B13B9A">
        <w:rPr>
          <w:rFonts w:asciiTheme="majorHAnsi" w:eastAsia="Times New Roman" w:hAnsiTheme="majorHAnsi" w:cstheme="majorHAnsi"/>
          <w:sz w:val="24"/>
          <w:szCs w:val="24"/>
          <w:lang w:val="ro-MD" w:eastAsia="ro-MD"/>
        </w:rPr>
        <w:t>ș</w:t>
      </w:r>
      <w:r w:rsidRPr="00B13B9A">
        <w:rPr>
          <w:rFonts w:asciiTheme="majorHAnsi" w:eastAsia="Times New Roman" w:hAnsiTheme="majorHAnsi" w:cstheme="majorHAnsi"/>
          <w:sz w:val="24"/>
          <w:szCs w:val="24"/>
          <w:lang w:val="ro-MD" w:eastAsia="ro-MD"/>
        </w:rPr>
        <w:t>tiin</w:t>
      </w:r>
      <w:r w:rsidR="00B13B9A" w:rsidRPr="00B13B9A">
        <w:rPr>
          <w:rFonts w:asciiTheme="majorHAnsi" w:eastAsia="Times New Roman" w:hAnsiTheme="majorHAnsi" w:cstheme="majorHAnsi"/>
          <w:sz w:val="24"/>
          <w:szCs w:val="24"/>
          <w:lang w:val="ro-MD" w:eastAsia="ro-MD"/>
        </w:rPr>
        <w:t>ț</w:t>
      </w:r>
      <w:r w:rsidR="00AE15A5" w:rsidRPr="00B13B9A">
        <w:rPr>
          <w:rFonts w:asciiTheme="majorHAnsi" w:eastAsia="Times New Roman" w:hAnsiTheme="majorHAnsi" w:cstheme="majorHAnsi"/>
          <w:sz w:val="24"/>
          <w:szCs w:val="24"/>
          <w:lang w:val="ro-MD" w:eastAsia="ro-MD"/>
        </w:rPr>
        <w:t>ific</w:t>
      </w:r>
      <w:r w:rsidRPr="00B13B9A">
        <w:rPr>
          <w:rFonts w:asciiTheme="majorHAnsi" w:eastAsia="Times New Roman" w:hAnsiTheme="majorHAnsi" w:cstheme="majorHAnsi"/>
          <w:sz w:val="24"/>
          <w:szCs w:val="24"/>
          <w:lang w:val="ro-MD" w:eastAsia="ro-MD"/>
        </w:rPr>
        <w:t>ă, servicii</w:t>
      </w:r>
      <w:r w:rsidR="00337CCA" w:rsidRPr="00B13B9A">
        <w:rPr>
          <w:rFonts w:asciiTheme="majorHAnsi" w:eastAsia="Times New Roman" w:hAnsiTheme="majorHAnsi" w:cstheme="majorHAnsi"/>
          <w:sz w:val="24"/>
          <w:szCs w:val="24"/>
          <w:lang w:val="ro-MD" w:eastAsia="ro-MD"/>
        </w:rPr>
        <w:t>le</w:t>
      </w:r>
      <w:r w:rsidRPr="00B13B9A">
        <w:rPr>
          <w:rFonts w:asciiTheme="majorHAnsi" w:eastAsia="Times New Roman" w:hAnsiTheme="majorHAnsi" w:cstheme="majorHAnsi"/>
          <w:sz w:val="24"/>
          <w:szCs w:val="24"/>
          <w:lang w:val="ro-MD" w:eastAsia="ro-MD"/>
        </w:rPr>
        <w:t xml:space="preserve"> cu plată </w:t>
      </w:r>
      <w:r w:rsidR="00B13B9A" w:rsidRPr="00B13B9A">
        <w:rPr>
          <w:rFonts w:asciiTheme="majorHAnsi" w:eastAsia="Times New Roman" w:hAnsiTheme="majorHAnsi" w:cstheme="majorHAnsi"/>
          <w:sz w:val="24"/>
          <w:szCs w:val="24"/>
          <w:lang w:val="ro-MD" w:eastAsia="ro-MD"/>
        </w:rPr>
        <w:t>ș</w:t>
      </w:r>
      <w:r w:rsidRPr="00B13B9A">
        <w:rPr>
          <w:rFonts w:asciiTheme="majorHAnsi" w:eastAsia="Times New Roman" w:hAnsiTheme="majorHAnsi" w:cstheme="majorHAnsi"/>
          <w:sz w:val="24"/>
          <w:szCs w:val="24"/>
          <w:lang w:val="ro-MD" w:eastAsia="ro-MD"/>
        </w:rPr>
        <w:t xml:space="preserve">i alte venituri </w:t>
      </w:r>
      <w:r w:rsidR="00337CCA" w:rsidRPr="00B13B9A">
        <w:rPr>
          <w:rFonts w:asciiTheme="majorHAnsi" w:eastAsia="Times New Roman" w:hAnsiTheme="majorHAnsi" w:cstheme="majorHAnsi"/>
          <w:sz w:val="24"/>
          <w:szCs w:val="24"/>
          <w:lang w:val="ro-MD" w:eastAsia="ro-MD"/>
        </w:rPr>
        <w:t xml:space="preserve">reprezintă </w:t>
      </w:r>
      <w:r w:rsidRPr="00B13B9A">
        <w:rPr>
          <w:rFonts w:asciiTheme="majorHAnsi" w:eastAsia="Times New Roman" w:hAnsiTheme="majorHAnsi" w:cstheme="majorHAnsi"/>
          <w:sz w:val="24"/>
          <w:szCs w:val="24"/>
          <w:lang w:val="ro-MD" w:eastAsia="ro-MD"/>
        </w:rPr>
        <w:t xml:space="preserve">cumulativ cca 3% din totalul veniturilor. </w:t>
      </w:r>
    </w:p>
    <w:p w14:paraId="0BA83BA8" w14:textId="5983A71E" w:rsidR="00337CCA" w:rsidRPr="00B13B9A" w:rsidRDefault="00D56F4C" w:rsidP="00873798">
      <w:pPr>
        <w:spacing w:line="276" w:lineRule="auto"/>
        <w:jc w:val="both"/>
        <w:rPr>
          <w:rFonts w:asciiTheme="majorHAnsi" w:eastAsia="Times New Roman" w:hAnsiTheme="majorHAnsi" w:cstheme="majorHAnsi"/>
          <w:sz w:val="24"/>
          <w:szCs w:val="24"/>
          <w:lang w:val="ro-MD" w:eastAsia="ro-MD"/>
        </w:rPr>
      </w:pPr>
      <w:r w:rsidRPr="00B13B9A">
        <w:rPr>
          <w:rFonts w:asciiTheme="majorHAnsi" w:eastAsia="Times New Roman" w:hAnsiTheme="majorHAnsi" w:cstheme="majorHAnsi"/>
          <w:sz w:val="24"/>
          <w:szCs w:val="24"/>
          <w:lang w:val="ro-MD" w:eastAsia="ro-MD"/>
        </w:rPr>
        <w:t>Cheltuielile IMSP în perioada auditată au înregistrat o cre</w:t>
      </w:r>
      <w:r w:rsidR="00B13B9A" w:rsidRPr="00B13B9A">
        <w:rPr>
          <w:rFonts w:asciiTheme="majorHAnsi" w:eastAsia="Times New Roman" w:hAnsiTheme="majorHAnsi" w:cstheme="majorHAnsi"/>
          <w:sz w:val="24"/>
          <w:szCs w:val="24"/>
          <w:lang w:val="ro-MD" w:eastAsia="ro-MD"/>
        </w:rPr>
        <w:t>ș</w:t>
      </w:r>
      <w:r w:rsidRPr="00B13B9A">
        <w:rPr>
          <w:rFonts w:asciiTheme="majorHAnsi" w:eastAsia="Times New Roman" w:hAnsiTheme="majorHAnsi" w:cstheme="majorHAnsi"/>
          <w:sz w:val="24"/>
          <w:szCs w:val="24"/>
          <w:lang w:val="ro-MD" w:eastAsia="ro-MD"/>
        </w:rPr>
        <w:t xml:space="preserve">tere cu </w:t>
      </w:r>
      <w:r w:rsidR="0026385B" w:rsidRPr="00B13B9A">
        <w:rPr>
          <w:rFonts w:asciiTheme="majorHAnsi" w:eastAsia="Times New Roman" w:hAnsiTheme="majorHAnsi" w:cstheme="majorHAnsi"/>
          <w:sz w:val="24"/>
          <w:szCs w:val="24"/>
          <w:lang w:val="ro-MD" w:eastAsia="ro-MD"/>
        </w:rPr>
        <w:t>3 199,2</w:t>
      </w:r>
      <w:r w:rsidRPr="00B13B9A">
        <w:rPr>
          <w:rFonts w:asciiTheme="majorHAnsi" w:eastAsia="Times New Roman" w:hAnsiTheme="majorHAnsi" w:cstheme="majorHAnsi"/>
          <w:sz w:val="24"/>
          <w:szCs w:val="24"/>
          <w:lang w:val="ro-MD" w:eastAsia="ro-MD"/>
        </w:rPr>
        <w:t xml:space="preserve"> mii lei, de la </w:t>
      </w:r>
      <w:r w:rsidR="0026385B" w:rsidRPr="00B13B9A">
        <w:rPr>
          <w:rFonts w:asciiTheme="majorHAnsi" w:eastAsia="Times New Roman" w:hAnsiTheme="majorHAnsi" w:cstheme="majorHAnsi"/>
          <w:sz w:val="24"/>
          <w:szCs w:val="24"/>
          <w:lang w:val="ro-MD" w:eastAsia="ro-MD"/>
        </w:rPr>
        <w:t>157 401,2</w:t>
      </w:r>
      <w:r w:rsidRPr="00B13B9A">
        <w:rPr>
          <w:rFonts w:asciiTheme="majorHAnsi" w:eastAsia="Times New Roman" w:hAnsiTheme="majorHAnsi" w:cstheme="majorHAnsi"/>
          <w:sz w:val="24"/>
          <w:szCs w:val="24"/>
          <w:lang w:val="ro-MD" w:eastAsia="ro-MD"/>
        </w:rPr>
        <w:t xml:space="preserve"> mii lei în 2021 la </w:t>
      </w:r>
      <w:r w:rsidR="0026385B" w:rsidRPr="00B13B9A">
        <w:rPr>
          <w:rFonts w:asciiTheme="majorHAnsi" w:eastAsia="Times New Roman" w:hAnsiTheme="majorHAnsi" w:cstheme="majorHAnsi"/>
          <w:sz w:val="24"/>
          <w:szCs w:val="24"/>
          <w:lang w:val="ro-MD" w:eastAsia="ro-MD"/>
        </w:rPr>
        <w:t>160 600,4</w:t>
      </w:r>
      <w:r w:rsidRPr="00B13B9A">
        <w:rPr>
          <w:rFonts w:asciiTheme="majorHAnsi" w:eastAsia="Times New Roman" w:hAnsiTheme="majorHAnsi" w:cstheme="majorHAnsi"/>
          <w:sz w:val="24"/>
          <w:szCs w:val="24"/>
          <w:lang w:val="ro-MD" w:eastAsia="ro-MD"/>
        </w:rPr>
        <w:t xml:space="preserve"> mii lei în 2022, iar </w:t>
      </w:r>
      <w:r w:rsidR="00FC3896" w:rsidRPr="00B13B9A">
        <w:rPr>
          <w:rFonts w:asciiTheme="majorHAnsi" w:eastAsia="Times New Roman" w:hAnsiTheme="majorHAnsi" w:cstheme="majorHAnsi"/>
          <w:sz w:val="24"/>
          <w:szCs w:val="24"/>
          <w:lang w:val="ro-MD" w:eastAsia="ro-MD"/>
        </w:rPr>
        <w:t xml:space="preserve">pentru primul semestru al </w:t>
      </w:r>
      <w:r w:rsidRPr="00B13B9A">
        <w:rPr>
          <w:rFonts w:asciiTheme="majorHAnsi" w:eastAsia="Times New Roman" w:hAnsiTheme="majorHAnsi" w:cstheme="majorHAnsi"/>
          <w:sz w:val="24"/>
          <w:szCs w:val="24"/>
          <w:lang w:val="ro-MD" w:eastAsia="ro-MD"/>
        </w:rPr>
        <w:t>anul</w:t>
      </w:r>
      <w:r w:rsidR="00FC3896" w:rsidRPr="00B13B9A">
        <w:rPr>
          <w:rFonts w:asciiTheme="majorHAnsi" w:eastAsia="Times New Roman" w:hAnsiTheme="majorHAnsi" w:cstheme="majorHAnsi"/>
          <w:sz w:val="24"/>
          <w:szCs w:val="24"/>
          <w:lang w:val="ro-MD" w:eastAsia="ro-MD"/>
        </w:rPr>
        <w:t>ui</w:t>
      </w:r>
      <w:r w:rsidRPr="00B13B9A">
        <w:rPr>
          <w:rFonts w:asciiTheme="majorHAnsi" w:eastAsia="Times New Roman" w:hAnsiTheme="majorHAnsi" w:cstheme="majorHAnsi"/>
          <w:sz w:val="24"/>
          <w:szCs w:val="24"/>
          <w:lang w:val="ro-MD" w:eastAsia="ro-MD"/>
        </w:rPr>
        <w:t xml:space="preserve"> 2023 </w:t>
      </w:r>
      <w:r w:rsidR="003E7EE1" w:rsidRPr="00B13B9A">
        <w:rPr>
          <w:rFonts w:asciiTheme="majorHAnsi" w:eastAsia="Times New Roman" w:hAnsiTheme="majorHAnsi" w:cstheme="majorHAnsi"/>
          <w:sz w:val="24"/>
          <w:szCs w:val="24"/>
          <w:lang w:val="ro-MD" w:eastAsia="ro-MD"/>
        </w:rPr>
        <w:t>au</w:t>
      </w:r>
      <w:r w:rsidRPr="00B13B9A">
        <w:rPr>
          <w:rFonts w:asciiTheme="majorHAnsi" w:eastAsia="Times New Roman" w:hAnsiTheme="majorHAnsi" w:cstheme="majorHAnsi"/>
          <w:sz w:val="24"/>
          <w:szCs w:val="24"/>
          <w:lang w:val="ro-MD" w:eastAsia="ro-MD"/>
        </w:rPr>
        <w:t xml:space="preserve"> </w:t>
      </w:r>
      <w:r w:rsidR="00337CCA" w:rsidRPr="00B13B9A">
        <w:rPr>
          <w:rFonts w:asciiTheme="majorHAnsi" w:eastAsia="Times New Roman" w:hAnsiTheme="majorHAnsi" w:cstheme="majorHAnsi"/>
          <w:sz w:val="24"/>
          <w:szCs w:val="24"/>
          <w:lang w:val="ro-MD" w:eastAsia="ro-MD"/>
        </w:rPr>
        <w:t xml:space="preserve">fost </w:t>
      </w:r>
      <w:r w:rsidR="00FC3896" w:rsidRPr="00B13B9A">
        <w:rPr>
          <w:rFonts w:asciiTheme="majorHAnsi" w:eastAsia="Times New Roman" w:hAnsiTheme="majorHAnsi" w:cstheme="majorHAnsi"/>
          <w:sz w:val="24"/>
          <w:szCs w:val="24"/>
          <w:lang w:val="ro-MD" w:eastAsia="ro-MD"/>
        </w:rPr>
        <w:t xml:space="preserve">executate </w:t>
      </w:r>
      <w:r w:rsidRPr="00B13B9A">
        <w:rPr>
          <w:rFonts w:asciiTheme="majorHAnsi" w:eastAsia="Times New Roman" w:hAnsiTheme="majorHAnsi" w:cstheme="majorHAnsi"/>
          <w:sz w:val="24"/>
          <w:szCs w:val="24"/>
          <w:lang w:val="ro-MD" w:eastAsia="ro-MD"/>
        </w:rPr>
        <w:t>în sumă de</w:t>
      </w:r>
      <w:r w:rsidR="00FC3896" w:rsidRPr="00B13B9A">
        <w:rPr>
          <w:rFonts w:asciiTheme="majorHAnsi" w:eastAsia="Times New Roman" w:hAnsiTheme="majorHAnsi" w:cstheme="majorHAnsi"/>
          <w:sz w:val="24"/>
          <w:szCs w:val="24"/>
          <w:lang w:val="ro-MD" w:eastAsia="ro-MD"/>
        </w:rPr>
        <w:t xml:space="preserve"> 8</w:t>
      </w:r>
      <w:r w:rsidR="00BF00EC" w:rsidRPr="00B13B9A">
        <w:rPr>
          <w:rFonts w:asciiTheme="majorHAnsi" w:eastAsia="Times New Roman" w:hAnsiTheme="majorHAnsi" w:cstheme="majorHAnsi"/>
          <w:sz w:val="24"/>
          <w:szCs w:val="24"/>
          <w:lang w:val="ro-MD" w:eastAsia="ro-MD"/>
        </w:rPr>
        <w:t>4</w:t>
      </w:r>
      <w:r w:rsidR="00FC3896" w:rsidRPr="00B13B9A">
        <w:rPr>
          <w:rFonts w:asciiTheme="majorHAnsi" w:eastAsia="Times New Roman" w:hAnsiTheme="majorHAnsi" w:cstheme="majorHAnsi"/>
          <w:sz w:val="24"/>
          <w:szCs w:val="24"/>
          <w:lang w:val="ro-MD" w:eastAsia="ro-MD"/>
        </w:rPr>
        <w:t xml:space="preserve"> </w:t>
      </w:r>
      <w:r w:rsidR="00BF00EC" w:rsidRPr="00B13B9A">
        <w:rPr>
          <w:rFonts w:asciiTheme="majorHAnsi" w:eastAsia="Times New Roman" w:hAnsiTheme="majorHAnsi" w:cstheme="majorHAnsi"/>
          <w:sz w:val="24"/>
          <w:szCs w:val="24"/>
          <w:lang w:val="ro-MD" w:eastAsia="ro-MD"/>
        </w:rPr>
        <w:t>990</w:t>
      </w:r>
      <w:r w:rsidR="00FC3896" w:rsidRPr="00B13B9A">
        <w:rPr>
          <w:rFonts w:asciiTheme="majorHAnsi" w:eastAsia="Times New Roman" w:hAnsiTheme="majorHAnsi" w:cstheme="majorHAnsi"/>
          <w:sz w:val="24"/>
          <w:szCs w:val="24"/>
          <w:lang w:val="ro-MD" w:eastAsia="ro-MD"/>
        </w:rPr>
        <w:t>,8 mii lei.</w:t>
      </w:r>
      <w:r w:rsidRPr="00B13B9A">
        <w:rPr>
          <w:rFonts w:asciiTheme="majorHAnsi" w:eastAsia="Times New Roman" w:hAnsiTheme="majorHAnsi" w:cstheme="majorHAnsi"/>
          <w:sz w:val="24"/>
          <w:szCs w:val="24"/>
          <w:lang w:val="ro-MD" w:eastAsia="ro-MD"/>
        </w:rPr>
        <w:t xml:space="preserve"> </w:t>
      </w:r>
      <w:r w:rsidR="00873798" w:rsidRPr="00B13B9A">
        <w:rPr>
          <w:rFonts w:asciiTheme="majorHAnsi" w:eastAsia="Times New Roman" w:hAnsiTheme="majorHAnsi" w:cstheme="majorHAnsi"/>
          <w:sz w:val="24"/>
          <w:szCs w:val="24"/>
          <w:lang w:val="ro-MD" w:eastAsia="ro-MD"/>
        </w:rPr>
        <w:t>M</w:t>
      </w:r>
      <w:r w:rsidR="006354E6" w:rsidRPr="00B13B9A">
        <w:rPr>
          <w:rFonts w:asciiTheme="majorHAnsi" w:eastAsia="Times New Roman" w:hAnsiTheme="majorHAnsi" w:cstheme="majorHAnsi"/>
          <w:sz w:val="24"/>
          <w:szCs w:val="24"/>
          <w:lang w:val="ro-MD" w:eastAsia="ro-MD"/>
        </w:rPr>
        <w:t>ajoritatea cheltuielilor</w:t>
      </w:r>
      <w:r w:rsidR="00873798" w:rsidRPr="00B13B9A">
        <w:rPr>
          <w:rFonts w:asciiTheme="majorHAnsi" w:eastAsia="Times New Roman" w:hAnsiTheme="majorHAnsi" w:cstheme="majorHAnsi"/>
          <w:sz w:val="24"/>
          <w:szCs w:val="24"/>
          <w:lang w:val="ro-MD" w:eastAsia="ro-MD"/>
        </w:rPr>
        <w:t xml:space="preserve"> au fost cele aferente</w:t>
      </w:r>
      <w:r w:rsidR="006354E6" w:rsidRPr="00B13B9A">
        <w:rPr>
          <w:rFonts w:asciiTheme="majorHAnsi" w:eastAsia="Times New Roman" w:hAnsiTheme="majorHAnsi" w:cstheme="majorHAnsi"/>
          <w:sz w:val="24"/>
          <w:szCs w:val="24"/>
          <w:lang w:val="ro-MD" w:eastAsia="ro-MD"/>
        </w:rPr>
        <w:t xml:space="preserve"> retribuir</w:t>
      </w:r>
      <w:r w:rsidR="00873798" w:rsidRPr="00B13B9A">
        <w:rPr>
          <w:rFonts w:asciiTheme="majorHAnsi" w:eastAsia="Times New Roman" w:hAnsiTheme="majorHAnsi" w:cstheme="majorHAnsi"/>
          <w:sz w:val="24"/>
          <w:szCs w:val="24"/>
          <w:lang w:val="ro-MD" w:eastAsia="ro-MD"/>
        </w:rPr>
        <w:t xml:space="preserve">ii muncii, care în anul 2021 au fost </w:t>
      </w:r>
      <w:r w:rsidR="006354E6" w:rsidRPr="00B13B9A">
        <w:rPr>
          <w:rFonts w:asciiTheme="majorHAnsi" w:eastAsia="Times New Roman" w:hAnsiTheme="majorHAnsi" w:cstheme="majorHAnsi"/>
          <w:sz w:val="24"/>
          <w:szCs w:val="24"/>
          <w:lang w:val="ro-MD" w:eastAsia="ro-MD"/>
        </w:rPr>
        <w:t xml:space="preserve">în </w:t>
      </w:r>
      <w:r w:rsidR="00873798" w:rsidRPr="00B13B9A">
        <w:rPr>
          <w:rFonts w:asciiTheme="majorHAnsi" w:eastAsia="Times New Roman" w:hAnsiTheme="majorHAnsi" w:cstheme="majorHAnsi"/>
          <w:sz w:val="24"/>
          <w:szCs w:val="24"/>
          <w:lang w:val="ro-MD" w:eastAsia="ro-MD"/>
        </w:rPr>
        <w:t>sumă de 86 529,0 mii lei, iar</w:t>
      </w:r>
      <w:r w:rsidR="006354E6" w:rsidRPr="00B13B9A">
        <w:rPr>
          <w:rFonts w:asciiTheme="majorHAnsi" w:eastAsia="Times New Roman" w:hAnsiTheme="majorHAnsi" w:cstheme="majorHAnsi"/>
          <w:sz w:val="24"/>
          <w:szCs w:val="24"/>
          <w:lang w:val="ro-MD" w:eastAsia="ro-MD"/>
        </w:rPr>
        <w:t xml:space="preserve"> </w:t>
      </w:r>
      <w:r w:rsidR="00873798" w:rsidRPr="00B13B9A">
        <w:rPr>
          <w:rFonts w:asciiTheme="majorHAnsi" w:eastAsia="Times New Roman" w:hAnsiTheme="majorHAnsi" w:cstheme="majorHAnsi"/>
          <w:sz w:val="24"/>
          <w:szCs w:val="24"/>
          <w:lang w:val="ro-MD" w:eastAsia="ro-MD"/>
        </w:rPr>
        <w:t xml:space="preserve">în anul 2022 </w:t>
      </w:r>
      <w:r w:rsidR="00337CCA" w:rsidRPr="00B13B9A">
        <w:rPr>
          <w:rFonts w:asciiTheme="majorHAnsi" w:eastAsia="Times New Roman" w:hAnsiTheme="majorHAnsi" w:cstheme="majorHAnsi"/>
          <w:sz w:val="24"/>
          <w:szCs w:val="24"/>
          <w:lang w:val="ro-MD" w:eastAsia="ro-MD"/>
        </w:rPr>
        <w:t>de</w:t>
      </w:r>
      <w:r w:rsidR="00873798" w:rsidRPr="00B13B9A">
        <w:rPr>
          <w:rFonts w:asciiTheme="majorHAnsi" w:eastAsia="Times New Roman" w:hAnsiTheme="majorHAnsi" w:cstheme="majorHAnsi"/>
          <w:sz w:val="24"/>
          <w:szCs w:val="24"/>
          <w:lang w:val="ro-MD" w:eastAsia="ro-MD"/>
        </w:rPr>
        <w:t xml:space="preserve"> </w:t>
      </w:r>
      <w:r w:rsidR="006354E6" w:rsidRPr="00B13B9A">
        <w:rPr>
          <w:rFonts w:asciiTheme="majorHAnsi" w:eastAsia="Times New Roman" w:hAnsiTheme="majorHAnsi" w:cstheme="majorHAnsi"/>
          <w:sz w:val="24"/>
          <w:szCs w:val="24"/>
          <w:lang w:val="ro-MD" w:eastAsia="ro-MD"/>
        </w:rPr>
        <w:t>79 092,8 mii lei</w:t>
      </w:r>
      <w:r w:rsidR="00873798" w:rsidRPr="00B13B9A">
        <w:rPr>
          <w:rFonts w:asciiTheme="majorHAnsi" w:eastAsia="Times New Roman" w:hAnsiTheme="majorHAnsi" w:cstheme="majorHAnsi"/>
          <w:sz w:val="24"/>
          <w:szCs w:val="24"/>
          <w:lang w:val="ro-MD" w:eastAsia="ro-MD"/>
        </w:rPr>
        <w:t>,</w:t>
      </w:r>
      <w:r w:rsidR="006354E6" w:rsidRPr="00B13B9A">
        <w:rPr>
          <w:rFonts w:asciiTheme="majorHAnsi" w:eastAsia="Times New Roman" w:hAnsiTheme="majorHAnsi" w:cstheme="majorHAnsi"/>
          <w:sz w:val="24"/>
          <w:szCs w:val="24"/>
          <w:lang w:val="ro-MD" w:eastAsia="ro-MD"/>
        </w:rPr>
        <w:t xml:space="preserve"> sau </w:t>
      </w:r>
      <w:r w:rsidR="00337CCA" w:rsidRPr="00B13B9A">
        <w:rPr>
          <w:rFonts w:asciiTheme="majorHAnsi" w:eastAsia="Times New Roman" w:hAnsiTheme="majorHAnsi" w:cstheme="majorHAnsi"/>
          <w:sz w:val="24"/>
          <w:szCs w:val="24"/>
          <w:lang w:val="ro-MD" w:eastAsia="ro-MD"/>
        </w:rPr>
        <w:t xml:space="preserve">de </w:t>
      </w:r>
      <w:r w:rsidR="006354E6" w:rsidRPr="00B13B9A">
        <w:rPr>
          <w:rFonts w:asciiTheme="majorHAnsi" w:eastAsia="Times New Roman" w:hAnsiTheme="majorHAnsi" w:cstheme="majorHAnsi"/>
          <w:sz w:val="24"/>
          <w:szCs w:val="24"/>
          <w:lang w:val="ro-MD" w:eastAsia="ro-MD"/>
        </w:rPr>
        <w:t>cca 52,1%, înregistrând totodată o mic</w:t>
      </w:r>
      <w:r w:rsidR="00B13B9A" w:rsidRPr="00B13B9A">
        <w:rPr>
          <w:rFonts w:asciiTheme="majorHAnsi" w:eastAsia="Times New Roman" w:hAnsiTheme="majorHAnsi" w:cstheme="majorHAnsi"/>
          <w:sz w:val="24"/>
          <w:szCs w:val="24"/>
          <w:lang w:val="ro-MD" w:eastAsia="ro-MD"/>
        </w:rPr>
        <w:t>ș</w:t>
      </w:r>
      <w:r w:rsidR="006354E6" w:rsidRPr="00B13B9A">
        <w:rPr>
          <w:rFonts w:asciiTheme="majorHAnsi" w:eastAsia="Times New Roman" w:hAnsiTheme="majorHAnsi" w:cstheme="majorHAnsi"/>
          <w:sz w:val="24"/>
          <w:szCs w:val="24"/>
          <w:lang w:val="ro-MD" w:eastAsia="ro-MD"/>
        </w:rPr>
        <w:t>orare în anul 2022</w:t>
      </w:r>
      <w:r w:rsidR="004D2F25" w:rsidRPr="00B13B9A">
        <w:rPr>
          <w:rFonts w:asciiTheme="majorHAnsi" w:eastAsia="Times New Roman" w:hAnsiTheme="majorHAnsi" w:cstheme="majorHAnsi"/>
          <w:sz w:val="24"/>
          <w:szCs w:val="24"/>
          <w:lang w:val="ro-MD" w:eastAsia="ro-MD"/>
        </w:rPr>
        <w:t>,</w:t>
      </w:r>
      <w:r w:rsidR="006354E6" w:rsidRPr="00B13B9A">
        <w:rPr>
          <w:rFonts w:asciiTheme="majorHAnsi" w:eastAsia="Times New Roman" w:hAnsiTheme="majorHAnsi" w:cstheme="majorHAnsi"/>
          <w:sz w:val="24"/>
          <w:szCs w:val="24"/>
          <w:lang w:val="ro-MD" w:eastAsia="ro-MD"/>
        </w:rPr>
        <w:t xml:space="preserve"> fa</w:t>
      </w:r>
      <w:r w:rsidR="00B13B9A" w:rsidRPr="00B13B9A">
        <w:rPr>
          <w:rFonts w:asciiTheme="majorHAnsi" w:eastAsia="Times New Roman" w:hAnsiTheme="majorHAnsi" w:cstheme="majorHAnsi"/>
          <w:sz w:val="24"/>
          <w:szCs w:val="24"/>
          <w:lang w:val="ro-MD" w:eastAsia="ro-MD"/>
        </w:rPr>
        <w:t>ț</w:t>
      </w:r>
      <w:r w:rsidR="006354E6" w:rsidRPr="00B13B9A">
        <w:rPr>
          <w:rFonts w:asciiTheme="majorHAnsi" w:eastAsia="Times New Roman" w:hAnsiTheme="majorHAnsi" w:cstheme="majorHAnsi"/>
          <w:sz w:val="24"/>
          <w:szCs w:val="24"/>
          <w:lang w:val="ro-MD" w:eastAsia="ro-MD"/>
        </w:rPr>
        <w:t>ă de 2021</w:t>
      </w:r>
      <w:r w:rsidR="00873798" w:rsidRPr="00B13B9A">
        <w:rPr>
          <w:rFonts w:asciiTheme="majorHAnsi" w:eastAsia="Times New Roman" w:hAnsiTheme="majorHAnsi" w:cstheme="majorHAnsi"/>
          <w:sz w:val="24"/>
          <w:szCs w:val="24"/>
          <w:lang w:val="ro-MD" w:eastAsia="ro-MD"/>
        </w:rPr>
        <w:t>,</w:t>
      </w:r>
      <w:r w:rsidR="006354E6" w:rsidRPr="00B13B9A">
        <w:rPr>
          <w:rFonts w:asciiTheme="majorHAnsi" w:eastAsia="Times New Roman" w:hAnsiTheme="majorHAnsi" w:cstheme="majorHAnsi"/>
          <w:sz w:val="24"/>
          <w:szCs w:val="24"/>
          <w:lang w:val="ro-MD" w:eastAsia="ro-MD"/>
        </w:rPr>
        <w:t xml:space="preserve"> </w:t>
      </w:r>
      <w:r w:rsidR="00873798" w:rsidRPr="00B13B9A">
        <w:rPr>
          <w:rFonts w:asciiTheme="majorHAnsi" w:eastAsia="Times New Roman" w:hAnsiTheme="majorHAnsi" w:cstheme="majorHAnsi"/>
          <w:sz w:val="24"/>
          <w:szCs w:val="24"/>
          <w:lang w:val="ro-MD" w:eastAsia="ro-MD"/>
        </w:rPr>
        <w:t xml:space="preserve">din </w:t>
      </w:r>
      <w:r w:rsidR="006354E6" w:rsidRPr="00B13B9A">
        <w:rPr>
          <w:rFonts w:asciiTheme="majorHAnsi" w:eastAsia="Times New Roman" w:hAnsiTheme="majorHAnsi" w:cstheme="majorHAnsi"/>
          <w:sz w:val="24"/>
          <w:szCs w:val="24"/>
          <w:lang w:val="ro-MD" w:eastAsia="ro-MD"/>
        </w:rPr>
        <w:t>cauza lips</w:t>
      </w:r>
      <w:r w:rsidR="00873798" w:rsidRPr="00B13B9A">
        <w:rPr>
          <w:rFonts w:asciiTheme="majorHAnsi" w:eastAsia="Times New Roman" w:hAnsiTheme="majorHAnsi" w:cstheme="majorHAnsi"/>
          <w:sz w:val="24"/>
          <w:szCs w:val="24"/>
          <w:lang w:val="ro-MD" w:eastAsia="ro-MD"/>
        </w:rPr>
        <w:t>ei</w:t>
      </w:r>
      <w:r w:rsidR="006354E6" w:rsidRPr="00B13B9A">
        <w:rPr>
          <w:rFonts w:asciiTheme="majorHAnsi" w:eastAsia="Times New Roman" w:hAnsiTheme="majorHAnsi" w:cstheme="majorHAnsi"/>
          <w:sz w:val="24"/>
          <w:szCs w:val="24"/>
          <w:lang w:val="ro-MD" w:eastAsia="ro-MD"/>
        </w:rPr>
        <w:t xml:space="preserve"> de cadre </w:t>
      </w:r>
      <w:r w:rsidR="00B13B9A" w:rsidRPr="00B13B9A">
        <w:rPr>
          <w:rFonts w:asciiTheme="majorHAnsi" w:eastAsia="Times New Roman" w:hAnsiTheme="majorHAnsi" w:cstheme="majorHAnsi"/>
          <w:sz w:val="24"/>
          <w:szCs w:val="24"/>
          <w:lang w:val="ro-MD" w:eastAsia="ro-MD"/>
        </w:rPr>
        <w:t>ș</w:t>
      </w:r>
      <w:r w:rsidR="006354E6" w:rsidRPr="00B13B9A">
        <w:rPr>
          <w:rFonts w:asciiTheme="majorHAnsi" w:eastAsia="Times New Roman" w:hAnsiTheme="majorHAnsi" w:cstheme="majorHAnsi"/>
          <w:sz w:val="24"/>
          <w:szCs w:val="24"/>
          <w:lang w:val="ro-MD" w:eastAsia="ro-MD"/>
        </w:rPr>
        <w:t>i fluctua</w:t>
      </w:r>
      <w:r w:rsidR="00B13B9A" w:rsidRPr="00B13B9A">
        <w:rPr>
          <w:rFonts w:asciiTheme="majorHAnsi" w:eastAsia="Times New Roman" w:hAnsiTheme="majorHAnsi" w:cstheme="majorHAnsi"/>
          <w:sz w:val="24"/>
          <w:szCs w:val="24"/>
          <w:lang w:val="ro-MD" w:eastAsia="ro-MD"/>
        </w:rPr>
        <w:t>ț</w:t>
      </w:r>
      <w:r w:rsidR="006354E6" w:rsidRPr="00B13B9A">
        <w:rPr>
          <w:rFonts w:asciiTheme="majorHAnsi" w:eastAsia="Times New Roman" w:hAnsiTheme="majorHAnsi" w:cstheme="majorHAnsi"/>
          <w:sz w:val="24"/>
          <w:szCs w:val="24"/>
          <w:lang w:val="ro-MD" w:eastAsia="ro-MD"/>
        </w:rPr>
        <w:t>i</w:t>
      </w:r>
      <w:r w:rsidR="00873798" w:rsidRPr="00B13B9A">
        <w:rPr>
          <w:rFonts w:asciiTheme="majorHAnsi" w:eastAsia="Times New Roman" w:hAnsiTheme="majorHAnsi" w:cstheme="majorHAnsi"/>
          <w:sz w:val="24"/>
          <w:szCs w:val="24"/>
          <w:lang w:val="ro-MD" w:eastAsia="ro-MD"/>
        </w:rPr>
        <w:t>ei</w:t>
      </w:r>
      <w:r w:rsidR="006354E6" w:rsidRPr="00B13B9A">
        <w:rPr>
          <w:rFonts w:asciiTheme="majorHAnsi" w:eastAsia="Times New Roman" w:hAnsiTheme="majorHAnsi" w:cstheme="majorHAnsi"/>
          <w:sz w:val="24"/>
          <w:szCs w:val="24"/>
          <w:lang w:val="ro-MD" w:eastAsia="ro-MD"/>
        </w:rPr>
        <w:t xml:space="preserve"> acestora. </w:t>
      </w:r>
    </w:p>
    <w:p w14:paraId="7C1BA185" w14:textId="68BD851C" w:rsidR="00602543" w:rsidRPr="00B13B9A" w:rsidRDefault="006354E6" w:rsidP="00873798">
      <w:pPr>
        <w:spacing w:line="276" w:lineRule="auto"/>
        <w:jc w:val="both"/>
        <w:rPr>
          <w:rFonts w:asciiTheme="majorHAnsi" w:eastAsia="Times New Roman" w:hAnsiTheme="majorHAnsi" w:cstheme="majorHAnsi"/>
          <w:sz w:val="24"/>
          <w:szCs w:val="24"/>
          <w:lang w:val="ro-MD" w:eastAsia="ro-MD"/>
        </w:rPr>
      </w:pPr>
      <w:r w:rsidRPr="00B13B9A">
        <w:rPr>
          <w:rFonts w:asciiTheme="majorHAnsi" w:eastAsia="Times New Roman" w:hAnsiTheme="majorHAnsi" w:cstheme="majorHAnsi"/>
          <w:sz w:val="24"/>
          <w:szCs w:val="24"/>
          <w:lang w:val="ro-MD" w:eastAsia="ro-MD"/>
        </w:rPr>
        <w:t xml:space="preserve">Următoarea componentă </w:t>
      </w:r>
      <w:r w:rsidR="004D2F25" w:rsidRPr="00B13B9A">
        <w:rPr>
          <w:rFonts w:asciiTheme="majorHAnsi" w:eastAsia="Times New Roman" w:hAnsiTheme="majorHAnsi" w:cstheme="majorHAnsi"/>
          <w:sz w:val="24"/>
          <w:szCs w:val="24"/>
          <w:lang w:val="ro-MD" w:eastAsia="ro-MD"/>
        </w:rPr>
        <w:t xml:space="preserve">semnificativă </w:t>
      </w:r>
      <w:r w:rsidRPr="00B13B9A">
        <w:rPr>
          <w:rFonts w:asciiTheme="majorHAnsi" w:eastAsia="Times New Roman" w:hAnsiTheme="majorHAnsi" w:cstheme="majorHAnsi"/>
          <w:sz w:val="24"/>
          <w:szCs w:val="24"/>
          <w:lang w:val="ro-MD" w:eastAsia="ro-MD"/>
        </w:rPr>
        <w:t xml:space="preserve">de cheltuieli o constituie medicamentele în </w:t>
      </w:r>
      <w:r w:rsidR="006C0901" w:rsidRPr="00B13B9A">
        <w:rPr>
          <w:rFonts w:asciiTheme="majorHAnsi" w:eastAsia="Times New Roman" w:hAnsiTheme="majorHAnsi" w:cstheme="majorHAnsi"/>
          <w:sz w:val="24"/>
          <w:szCs w:val="24"/>
          <w:lang w:val="ro-MD" w:eastAsia="ro-MD"/>
        </w:rPr>
        <w:t>sumă</w:t>
      </w:r>
      <w:r w:rsidRPr="00B13B9A">
        <w:rPr>
          <w:rFonts w:asciiTheme="majorHAnsi" w:eastAsia="Times New Roman" w:hAnsiTheme="majorHAnsi" w:cstheme="majorHAnsi"/>
          <w:sz w:val="24"/>
          <w:szCs w:val="24"/>
          <w:lang w:val="ro-MD" w:eastAsia="ro-MD"/>
        </w:rPr>
        <w:t xml:space="preserve"> de 23 546,3 mii lei pentru anul 2021 </w:t>
      </w:r>
      <w:r w:rsidR="00B13B9A" w:rsidRPr="00B13B9A">
        <w:rPr>
          <w:rFonts w:asciiTheme="majorHAnsi" w:eastAsia="Times New Roman" w:hAnsiTheme="majorHAnsi" w:cstheme="majorHAnsi"/>
          <w:sz w:val="24"/>
          <w:szCs w:val="24"/>
          <w:lang w:val="ro-MD" w:eastAsia="ro-MD"/>
        </w:rPr>
        <w:t>ș</w:t>
      </w:r>
      <w:r w:rsidR="00B34D84" w:rsidRPr="00B13B9A">
        <w:rPr>
          <w:rFonts w:asciiTheme="majorHAnsi" w:eastAsia="Times New Roman" w:hAnsiTheme="majorHAnsi" w:cstheme="majorHAnsi"/>
          <w:sz w:val="24"/>
          <w:szCs w:val="24"/>
          <w:lang w:val="ro-MD" w:eastAsia="ro-MD"/>
        </w:rPr>
        <w:t>i</w:t>
      </w:r>
      <w:r w:rsidRPr="00B13B9A">
        <w:rPr>
          <w:rFonts w:asciiTheme="majorHAnsi" w:eastAsia="Times New Roman" w:hAnsiTheme="majorHAnsi" w:cstheme="majorHAnsi"/>
          <w:sz w:val="24"/>
          <w:szCs w:val="24"/>
          <w:lang w:val="ro-MD" w:eastAsia="ro-MD"/>
        </w:rPr>
        <w:t xml:space="preserve"> </w:t>
      </w:r>
      <w:r w:rsidR="004D2F25" w:rsidRPr="00B13B9A">
        <w:rPr>
          <w:rFonts w:asciiTheme="majorHAnsi" w:eastAsia="Times New Roman" w:hAnsiTheme="majorHAnsi" w:cstheme="majorHAnsi"/>
          <w:sz w:val="24"/>
          <w:szCs w:val="24"/>
          <w:lang w:val="ro-MD" w:eastAsia="ro-MD"/>
        </w:rPr>
        <w:t xml:space="preserve">de </w:t>
      </w:r>
      <w:r w:rsidRPr="00B13B9A">
        <w:rPr>
          <w:rFonts w:asciiTheme="majorHAnsi" w:eastAsia="Times New Roman" w:hAnsiTheme="majorHAnsi" w:cstheme="majorHAnsi"/>
          <w:sz w:val="24"/>
          <w:szCs w:val="24"/>
          <w:lang w:val="ro-MD" w:eastAsia="ro-MD"/>
        </w:rPr>
        <w:t>31 772,9 mii lei pentru anul 2022</w:t>
      </w:r>
      <w:r w:rsidR="006C0901" w:rsidRPr="00B13B9A">
        <w:rPr>
          <w:rFonts w:asciiTheme="majorHAnsi" w:eastAsia="Times New Roman" w:hAnsiTheme="majorHAnsi" w:cstheme="majorHAnsi"/>
          <w:sz w:val="24"/>
          <w:szCs w:val="24"/>
          <w:lang w:val="ro-MD" w:eastAsia="ro-MD"/>
        </w:rPr>
        <w:t>,</w:t>
      </w:r>
      <w:r w:rsidRPr="00B13B9A">
        <w:rPr>
          <w:rFonts w:asciiTheme="majorHAnsi" w:eastAsia="Times New Roman" w:hAnsiTheme="majorHAnsi" w:cstheme="majorHAnsi"/>
          <w:sz w:val="24"/>
          <w:szCs w:val="24"/>
          <w:lang w:val="ro-MD" w:eastAsia="ro-MD"/>
        </w:rPr>
        <w:t xml:space="preserve"> sau cca 14,96% </w:t>
      </w:r>
      <w:r w:rsidR="00B13B9A" w:rsidRPr="00B13B9A">
        <w:rPr>
          <w:rFonts w:asciiTheme="majorHAnsi" w:eastAsia="Times New Roman" w:hAnsiTheme="majorHAnsi" w:cstheme="majorHAnsi"/>
          <w:sz w:val="24"/>
          <w:szCs w:val="24"/>
          <w:lang w:val="ro-MD" w:eastAsia="ro-MD"/>
        </w:rPr>
        <w:t>ș</w:t>
      </w:r>
      <w:r w:rsidRPr="00B13B9A">
        <w:rPr>
          <w:rFonts w:asciiTheme="majorHAnsi" w:eastAsia="Times New Roman" w:hAnsiTheme="majorHAnsi" w:cstheme="majorHAnsi"/>
          <w:sz w:val="24"/>
          <w:szCs w:val="24"/>
          <w:lang w:val="ro-MD" w:eastAsia="ro-MD"/>
        </w:rPr>
        <w:t>i, respectiv</w:t>
      </w:r>
      <w:r w:rsidR="004D2F25" w:rsidRPr="00B13B9A">
        <w:rPr>
          <w:rFonts w:asciiTheme="majorHAnsi" w:eastAsia="Times New Roman" w:hAnsiTheme="majorHAnsi" w:cstheme="majorHAnsi"/>
          <w:sz w:val="24"/>
          <w:szCs w:val="24"/>
          <w:lang w:val="ro-MD" w:eastAsia="ro-MD"/>
        </w:rPr>
        <w:t>,</w:t>
      </w:r>
      <w:r w:rsidRPr="00B13B9A">
        <w:rPr>
          <w:rFonts w:asciiTheme="majorHAnsi" w:eastAsia="Times New Roman" w:hAnsiTheme="majorHAnsi" w:cstheme="majorHAnsi"/>
          <w:sz w:val="24"/>
          <w:szCs w:val="24"/>
          <w:lang w:val="ro-MD" w:eastAsia="ro-MD"/>
        </w:rPr>
        <w:t xml:space="preserve"> 19,78%. </w:t>
      </w:r>
      <w:r w:rsidR="006C0901" w:rsidRPr="00B13B9A">
        <w:rPr>
          <w:rFonts w:asciiTheme="majorHAnsi" w:eastAsia="Times New Roman" w:hAnsiTheme="majorHAnsi" w:cstheme="majorHAnsi"/>
          <w:sz w:val="24"/>
          <w:szCs w:val="24"/>
          <w:lang w:val="ro-MD" w:eastAsia="ro-MD"/>
        </w:rPr>
        <w:t>Celelalte cheltuieli au fost sub</w:t>
      </w:r>
      <w:r w:rsidRPr="00B13B9A">
        <w:rPr>
          <w:rFonts w:asciiTheme="majorHAnsi" w:eastAsia="Times New Roman" w:hAnsiTheme="majorHAnsi" w:cstheme="majorHAnsi"/>
          <w:sz w:val="24"/>
          <w:szCs w:val="24"/>
          <w:lang w:val="ro-MD" w:eastAsia="ro-MD"/>
        </w:rPr>
        <w:t xml:space="preserve"> 10% </w:t>
      </w:r>
      <w:r w:rsidR="00B13B9A" w:rsidRPr="00B13B9A">
        <w:rPr>
          <w:rFonts w:asciiTheme="majorHAnsi" w:eastAsia="Times New Roman" w:hAnsiTheme="majorHAnsi" w:cstheme="majorHAnsi"/>
          <w:sz w:val="24"/>
          <w:szCs w:val="24"/>
          <w:lang w:val="ro-MD" w:eastAsia="ro-MD"/>
        </w:rPr>
        <w:t>ș</w:t>
      </w:r>
      <w:r w:rsidR="006C0901" w:rsidRPr="00B13B9A">
        <w:rPr>
          <w:rFonts w:asciiTheme="majorHAnsi" w:eastAsia="Times New Roman" w:hAnsiTheme="majorHAnsi" w:cstheme="majorHAnsi"/>
          <w:sz w:val="24"/>
          <w:szCs w:val="24"/>
          <w:lang w:val="ro-MD" w:eastAsia="ro-MD"/>
        </w:rPr>
        <w:t>i s-au</w:t>
      </w:r>
      <w:r w:rsidRPr="00B13B9A">
        <w:rPr>
          <w:rFonts w:asciiTheme="majorHAnsi" w:eastAsia="Times New Roman" w:hAnsiTheme="majorHAnsi" w:cstheme="majorHAnsi"/>
          <w:sz w:val="24"/>
          <w:szCs w:val="24"/>
          <w:lang w:val="ro-MD" w:eastAsia="ro-MD"/>
        </w:rPr>
        <w:t xml:space="preserve"> pozi</w:t>
      </w:r>
      <w:r w:rsidR="00B13B9A" w:rsidRPr="00B13B9A">
        <w:rPr>
          <w:rFonts w:asciiTheme="majorHAnsi" w:eastAsia="Times New Roman" w:hAnsiTheme="majorHAnsi" w:cstheme="majorHAnsi"/>
          <w:sz w:val="24"/>
          <w:szCs w:val="24"/>
          <w:lang w:val="ro-MD" w:eastAsia="ro-MD"/>
        </w:rPr>
        <w:t>ț</w:t>
      </w:r>
      <w:r w:rsidRPr="00B13B9A">
        <w:rPr>
          <w:rFonts w:asciiTheme="majorHAnsi" w:eastAsia="Times New Roman" w:hAnsiTheme="majorHAnsi" w:cstheme="majorHAnsi"/>
          <w:sz w:val="24"/>
          <w:szCs w:val="24"/>
          <w:lang w:val="ro-MD" w:eastAsia="ro-MD"/>
        </w:rPr>
        <w:t>iona</w:t>
      </w:r>
      <w:r w:rsidR="006C0901" w:rsidRPr="00B13B9A">
        <w:rPr>
          <w:rFonts w:asciiTheme="majorHAnsi" w:eastAsia="Times New Roman" w:hAnsiTheme="majorHAnsi" w:cstheme="majorHAnsi"/>
          <w:sz w:val="24"/>
          <w:szCs w:val="24"/>
          <w:lang w:val="ro-MD" w:eastAsia="ro-MD"/>
        </w:rPr>
        <w:t>t</w:t>
      </w:r>
      <w:r w:rsidR="004D2F25" w:rsidRPr="00B13B9A">
        <w:rPr>
          <w:rFonts w:asciiTheme="majorHAnsi" w:eastAsia="Times New Roman" w:hAnsiTheme="majorHAnsi" w:cstheme="majorHAnsi"/>
          <w:sz w:val="24"/>
          <w:szCs w:val="24"/>
          <w:lang w:val="ro-MD" w:eastAsia="ro-MD"/>
        </w:rPr>
        <w:t>,</w:t>
      </w:r>
      <w:r w:rsidRPr="00B13B9A">
        <w:rPr>
          <w:rFonts w:asciiTheme="majorHAnsi" w:eastAsia="Times New Roman" w:hAnsiTheme="majorHAnsi" w:cstheme="majorHAnsi"/>
          <w:sz w:val="24"/>
          <w:szCs w:val="24"/>
          <w:lang w:val="ro-MD" w:eastAsia="ro-MD"/>
        </w:rPr>
        <w:t xml:space="preserve"> după cum urmează: amortizarea, uzura cu cca 5%; energia termică </w:t>
      </w:r>
      <w:r w:rsidR="00B13B9A" w:rsidRPr="00B13B9A">
        <w:rPr>
          <w:rFonts w:asciiTheme="majorHAnsi" w:eastAsia="Times New Roman" w:hAnsiTheme="majorHAnsi" w:cstheme="majorHAnsi"/>
          <w:sz w:val="24"/>
          <w:szCs w:val="24"/>
          <w:lang w:val="ro-MD" w:eastAsia="ro-MD"/>
        </w:rPr>
        <w:t>ș</w:t>
      </w:r>
      <w:r w:rsidRPr="00B13B9A">
        <w:rPr>
          <w:rFonts w:asciiTheme="majorHAnsi" w:eastAsia="Times New Roman" w:hAnsiTheme="majorHAnsi" w:cstheme="majorHAnsi"/>
          <w:sz w:val="24"/>
          <w:szCs w:val="24"/>
          <w:lang w:val="ro-MD" w:eastAsia="ro-MD"/>
        </w:rPr>
        <w:t xml:space="preserve">i alte cheltuieli cu cca 2,2 %; gazul, energia electrică, inventar OMVSD cu cca 1,1% </w:t>
      </w:r>
      <w:r w:rsidR="00B13B9A" w:rsidRPr="00B13B9A">
        <w:rPr>
          <w:rFonts w:asciiTheme="majorHAnsi" w:eastAsia="Times New Roman" w:hAnsiTheme="majorHAnsi" w:cstheme="majorHAnsi"/>
          <w:sz w:val="24"/>
          <w:szCs w:val="24"/>
          <w:lang w:val="ro-MD" w:eastAsia="ro-MD"/>
        </w:rPr>
        <w:t>ș</w:t>
      </w:r>
      <w:r w:rsidRPr="00B13B9A">
        <w:rPr>
          <w:rFonts w:asciiTheme="majorHAnsi" w:eastAsia="Times New Roman" w:hAnsiTheme="majorHAnsi" w:cstheme="majorHAnsi"/>
          <w:sz w:val="24"/>
          <w:szCs w:val="24"/>
          <w:lang w:val="ro-MD" w:eastAsia="ro-MD"/>
        </w:rPr>
        <w:t>i perfec</w:t>
      </w:r>
      <w:r w:rsidR="00B13B9A" w:rsidRPr="00B13B9A">
        <w:rPr>
          <w:rFonts w:asciiTheme="majorHAnsi" w:eastAsia="Times New Roman" w:hAnsiTheme="majorHAnsi" w:cstheme="majorHAnsi"/>
          <w:sz w:val="24"/>
          <w:szCs w:val="24"/>
          <w:lang w:val="ro-MD" w:eastAsia="ro-MD"/>
        </w:rPr>
        <w:t>ț</w:t>
      </w:r>
      <w:r w:rsidRPr="00B13B9A">
        <w:rPr>
          <w:rFonts w:asciiTheme="majorHAnsi" w:eastAsia="Times New Roman" w:hAnsiTheme="majorHAnsi" w:cstheme="majorHAnsi"/>
          <w:sz w:val="24"/>
          <w:szCs w:val="24"/>
          <w:lang w:val="ro-MD" w:eastAsia="ro-MD"/>
        </w:rPr>
        <w:t>ionarea cadrelor, produse petroliere, ap</w:t>
      </w:r>
      <w:r w:rsidR="004D2F25" w:rsidRPr="00B13B9A">
        <w:rPr>
          <w:rFonts w:asciiTheme="majorHAnsi" w:eastAsia="Times New Roman" w:hAnsiTheme="majorHAnsi" w:cstheme="majorHAnsi"/>
          <w:sz w:val="24"/>
          <w:szCs w:val="24"/>
          <w:lang w:val="ro-MD" w:eastAsia="ro-MD"/>
        </w:rPr>
        <w:t>ă</w:t>
      </w:r>
      <w:r w:rsidRPr="00B13B9A">
        <w:rPr>
          <w:rFonts w:asciiTheme="majorHAnsi" w:eastAsia="Times New Roman" w:hAnsiTheme="majorHAnsi" w:cstheme="majorHAnsi"/>
          <w:sz w:val="24"/>
          <w:szCs w:val="24"/>
          <w:lang w:val="ro-MD" w:eastAsia="ro-MD"/>
        </w:rPr>
        <w:t>, canalizare, comunica</w:t>
      </w:r>
      <w:r w:rsidR="00B13B9A" w:rsidRPr="00B13B9A">
        <w:rPr>
          <w:rFonts w:asciiTheme="majorHAnsi" w:eastAsia="Times New Roman" w:hAnsiTheme="majorHAnsi" w:cstheme="majorHAnsi"/>
          <w:sz w:val="24"/>
          <w:szCs w:val="24"/>
          <w:lang w:val="ro-MD" w:eastAsia="ro-MD"/>
        </w:rPr>
        <w:t>ț</w:t>
      </w:r>
      <w:r w:rsidRPr="00B13B9A">
        <w:rPr>
          <w:rFonts w:asciiTheme="majorHAnsi" w:eastAsia="Times New Roman" w:hAnsiTheme="majorHAnsi" w:cstheme="majorHAnsi"/>
          <w:sz w:val="24"/>
          <w:szCs w:val="24"/>
          <w:lang w:val="ro-MD" w:eastAsia="ro-MD"/>
        </w:rPr>
        <w:t xml:space="preserve">ii </w:t>
      </w:r>
      <w:r w:rsidR="00B13B9A" w:rsidRPr="00B13B9A">
        <w:rPr>
          <w:rFonts w:asciiTheme="majorHAnsi" w:eastAsia="Times New Roman" w:hAnsiTheme="majorHAnsi" w:cstheme="majorHAnsi"/>
          <w:sz w:val="24"/>
          <w:szCs w:val="24"/>
          <w:lang w:val="ro-MD" w:eastAsia="ro-MD"/>
        </w:rPr>
        <w:t>ș</w:t>
      </w:r>
      <w:r w:rsidRPr="00B13B9A">
        <w:rPr>
          <w:rFonts w:asciiTheme="majorHAnsi" w:eastAsia="Times New Roman" w:hAnsiTheme="majorHAnsi" w:cstheme="majorHAnsi"/>
          <w:sz w:val="24"/>
          <w:szCs w:val="24"/>
          <w:lang w:val="ro-MD" w:eastAsia="ro-MD"/>
        </w:rPr>
        <w:t>i po</w:t>
      </w:r>
      <w:r w:rsidR="00B13B9A" w:rsidRPr="00B13B9A">
        <w:rPr>
          <w:rFonts w:asciiTheme="majorHAnsi" w:eastAsia="Times New Roman" w:hAnsiTheme="majorHAnsi" w:cstheme="majorHAnsi"/>
          <w:sz w:val="24"/>
          <w:szCs w:val="24"/>
          <w:lang w:val="ro-MD" w:eastAsia="ro-MD"/>
        </w:rPr>
        <w:t>ș</w:t>
      </w:r>
      <w:r w:rsidRPr="00B13B9A">
        <w:rPr>
          <w:rFonts w:asciiTheme="majorHAnsi" w:eastAsia="Times New Roman" w:hAnsiTheme="majorHAnsi" w:cstheme="majorHAnsi"/>
          <w:sz w:val="24"/>
          <w:szCs w:val="24"/>
          <w:lang w:val="ro-MD" w:eastAsia="ro-MD"/>
        </w:rPr>
        <w:t>tă etc. cu cca 0,1</w:t>
      </w:r>
      <w:r w:rsidR="004D2F25" w:rsidRPr="00B13B9A">
        <w:rPr>
          <w:rFonts w:asciiTheme="majorHAnsi" w:eastAsia="Times New Roman" w:hAnsiTheme="majorHAnsi" w:cstheme="majorHAnsi"/>
          <w:sz w:val="24"/>
          <w:szCs w:val="24"/>
          <w:lang w:val="ro-MD" w:eastAsia="ro-MD"/>
        </w:rPr>
        <w:t xml:space="preserve"> – </w:t>
      </w:r>
      <w:r w:rsidRPr="00B13B9A">
        <w:rPr>
          <w:rFonts w:asciiTheme="majorHAnsi" w:eastAsia="Times New Roman" w:hAnsiTheme="majorHAnsi" w:cstheme="majorHAnsi"/>
          <w:sz w:val="24"/>
          <w:szCs w:val="24"/>
          <w:lang w:val="ro-MD" w:eastAsia="ro-MD"/>
        </w:rPr>
        <w:t>0,2% din totalul cheltuielilor entit</w:t>
      </w:r>
      <w:r w:rsidR="006C0901" w:rsidRPr="00B13B9A">
        <w:rPr>
          <w:rFonts w:asciiTheme="majorHAnsi" w:eastAsia="Times New Roman" w:hAnsiTheme="majorHAnsi" w:cstheme="majorHAnsi"/>
          <w:sz w:val="24"/>
          <w:szCs w:val="24"/>
          <w:lang w:val="ro-MD" w:eastAsia="ro-MD"/>
        </w:rPr>
        <w:t>ă</w:t>
      </w:r>
      <w:r w:rsidR="00B13B9A" w:rsidRPr="00B13B9A">
        <w:rPr>
          <w:rFonts w:asciiTheme="majorHAnsi" w:eastAsia="Times New Roman" w:hAnsiTheme="majorHAnsi" w:cstheme="majorHAnsi"/>
          <w:sz w:val="24"/>
          <w:szCs w:val="24"/>
          <w:lang w:val="ro-MD" w:eastAsia="ro-MD"/>
        </w:rPr>
        <w:t>ț</w:t>
      </w:r>
      <w:r w:rsidR="006C0901" w:rsidRPr="00B13B9A">
        <w:rPr>
          <w:rFonts w:asciiTheme="majorHAnsi" w:eastAsia="Times New Roman" w:hAnsiTheme="majorHAnsi" w:cstheme="majorHAnsi"/>
          <w:sz w:val="24"/>
          <w:szCs w:val="24"/>
          <w:lang w:val="ro-MD" w:eastAsia="ro-MD"/>
        </w:rPr>
        <w:t>ii</w:t>
      </w:r>
      <w:r w:rsidR="00B34D84" w:rsidRPr="00B13B9A">
        <w:rPr>
          <w:rFonts w:asciiTheme="majorHAnsi" w:hAnsiTheme="majorHAnsi" w:cs="Times New Roman"/>
          <w:sz w:val="24"/>
          <w:szCs w:val="24"/>
          <w:lang w:val="ro-MD"/>
        </w:rPr>
        <w:t>.</w:t>
      </w:r>
      <w:r w:rsidR="00602543" w:rsidRPr="00B13B9A">
        <w:rPr>
          <w:rFonts w:asciiTheme="majorHAnsi" w:hAnsiTheme="majorHAnsi" w:cs="Times New Roman"/>
          <w:sz w:val="24"/>
          <w:szCs w:val="24"/>
          <w:lang w:val="ro-MD"/>
        </w:rPr>
        <w:t xml:space="preserve"> </w:t>
      </w:r>
    </w:p>
    <w:p w14:paraId="4B1054D1" w14:textId="5D103639" w:rsidR="001D7055" w:rsidRPr="00B13B9A" w:rsidRDefault="009E7FD2" w:rsidP="00A7014D">
      <w:pPr>
        <w:tabs>
          <w:tab w:val="left" w:pos="720"/>
        </w:tabs>
        <w:spacing w:after="0" w:line="276" w:lineRule="auto"/>
        <w:outlineLvl w:val="1"/>
        <w:rPr>
          <w:rFonts w:asciiTheme="majorHAnsi" w:hAnsiTheme="majorHAnsi" w:cstheme="majorHAnsi"/>
          <w:b/>
          <w:color w:val="00B0F0"/>
          <w:sz w:val="24"/>
          <w:szCs w:val="24"/>
          <w:lang w:val="ro-MD"/>
        </w:rPr>
      </w:pPr>
      <w:bookmarkStart w:id="8" w:name="_Toc123116696"/>
      <w:bookmarkStart w:id="9" w:name="_Toc154562488"/>
      <w:r w:rsidRPr="00B13B9A">
        <w:rPr>
          <w:rFonts w:asciiTheme="majorHAnsi" w:hAnsiTheme="majorHAnsi" w:cstheme="majorHAnsi"/>
          <w:b/>
          <w:color w:val="00B0F0"/>
          <w:sz w:val="24"/>
          <w:szCs w:val="24"/>
          <w:lang w:val="ro-MD"/>
        </w:rPr>
        <w:t>Responsabilită</w:t>
      </w:r>
      <w:r w:rsidR="00B13B9A" w:rsidRPr="00B13B9A">
        <w:rPr>
          <w:rFonts w:asciiTheme="majorHAnsi" w:hAnsiTheme="majorHAnsi" w:cstheme="majorHAnsi"/>
          <w:b/>
          <w:color w:val="00B0F0"/>
          <w:sz w:val="24"/>
          <w:szCs w:val="24"/>
          <w:lang w:val="ro-MD"/>
        </w:rPr>
        <w:t>ț</w:t>
      </w:r>
      <w:r w:rsidRPr="00B13B9A">
        <w:rPr>
          <w:rFonts w:asciiTheme="majorHAnsi" w:hAnsiTheme="majorHAnsi" w:cstheme="majorHAnsi"/>
          <w:b/>
          <w:color w:val="00B0F0"/>
          <w:sz w:val="24"/>
          <w:szCs w:val="24"/>
          <w:lang w:val="ro-MD"/>
        </w:rPr>
        <w:t>ile conducerii într-un audit de conformitate</w:t>
      </w:r>
      <w:bookmarkEnd w:id="8"/>
      <w:bookmarkEnd w:id="9"/>
    </w:p>
    <w:p w14:paraId="4C92A62C" w14:textId="3C66FE55" w:rsidR="001D7055" w:rsidRPr="00B13B9A" w:rsidRDefault="009E7FD2" w:rsidP="001D7055">
      <w:pPr>
        <w:pStyle w:val="a7"/>
        <w:tabs>
          <w:tab w:val="left" w:pos="0"/>
        </w:tabs>
        <w:spacing w:after="0" w:line="276" w:lineRule="auto"/>
        <w:ind w:left="0"/>
        <w:jc w:val="both"/>
        <w:rPr>
          <w:rFonts w:asciiTheme="majorHAnsi" w:eastAsia="Times New Roman" w:hAnsiTheme="majorHAnsi" w:cstheme="majorHAnsi"/>
          <w:sz w:val="24"/>
          <w:szCs w:val="24"/>
          <w:lang w:val="ro-MD"/>
        </w:rPr>
      </w:pPr>
      <w:r w:rsidRPr="00B13B9A">
        <w:rPr>
          <w:rFonts w:asciiTheme="majorHAnsi" w:hAnsiTheme="majorHAnsi" w:cstheme="majorHAnsi"/>
          <w:b/>
          <w:color w:val="000000"/>
          <w:spacing w:val="-3"/>
          <w:sz w:val="24"/>
          <w:szCs w:val="24"/>
          <w:lang w:val="ro-MD"/>
        </w:rPr>
        <w:t>Fondatorul</w:t>
      </w:r>
      <w:r w:rsidR="00E94F5D" w:rsidRPr="00B13B9A">
        <w:rPr>
          <w:rFonts w:asciiTheme="majorHAnsi" w:hAnsiTheme="majorHAnsi" w:cstheme="majorHAnsi"/>
          <w:b/>
          <w:sz w:val="24"/>
          <w:szCs w:val="24"/>
          <w:lang w:val="ro-MD"/>
        </w:rPr>
        <w:t xml:space="preserve"> </w:t>
      </w:r>
      <w:r w:rsidR="00E94F5D" w:rsidRPr="00B13B9A">
        <w:rPr>
          <w:rFonts w:asciiTheme="majorHAnsi" w:hAnsiTheme="majorHAnsi" w:cstheme="majorHAnsi"/>
          <w:sz w:val="24"/>
          <w:szCs w:val="24"/>
          <w:lang w:val="ro-MD"/>
        </w:rPr>
        <w:t>supune</w:t>
      </w:r>
      <w:r w:rsidR="001D7055" w:rsidRPr="00B13B9A">
        <w:rPr>
          <w:rFonts w:asciiTheme="majorHAnsi" w:eastAsia="Times New Roman" w:hAnsiTheme="majorHAnsi" w:cstheme="majorHAnsi"/>
          <w:sz w:val="24"/>
          <w:szCs w:val="24"/>
          <w:lang w:val="ro-MD"/>
        </w:rPr>
        <w:t xml:space="preserve"> controlul</w:t>
      </w:r>
      <w:r w:rsidR="004D2F25" w:rsidRPr="00B13B9A">
        <w:rPr>
          <w:rFonts w:asciiTheme="majorHAnsi" w:eastAsia="Times New Roman" w:hAnsiTheme="majorHAnsi" w:cstheme="majorHAnsi"/>
          <w:sz w:val="24"/>
          <w:szCs w:val="24"/>
          <w:lang w:val="ro-MD"/>
        </w:rPr>
        <w:t>ui</w:t>
      </w:r>
      <w:r w:rsidR="001D7055" w:rsidRPr="00B13B9A">
        <w:rPr>
          <w:rFonts w:asciiTheme="majorHAnsi" w:eastAsia="Times New Roman" w:hAnsiTheme="majorHAnsi" w:cstheme="majorHAnsi"/>
          <w:sz w:val="24"/>
          <w:szCs w:val="24"/>
          <w:lang w:val="ro-MD"/>
        </w:rPr>
        <w:t xml:space="preserve"> activită</w:t>
      </w:r>
      <w:r w:rsidR="00B13B9A" w:rsidRPr="00B13B9A">
        <w:rPr>
          <w:rFonts w:asciiTheme="majorHAnsi" w:eastAsia="Times New Roman" w:hAnsiTheme="majorHAnsi" w:cstheme="majorHAnsi"/>
          <w:sz w:val="24"/>
          <w:szCs w:val="24"/>
          <w:lang w:val="ro-MD"/>
        </w:rPr>
        <w:t>ț</w:t>
      </w:r>
      <w:r w:rsidR="001D7055" w:rsidRPr="00B13B9A">
        <w:rPr>
          <w:rFonts w:asciiTheme="majorHAnsi" w:eastAsia="Times New Roman" w:hAnsiTheme="majorHAnsi" w:cstheme="majorHAnsi"/>
          <w:sz w:val="24"/>
          <w:szCs w:val="24"/>
          <w:lang w:val="ro-MD"/>
        </w:rPr>
        <w:t>ile curente ale institu</w:t>
      </w:r>
      <w:r w:rsidR="00B13B9A" w:rsidRPr="00B13B9A">
        <w:rPr>
          <w:rFonts w:asciiTheme="majorHAnsi" w:eastAsia="Times New Roman" w:hAnsiTheme="majorHAnsi" w:cstheme="majorHAnsi"/>
          <w:sz w:val="24"/>
          <w:szCs w:val="24"/>
          <w:lang w:val="ro-MD"/>
        </w:rPr>
        <w:t>ț</w:t>
      </w:r>
      <w:r w:rsidR="001D7055" w:rsidRPr="00B13B9A">
        <w:rPr>
          <w:rFonts w:asciiTheme="majorHAnsi" w:eastAsia="Times New Roman" w:hAnsiTheme="majorHAnsi" w:cstheme="majorHAnsi"/>
          <w:sz w:val="24"/>
          <w:szCs w:val="24"/>
          <w:lang w:val="ro-MD"/>
        </w:rPr>
        <w:t>iei, probleme</w:t>
      </w:r>
      <w:r w:rsidR="004D2F25" w:rsidRPr="00B13B9A">
        <w:rPr>
          <w:rFonts w:asciiTheme="majorHAnsi" w:eastAsia="Times New Roman" w:hAnsiTheme="majorHAnsi" w:cstheme="majorHAnsi"/>
          <w:sz w:val="24"/>
          <w:szCs w:val="24"/>
          <w:lang w:val="ro-MD"/>
        </w:rPr>
        <w:t>le</w:t>
      </w:r>
      <w:r w:rsidR="001D7055" w:rsidRPr="00B13B9A">
        <w:rPr>
          <w:rFonts w:asciiTheme="majorHAnsi" w:eastAsia="Times New Roman" w:hAnsiTheme="majorHAnsi" w:cstheme="majorHAnsi"/>
          <w:sz w:val="24"/>
          <w:szCs w:val="24"/>
          <w:lang w:val="ro-MD"/>
        </w:rPr>
        <w:t xml:space="preserve"> ce </w:t>
      </w:r>
      <w:r w:rsidR="00B13B9A" w:rsidRPr="00B13B9A">
        <w:rPr>
          <w:rFonts w:asciiTheme="majorHAnsi" w:eastAsia="Times New Roman" w:hAnsiTheme="majorHAnsi" w:cstheme="majorHAnsi"/>
          <w:sz w:val="24"/>
          <w:szCs w:val="24"/>
          <w:lang w:val="ro-MD"/>
        </w:rPr>
        <w:t>ț</w:t>
      </w:r>
      <w:r w:rsidR="001D7055" w:rsidRPr="00B13B9A">
        <w:rPr>
          <w:rFonts w:asciiTheme="majorHAnsi" w:eastAsia="Times New Roman" w:hAnsiTheme="majorHAnsi" w:cstheme="majorHAnsi"/>
          <w:sz w:val="24"/>
          <w:szCs w:val="24"/>
          <w:lang w:val="ro-MD"/>
        </w:rPr>
        <w:t>in de atribu</w:t>
      </w:r>
      <w:r w:rsidR="00B13B9A" w:rsidRPr="00B13B9A">
        <w:rPr>
          <w:rFonts w:asciiTheme="majorHAnsi" w:eastAsia="Times New Roman" w:hAnsiTheme="majorHAnsi" w:cstheme="majorHAnsi"/>
          <w:sz w:val="24"/>
          <w:szCs w:val="24"/>
          <w:lang w:val="ro-MD"/>
        </w:rPr>
        <w:t>ț</w:t>
      </w:r>
      <w:r w:rsidR="001D7055" w:rsidRPr="00B13B9A">
        <w:rPr>
          <w:rFonts w:asciiTheme="majorHAnsi" w:eastAsia="Times New Roman" w:hAnsiTheme="majorHAnsi" w:cstheme="majorHAnsi"/>
          <w:sz w:val="24"/>
          <w:szCs w:val="24"/>
          <w:lang w:val="ro-MD"/>
        </w:rPr>
        <w:t>iile acesteia, inclusiv prin solicitarea de informa</w:t>
      </w:r>
      <w:r w:rsidR="00B13B9A" w:rsidRPr="00B13B9A">
        <w:rPr>
          <w:rFonts w:asciiTheme="majorHAnsi" w:eastAsia="Times New Roman" w:hAnsiTheme="majorHAnsi" w:cstheme="majorHAnsi"/>
          <w:sz w:val="24"/>
          <w:szCs w:val="24"/>
          <w:lang w:val="ro-MD"/>
        </w:rPr>
        <w:t>ț</w:t>
      </w:r>
      <w:r w:rsidR="001D7055" w:rsidRPr="00B13B9A">
        <w:rPr>
          <w:rFonts w:asciiTheme="majorHAnsi" w:eastAsia="Times New Roman" w:hAnsiTheme="majorHAnsi" w:cstheme="majorHAnsi"/>
          <w:sz w:val="24"/>
          <w:szCs w:val="24"/>
          <w:lang w:val="ro-MD"/>
        </w:rPr>
        <w:t>ii, acte, explica</w:t>
      </w:r>
      <w:r w:rsidR="00B13B9A" w:rsidRPr="00B13B9A">
        <w:rPr>
          <w:rFonts w:asciiTheme="majorHAnsi" w:eastAsia="Times New Roman" w:hAnsiTheme="majorHAnsi" w:cstheme="majorHAnsi"/>
          <w:sz w:val="24"/>
          <w:szCs w:val="24"/>
          <w:lang w:val="ro-MD"/>
        </w:rPr>
        <w:t>ț</w:t>
      </w:r>
      <w:r w:rsidR="001D7055" w:rsidRPr="00B13B9A">
        <w:rPr>
          <w:rFonts w:asciiTheme="majorHAnsi" w:eastAsia="Times New Roman" w:hAnsiTheme="majorHAnsi" w:cstheme="majorHAnsi"/>
          <w:sz w:val="24"/>
          <w:szCs w:val="24"/>
          <w:lang w:val="ro-MD"/>
        </w:rPr>
        <w:t>ii, rapoarte de activitate etc.</w:t>
      </w:r>
    </w:p>
    <w:p w14:paraId="30FDD46E" w14:textId="22BF3238" w:rsidR="00381BAC" w:rsidRPr="00B13B9A" w:rsidRDefault="001D7055" w:rsidP="00381BAC">
      <w:pPr>
        <w:tabs>
          <w:tab w:val="left" w:pos="720"/>
        </w:tabs>
        <w:spacing w:after="0" w:line="276" w:lineRule="auto"/>
        <w:jc w:val="both"/>
        <w:rPr>
          <w:rFonts w:asciiTheme="majorHAnsi" w:hAnsiTheme="majorHAnsi" w:cstheme="majorHAnsi"/>
          <w:color w:val="000000"/>
          <w:spacing w:val="-3"/>
          <w:sz w:val="24"/>
          <w:szCs w:val="24"/>
          <w:lang w:val="ro-MD"/>
        </w:rPr>
      </w:pPr>
      <w:r w:rsidRPr="00B13B9A">
        <w:rPr>
          <w:rFonts w:asciiTheme="majorHAnsi" w:eastAsia="Times New Roman" w:hAnsiTheme="majorHAnsi" w:cstheme="majorHAnsi"/>
          <w:sz w:val="24"/>
          <w:szCs w:val="24"/>
          <w:lang w:val="ro-MD"/>
        </w:rPr>
        <w:t>Deciziile Fondatorului, în probleme</w:t>
      </w:r>
      <w:r w:rsidR="004D2F25" w:rsidRPr="00B13B9A">
        <w:rPr>
          <w:rFonts w:asciiTheme="majorHAnsi" w:eastAsia="Times New Roman" w:hAnsiTheme="majorHAnsi" w:cstheme="majorHAnsi"/>
          <w:sz w:val="24"/>
          <w:szCs w:val="24"/>
          <w:lang w:val="ro-MD"/>
        </w:rPr>
        <w:t>le</w:t>
      </w:r>
      <w:r w:rsidRPr="00B13B9A">
        <w:rPr>
          <w:rFonts w:asciiTheme="majorHAnsi" w:eastAsia="Times New Roman" w:hAnsiTheme="majorHAnsi" w:cstheme="majorHAnsi"/>
          <w:sz w:val="24"/>
          <w:szCs w:val="24"/>
          <w:lang w:val="ro-MD"/>
        </w:rPr>
        <w:t xml:space="preserve"> ce </w:t>
      </w:r>
      <w:r w:rsidR="00B13B9A" w:rsidRPr="00B13B9A">
        <w:rPr>
          <w:rFonts w:asciiTheme="majorHAnsi" w:eastAsia="Times New Roman" w:hAnsiTheme="majorHAnsi" w:cstheme="majorHAnsi"/>
          <w:sz w:val="24"/>
          <w:szCs w:val="24"/>
          <w:lang w:val="ro-MD"/>
        </w:rPr>
        <w:t>ț</w:t>
      </w:r>
      <w:r w:rsidRPr="00B13B9A">
        <w:rPr>
          <w:rFonts w:asciiTheme="majorHAnsi" w:eastAsia="Times New Roman" w:hAnsiTheme="majorHAnsi" w:cstheme="majorHAnsi"/>
          <w:sz w:val="24"/>
          <w:szCs w:val="24"/>
          <w:lang w:val="ro-MD"/>
        </w:rPr>
        <w:t>in de atribu</w:t>
      </w:r>
      <w:r w:rsidR="00B13B9A" w:rsidRPr="00B13B9A">
        <w:rPr>
          <w:rFonts w:asciiTheme="majorHAnsi" w:eastAsia="Times New Roman" w:hAnsiTheme="majorHAnsi" w:cstheme="majorHAnsi"/>
          <w:sz w:val="24"/>
          <w:szCs w:val="24"/>
          <w:lang w:val="ro-MD"/>
        </w:rPr>
        <w:t>ț</w:t>
      </w:r>
      <w:r w:rsidRPr="00B13B9A">
        <w:rPr>
          <w:rFonts w:asciiTheme="majorHAnsi" w:eastAsia="Times New Roman" w:hAnsiTheme="majorHAnsi" w:cstheme="majorHAnsi"/>
          <w:sz w:val="24"/>
          <w:szCs w:val="24"/>
          <w:lang w:val="ro-MD"/>
        </w:rPr>
        <w:t xml:space="preserve">iile acestuia, sunt obligatorii pentru conducerea </w:t>
      </w:r>
      <w:r w:rsidR="00B13B9A" w:rsidRPr="00B13B9A">
        <w:rPr>
          <w:rFonts w:asciiTheme="majorHAnsi" w:eastAsia="Times New Roman" w:hAnsiTheme="majorHAnsi" w:cstheme="majorHAnsi"/>
          <w:sz w:val="24"/>
          <w:szCs w:val="24"/>
          <w:lang w:val="ro-MD"/>
        </w:rPr>
        <w:t>ș</w:t>
      </w:r>
      <w:r w:rsidRPr="00B13B9A">
        <w:rPr>
          <w:rFonts w:asciiTheme="majorHAnsi" w:eastAsia="Times New Roman" w:hAnsiTheme="majorHAnsi" w:cstheme="majorHAnsi"/>
          <w:sz w:val="24"/>
          <w:szCs w:val="24"/>
          <w:lang w:val="ro-MD"/>
        </w:rPr>
        <w:t>i persoanele cu func</w:t>
      </w:r>
      <w:r w:rsidR="00B13B9A" w:rsidRPr="00B13B9A">
        <w:rPr>
          <w:rFonts w:asciiTheme="majorHAnsi" w:eastAsia="Times New Roman" w:hAnsiTheme="majorHAnsi" w:cstheme="majorHAnsi"/>
          <w:sz w:val="24"/>
          <w:szCs w:val="24"/>
          <w:lang w:val="ro-MD"/>
        </w:rPr>
        <w:t>ț</w:t>
      </w:r>
      <w:r w:rsidRPr="00B13B9A">
        <w:rPr>
          <w:rFonts w:asciiTheme="majorHAnsi" w:eastAsia="Times New Roman" w:hAnsiTheme="majorHAnsi" w:cstheme="majorHAnsi"/>
          <w:sz w:val="24"/>
          <w:szCs w:val="24"/>
          <w:lang w:val="ro-MD"/>
        </w:rPr>
        <w:t>ii de răspundere ale institu</w:t>
      </w:r>
      <w:r w:rsidR="00B13B9A" w:rsidRPr="00B13B9A">
        <w:rPr>
          <w:rFonts w:asciiTheme="majorHAnsi" w:eastAsia="Times New Roman" w:hAnsiTheme="majorHAnsi" w:cstheme="majorHAnsi"/>
          <w:sz w:val="24"/>
          <w:szCs w:val="24"/>
          <w:lang w:val="ro-MD"/>
        </w:rPr>
        <w:t>ț</w:t>
      </w:r>
      <w:r w:rsidRPr="00B13B9A">
        <w:rPr>
          <w:rFonts w:asciiTheme="majorHAnsi" w:eastAsia="Times New Roman" w:hAnsiTheme="majorHAnsi" w:cstheme="majorHAnsi"/>
          <w:sz w:val="24"/>
          <w:szCs w:val="24"/>
          <w:lang w:val="ro-MD"/>
        </w:rPr>
        <w:t>iei medico</w:t>
      </w:r>
      <w:r w:rsidR="004D2F25" w:rsidRPr="00B13B9A">
        <w:rPr>
          <w:rFonts w:asciiTheme="majorHAnsi" w:eastAsia="Times New Roman" w:hAnsiTheme="majorHAnsi" w:cstheme="majorHAnsi"/>
          <w:sz w:val="24"/>
          <w:szCs w:val="24"/>
          <w:lang w:val="ro-MD"/>
        </w:rPr>
        <w:t>-</w:t>
      </w:r>
      <w:r w:rsidRPr="00B13B9A">
        <w:rPr>
          <w:rFonts w:asciiTheme="majorHAnsi" w:eastAsia="Times New Roman" w:hAnsiTheme="majorHAnsi" w:cstheme="majorHAnsi"/>
          <w:sz w:val="24"/>
          <w:szCs w:val="24"/>
          <w:lang w:val="ro-MD"/>
        </w:rPr>
        <w:t>sanitare publice</w:t>
      </w:r>
      <w:r w:rsidRPr="00B13B9A">
        <w:rPr>
          <w:rStyle w:val="a9"/>
          <w:rFonts w:asciiTheme="majorHAnsi" w:eastAsia="Times New Roman" w:hAnsiTheme="majorHAnsi" w:cstheme="majorHAnsi"/>
          <w:sz w:val="24"/>
          <w:szCs w:val="24"/>
          <w:lang w:val="ro-MD"/>
        </w:rPr>
        <w:footnoteReference w:id="4"/>
      </w:r>
      <w:r w:rsidRPr="00B13B9A">
        <w:rPr>
          <w:rFonts w:asciiTheme="majorHAnsi" w:eastAsia="Times New Roman" w:hAnsiTheme="majorHAnsi" w:cstheme="majorHAnsi"/>
          <w:sz w:val="24"/>
          <w:szCs w:val="24"/>
          <w:lang w:val="ro-MD"/>
        </w:rPr>
        <w:t>.</w:t>
      </w:r>
      <w:r w:rsidR="0065779B" w:rsidRPr="00B13B9A">
        <w:rPr>
          <w:rFonts w:asciiTheme="majorHAnsi" w:hAnsiTheme="majorHAnsi" w:cstheme="majorHAnsi"/>
          <w:color w:val="000000"/>
          <w:spacing w:val="-3"/>
          <w:sz w:val="24"/>
          <w:szCs w:val="24"/>
          <w:lang w:val="ro-MD"/>
        </w:rPr>
        <w:t xml:space="preserve"> </w:t>
      </w:r>
    </w:p>
    <w:p w14:paraId="14CB4FC3" w14:textId="736C4E25" w:rsidR="001D7055" w:rsidRPr="00B13B9A" w:rsidRDefault="00381BAC" w:rsidP="0065779B">
      <w:pPr>
        <w:tabs>
          <w:tab w:val="left" w:pos="720"/>
        </w:tabs>
        <w:spacing w:after="0" w:line="276" w:lineRule="auto"/>
        <w:jc w:val="both"/>
        <w:rPr>
          <w:rFonts w:asciiTheme="majorHAnsi" w:hAnsiTheme="majorHAnsi" w:cstheme="majorHAnsi"/>
          <w:color w:val="000000"/>
          <w:spacing w:val="-3"/>
          <w:sz w:val="24"/>
          <w:szCs w:val="24"/>
          <w:lang w:val="ro-MD"/>
        </w:rPr>
      </w:pPr>
      <w:r w:rsidRPr="00B13B9A">
        <w:rPr>
          <w:rFonts w:asciiTheme="majorHAnsi" w:hAnsiTheme="majorHAnsi" w:cstheme="majorHAnsi"/>
          <w:b/>
          <w:color w:val="000000"/>
          <w:spacing w:val="-3"/>
          <w:sz w:val="24"/>
          <w:szCs w:val="24"/>
          <w:lang w:val="ro-MD"/>
        </w:rPr>
        <w:t>Consiliul de Administra</w:t>
      </w:r>
      <w:r w:rsidR="00B13B9A" w:rsidRPr="00B13B9A">
        <w:rPr>
          <w:rFonts w:asciiTheme="majorHAnsi" w:hAnsiTheme="majorHAnsi" w:cstheme="majorHAnsi"/>
          <w:b/>
          <w:color w:val="000000"/>
          <w:spacing w:val="-3"/>
          <w:sz w:val="24"/>
          <w:szCs w:val="24"/>
          <w:lang w:val="ro-MD"/>
        </w:rPr>
        <w:t>ț</w:t>
      </w:r>
      <w:r w:rsidRPr="00B13B9A">
        <w:rPr>
          <w:rFonts w:asciiTheme="majorHAnsi" w:hAnsiTheme="majorHAnsi" w:cstheme="majorHAnsi"/>
          <w:b/>
          <w:color w:val="000000"/>
          <w:spacing w:val="-3"/>
          <w:sz w:val="24"/>
          <w:szCs w:val="24"/>
          <w:lang w:val="ro-MD"/>
        </w:rPr>
        <w:t>ie</w:t>
      </w:r>
      <w:r w:rsidRPr="00B13B9A">
        <w:rPr>
          <w:rFonts w:asciiTheme="majorHAnsi" w:hAnsiTheme="majorHAnsi" w:cstheme="majorHAnsi"/>
          <w:color w:val="000000"/>
          <w:spacing w:val="-3"/>
          <w:sz w:val="24"/>
          <w:szCs w:val="24"/>
          <w:lang w:val="ro-MD"/>
        </w:rPr>
        <w:t xml:space="preserve"> examinează rapoartele Cur</w:t>
      </w:r>
      <w:r w:rsidR="00B13B9A" w:rsidRPr="00B13B9A">
        <w:rPr>
          <w:rFonts w:asciiTheme="majorHAnsi" w:hAnsiTheme="majorHAnsi" w:cstheme="majorHAnsi"/>
          <w:color w:val="000000"/>
          <w:spacing w:val="-3"/>
          <w:sz w:val="24"/>
          <w:szCs w:val="24"/>
          <w:lang w:val="ro-MD"/>
        </w:rPr>
        <w:t>ț</w:t>
      </w:r>
      <w:r w:rsidRPr="00B13B9A">
        <w:rPr>
          <w:rFonts w:asciiTheme="majorHAnsi" w:hAnsiTheme="majorHAnsi" w:cstheme="majorHAnsi"/>
          <w:color w:val="000000"/>
          <w:spacing w:val="-3"/>
          <w:sz w:val="24"/>
          <w:szCs w:val="24"/>
          <w:lang w:val="ro-MD"/>
        </w:rPr>
        <w:t>ii de Conturi, Inspec</w:t>
      </w:r>
      <w:r w:rsidR="00B13B9A" w:rsidRPr="00B13B9A">
        <w:rPr>
          <w:rFonts w:asciiTheme="majorHAnsi" w:hAnsiTheme="majorHAnsi" w:cstheme="majorHAnsi"/>
          <w:color w:val="000000"/>
          <w:spacing w:val="-3"/>
          <w:sz w:val="24"/>
          <w:szCs w:val="24"/>
          <w:lang w:val="ro-MD"/>
        </w:rPr>
        <w:t>ț</w:t>
      </w:r>
      <w:r w:rsidRPr="00B13B9A">
        <w:rPr>
          <w:rFonts w:asciiTheme="majorHAnsi" w:hAnsiTheme="majorHAnsi" w:cstheme="majorHAnsi"/>
          <w:color w:val="000000"/>
          <w:spacing w:val="-3"/>
          <w:sz w:val="24"/>
          <w:szCs w:val="24"/>
          <w:lang w:val="ro-MD"/>
        </w:rPr>
        <w:t xml:space="preserve">iei financiare, CNAM, altor organe de control </w:t>
      </w:r>
      <w:r w:rsidR="00B13B9A" w:rsidRPr="00B13B9A">
        <w:rPr>
          <w:rFonts w:asciiTheme="majorHAnsi" w:hAnsiTheme="majorHAnsi" w:cstheme="majorHAnsi"/>
          <w:color w:val="000000"/>
          <w:spacing w:val="-3"/>
          <w:sz w:val="24"/>
          <w:szCs w:val="24"/>
          <w:lang w:val="ro-MD"/>
        </w:rPr>
        <w:t>ș</w:t>
      </w:r>
      <w:r w:rsidRPr="00B13B9A">
        <w:rPr>
          <w:rFonts w:asciiTheme="majorHAnsi" w:hAnsiTheme="majorHAnsi" w:cstheme="majorHAnsi"/>
          <w:color w:val="000000"/>
          <w:spacing w:val="-3"/>
          <w:sz w:val="24"/>
          <w:szCs w:val="24"/>
          <w:lang w:val="ro-MD"/>
        </w:rPr>
        <w:t>i aprobă Planul de ac</w:t>
      </w:r>
      <w:r w:rsidR="00B13B9A" w:rsidRPr="00B13B9A">
        <w:rPr>
          <w:rFonts w:asciiTheme="majorHAnsi" w:hAnsiTheme="majorHAnsi" w:cstheme="majorHAnsi"/>
          <w:color w:val="000000"/>
          <w:spacing w:val="-3"/>
          <w:sz w:val="24"/>
          <w:szCs w:val="24"/>
          <w:lang w:val="ro-MD"/>
        </w:rPr>
        <w:t>ț</w:t>
      </w:r>
      <w:r w:rsidRPr="00B13B9A">
        <w:rPr>
          <w:rFonts w:asciiTheme="majorHAnsi" w:hAnsiTheme="majorHAnsi" w:cstheme="majorHAnsi"/>
          <w:color w:val="000000"/>
          <w:spacing w:val="-3"/>
          <w:sz w:val="24"/>
          <w:szCs w:val="24"/>
          <w:lang w:val="ro-MD"/>
        </w:rPr>
        <w:t>iuni privind înlăturarea încălcărilor identificate</w:t>
      </w:r>
      <w:r w:rsidRPr="00B13B9A">
        <w:rPr>
          <w:rStyle w:val="a9"/>
          <w:rFonts w:asciiTheme="majorHAnsi" w:hAnsiTheme="majorHAnsi" w:cstheme="majorBidi"/>
          <w:sz w:val="24"/>
          <w:szCs w:val="24"/>
          <w:lang w:val="ro-MD"/>
        </w:rPr>
        <w:footnoteReference w:id="5"/>
      </w:r>
      <w:r w:rsidR="00FE5EA2" w:rsidRPr="00B13B9A">
        <w:rPr>
          <w:rFonts w:asciiTheme="majorHAnsi" w:hAnsiTheme="majorHAnsi" w:cstheme="majorHAnsi"/>
          <w:color w:val="000000"/>
          <w:spacing w:val="-3"/>
          <w:sz w:val="24"/>
          <w:szCs w:val="24"/>
          <w:lang w:val="ro-MD"/>
        </w:rPr>
        <w:t>.</w:t>
      </w:r>
    </w:p>
    <w:p w14:paraId="56BFB079" w14:textId="6B1A8DDA" w:rsidR="009E7FD2" w:rsidRPr="00B13B9A" w:rsidRDefault="009E7FD2" w:rsidP="00381BAC">
      <w:pPr>
        <w:pStyle w:val="a7"/>
        <w:tabs>
          <w:tab w:val="left" w:pos="720"/>
        </w:tabs>
        <w:spacing w:after="0" w:line="276" w:lineRule="auto"/>
        <w:ind w:left="0"/>
        <w:jc w:val="both"/>
        <w:rPr>
          <w:rFonts w:asciiTheme="majorHAnsi" w:hAnsiTheme="majorHAnsi" w:cstheme="majorHAnsi"/>
          <w:sz w:val="24"/>
          <w:szCs w:val="24"/>
          <w:lang w:val="ro-MD"/>
        </w:rPr>
      </w:pPr>
      <w:r w:rsidRPr="00B13B9A">
        <w:rPr>
          <w:rFonts w:asciiTheme="majorHAnsi" w:hAnsiTheme="majorHAnsi" w:cstheme="majorHAnsi"/>
          <w:b/>
          <w:color w:val="000000"/>
          <w:spacing w:val="-3"/>
          <w:sz w:val="24"/>
          <w:szCs w:val="24"/>
          <w:lang w:val="ro-MD"/>
        </w:rPr>
        <w:t>Conducerea</w:t>
      </w:r>
      <w:r w:rsidRPr="00B13B9A">
        <w:rPr>
          <w:rFonts w:asciiTheme="majorHAnsi" w:hAnsiTheme="majorHAnsi" w:cstheme="majorHAnsi"/>
          <w:b/>
          <w:sz w:val="24"/>
          <w:szCs w:val="24"/>
          <w:lang w:val="ro-MD"/>
        </w:rPr>
        <w:t xml:space="preserve"> institu</w:t>
      </w:r>
      <w:r w:rsidR="00B13B9A" w:rsidRPr="00B13B9A">
        <w:rPr>
          <w:rFonts w:asciiTheme="majorHAnsi" w:hAnsiTheme="majorHAnsi" w:cstheme="majorHAnsi"/>
          <w:b/>
          <w:sz w:val="24"/>
          <w:szCs w:val="24"/>
          <w:lang w:val="ro-MD"/>
        </w:rPr>
        <w:t>ț</w:t>
      </w:r>
      <w:r w:rsidR="001D7055" w:rsidRPr="00B13B9A">
        <w:rPr>
          <w:rFonts w:asciiTheme="majorHAnsi" w:hAnsiTheme="majorHAnsi" w:cstheme="majorHAnsi"/>
          <w:b/>
          <w:sz w:val="24"/>
          <w:szCs w:val="24"/>
          <w:lang w:val="ro-MD"/>
        </w:rPr>
        <w:t>iei</w:t>
      </w:r>
      <w:r w:rsidR="001D7055" w:rsidRPr="00B13B9A">
        <w:rPr>
          <w:rFonts w:asciiTheme="majorHAnsi" w:hAnsiTheme="majorHAnsi" w:cstheme="majorHAnsi"/>
          <w:sz w:val="24"/>
          <w:szCs w:val="24"/>
          <w:lang w:val="ro-MD"/>
        </w:rPr>
        <w:t xml:space="preserve"> </w:t>
      </w:r>
      <w:r w:rsidRPr="00B13B9A">
        <w:rPr>
          <w:rFonts w:asciiTheme="majorHAnsi" w:hAnsiTheme="majorHAnsi" w:cstheme="majorHAnsi"/>
          <w:sz w:val="24"/>
          <w:szCs w:val="24"/>
          <w:lang w:val="ro-MD"/>
        </w:rPr>
        <w:t xml:space="preserve">este responsabilă de </w:t>
      </w:r>
      <w:r w:rsidRPr="00B13B9A">
        <w:rPr>
          <w:rFonts w:asciiTheme="majorHAnsi" w:eastAsia="Times New Roman" w:hAnsiTheme="majorHAnsi" w:cstheme="majorHAnsi"/>
          <w:sz w:val="24"/>
          <w:szCs w:val="24"/>
          <w:lang w:val="ro-MD"/>
        </w:rPr>
        <w:t>exercitarea atribu</w:t>
      </w:r>
      <w:r w:rsidR="00B13B9A" w:rsidRPr="00B13B9A">
        <w:rPr>
          <w:rFonts w:asciiTheme="majorHAnsi" w:eastAsia="Times New Roman" w:hAnsiTheme="majorHAnsi" w:cstheme="majorHAnsi"/>
          <w:sz w:val="24"/>
          <w:szCs w:val="24"/>
          <w:lang w:val="ro-MD"/>
        </w:rPr>
        <w:t>ț</w:t>
      </w:r>
      <w:r w:rsidRPr="00B13B9A">
        <w:rPr>
          <w:rFonts w:asciiTheme="majorHAnsi" w:eastAsia="Times New Roman" w:hAnsiTheme="majorHAnsi" w:cstheme="majorHAnsi"/>
          <w:sz w:val="24"/>
          <w:szCs w:val="24"/>
          <w:lang w:val="ro-MD"/>
        </w:rPr>
        <w:t>iilor stabilite în cadrul normativ aplicabil</w:t>
      </w:r>
      <w:r w:rsidRPr="00B13B9A">
        <w:rPr>
          <w:rStyle w:val="a9"/>
          <w:rFonts w:asciiTheme="majorHAnsi" w:eastAsia="Times New Roman" w:hAnsiTheme="majorHAnsi" w:cstheme="majorHAnsi"/>
          <w:sz w:val="24"/>
          <w:szCs w:val="24"/>
          <w:lang w:val="ro-MD"/>
        </w:rPr>
        <w:footnoteReference w:id="6"/>
      </w:r>
      <w:r w:rsidRPr="00B13B9A">
        <w:rPr>
          <w:rFonts w:asciiTheme="majorHAnsi" w:eastAsia="Times New Roman" w:hAnsiTheme="majorHAnsi" w:cstheme="majorHAnsi"/>
          <w:sz w:val="24"/>
          <w:szCs w:val="24"/>
          <w:lang w:val="ro-MD"/>
        </w:rPr>
        <w:t>, inclusiv în organizarea unui sistem de management în conformitate cu actele no</w:t>
      </w:r>
      <w:r w:rsidR="001D7055" w:rsidRPr="00B13B9A">
        <w:rPr>
          <w:rFonts w:asciiTheme="majorHAnsi" w:eastAsia="Times New Roman" w:hAnsiTheme="majorHAnsi" w:cstheme="majorHAnsi"/>
          <w:sz w:val="24"/>
          <w:szCs w:val="24"/>
          <w:lang w:val="ro-MD"/>
        </w:rPr>
        <w:t>rmative ce reglementează domeniul respectiv</w:t>
      </w:r>
      <w:r w:rsidRPr="00B13B9A">
        <w:rPr>
          <w:rFonts w:asciiTheme="majorHAnsi" w:eastAsia="Times New Roman" w:hAnsiTheme="majorHAnsi" w:cstheme="majorHAnsi"/>
          <w:sz w:val="24"/>
          <w:szCs w:val="24"/>
          <w:lang w:val="ro-MD"/>
        </w:rPr>
        <w:t>, care să asigure</w:t>
      </w:r>
      <w:r w:rsidR="001D7055" w:rsidRPr="00B13B9A">
        <w:rPr>
          <w:rFonts w:asciiTheme="majorHAnsi" w:hAnsiTheme="majorHAnsi" w:cstheme="majorHAnsi"/>
          <w:sz w:val="24"/>
          <w:szCs w:val="24"/>
          <w:lang w:val="ro-MD"/>
        </w:rPr>
        <w:t xml:space="preserve"> gestionarea mijloacelor financiare </w:t>
      </w:r>
      <w:r w:rsidR="00B13B9A" w:rsidRPr="00B13B9A">
        <w:rPr>
          <w:rFonts w:asciiTheme="majorHAnsi" w:hAnsiTheme="majorHAnsi" w:cstheme="majorHAnsi"/>
          <w:sz w:val="24"/>
          <w:szCs w:val="24"/>
          <w:lang w:val="ro-MD"/>
        </w:rPr>
        <w:t>ș</w:t>
      </w:r>
      <w:r w:rsidR="001D7055" w:rsidRPr="00B13B9A">
        <w:rPr>
          <w:rFonts w:asciiTheme="majorHAnsi" w:hAnsiTheme="majorHAnsi" w:cstheme="majorHAnsi"/>
          <w:sz w:val="24"/>
          <w:szCs w:val="24"/>
          <w:lang w:val="ro-MD"/>
        </w:rPr>
        <w:t>i administrarea patrimoniului public în conformitate cu principiile bunei guvernări</w:t>
      </w:r>
      <w:r w:rsidR="0053013B" w:rsidRPr="00B13B9A">
        <w:rPr>
          <w:rFonts w:asciiTheme="majorHAnsi" w:hAnsiTheme="majorHAnsi" w:cstheme="majorHAnsi"/>
          <w:sz w:val="24"/>
          <w:szCs w:val="24"/>
          <w:lang w:val="ro-MD"/>
        </w:rPr>
        <w:t xml:space="preserve">. </w:t>
      </w:r>
    </w:p>
    <w:p w14:paraId="02532970" w14:textId="77777777" w:rsidR="00D43BEF" w:rsidRPr="00B13B9A" w:rsidRDefault="00D43BEF" w:rsidP="009E7FD2">
      <w:pPr>
        <w:pStyle w:val="a7"/>
        <w:tabs>
          <w:tab w:val="left" w:pos="720"/>
        </w:tabs>
        <w:spacing w:after="0" w:line="276" w:lineRule="auto"/>
        <w:ind w:left="0" w:firstLine="709"/>
        <w:jc w:val="both"/>
        <w:rPr>
          <w:rFonts w:asciiTheme="majorHAnsi" w:eastAsia="Times New Roman" w:hAnsiTheme="majorHAnsi" w:cstheme="majorHAnsi"/>
          <w:sz w:val="24"/>
          <w:szCs w:val="24"/>
          <w:lang w:val="ro-MD"/>
        </w:rPr>
      </w:pPr>
    </w:p>
    <w:p w14:paraId="4B695E9E" w14:textId="76342D7C" w:rsidR="001159D9" w:rsidRPr="00B13B9A" w:rsidRDefault="001159D9" w:rsidP="00D90992">
      <w:pPr>
        <w:pStyle w:val="a7"/>
        <w:keepNext/>
        <w:keepLines/>
        <w:numPr>
          <w:ilvl w:val="0"/>
          <w:numId w:val="1"/>
        </w:numPr>
        <w:spacing w:line="276" w:lineRule="auto"/>
        <w:ind w:left="0" w:firstLine="0"/>
        <w:outlineLvl w:val="0"/>
        <w:rPr>
          <w:rFonts w:asciiTheme="majorHAnsi" w:hAnsiTheme="majorHAnsi" w:cstheme="minorHAnsi"/>
          <w:b/>
          <w:color w:val="1F4E79" w:themeColor="accent1" w:themeShade="80"/>
          <w:sz w:val="28"/>
          <w:szCs w:val="28"/>
          <w:shd w:val="clear" w:color="auto" w:fill="FFFFFF"/>
          <w:lang w:val="ro-MD"/>
        </w:rPr>
      </w:pPr>
      <w:bookmarkStart w:id="10" w:name="_Toc128640803"/>
      <w:bookmarkStart w:id="11" w:name="_Toc154562489"/>
      <w:r w:rsidRPr="00B13B9A">
        <w:rPr>
          <w:rFonts w:asciiTheme="majorHAnsi" w:hAnsiTheme="majorHAnsi" w:cstheme="minorHAnsi"/>
          <w:b/>
          <w:color w:val="1F4E79" w:themeColor="accent1" w:themeShade="80"/>
          <w:sz w:val="28"/>
          <w:szCs w:val="28"/>
          <w:shd w:val="clear" w:color="auto" w:fill="FFFFFF"/>
          <w:lang w:val="ro-MD"/>
        </w:rPr>
        <w:t xml:space="preserve">SFERA </w:t>
      </w:r>
      <w:r w:rsidR="00B13B9A" w:rsidRPr="00B13B9A">
        <w:rPr>
          <w:rFonts w:asciiTheme="majorHAnsi" w:hAnsiTheme="majorHAnsi" w:cstheme="minorHAnsi"/>
          <w:b/>
          <w:color w:val="1F4E79" w:themeColor="accent1" w:themeShade="80"/>
          <w:sz w:val="28"/>
          <w:szCs w:val="28"/>
          <w:shd w:val="clear" w:color="auto" w:fill="FFFFFF"/>
          <w:lang w:val="ro-MD"/>
        </w:rPr>
        <w:t>Ș</w:t>
      </w:r>
      <w:r w:rsidRPr="00B13B9A">
        <w:rPr>
          <w:rFonts w:asciiTheme="majorHAnsi" w:hAnsiTheme="majorHAnsi" w:cstheme="minorHAnsi"/>
          <w:b/>
          <w:color w:val="1F4E79" w:themeColor="accent1" w:themeShade="80"/>
          <w:sz w:val="28"/>
          <w:szCs w:val="28"/>
          <w:shd w:val="clear" w:color="auto" w:fill="FFFFFF"/>
          <w:lang w:val="ro-MD"/>
        </w:rPr>
        <w:t>I ABORDAREA AUDITULUI</w:t>
      </w:r>
      <w:bookmarkEnd w:id="10"/>
      <w:bookmarkEnd w:id="11"/>
    </w:p>
    <w:p w14:paraId="245F9E55" w14:textId="09EF10DF" w:rsidR="001159D9" w:rsidRPr="00B13B9A" w:rsidRDefault="001159D9" w:rsidP="001159D9">
      <w:pPr>
        <w:pStyle w:val="3"/>
        <w:spacing w:line="276" w:lineRule="auto"/>
        <w:rPr>
          <w:rFonts w:cstheme="minorHAnsi"/>
          <w:b/>
          <w:color w:val="2E74B5" w:themeColor="accent1" w:themeShade="BF"/>
          <w:shd w:val="clear" w:color="auto" w:fill="FFFFFF"/>
        </w:rPr>
      </w:pPr>
      <w:bookmarkStart w:id="12" w:name="_Toc154562490"/>
      <w:r w:rsidRPr="00B13B9A">
        <w:rPr>
          <w:rFonts w:cstheme="minorHAnsi"/>
          <w:b/>
          <w:color w:val="2E74B5" w:themeColor="accent1" w:themeShade="BF"/>
          <w:shd w:val="clear" w:color="auto" w:fill="FFFFFF"/>
        </w:rPr>
        <w:t xml:space="preserve">3.1. Mandatul legal </w:t>
      </w:r>
      <w:r w:rsidR="00B13B9A" w:rsidRPr="00B13B9A">
        <w:rPr>
          <w:rFonts w:cstheme="minorHAnsi"/>
          <w:b/>
          <w:color w:val="2E74B5" w:themeColor="accent1" w:themeShade="BF"/>
          <w:shd w:val="clear" w:color="auto" w:fill="FFFFFF"/>
        </w:rPr>
        <w:t>ș</w:t>
      </w:r>
      <w:r w:rsidRPr="00B13B9A">
        <w:rPr>
          <w:rFonts w:cstheme="minorHAnsi"/>
          <w:b/>
          <w:color w:val="2E74B5" w:themeColor="accent1" w:themeShade="BF"/>
          <w:shd w:val="clear" w:color="auto" w:fill="FFFFFF"/>
        </w:rPr>
        <w:t>i scopul auditului</w:t>
      </w:r>
      <w:bookmarkEnd w:id="12"/>
      <w:r w:rsidRPr="00B13B9A">
        <w:rPr>
          <w:rFonts w:cstheme="minorHAnsi"/>
          <w:b/>
          <w:color w:val="2E74B5" w:themeColor="accent1" w:themeShade="BF"/>
          <w:shd w:val="clear" w:color="auto" w:fill="FFFFFF"/>
        </w:rPr>
        <w:t xml:space="preserve"> </w:t>
      </w:r>
    </w:p>
    <w:p w14:paraId="0349DF93" w14:textId="281723E9" w:rsidR="001159D9" w:rsidRPr="00B13B9A" w:rsidRDefault="001159D9" w:rsidP="001159D9">
      <w:pPr>
        <w:spacing w:line="276" w:lineRule="auto"/>
        <w:jc w:val="both"/>
        <w:rPr>
          <w:rFonts w:asciiTheme="majorHAnsi" w:hAnsiTheme="majorHAnsi" w:cstheme="minorHAnsi"/>
          <w:color w:val="000000"/>
          <w:sz w:val="24"/>
          <w:szCs w:val="24"/>
          <w:shd w:val="clear" w:color="auto" w:fill="FFFFFF"/>
          <w:lang w:val="ro-MD"/>
        </w:rPr>
      </w:pPr>
      <w:r w:rsidRPr="00B13B9A">
        <w:rPr>
          <w:rFonts w:asciiTheme="majorHAnsi" w:hAnsiTheme="majorHAnsi" w:cstheme="minorHAnsi"/>
          <w:sz w:val="24"/>
          <w:szCs w:val="24"/>
          <w:shd w:val="clear" w:color="auto" w:fill="FFFFFF"/>
          <w:lang w:val="ro-MD"/>
        </w:rPr>
        <w:t>Misiunea de audit public extern s-a desfă</w:t>
      </w:r>
      <w:r w:rsidR="00B13B9A" w:rsidRPr="00B13B9A">
        <w:rPr>
          <w:rFonts w:asciiTheme="majorHAnsi" w:hAnsiTheme="majorHAnsi" w:cstheme="minorHAnsi"/>
          <w:sz w:val="24"/>
          <w:szCs w:val="24"/>
          <w:shd w:val="clear" w:color="auto" w:fill="FFFFFF"/>
          <w:lang w:val="ro-MD"/>
        </w:rPr>
        <w:t>ș</w:t>
      </w:r>
      <w:r w:rsidRPr="00B13B9A">
        <w:rPr>
          <w:rFonts w:asciiTheme="majorHAnsi" w:hAnsiTheme="majorHAnsi" w:cstheme="minorHAnsi"/>
          <w:sz w:val="24"/>
          <w:szCs w:val="24"/>
          <w:shd w:val="clear" w:color="auto" w:fill="FFFFFF"/>
          <w:lang w:val="ro-MD"/>
        </w:rPr>
        <w:t xml:space="preserve">urat în temeiul art.5, art.31 </w:t>
      </w:r>
      <w:r w:rsidR="00B13B9A" w:rsidRPr="00B13B9A">
        <w:rPr>
          <w:rFonts w:asciiTheme="majorHAnsi" w:hAnsiTheme="majorHAnsi" w:cstheme="minorHAnsi"/>
          <w:sz w:val="24"/>
          <w:szCs w:val="24"/>
          <w:shd w:val="clear" w:color="auto" w:fill="FFFFFF"/>
          <w:lang w:val="ro-MD"/>
        </w:rPr>
        <w:t>ș</w:t>
      </w:r>
      <w:r w:rsidRPr="00B13B9A">
        <w:rPr>
          <w:rFonts w:asciiTheme="majorHAnsi" w:hAnsiTheme="majorHAnsi" w:cstheme="minorHAnsi"/>
          <w:sz w:val="24"/>
          <w:szCs w:val="24"/>
          <w:shd w:val="clear" w:color="auto" w:fill="FFFFFF"/>
          <w:lang w:val="ro-MD"/>
        </w:rPr>
        <w:t xml:space="preserve">i art.32 din Legea privind organizarea </w:t>
      </w:r>
      <w:r w:rsidR="00B13B9A" w:rsidRPr="00B13B9A">
        <w:rPr>
          <w:rFonts w:asciiTheme="majorHAnsi" w:hAnsiTheme="majorHAnsi" w:cstheme="minorHAnsi"/>
          <w:sz w:val="24"/>
          <w:szCs w:val="24"/>
          <w:shd w:val="clear" w:color="auto" w:fill="FFFFFF"/>
          <w:lang w:val="ro-MD"/>
        </w:rPr>
        <w:t>ș</w:t>
      </w:r>
      <w:r w:rsidRPr="00B13B9A">
        <w:rPr>
          <w:rFonts w:asciiTheme="majorHAnsi" w:hAnsiTheme="majorHAnsi" w:cstheme="minorHAnsi"/>
          <w:sz w:val="24"/>
          <w:szCs w:val="24"/>
          <w:shd w:val="clear" w:color="auto" w:fill="FFFFFF"/>
          <w:lang w:val="ro-MD"/>
        </w:rPr>
        <w:t>i func</w:t>
      </w:r>
      <w:r w:rsidR="00B13B9A" w:rsidRPr="00B13B9A">
        <w:rPr>
          <w:rFonts w:asciiTheme="majorHAnsi" w:hAnsiTheme="majorHAnsi" w:cstheme="minorHAnsi"/>
          <w:sz w:val="24"/>
          <w:szCs w:val="24"/>
          <w:shd w:val="clear" w:color="auto" w:fill="FFFFFF"/>
          <w:lang w:val="ro-MD"/>
        </w:rPr>
        <w:t>ț</w:t>
      </w:r>
      <w:r w:rsidRPr="00B13B9A">
        <w:rPr>
          <w:rFonts w:asciiTheme="majorHAnsi" w:hAnsiTheme="majorHAnsi" w:cstheme="minorHAnsi"/>
          <w:sz w:val="24"/>
          <w:szCs w:val="24"/>
          <w:shd w:val="clear" w:color="auto" w:fill="FFFFFF"/>
          <w:lang w:val="ro-MD"/>
        </w:rPr>
        <w:t>ionarea Cur</w:t>
      </w:r>
      <w:r w:rsidR="00B13B9A" w:rsidRPr="00B13B9A">
        <w:rPr>
          <w:rFonts w:asciiTheme="majorHAnsi" w:hAnsiTheme="majorHAnsi" w:cstheme="minorHAnsi"/>
          <w:sz w:val="24"/>
          <w:szCs w:val="24"/>
          <w:shd w:val="clear" w:color="auto" w:fill="FFFFFF"/>
          <w:lang w:val="ro-MD"/>
        </w:rPr>
        <w:t>ț</w:t>
      </w:r>
      <w:r w:rsidRPr="00B13B9A">
        <w:rPr>
          <w:rFonts w:asciiTheme="majorHAnsi" w:hAnsiTheme="majorHAnsi" w:cstheme="minorHAnsi"/>
          <w:sz w:val="24"/>
          <w:szCs w:val="24"/>
          <w:shd w:val="clear" w:color="auto" w:fill="FFFFFF"/>
          <w:lang w:val="ro-MD"/>
        </w:rPr>
        <w:t>ii de Conturi a Republicii Moldova nr.260 din 07.12.2017, conform Programului activită</w:t>
      </w:r>
      <w:r w:rsidR="00B13B9A" w:rsidRPr="00B13B9A">
        <w:rPr>
          <w:rFonts w:asciiTheme="majorHAnsi" w:hAnsiTheme="majorHAnsi" w:cstheme="minorHAnsi"/>
          <w:sz w:val="24"/>
          <w:szCs w:val="24"/>
          <w:shd w:val="clear" w:color="auto" w:fill="FFFFFF"/>
          <w:lang w:val="ro-MD"/>
        </w:rPr>
        <w:t>ț</w:t>
      </w:r>
      <w:r w:rsidRPr="00B13B9A">
        <w:rPr>
          <w:rFonts w:asciiTheme="majorHAnsi" w:hAnsiTheme="majorHAnsi" w:cstheme="minorHAnsi"/>
          <w:sz w:val="24"/>
          <w:szCs w:val="24"/>
          <w:shd w:val="clear" w:color="auto" w:fill="FFFFFF"/>
          <w:lang w:val="ro-MD"/>
        </w:rPr>
        <w:t>ii de audit pe anul 2023</w:t>
      </w:r>
      <w:r w:rsidRPr="00B13B9A">
        <w:rPr>
          <w:rFonts w:asciiTheme="majorHAnsi" w:hAnsiTheme="majorHAnsi" w:cstheme="minorHAnsi"/>
          <w:color w:val="000000"/>
          <w:sz w:val="24"/>
          <w:szCs w:val="24"/>
          <w:shd w:val="clear" w:color="auto" w:fill="FFFFFF"/>
          <w:lang w:val="ro-MD"/>
        </w:rPr>
        <w:t>, având drept scop evaluarea conformită</w:t>
      </w:r>
      <w:r w:rsidR="00B13B9A" w:rsidRPr="00B13B9A">
        <w:rPr>
          <w:rFonts w:asciiTheme="majorHAnsi" w:hAnsiTheme="majorHAnsi" w:cstheme="minorHAnsi"/>
          <w:color w:val="000000"/>
          <w:sz w:val="24"/>
          <w:szCs w:val="24"/>
          <w:shd w:val="clear" w:color="auto" w:fill="FFFFFF"/>
          <w:lang w:val="ro-MD"/>
        </w:rPr>
        <w:t>ț</w:t>
      </w:r>
      <w:r w:rsidRPr="00B13B9A">
        <w:rPr>
          <w:rFonts w:asciiTheme="majorHAnsi" w:hAnsiTheme="majorHAnsi" w:cstheme="minorHAnsi"/>
          <w:color w:val="000000"/>
          <w:sz w:val="24"/>
          <w:szCs w:val="24"/>
          <w:shd w:val="clear" w:color="auto" w:fill="FFFFFF"/>
          <w:lang w:val="ro-MD"/>
        </w:rPr>
        <w:t xml:space="preserve">ii gestionării patrimoniului public </w:t>
      </w:r>
      <w:r w:rsidR="00B13B9A" w:rsidRPr="00B13B9A">
        <w:rPr>
          <w:rFonts w:asciiTheme="majorHAnsi" w:hAnsiTheme="majorHAnsi" w:cstheme="minorHAnsi"/>
          <w:color w:val="000000"/>
          <w:sz w:val="24"/>
          <w:szCs w:val="24"/>
          <w:shd w:val="clear" w:color="auto" w:fill="FFFFFF"/>
          <w:lang w:val="ro-MD"/>
        </w:rPr>
        <w:t>ș</w:t>
      </w:r>
      <w:r w:rsidRPr="00B13B9A">
        <w:rPr>
          <w:rFonts w:asciiTheme="majorHAnsi" w:hAnsiTheme="majorHAnsi" w:cstheme="minorHAnsi"/>
          <w:color w:val="000000"/>
          <w:sz w:val="24"/>
          <w:szCs w:val="24"/>
          <w:shd w:val="clear" w:color="auto" w:fill="FFFFFF"/>
          <w:lang w:val="ro-MD"/>
        </w:rPr>
        <w:t>i a resurselor financiare de către IMSP Institutul de Ftiziopneumologie „Chiril Draganiuc”, în raport cu prevederile cadrului normativ aplicabil.</w:t>
      </w:r>
    </w:p>
    <w:p w14:paraId="4412C2D3" w14:textId="3BC9DD25" w:rsidR="001159D9" w:rsidRPr="00B13B9A" w:rsidRDefault="00917726" w:rsidP="001159D9">
      <w:pPr>
        <w:spacing w:after="80" w:line="276" w:lineRule="auto"/>
        <w:jc w:val="both"/>
        <w:rPr>
          <w:rFonts w:asciiTheme="majorHAnsi" w:hAnsiTheme="majorHAnsi" w:cstheme="minorHAnsi"/>
          <w:color w:val="000000"/>
          <w:sz w:val="24"/>
          <w:szCs w:val="24"/>
          <w:shd w:val="clear" w:color="auto" w:fill="FFFFFF"/>
          <w:lang w:val="ro-MD"/>
        </w:rPr>
      </w:pPr>
      <w:r w:rsidRPr="00B13B9A">
        <w:rPr>
          <w:rFonts w:asciiTheme="majorHAnsi" w:hAnsiTheme="majorHAnsi" w:cstheme="minorHAnsi"/>
          <w:color w:val="000000"/>
          <w:sz w:val="24"/>
          <w:szCs w:val="24"/>
          <w:shd w:val="clear" w:color="auto" w:fill="FFFFFF"/>
          <w:lang w:val="ro-MD"/>
        </w:rPr>
        <w:t>În acest sens, a</w:t>
      </w:r>
      <w:r w:rsidR="001159D9" w:rsidRPr="00B13B9A">
        <w:rPr>
          <w:rFonts w:asciiTheme="majorHAnsi" w:hAnsiTheme="majorHAnsi" w:cstheme="minorHAnsi"/>
          <w:color w:val="000000"/>
          <w:sz w:val="24"/>
          <w:szCs w:val="24"/>
          <w:shd w:val="clear" w:color="auto" w:fill="FFFFFF"/>
          <w:lang w:val="ro-MD"/>
        </w:rPr>
        <w:t xml:space="preserve"> fost determinat</w:t>
      </w:r>
      <w:r w:rsidR="00332D4F" w:rsidRPr="00B13B9A">
        <w:rPr>
          <w:rFonts w:asciiTheme="majorHAnsi" w:hAnsiTheme="majorHAnsi" w:cstheme="minorHAnsi"/>
          <w:color w:val="000000"/>
          <w:sz w:val="24"/>
          <w:szCs w:val="24"/>
          <w:shd w:val="clear" w:color="auto" w:fill="FFFFFF"/>
          <w:lang w:val="ro-MD"/>
        </w:rPr>
        <w:t xml:space="preserve">e </w:t>
      </w:r>
      <w:r w:rsidR="001159D9" w:rsidRPr="00B13B9A">
        <w:rPr>
          <w:rFonts w:asciiTheme="majorHAnsi" w:hAnsiTheme="majorHAnsi" w:cstheme="minorHAnsi"/>
          <w:color w:val="000000"/>
          <w:sz w:val="24"/>
          <w:szCs w:val="24"/>
          <w:shd w:val="clear" w:color="auto" w:fill="FFFFFF"/>
          <w:lang w:val="ro-MD"/>
        </w:rPr>
        <w:t>următoarele obiective specifice:</w:t>
      </w:r>
    </w:p>
    <w:p w14:paraId="1EC8E9E1" w14:textId="77777777" w:rsidR="00DA4EE2" w:rsidRPr="00B13B9A" w:rsidRDefault="00DA4EE2" w:rsidP="00DA4EE2">
      <w:pPr>
        <w:rPr>
          <w:rFonts w:asciiTheme="majorHAnsi" w:hAnsiTheme="majorHAnsi" w:cstheme="majorHAnsi"/>
          <w:b/>
          <w:i/>
          <w:color w:val="2E74B5" w:themeColor="accent1" w:themeShade="BF"/>
          <w:sz w:val="24"/>
          <w:u w:val="single"/>
          <w:lang w:val="ro-MD"/>
        </w:rPr>
      </w:pPr>
      <w:r w:rsidRPr="00B13B9A">
        <w:rPr>
          <w:rFonts w:asciiTheme="majorHAnsi" w:hAnsiTheme="majorHAnsi" w:cstheme="majorHAnsi"/>
          <w:b/>
          <w:i/>
          <w:color w:val="2E74B5" w:themeColor="accent1" w:themeShade="BF"/>
          <w:sz w:val="24"/>
          <w:u w:val="single"/>
          <w:lang w:val="ro-MD"/>
        </w:rPr>
        <w:t>Obiectivul de audit nr. 1</w:t>
      </w:r>
    </w:p>
    <w:p w14:paraId="1CC12353" w14:textId="3D796265" w:rsidR="00DA4EE2" w:rsidRPr="00B13B9A" w:rsidRDefault="00DA4EE2" w:rsidP="00DA4EE2">
      <w:pPr>
        <w:shd w:val="clear" w:color="auto" w:fill="FFFFFF"/>
        <w:spacing w:line="240" w:lineRule="auto"/>
        <w:jc w:val="both"/>
        <w:rPr>
          <w:rFonts w:asciiTheme="majorHAnsi" w:hAnsiTheme="majorHAnsi" w:cstheme="majorHAnsi"/>
          <w:b/>
          <w:i/>
          <w:color w:val="000000" w:themeColor="text1"/>
          <w:sz w:val="24"/>
          <w:lang w:val="ro-MD"/>
        </w:rPr>
      </w:pPr>
      <w:r w:rsidRPr="00B13B9A">
        <w:rPr>
          <w:rFonts w:asciiTheme="majorHAnsi" w:hAnsiTheme="majorHAnsi" w:cstheme="majorHAnsi"/>
          <w:b/>
          <w:i/>
          <w:color w:val="000000" w:themeColor="text1"/>
          <w:sz w:val="24"/>
          <w:lang w:val="ro-MD"/>
        </w:rPr>
        <w:t xml:space="preserve">A fost asigurată gestionarea, înregistrarea </w:t>
      </w:r>
      <w:r w:rsidR="00B13B9A" w:rsidRPr="00B13B9A">
        <w:rPr>
          <w:rFonts w:asciiTheme="majorHAnsi" w:hAnsiTheme="majorHAnsi" w:cstheme="majorHAnsi"/>
          <w:b/>
          <w:i/>
          <w:color w:val="000000" w:themeColor="text1"/>
          <w:sz w:val="24"/>
          <w:lang w:val="ro-MD"/>
        </w:rPr>
        <w:t>ș</w:t>
      </w:r>
      <w:r w:rsidRPr="00B13B9A">
        <w:rPr>
          <w:rFonts w:asciiTheme="majorHAnsi" w:hAnsiTheme="majorHAnsi" w:cstheme="majorHAnsi"/>
          <w:b/>
          <w:i/>
          <w:color w:val="000000" w:themeColor="text1"/>
          <w:sz w:val="24"/>
          <w:lang w:val="ro-MD"/>
        </w:rPr>
        <w:t>i eviden</w:t>
      </w:r>
      <w:r w:rsidR="00B13B9A" w:rsidRPr="00B13B9A">
        <w:rPr>
          <w:rFonts w:asciiTheme="majorHAnsi" w:hAnsiTheme="majorHAnsi" w:cstheme="majorHAnsi"/>
          <w:b/>
          <w:i/>
          <w:color w:val="000000" w:themeColor="text1"/>
          <w:sz w:val="24"/>
          <w:lang w:val="ro-MD"/>
        </w:rPr>
        <w:t>ț</w:t>
      </w:r>
      <w:r w:rsidRPr="00B13B9A">
        <w:rPr>
          <w:rFonts w:asciiTheme="majorHAnsi" w:hAnsiTheme="majorHAnsi" w:cstheme="majorHAnsi"/>
          <w:b/>
          <w:i/>
          <w:color w:val="000000" w:themeColor="text1"/>
          <w:sz w:val="24"/>
          <w:lang w:val="ro-MD"/>
        </w:rPr>
        <w:t>a conformă a patrimoniului de stat transmis în gestiune economică către IMSP IFP</w:t>
      </w:r>
      <w:r w:rsidR="00894909" w:rsidRPr="00B13B9A">
        <w:rPr>
          <w:rFonts w:asciiTheme="majorHAnsi" w:hAnsiTheme="majorHAnsi" w:cstheme="majorHAnsi"/>
          <w:b/>
          <w:i/>
          <w:color w:val="000000" w:themeColor="text1"/>
          <w:sz w:val="24"/>
          <w:lang w:val="ro-MD"/>
        </w:rPr>
        <w:t xml:space="preserve"> </w:t>
      </w:r>
      <w:r w:rsidR="00894909" w:rsidRPr="00B13B9A">
        <w:rPr>
          <w:rFonts w:asciiTheme="majorHAnsi" w:hAnsiTheme="majorHAnsi" w:cstheme="majorHAnsi"/>
          <w:b/>
          <w:i/>
          <w:sz w:val="24"/>
          <w:szCs w:val="24"/>
          <w:lang w:val="ro-MD"/>
        </w:rPr>
        <w:t>„Chiril Draganiuc”</w:t>
      </w:r>
      <w:r w:rsidRPr="00B13B9A">
        <w:rPr>
          <w:rFonts w:asciiTheme="majorHAnsi" w:hAnsiTheme="majorHAnsi" w:cstheme="majorHAnsi"/>
          <w:b/>
          <w:i/>
          <w:color w:val="000000" w:themeColor="text1"/>
          <w:sz w:val="24"/>
          <w:lang w:val="ro-MD"/>
        </w:rPr>
        <w:t>?</w:t>
      </w:r>
    </w:p>
    <w:p w14:paraId="3874DEAD" w14:textId="77777777" w:rsidR="00DA4EE2" w:rsidRPr="00B13B9A" w:rsidRDefault="00DA4EE2" w:rsidP="00DA4EE2">
      <w:pPr>
        <w:rPr>
          <w:rFonts w:asciiTheme="majorHAnsi" w:hAnsiTheme="majorHAnsi" w:cstheme="majorHAnsi"/>
          <w:b/>
          <w:i/>
          <w:color w:val="2E74B5" w:themeColor="accent1" w:themeShade="BF"/>
          <w:sz w:val="24"/>
          <w:u w:val="single"/>
          <w:lang w:val="ro-MD"/>
        </w:rPr>
      </w:pPr>
      <w:r w:rsidRPr="00B13B9A">
        <w:rPr>
          <w:rFonts w:asciiTheme="majorHAnsi" w:hAnsiTheme="majorHAnsi" w:cstheme="majorHAnsi"/>
          <w:b/>
          <w:i/>
          <w:color w:val="2E74B5" w:themeColor="accent1" w:themeShade="BF"/>
          <w:sz w:val="24"/>
          <w:u w:val="single"/>
          <w:lang w:val="ro-MD"/>
        </w:rPr>
        <w:t>Obiectivul de audit nr. 2</w:t>
      </w:r>
    </w:p>
    <w:p w14:paraId="768F5D2C" w14:textId="1892D127" w:rsidR="001159D9" w:rsidRPr="00B13B9A" w:rsidRDefault="00DA4EE2" w:rsidP="00810C0B">
      <w:pPr>
        <w:jc w:val="both"/>
        <w:rPr>
          <w:rFonts w:asciiTheme="majorHAnsi" w:hAnsiTheme="majorHAnsi" w:cstheme="majorHAnsi"/>
          <w:b/>
          <w:i/>
          <w:color w:val="2E74B5" w:themeColor="accent1" w:themeShade="BF"/>
          <w:sz w:val="24"/>
          <w:lang w:val="ro-MD"/>
        </w:rPr>
      </w:pPr>
      <w:r w:rsidRPr="00B13B9A">
        <w:rPr>
          <w:rFonts w:asciiTheme="majorHAnsi" w:hAnsiTheme="majorHAnsi" w:cstheme="majorHAnsi"/>
          <w:b/>
          <w:i/>
          <w:color w:val="000000" w:themeColor="text1"/>
          <w:sz w:val="24"/>
          <w:lang w:val="ro-MD"/>
        </w:rPr>
        <w:t xml:space="preserve">Resursele financiare primite </w:t>
      </w:r>
      <w:r w:rsidR="00B13B9A" w:rsidRPr="00B13B9A">
        <w:rPr>
          <w:rFonts w:asciiTheme="majorHAnsi" w:hAnsiTheme="majorHAnsi" w:cstheme="majorHAnsi"/>
          <w:b/>
          <w:i/>
          <w:color w:val="000000" w:themeColor="text1"/>
          <w:sz w:val="24"/>
          <w:lang w:val="ro-MD"/>
        </w:rPr>
        <w:t>ș</w:t>
      </w:r>
      <w:r w:rsidRPr="00B13B9A">
        <w:rPr>
          <w:rFonts w:asciiTheme="majorHAnsi" w:hAnsiTheme="majorHAnsi" w:cstheme="majorHAnsi"/>
          <w:b/>
          <w:i/>
          <w:color w:val="000000" w:themeColor="text1"/>
          <w:sz w:val="24"/>
          <w:lang w:val="ro-MD"/>
        </w:rPr>
        <w:t>i de</w:t>
      </w:r>
      <w:r w:rsidR="00B13B9A" w:rsidRPr="00B13B9A">
        <w:rPr>
          <w:rFonts w:asciiTheme="majorHAnsi" w:hAnsiTheme="majorHAnsi" w:cstheme="majorHAnsi"/>
          <w:b/>
          <w:i/>
          <w:color w:val="000000" w:themeColor="text1"/>
          <w:sz w:val="24"/>
          <w:lang w:val="ro-MD"/>
        </w:rPr>
        <w:t>ț</w:t>
      </w:r>
      <w:r w:rsidRPr="00B13B9A">
        <w:rPr>
          <w:rFonts w:asciiTheme="majorHAnsi" w:hAnsiTheme="majorHAnsi" w:cstheme="majorHAnsi"/>
          <w:b/>
          <w:i/>
          <w:color w:val="000000" w:themeColor="text1"/>
          <w:sz w:val="24"/>
          <w:lang w:val="ro-MD"/>
        </w:rPr>
        <w:t xml:space="preserve">inute de IMSP </w:t>
      </w:r>
      <w:r w:rsidR="00FE5EA2" w:rsidRPr="00B13B9A">
        <w:rPr>
          <w:rFonts w:asciiTheme="majorHAnsi" w:hAnsiTheme="majorHAnsi" w:cstheme="majorHAnsi"/>
          <w:b/>
          <w:i/>
          <w:color w:val="000000" w:themeColor="text1"/>
          <w:sz w:val="24"/>
          <w:lang w:val="ro-MD"/>
        </w:rPr>
        <w:t xml:space="preserve">IFP </w:t>
      </w:r>
      <w:r w:rsidR="00297296" w:rsidRPr="00B13B9A">
        <w:rPr>
          <w:rFonts w:asciiTheme="majorHAnsi" w:hAnsiTheme="majorHAnsi" w:cstheme="majorHAnsi"/>
          <w:b/>
          <w:i/>
          <w:sz w:val="24"/>
          <w:szCs w:val="24"/>
          <w:lang w:val="ro-MD"/>
        </w:rPr>
        <w:t xml:space="preserve">„Chiril Draganiuc” </w:t>
      </w:r>
      <w:r w:rsidRPr="00B13B9A">
        <w:rPr>
          <w:rFonts w:asciiTheme="majorHAnsi" w:hAnsiTheme="majorHAnsi" w:cstheme="majorHAnsi"/>
          <w:b/>
          <w:i/>
          <w:color w:val="000000" w:themeColor="text1"/>
          <w:sz w:val="24"/>
          <w:lang w:val="ro-MD"/>
        </w:rPr>
        <w:t>au fost gestionate corespunzător, în conformitate cu normele în vigoare</w:t>
      </w:r>
      <w:r w:rsidRPr="00B13B9A">
        <w:rPr>
          <w:rFonts w:asciiTheme="majorHAnsi" w:hAnsiTheme="majorHAnsi" w:cstheme="majorHAnsi"/>
          <w:b/>
          <w:i/>
          <w:sz w:val="24"/>
          <w:lang w:val="ro-MD"/>
        </w:rPr>
        <w:t>?</w:t>
      </w:r>
    </w:p>
    <w:p w14:paraId="74F66860" w14:textId="37A73DC4" w:rsidR="00F2304D" w:rsidRPr="00B13B9A" w:rsidRDefault="00F2304D" w:rsidP="001159D9">
      <w:pPr>
        <w:spacing w:after="80" w:line="276" w:lineRule="auto"/>
        <w:jc w:val="both"/>
        <w:rPr>
          <w:rFonts w:asciiTheme="majorHAnsi" w:hAnsiTheme="majorHAnsi" w:cstheme="minorHAnsi"/>
          <w:color w:val="000000"/>
          <w:sz w:val="24"/>
          <w:szCs w:val="24"/>
          <w:shd w:val="clear" w:color="auto" w:fill="FFFFFF"/>
          <w:lang w:val="ro-MD"/>
        </w:rPr>
      </w:pPr>
    </w:p>
    <w:p w14:paraId="2C0F33C5" w14:textId="77777777" w:rsidR="001159D9" w:rsidRPr="00B13B9A" w:rsidRDefault="001159D9" w:rsidP="001159D9">
      <w:pPr>
        <w:pStyle w:val="3"/>
        <w:spacing w:after="120" w:line="276" w:lineRule="auto"/>
        <w:rPr>
          <w:rFonts w:cstheme="minorHAnsi"/>
          <w:b/>
          <w:color w:val="2E74B5" w:themeColor="accent1" w:themeShade="BF"/>
          <w:shd w:val="clear" w:color="auto" w:fill="FFFFFF"/>
        </w:rPr>
      </w:pPr>
      <w:bookmarkStart w:id="13" w:name="_Toc128640805"/>
      <w:bookmarkStart w:id="14" w:name="_Toc154562491"/>
      <w:r w:rsidRPr="00B13B9A">
        <w:rPr>
          <w:rFonts w:cstheme="minorHAnsi"/>
          <w:b/>
          <w:color w:val="2E74B5" w:themeColor="accent1" w:themeShade="BF"/>
          <w:shd w:val="clear" w:color="auto" w:fill="FFFFFF"/>
        </w:rPr>
        <w:t>3.2. Abordarea auditului</w:t>
      </w:r>
      <w:bookmarkEnd w:id="13"/>
      <w:bookmarkEnd w:id="14"/>
    </w:p>
    <w:p w14:paraId="5E41E102" w14:textId="1E2B0086" w:rsidR="0090136A" w:rsidRPr="00B13B9A" w:rsidRDefault="0090136A" w:rsidP="00415D9E">
      <w:pPr>
        <w:tabs>
          <w:tab w:val="left" w:pos="270"/>
          <w:tab w:val="left" w:pos="993"/>
        </w:tabs>
        <w:spacing w:after="0" w:line="276" w:lineRule="auto"/>
        <w:jc w:val="both"/>
        <w:rPr>
          <w:rFonts w:asciiTheme="majorHAnsi" w:eastAsia="Times New Roman" w:hAnsiTheme="majorHAnsi" w:cstheme="majorHAnsi"/>
          <w:i/>
          <w:sz w:val="24"/>
          <w:szCs w:val="24"/>
          <w:lang w:val="ro-MD"/>
        </w:rPr>
      </w:pPr>
      <w:r w:rsidRPr="00B13B9A">
        <w:rPr>
          <w:rFonts w:asciiTheme="majorHAnsi" w:hAnsiTheme="majorHAnsi" w:cstheme="majorHAnsi"/>
          <w:sz w:val="24"/>
          <w:szCs w:val="24"/>
          <w:lang w:val="ro-MD"/>
        </w:rPr>
        <w:t xml:space="preserve">Misiunea de audit public extern a fost realizată în conformitate cu </w:t>
      </w:r>
      <w:r w:rsidRPr="00B13B9A">
        <w:rPr>
          <w:rFonts w:asciiTheme="majorHAnsi" w:eastAsia="Times New Roman" w:hAnsiTheme="majorHAnsi" w:cstheme="majorHAnsi"/>
          <w:sz w:val="24"/>
          <w:szCs w:val="24"/>
          <w:lang w:val="ro-MD"/>
        </w:rPr>
        <w:t>Standardele Interna</w:t>
      </w:r>
      <w:r w:rsidR="00B13B9A" w:rsidRPr="00B13B9A">
        <w:rPr>
          <w:rFonts w:asciiTheme="majorHAnsi" w:eastAsia="Times New Roman" w:hAnsiTheme="majorHAnsi" w:cstheme="majorHAnsi"/>
          <w:sz w:val="24"/>
          <w:szCs w:val="24"/>
          <w:lang w:val="ro-MD"/>
        </w:rPr>
        <w:t>ț</w:t>
      </w:r>
      <w:r w:rsidRPr="00B13B9A">
        <w:rPr>
          <w:rFonts w:asciiTheme="majorHAnsi" w:eastAsia="Times New Roman" w:hAnsiTheme="majorHAnsi" w:cstheme="majorHAnsi"/>
          <w:sz w:val="24"/>
          <w:szCs w:val="24"/>
          <w:lang w:val="ro-MD"/>
        </w:rPr>
        <w:t>ionale ale Institu</w:t>
      </w:r>
      <w:r w:rsidR="00B13B9A" w:rsidRPr="00B13B9A">
        <w:rPr>
          <w:rFonts w:asciiTheme="majorHAnsi" w:eastAsia="Times New Roman" w:hAnsiTheme="majorHAnsi" w:cstheme="majorHAnsi"/>
          <w:sz w:val="24"/>
          <w:szCs w:val="24"/>
          <w:lang w:val="ro-MD"/>
        </w:rPr>
        <w:t>ț</w:t>
      </w:r>
      <w:r w:rsidRPr="00B13B9A">
        <w:rPr>
          <w:rFonts w:asciiTheme="majorHAnsi" w:eastAsia="Times New Roman" w:hAnsiTheme="majorHAnsi" w:cstheme="majorHAnsi"/>
          <w:sz w:val="24"/>
          <w:szCs w:val="24"/>
          <w:lang w:val="ro-MD"/>
        </w:rPr>
        <w:t xml:space="preserve">iilor Supreme de Audit (ISSAI 100, ISSAI 400 </w:t>
      </w:r>
      <w:r w:rsidR="00B13B9A" w:rsidRPr="00B13B9A">
        <w:rPr>
          <w:rFonts w:asciiTheme="majorHAnsi" w:eastAsia="Times New Roman" w:hAnsiTheme="majorHAnsi" w:cstheme="majorHAnsi"/>
          <w:sz w:val="24"/>
          <w:szCs w:val="24"/>
          <w:lang w:val="ro-MD"/>
        </w:rPr>
        <w:t>ș</w:t>
      </w:r>
      <w:r w:rsidRPr="00B13B9A">
        <w:rPr>
          <w:rFonts w:asciiTheme="majorHAnsi" w:eastAsia="Times New Roman" w:hAnsiTheme="majorHAnsi" w:cstheme="majorHAnsi"/>
          <w:sz w:val="24"/>
          <w:szCs w:val="24"/>
          <w:lang w:val="ro-MD"/>
        </w:rPr>
        <w:t>i ISSAI 4000)</w:t>
      </w:r>
      <w:r w:rsidRPr="00B13B9A">
        <w:rPr>
          <w:rStyle w:val="a9"/>
          <w:rFonts w:asciiTheme="majorHAnsi" w:eastAsia="Times New Roman" w:hAnsiTheme="majorHAnsi" w:cstheme="majorHAnsi"/>
          <w:sz w:val="24"/>
          <w:szCs w:val="24"/>
          <w:lang w:val="ro-MD"/>
        </w:rPr>
        <w:footnoteReference w:id="7"/>
      </w:r>
      <w:r w:rsidRPr="00B13B9A">
        <w:rPr>
          <w:rFonts w:asciiTheme="majorHAnsi" w:eastAsia="Times New Roman" w:hAnsiTheme="majorHAnsi" w:cstheme="majorHAnsi"/>
          <w:i/>
          <w:sz w:val="24"/>
          <w:szCs w:val="24"/>
          <w:lang w:val="ro-MD"/>
        </w:rPr>
        <w:t xml:space="preserve">. </w:t>
      </w:r>
    </w:p>
    <w:p w14:paraId="6A777466" w14:textId="5B9DE8E7" w:rsidR="0090136A" w:rsidRPr="00B13B9A" w:rsidRDefault="0090136A" w:rsidP="00415D9E">
      <w:pPr>
        <w:spacing w:after="0" w:line="276" w:lineRule="auto"/>
        <w:jc w:val="both"/>
        <w:rPr>
          <w:rFonts w:asciiTheme="majorHAnsi" w:eastAsia="Times New Roman" w:hAnsiTheme="majorHAnsi" w:cstheme="majorHAnsi"/>
          <w:sz w:val="24"/>
          <w:szCs w:val="24"/>
          <w:lang w:val="ro-MD" w:eastAsia="ro-MD"/>
        </w:rPr>
      </w:pPr>
      <w:r w:rsidRPr="00B13B9A">
        <w:rPr>
          <w:rFonts w:asciiTheme="majorHAnsi" w:eastAsia="Times New Roman" w:hAnsiTheme="majorHAnsi" w:cstheme="majorHAnsi"/>
          <w:sz w:val="24"/>
          <w:szCs w:val="24"/>
          <w:lang w:val="ro-MD" w:eastAsia="ro-MD"/>
        </w:rPr>
        <w:t>Metodologia de audit public extern a constat din ac</w:t>
      </w:r>
      <w:r w:rsidR="00B13B9A" w:rsidRPr="00B13B9A">
        <w:rPr>
          <w:rFonts w:asciiTheme="majorHAnsi" w:eastAsia="Times New Roman" w:hAnsiTheme="majorHAnsi" w:cstheme="majorHAnsi"/>
          <w:sz w:val="24"/>
          <w:szCs w:val="24"/>
          <w:lang w:val="ro-MD" w:eastAsia="ro-MD"/>
        </w:rPr>
        <w:t>ț</w:t>
      </w:r>
      <w:r w:rsidRPr="00B13B9A">
        <w:rPr>
          <w:rFonts w:asciiTheme="majorHAnsi" w:eastAsia="Times New Roman" w:hAnsiTheme="majorHAnsi" w:cstheme="majorHAnsi"/>
          <w:sz w:val="24"/>
          <w:szCs w:val="24"/>
          <w:lang w:val="ro-MD" w:eastAsia="ro-MD"/>
        </w:rPr>
        <w:t xml:space="preserve">iuni de colectare a probelor </w:t>
      </w:r>
      <w:r w:rsidRPr="00B13B9A">
        <w:rPr>
          <w:rFonts w:asciiTheme="majorHAnsi" w:eastAsia="Times New Roman" w:hAnsiTheme="majorHAnsi" w:cstheme="majorHAnsi"/>
          <w:bCs/>
          <w:iCs/>
          <w:sz w:val="24"/>
          <w:szCs w:val="24"/>
          <w:lang w:val="ro-MD" w:eastAsia="ru-RU"/>
        </w:rPr>
        <w:t>la fa</w:t>
      </w:r>
      <w:r w:rsidR="00B13B9A" w:rsidRPr="00B13B9A">
        <w:rPr>
          <w:rFonts w:asciiTheme="majorHAnsi" w:eastAsia="Times New Roman" w:hAnsiTheme="majorHAnsi" w:cstheme="majorHAnsi"/>
          <w:bCs/>
          <w:iCs/>
          <w:sz w:val="24"/>
          <w:szCs w:val="24"/>
          <w:lang w:val="ro-MD" w:eastAsia="ru-RU"/>
        </w:rPr>
        <w:t>ț</w:t>
      </w:r>
      <w:r w:rsidRPr="00B13B9A">
        <w:rPr>
          <w:rFonts w:asciiTheme="majorHAnsi" w:eastAsia="Times New Roman" w:hAnsiTheme="majorHAnsi" w:cstheme="majorHAnsi"/>
          <w:bCs/>
          <w:iCs/>
          <w:sz w:val="24"/>
          <w:szCs w:val="24"/>
          <w:lang w:val="ro-MD" w:eastAsia="ru-RU"/>
        </w:rPr>
        <w:t>a locului</w:t>
      </w:r>
      <w:r w:rsidR="00FE5EA2" w:rsidRPr="00B13B9A">
        <w:rPr>
          <w:rFonts w:asciiTheme="majorHAnsi" w:eastAsia="Times New Roman" w:hAnsiTheme="majorHAnsi" w:cstheme="majorHAnsi"/>
          <w:bCs/>
          <w:iCs/>
          <w:sz w:val="24"/>
          <w:szCs w:val="24"/>
          <w:lang w:val="ro-MD" w:eastAsia="ru-RU"/>
        </w:rPr>
        <w:t>, de</w:t>
      </w:r>
      <w:r w:rsidRPr="00B13B9A">
        <w:rPr>
          <w:rFonts w:asciiTheme="majorHAnsi" w:eastAsia="Times New Roman" w:hAnsiTheme="majorHAnsi" w:cstheme="majorHAnsi"/>
          <w:bCs/>
          <w:iCs/>
          <w:sz w:val="24"/>
          <w:szCs w:val="24"/>
          <w:lang w:val="ro-MD" w:eastAsia="ru-RU"/>
        </w:rPr>
        <w:t xml:space="preserve"> </w:t>
      </w:r>
      <w:r w:rsidRPr="00B13B9A">
        <w:rPr>
          <w:rFonts w:asciiTheme="majorHAnsi" w:eastAsia="Times New Roman" w:hAnsiTheme="majorHAnsi" w:cstheme="majorHAnsi"/>
          <w:sz w:val="24"/>
          <w:szCs w:val="24"/>
          <w:lang w:val="ro-MD" w:eastAsia="ro-MD"/>
        </w:rPr>
        <w:t>verific</w:t>
      </w:r>
      <w:r w:rsidR="00894909" w:rsidRPr="00B13B9A">
        <w:rPr>
          <w:rFonts w:asciiTheme="majorHAnsi" w:eastAsia="Times New Roman" w:hAnsiTheme="majorHAnsi" w:cstheme="majorHAnsi"/>
          <w:sz w:val="24"/>
          <w:szCs w:val="24"/>
          <w:lang w:val="ro-MD" w:eastAsia="ro-MD"/>
        </w:rPr>
        <w:t>are</w:t>
      </w:r>
      <w:r w:rsidR="00FE5EA2" w:rsidRPr="00B13B9A">
        <w:rPr>
          <w:rFonts w:asciiTheme="majorHAnsi" w:eastAsia="Times New Roman" w:hAnsiTheme="majorHAnsi" w:cstheme="majorHAnsi"/>
          <w:sz w:val="24"/>
          <w:szCs w:val="24"/>
          <w:lang w:val="ro-MD" w:eastAsia="ro-MD"/>
        </w:rPr>
        <w:t xml:space="preserve"> a</w:t>
      </w:r>
      <w:r w:rsidRPr="00B13B9A">
        <w:rPr>
          <w:rFonts w:asciiTheme="majorHAnsi" w:eastAsia="Times New Roman" w:hAnsiTheme="majorHAnsi" w:cstheme="majorHAnsi"/>
          <w:sz w:val="24"/>
          <w:szCs w:val="24"/>
          <w:lang w:val="ro-MD" w:eastAsia="ro-MD"/>
        </w:rPr>
        <w:t xml:space="preserve"> tranzac</w:t>
      </w:r>
      <w:r w:rsidR="00B13B9A" w:rsidRPr="00B13B9A">
        <w:rPr>
          <w:rFonts w:asciiTheme="majorHAnsi" w:eastAsia="Times New Roman" w:hAnsiTheme="majorHAnsi" w:cstheme="majorHAnsi"/>
          <w:sz w:val="24"/>
          <w:szCs w:val="24"/>
          <w:lang w:val="ro-MD" w:eastAsia="ro-MD"/>
        </w:rPr>
        <w:t>ț</w:t>
      </w:r>
      <w:r w:rsidRPr="00B13B9A">
        <w:rPr>
          <w:rFonts w:asciiTheme="majorHAnsi" w:eastAsia="Times New Roman" w:hAnsiTheme="majorHAnsi" w:cstheme="majorHAnsi"/>
          <w:sz w:val="24"/>
          <w:szCs w:val="24"/>
          <w:lang w:val="ro-MD" w:eastAsia="ro-MD"/>
        </w:rPr>
        <w:t xml:space="preserve">iilor </w:t>
      </w:r>
      <w:r w:rsidR="00B13B9A" w:rsidRPr="00B13B9A">
        <w:rPr>
          <w:rFonts w:asciiTheme="majorHAnsi" w:eastAsia="Times New Roman" w:hAnsiTheme="majorHAnsi" w:cstheme="majorHAnsi"/>
          <w:sz w:val="24"/>
          <w:szCs w:val="24"/>
          <w:lang w:val="ro-MD" w:eastAsia="ro-MD"/>
        </w:rPr>
        <w:t>ș</w:t>
      </w:r>
      <w:r w:rsidRPr="00B13B9A">
        <w:rPr>
          <w:rFonts w:asciiTheme="majorHAnsi" w:eastAsia="Times New Roman" w:hAnsiTheme="majorHAnsi" w:cstheme="majorHAnsi"/>
          <w:sz w:val="24"/>
          <w:szCs w:val="24"/>
          <w:lang w:val="ro-MD" w:eastAsia="ro-MD"/>
        </w:rPr>
        <w:t xml:space="preserve">i documentelor aferente gestionării patrimoniului IMSP </w:t>
      </w:r>
      <w:r w:rsidR="00B13B9A" w:rsidRPr="00B13B9A">
        <w:rPr>
          <w:rFonts w:asciiTheme="majorHAnsi" w:eastAsia="Times New Roman" w:hAnsiTheme="majorHAnsi" w:cstheme="majorHAnsi"/>
          <w:sz w:val="24"/>
          <w:szCs w:val="24"/>
          <w:lang w:val="ro-MD" w:eastAsia="ro-MD"/>
        </w:rPr>
        <w:t>ș</w:t>
      </w:r>
      <w:r w:rsidRPr="00B13B9A">
        <w:rPr>
          <w:rFonts w:asciiTheme="majorHAnsi" w:eastAsia="Times New Roman" w:hAnsiTheme="majorHAnsi" w:cstheme="majorHAnsi"/>
          <w:sz w:val="24"/>
          <w:szCs w:val="24"/>
          <w:lang w:val="ro-MD" w:eastAsia="ro-MD"/>
        </w:rPr>
        <w:t xml:space="preserve">i </w:t>
      </w:r>
      <w:r w:rsidR="00894909" w:rsidRPr="00B13B9A">
        <w:rPr>
          <w:rFonts w:asciiTheme="majorHAnsi" w:eastAsia="Times New Roman" w:hAnsiTheme="majorHAnsi" w:cstheme="majorHAnsi"/>
          <w:sz w:val="24"/>
          <w:szCs w:val="24"/>
          <w:lang w:val="ro-MD" w:eastAsia="ro-MD"/>
        </w:rPr>
        <w:t xml:space="preserve">a </w:t>
      </w:r>
      <w:r w:rsidRPr="00B13B9A">
        <w:rPr>
          <w:rFonts w:asciiTheme="majorHAnsi" w:eastAsia="Times New Roman" w:hAnsiTheme="majorHAnsi" w:cstheme="majorHAnsi"/>
          <w:sz w:val="24"/>
          <w:szCs w:val="24"/>
          <w:lang w:val="ro-MD" w:eastAsia="ro-MD"/>
        </w:rPr>
        <w:t xml:space="preserve">resurselor financiare ale acesteia, </w:t>
      </w:r>
      <w:r w:rsidR="00894909" w:rsidRPr="00B13B9A">
        <w:rPr>
          <w:rFonts w:asciiTheme="majorHAnsi" w:eastAsia="Times New Roman" w:hAnsiTheme="majorHAnsi" w:cstheme="majorHAnsi"/>
          <w:sz w:val="24"/>
          <w:szCs w:val="24"/>
          <w:lang w:val="ro-MD" w:eastAsia="ro-MD"/>
        </w:rPr>
        <w:t xml:space="preserve">de </w:t>
      </w:r>
      <w:r w:rsidRPr="00B13B9A">
        <w:rPr>
          <w:rFonts w:asciiTheme="majorHAnsi" w:eastAsia="Times New Roman" w:hAnsiTheme="majorHAnsi" w:cstheme="majorHAnsi"/>
          <w:color w:val="000000" w:themeColor="text1"/>
          <w:sz w:val="24"/>
          <w:szCs w:val="24"/>
          <w:lang w:val="ro-MD" w:eastAsia="ro-MD"/>
        </w:rPr>
        <w:t>contrapuner</w:t>
      </w:r>
      <w:r w:rsidR="00894909" w:rsidRPr="00B13B9A">
        <w:rPr>
          <w:rFonts w:asciiTheme="majorHAnsi" w:eastAsia="Times New Roman" w:hAnsiTheme="majorHAnsi" w:cstheme="majorHAnsi"/>
          <w:color w:val="000000" w:themeColor="text1"/>
          <w:sz w:val="24"/>
          <w:szCs w:val="24"/>
          <w:lang w:val="ro-MD" w:eastAsia="ro-MD"/>
        </w:rPr>
        <w:t>e</w:t>
      </w:r>
      <w:r w:rsidRPr="00B13B9A">
        <w:rPr>
          <w:rFonts w:asciiTheme="majorHAnsi" w:eastAsia="Times New Roman" w:hAnsiTheme="majorHAnsi" w:cstheme="majorHAnsi"/>
          <w:color w:val="000000" w:themeColor="text1"/>
          <w:sz w:val="24"/>
          <w:szCs w:val="24"/>
          <w:lang w:val="ro-MD" w:eastAsia="ro-MD"/>
        </w:rPr>
        <w:t xml:space="preserve"> </w:t>
      </w:r>
      <w:r w:rsidR="00B13B9A" w:rsidRPr="00B13B9A">
        <w:rPr>
          <w:rFonts w:asciiTheme="majorHAnsi" w:eastAsia="Times New Roman" w:hAnsiTheme="majorHAnsi" w:cstheme="majorHAnsi"/>
          <w:color w:val="000000" w:themeColor="text1"/>
          <w:sz w:val="24"/>
          <w:szCs w:val="24"/>
          <w:lang w:val="ro-MD" w:eastAsia="ro-MD"/>
        </w:rPr>
        <w:t>ș</w:t>
      </w:r>
      <w:r w:rsidRPr="00B13B9A">
        <w:rPr>
          <w:rFonts w:asciiTheme="majorHAnsi" w:eastAsia="Times New Roman" w:hAnsiTheme="majorHAnsi" w:cstheme="majorHAnsi"/>
          <w:color w:val="000000" w:themeColor="text1"/>
          <w:sz w:val="24"/>
          <w:szCs w:val="24"/>
          <w:lang w:val="ro-MD" w:eastAsia="ro-MD"/>
        </w:rPr>
        <w:t>i gener</w:t>
      </w:r>
      <w:r w:rsidR="00894909" w:rsidRPr="00B13B9A">
        <w:rPr>
          <w:rFonts w:asciiTheme="majorHAnsi" w:eastAsia="Times New Roman" w:hAnsiTheme="majorHAnsi" w:cstheme="majorHAnsi"/>
          <w:color w:val="000000" w:themeColor="text1"/>
          <w:sz w:val="24"/>
          <w:szCs w:val="24"/>
          <w:lang w:val="ro-MD" w:eastAsia="ro-MD"/>
        </w:rPr>
        <w:t>are a</w:t>
      </w:r>
      <w:r w:rsidRPr="00B13B9A">
        <w:rPr>
          <w:rFonts w:asciiTheme="majorHAnsi" w:eastAsia="Times New Roman" w:hAnsiTheme="majorHAnsi" w:cstheme="majorHAnsi"/>
          <w:color w:val="000000" w:themeColor="text1"/>
          <w:sz w:val="24"/>
          <w:szCs w:val="24"/>
          <w:lang w:val="ro-MD" w:eastAsia="ro-MD"/>
        </w:rPr>
        <w:t xml:space="preserve"> informa</w:t>
      </w:r>
      <w:r w:rsidR="00B13B9A" w:rsidRPr="00B13B9A">
        <w:rPr>
          <w:rFonts w:asciiTheme="majorHAnsi" w:eastAsia="Times New Roman" w:hAnsiTheme="majorHAnsi" w:cstheme="majorHAnsi"/>
          <w:color w:val="000000" w:themeColor="text1"/>
          <w:sz w:val="24"/>
          <w:szCs w:val="24"/>
          <w:lang w:val="ro-MD" w:eastAsia="ro-MD"/>
        </w:rPr>
        <w:t>ț</w:t>
      </w:r>
      <w:r w:rsidRPr="00B13B9A">
        <w:rPr>
          <w:rFonts w:asciiTheme="majorHAnsi" w:eastAsia="Times New Roman" w:hAnsiTheme="majorHAnsi" w:cstheme="majorHAnsi"/>
          <w:color w:val="000000" w:themeColor="text1"/>
          <w:sz w:val="24"/>
          <w:szCs w:val="24"/>
          <w:lang w:val="ro-MD" w:eastAsia="ro-MD"/>
        </w:rPr>
        <w:t>iilor din diferite sisteme informa</w:t>
      </w:r>
      <w:r w:rsidR="00B13B9A" w:rsidRPr="00B13B9A">
        <w:rPr>
          <w:rFonts w:asciiTheme="majorHAnsi" w:eastAsia="Times New Roman" w:hAnsiTheme="majorHAnsi" w:cstheme="majorHAnsi"/>
          <w:color w:val="000000" w:themeColor="text1"/>
          <w:sz w:val="24"/>
          <w:szCs w:val="24"/>
          <w:lang w:val="ro-MD" w:eastAsia="ro-MD"/>
        </w:rPr>
        <w:t>ț</w:t>
      </w:r>
      <w:r w:rsidRPr="00B13B9A">
        <w:rPr>
          <w:rFonts w:asciiTheme="majorHAnsi" w:eastAsia="Times New Roman" w:hAnsiTheme="majorHAnsi" w:cstheme="majorHAnsi"/>
          <w:color w:val="000000" w:themeColor="text1"/>
          <w:sz w:val="24"/>
          <w:szCs w:val="24"/>
          <w:lang w:val="ro-MD" w:eastAsia="ro-MD"/>
        </w:rPr>
        <w:t xml:space="preserve">ionale utilizate în acest scop, </w:t>
      </w:r>
      <w:r w:rsidRPr="00B13B9A">
        <w:rPr>
          <w:rFonts w:asciiTheme="majorHAnsi" w:eastAsia="Times New Roman" w:hAnsiTheme="majorHAnsi" w:cstheme="majorHAnsi"/>
          <w:sz w:val="24"/>
          <w:szCs w:val="24"/>
          <w:lang w:val="ro-MD" w:eastAsia="ro-MD"/>
        </w:rPr>
        <w:t>prin observa</w:t>
      </w:r>
      <w:r w:rsidR="00B13B9A" w:rsidRPr="00B13B9A">
        <w:rPr>
          <w:rFonts w:asciiTheme="majorHAnsi" w:eastAsia="Times New Roman" w:hAnsiTheme="majorHAnsi" w:cstheme="majorHAnsi"/>
          <w:sz w:val="24"/>
          <w:szCs w:val="24"/>
          <w:lang w:val="ro-MD" w:eastAsia="ro-MD"/>
        </w:rPr>
        <w:t>ț</w:t>
      </w:r>
      <w:r w:rsidRPr="00B13B9A">
        <w:rPr>
          <w:rFonts w:asciiTheme="majorHAnsi" w:eastAsia="Times New Roman" w:hAnsiTheme="majorHAnsi" w:cstheme="majorHAnsi"/>
          <w:sz w:val="24"/>
          <w:szCs w:val="24"/>
          <w:lang w:val="ro-MD" w:eastAsia="ro-MD"/>
        </w:rPr>
        <w:t>ii, investiga</w:t>
      </w:r>
      <w:r w:rsidR="00B13B9A" w:rsidRPr="00B13B9A">
        <w:rPr>
          <w:rFonts w:asciiTheme="majorHAnsi" w:eastAsia="Times New Roman" w:hAnsiTheme="majorHAnsi" w:cstheme="majorHAnsi"/>
          <w:sz w:val="24"/>
          <w:szCs w:val="24"/>
          <w:lang w:val="ro-MD" w:eastAsia="ro-MD"/>
        </w:rPr>
        <w:t>ț</w:t>
      </w:r>
      <w:r w:rsidRPr="00B13B9A">
        <w:rPr>
          <w:rFonts w:asciiTheme="majorHAnsi" w:eastAsia="Times New Roman" w:hAnsiTheme="majorHAnsi" w:cstheme="majorHAnsi"/>
          <w:sz w:val="24"/>
          <w:szCs w:val="24"/>
          <w:lang w:val="ro-MD" w:eastAsia="ro-MD"/>
        </w:rPr>
        <w:t xml:space="preserve">ii, intervievări </w:t>
      </w:r>
      <w:r w:rsidR="00B13B9A" w:rsidRPr="00B13B9A">
        <w:rPr>
          <w:rFonts w:asciiTheme="majorHAnsi" w:eastAsia="Times New Roman" w:hAnsiTheme="majorHAnsi" w:cstheme="majorHAnsi"/>
          <w:sz w:val="24"/>
          <w:szCs w:val="24"/>
          <w:lang w:val="ro-MD" w:eastAsia="ro-MD"/>
        </w:rPr>
        <w:t>ș</w:t>
      </w:r>
      <w:r w:rsidRPr="00B13B9A">
        <w:rPr>
          <w:rFonts w:asciiTheme="majorHAnsi" w:eastAsia="Times New Roman" w:hAnsiTheme="majorHAnsi" w:cstheme="majorHAnsi"/>
          <w:sz w:val="24"/>
          <w:szCs w:val="24"/>
          <w:lang w:val="ro-MD" w:eastAsia="ro-MD"/>
        </w:rPr>
        <w:t>i confirmări, (re)calcule.</w:t>
      </w:r>
      <w:r w:rsidR="00894909" w:rsidRPr="00B13B9A">
        <w:rPr>
          <w:rFonts w:asciiTheme="majorHAnsi" w:eastAsia="Times New Roman" w:hAnsiTheme="majorHAnsi" w:cstheme="majorHAnsi"/>
          <w:sz w:val="24"/>
          <w:szCs w:val="24"/>
          <w:lang w:val="ro-MD" w:eastAsia="ro-MD"/>
        </w:rPr>
        <w:t xml:space="preserve"> </w:t>
      </w:r>
      <w:r w:rsidRPr="00B13B9A">
        <w:rPr>
          <w:rFonts w:asciiTheme="majorHAnsi" w:hAnsiTheme="majorHAnsi" w:cstheme="majorHAnsi"/>
          <w:sz w:val="24"/>
          <w:szCs w:val="24"/>
          <w:lang w:val="ro-MD"/>
        </w:rPr>
        <w:t xml:space="preserve">Abordarea auditului public extern s-a bazat pe riscurile aferente proceselor semnificative din cadrul IMSP IFP „Chiril Draganiuc”, fiind axată pe evaluarea controalelor interne, precum </w:t>
      </w:r>
      <w:r w:rsidR="00B13B9A" w:rsidRPr="00B13B9A">
        <w:rPr>
          <w:rFonts w:asciiTheme="majorHAnsi" w:hAnsiTheme="majorHAnsi" w:cstheme="majorHAnsi"/>
          <w:sz w:val="24"/>
          <w:szCs w:val="24"/>
          <w:lang w:val="ro-MD"/>
        </w:rPr>
        <w:t>ș</w:t>
      </w:r>
      <w:r w:rsidRPr="00B13B9A">
        <w:rPr>
          <w:rFonts w:asciiTheme="majorHAnsi" w:hAnsiTheme="majorHAnsi" w:cstheme="majorHAnsi"/>
          <w:sz w:val="24"/>
          <w:szCs w:val="24"/>
          <w:lang w:val="ro-MD"/>
        </w:rPr>
        <w:t xml:space="preserve">i pe teste de fond aplicate pentru testarea/evaluarea elementelor/domeniilor auditate. </w:t>
      </w:r>
    </w:p>
    <w:p w14:paraId="03B96D09" w14:textId="79795F88" w:rsidR="0090136A" w:rsidRPr="00B13B9A" w:rsidRDefault="0090136A" w:rsidP="00415D9E">
      <w:pPr>
        <w:spacing w:after="0" w:line="276" w:lineRule="auto"/>
        <w:jc w:val="both"/>
        <w:rPr>
          <w:rFonts w:asciiTheme="majorHAnsi" w:hAnsiTheme="majorHAnsi" w:cstheme="majorHAnsi"/>
          <w:sz w:val="24"/>
          <w:szCs w:val="24"/>
          <w:lang w:val="ro-MD"/>
        </w:rPr>
      </w:pPr>
      <w:r w:rsidRPr="00B13B9A">
        <w:rPr>
          <w:rFonts w:asciiTheme="majorHAnsi" w:hAnsiTheme="majorHAnsi" w:cstheme="majorHAnsi"/>
          <w:noProof/>
          <w:sz w:val="24"/>
          <w:szCs w:val="24"/>
          <w:shd w:val="clear" w:color="auto" w:fill="FFFFFF"/>
          <w:lang w:val="ro-MD"/>
        </w:rPr>
        <w:t xml:space="preserve">Drept surse de criterii au servit actele normative aferente tematicii misiunii de audit. </w:t>
      </w:r>
      <w:r w:rsidRPr="00B13B9A">
        <w:rPr>
          <w:rFonts w:asciiTheme="majorHAnsi" w:eastAsia="Times New Roman" w:hAnsiTheme="majorHAnsi" w:cstheme="majorHAnsi"/>
          <w:sz w:val="24"/>
          <w:szCs w:val="24"/>
          <w:lang w:val="ro-MD"/>
        </w:rPr>
        <w:t>P</w:t>
      </w:r>
      <w:r w:rsidRPr="00B13B9A">
        <w:rPr>
          <w:rFonts w:asciiTheme="majorHAnsi" w:hAnsiTheme="majorHAnsi" w:cstheme="majorHAnsi"/>
          <w:sz w:val="24"/>
          <w:szCs w:val="24"/>
          <w:lang w:val="ro-MD"/>
        </w:rPr>
        <w:t>robele de audit ob</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 xml:space="preserve">inute sunt suficiente </w:t>
      </w:r>
      <w:r w:rsidR="00B13B9A" w:rsidRPr="00B13B9A">
        <w:rPr>
          <w:rFonts w:asciiTheme="majorHAnsi" w:hAnsiTheme="majorHAnsi" w:cstheme="majorHAnsi"/>
          <w:sz w:val="24"/>
          <w:szCs w:val="24"/>
          <w:lang w:val="ro-MD"/>
        </w:rPr>
        <w:t>ș</w:t>
      </w:r>
      <w:r w:rsidRPr="00B13B9A">
        <w:rPr>
          <w:rFonts w:asciiTheme="majorHAnsi" w:hAnsiTheme="majorHAnsi" w:cstheme="majorHAnsi"/>
          <w:sz w:val="24"/>
          <w:szCs w:val="24"/>
          <w:lang w:val="ro-MD"/>
        </w:rPr>
        <w:t>i adecvate pentru sus</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inerea concluziilor formulate în prezentul Raport de audit.</w:t>
      </w:r>
      <w:r w:rsidRPr="00B13B9A">
        <w:rPr>
          <w:rFonts w:asciiTheme="majorHAnsi" w:hAnsiTheme="majorHAnsi" w:cstheme="majorHAnsi"/>
          <w:color w:val="FF0000"/>
          <w:sz w:val="24"/>
          <w:szCs w:val="24"/>
          <w:lang w:val="ro-MD"/>
        </w:rPr>
        <w:t xml:space="preserve"> </w:t>
      </w:r>
    </w:p>
    <w:p w14:paraId="7B98AF08" w14:textId="688E3A77" w:rsidR="0090136A" w:rsidRPr="00B13B9A" w:rsidRDefault="0090136A" w:rsidP="00415D9E">
      <w:pPr>
        <w:spacing w:after="0" w:line="276" w:lineRule="auto"/>
        <w:jc w:val="both"/>
        <w:rPr>
          <w:rFonts w:asciiTheme="majorHAnsi" w:hAnsiTheme="majorHAnsi" w:cstheme="majorHAnsi"/>
          <w:sz w:val="24"/>
          <w:szCs w:val="24"/>
          <w:lang w:val="ro-MD"/>
        </w:rPr>
      </w:pPr>
      <w:r w:rsidRPr="00B13B9A">
        <w:rPr>
          <w:rFonts w:asciiTheme="majorHAnsi" w:hAnsiTheme="majorHAnsi" w:cstheme="majorHAnsi"/>
          <w:color w:val="000000"/>
          <w:sz w:val="24"/>
          <w:szCs w:val="24"/>
          <w:lang w:val="ro-MD"/>
        </w:rPr>
        <w:t>Sursa criteriilor de audit</w:t>
      </w:r>
      <w:r w:rsidRPr="00B13B9A">
        <w:rPr>
          <w:rFonts w:asciiTheme="majorHAnsi" w:hAnsiTheme="majorHAnsi" w:cstheme="majorHAnsi"/>
          <w:sz w:val="24"/>
          <w:szCs w:val="24"/>
          <w:lang w:val="ro-MD"/>
        </w:rPr>
        <w:t xml:space="preserve"> </w:t>
      </w:r>
      <w:r w:rsidR="00B13B9A" w:rsidRPr="00B13B9A">
        <w:rPr>
          <w:rFonts w:asciiTheme="majorHAnsi" w:hAnsiTheme="majorHAnsi" w:cstheme="majorHAnsi"/>
          <w:sz w:val="24"/>
          <w:szCs w:val="24"/>
          <w:lang w:val="ro-MD"/>
        </w:rPr>
        <w:t>ș</w:t>
      </w:r>
      <w:r w:rsidRPr="00B13B9A">
        <w:rPr>
          <w:rFonts w:asciiTheme="majorHAnsi" w:hAnsiTheme="majorHAnsi" w:cstheme="majorHAnsi"/>
          <w:sz w:val="24"/>
          <w:szCs w:val="24"/>
          <w:lang w:val="ro-MD"/>
        </w:rPr>
        <w:t xml:space="preserve">i criteriile de audit care au stat la baza constatărilor </w:t>
      </w:r>
      <w:r w:rsidR="00B13B9A" w:rsidRPr="00B13B9A">
        <w:rPr>
          <w:rFonts w:asciiTheme="majorHAnsi" w:hAnsiTheme="majorHAnsi" w:cstheme="majorHAnsi"/>
          <w:sz w:val="24"/>
          <w:szCs w:val="24"/>
          <w:lang w:val="ro-MD"/>
        </w:rPr>
        <w:t>ș</w:t>
      </w:r>
      <w:r w:rsidRPr="00B13B9A">
        <w:rPr>
          <w:rFonts w:asciiTheme="majorHAnsi" w:hAnsiTheme="majorHAnsi" w:cstheme="majorHAnsi"/>
          <w:sz w:val="24"/>
          <w:szCs w:val="24"/>
          <w:lang w:val="ro-MD"/>
        </w:rPr>
        <w:t>i procedurilor de audit apl</w:t>
      </w:r>
      <w:r w:rsidR="00630E8E" w:rsidRPr="00B13B9A">
        <w:rPr>
          <w:rFonts w:asciiTheme="majorHAnsi" w:hAnsiTheme="majorHAnsi" w:cstheme="majorHAnsi"/>
          <w:sz w:val="24"/>
          <w:szCs w:val="24"/>
          <w:lang w:val="ro-MD"/>
        </w:rPr>
        <w:t>icate se prezintă în Anexa nr.</w:t>
      </w:r>
      <w:r w:rsidR="00FB1833" w:rsidRPr="00B13B9A">
        <w:rPr>
          <w:rFonts w:asciiTheme="majorHAnsi" w:hAnsiTheme="majorHAnsi" w:cstheme="majorHAnsi"/>
          <w:sz w:val="24"/>
          <w:szCs w:val="24"/>
          <w:lang w:val="ro-MD"/>
        </w:rPr>
        <w:t>8</w:t>
      </w:r>
      <w:r w:rsidRPr="00B13B9A">
        <w:rPr>
          <w:rFonts w:asciiTheme="majorHAnsi" w:eastAsia="Times New Roman" w:hAnsiTheme="majorHAnsi" w:cstheme="majorHAnsi"/>
          <w:sz w:val="24"/>
          <w:szCs w:val="24"/>
          <w:lang w:val="ro-MD" w:eastAsia="ro-MD"/>
        </w:rPr>
        <w:t xml:space="preserve"> </w:t>
      </w:r>
      <w:r w:rsidRPr="00B13B9A">
        <w:rPr>
          <w:rFonts w:asciiTheme="majorHAnsi" w:hAnsiTheme="majorHAnsi" w:cstheme="majorHAnsi"/>
          <w:sz w:val="24"/>
          <w:szCs w:val="24"/>
          <w:lang w:val="ro-MD"/>
        </w:rPr>
        <w:t>la prezentul Raport de audit.</w:t>
      </w:r>
    </w:p>
    <w:p w14:paraId="2B7FD206" w14:textId="77777777" w:rsidR="001159D9" w:rsidRPr="00B13B9A" w:rsidRDefault="001159D9" w:rsidP="001159D9">
      <w:pPr>
        <w:rPr>
          <w:lang w:val="ro-MD"/>
        </w:rPr>
      </w:pPr>
    </w:p>
    <w:p w14:paraId="61A8FD6E" w14:textId="77777777" w:rsidR="001159D9" w:rsidRPr="00B13B9A" w:rsidRDefault="001159D9" w:rsidP="001159D9">
      <w:pPr>
        <w:pStyle w:val="3"/>
        <w:spacing w:line="276" w:lineRule="auto"/>
        <w:rPr>
          <w:rFonts w:eastAsiaTheme="minorHAnsi" w:cstheme="minorHAnsi"/>
          <w:b/>
          <w:color w:val="2E74B5" w:themeColor="accent1" w:themeShade="BF"/>
          <w:shd w:val="clear" w:color="auto" w:fill="FFFFFF"/>
        </w:rPr>
      </w:pPr>
      <w:bookmarkStart w:id="15" w:name="_Toc128640806"/>
      <w:bookmarkStart w:id="16" w:name="_Toc154562492"/>
      <w:r w:rsidRPr="00B13B9A">
        <w:rPr>
          <w:rFonts w:eastAsiaTheme="minorHAnsi" w:cstheme="minorHAnsi"/>
          <w:b/>
          <w:color w:val="2E74B5" w:themeColor="accent1" w:themeShade="BF"/>
          <w:shd w:val="clear" w:color="auto" w:fill="FFFFFF"/>
        </w:rPr>
        <w:t>3.3. Responsabilitatea echipei de audit</w:t>
      </w:r>
      <w:bookmarkEnd w:id="15"/>
      <w:bookmarkEnd w:id="16"/>
    </w:p>
    <w:p w14:paraId="2B0F4937" w14:textId="3A6CD830" w:rsidR="001159D9" w:rsidRPr="00B13B9A" w:rsidRDefault="001159D9" w:rsidP="00105B68">
      <w:pPr>
        <w:spacing w:line="276" w:lineRule="auto"/>
        <w:jc w:val="both"/>
        <w:rPr>
          <w:rFonts w:asciiTheme="majorHAnsi" w:eastAsia="Times New Roman" w:hAnsiTheme="majorHAnsi" w:cstheme="minorHAnsi"/>
          <w:sz w:val="24"/>
          <w:szCs w:val="24"/>
          <w:lang w:val="ro-MD"/>
        </w:rPr>
      </w:pPr>
      <w:r w:rsidRPr="00B13B9A">
        <w:rPr>
          <w:rFonts w:asciiTheme="majorHAnsi" w:hAnsiTheme="majorHAnsi" w:cstheme="minorHAnsi"/>
          <w:color w:val="000000"/>
          <w:sz w:val="24"/>
          <w:szCs w:val="24"/>
          <w:shd w:val="clear" w:color="auto" w:fill="FFFFFF"/>
          <w:lang w:val="ro-MD"/>
        </w:rPr>
        <w:t xml:space="preserve">Responsabilitatea auditorului public este de a planifica </w:t>
      </w:r>
      <w:r w:rsidR="00B13B9A" w:rsidRPr="00B13B9A">
        <w:rPr>
          <w:rFonts w:asciiTheme="majorHAnsi" w:hAnsiTheme="majorHAnsi" w:cstheme="minorHAnsi"/>
          <w:color w:val="000000"/>
          <w:sz w:val="24"/>
          <w:szCs w:val="24"/>
          <w:shd w:val="clear" w:color="auto" w:fill="FFFFFF"/>
          <w:lang w:val="ro-MD"/>
        </w:rPr>
        <w:t>ș</w:t>
      </w:r>
      <w:r w:rsidRPr="00B13B9A">
        <w:rPr>
          <w:rFonts w:asciiTheme="majorHAnsi" w:hAnsiTheme="majorHAnsi" w:cstheme="minorHAnsi"/>
          <w:color w:val="000000"/>
          <w:sz w:val="24"/>
          <w:szCs w:val="24"/>
          <w:shd w:val="clear" w:color="auto" w:fill="FFFFFF"/>
          <w:lang w:val="ro-MD"/>
        </w:rPr>
        <w:t xml:space="preserve">i a realiza misiunea de audit în conformitate cu standardele în materie de audit public extern </w:t>
      </w:r>
      <w:r w:rsidR="00B13B9A" w:rsidRPr="00B13B9A">
        <w:rPr>
          <w:rFonts w:asciiTheme="majorHAnsi" w:hAnsiTheme="majorHAnsi" w:cstheme="minorHAnsi"/>
          <w:color w:val="000000"/>
          <w:sz w:val="24"/>
          <w:szCs w:val="24"/>
          <w:shd w:val="clear" w:color="auto" w:fill="FFFFFF"/>
          <w:lang w:val="ro-MD"/>
        </w:rPr>
        <w:t>ș</w:t>
      </w:r>
      <w:r w:rsidRPr="00B13B9A">
        <w:rPr>
          <w:rFonts w:asciiTheme="majorHAnsi" w:hAnsiTheme="majorHAnsi" w:cstheme="minorHAnsi"/>
          <w:color w:val="000000"/>
          <w:sz w:val="24"/>
          <w:szCs w:val="24"/>
          <w:shd w:val="clear" w:color="auto" w:fill="FFFFFF"/>
          <w:lang w:val="ro-MD"/>
        </w:rPr>
        <w:t>i cadrul normativ-metodologic institu</w:t>
      </w:r>
      <w:r w:rsidR="00B13B9A" w:rsidRPr="00B13B9A">
        <w:rPr>
          <w:rFonts w:asciiTheme="majorHAnsi" w:hAnsiTheme="majorHAnsi" w:cstheme="minorHAnsi"/>
          <w:color w:val="000000"/>
          <w:sz w:val="24"/>
          <w:szCs w:val="24"/>
          <w:shd w:val="clear" w:color="auto" w:fill="FFFFFF"/>
          <w:lang w:val="ro-MD"/>
        </w:rPr>
        <w:t>ț</w:t>
      </w:r>
      <w:r w:rsidRPr="00B13B9A">
        <w:rPr>
          <w:rFonts w:asciiTheme="majorHAnsi" w:hAnsiTheme="majorHAnsi" w:cstheme="minorHAnsi"/>
          <w:color w:val="000000"/>
          <w:sz w:val="24"/>
          <w:szCs w:val="24"/>
          <w:shd w:val="clear" w:color="auto" w:fill="FFFFFF"/>
          <w:lang w:val="ro-MD"/>
        </w:rPr>
        <w:t>ional aferent, cu ob</w:t>
      </w:r>
      <w:r w:rsidR="00B13B9A" w:rsidRPr="00B13B9A">
        <w:rPr>
          <w:rFonts w:asciiTheme="majorHAnsi" w:hAnsiTheme="majorHAnsi" w:cstheme="minorHAnsi"/>
          <w:color w:val="000000"/>
          <w:sz w:val="24"/>
          <w:szCs w:val="24"/>
          <w:shd w:val="clear" w:color="auto" w:fill="FFFFFF"/>
          <w:lang w:val="ro-MD"/>
        </w:rPr>
        <w:t>ț</w:t>
      </w:r>
      <w:r w:rsidRPr="00B13B9A">
        <w:rPr>
          <w:rFonts w:asciiTheme="majorHAnsi" w:hAnsiTheme="majorHAnsi" w:cstheme="minorHAnsi"/>
          <w:color w:val="000000"/>
          <w:sz w:val="24"/>
          <w:szCs w:val="24"/>
          <w:shd w:val="clear" w:color="auto" w:fill="FFFFFF"/>
          <w:lang w:val="ro-MD"/>
        </w:rPr>
        <w:t xml:space="preserve">inerea probelor suficiente </w:t>
      </w:r>
      <w:r w:rsidR="00B13B9A" w:rsidRPr="00B13B9A">
        <w:rPr>
          <w:rFonts w:asciiTheme="majorHAnsi" w:hAnsiTheme="majorHAnsi" w:cstheme="minorHAnsi"/>
          <w:color w:val="000000"/>
          <w:sz w:val="24"/>
          <w:szCs w:val="24"/>
          <w:shd w:val="clear" w:color="auto" w:fill="FFFFFF"/>
          <w:lang w:val="ro-MD"/>
        </w:rPr>
        <w:t>ș</w:t>
      </w:r>
      <w:r w:rsidRPr="00B13B9A">
        <w:rPr>
          <w:rFonts w:asciiTheme="majorHAnsi" w:hAnsiTheme="majorHAnsi" w:cstheme="minorHAnsi"/>
          <w:color w:val="000000"/>
          <w:sz w:val="24"/>
          <w:szCs w:val="24"/>
          <w:shd w:val="clear" w:color="auto" w:fill="FFFFFF"/>
          <w:lang w:val="ro-MD"/>
        </w:rPr>
        <w:t>i adecvate, exprimarea unei concluzii concepute asupra conformită</w:t>
      </w:r>
      <w:r w:rsidR="00B13B9A" w:rsidRPr="00B13B9A">
        <w:rPr>
          <w:rFonts w:asciiTheme="majorHAnsi" w:hAnsiTheme="majorHAnsi" w:cstheme="minorHAnsi"/>
          <w:color w:val="000000"/>
          <w:sz w:val="24"/>
          <w:szCs w:val="24"/>
          <w:shd w:val="clear" w:color="auto" w:fill="FFFFFF"/>
          <w:lang w:val="ro-MD"/>
        </w:rPr>
        <w:t>ț</w:t>
      </w:r>
      <w:r w:rsidRPr="00B13B9A">
        <w:rPr>
          <w:rFonts w:asciiTheme="majorHAnsi" w:hAnsiTheme="majorHAnsi" w:cstheme="minorHAnsi"/>
          <w:color w:val="000000"/>
          <w:sz w:val="24"/>
          <w:szCs w:val="24"/>
          <w:shd w:val="clear" w:color="auto" w:fill="FFFFFF"/>
          <w:lang w:val="ro-MD"/>
        </w:rPr>
        <w:t>ii</w:t>
      </w:r>
      <w:r w:rsidR="00077FEE" w:rsidRPr="00B13B9A">
        <w:rPr>
          <w:rFonts w:asciiTheme="majorHAnsi" w:hAnsiTheme="majorHAnsi" w:cstheme="minorHAnsi"/>
          <w:color w:val="000000"/>
          <w:sz w:val="24"/>
          <w:szCs w:val="24"/>
          <w:shd w:val="clear" w:color="auto" w:fill="FFFFFF"/>
          <w:lang w:val="ro-MD"/>
        </w:rPr>
        <w:t xml:space="preserve"> gestionării patrimoniului public </w:t>
      </w:r>
      <w:r w:rsidR="00B13B9A" w:rsidRPr="00B13B9A">
        <w:rPr>
          <w:rFonts w:asciiTheme="majorHAnsi" w:hAnsiTheme="majorHAnsi" w:cstheme="minorHAnsi"/>
          <w:color w:val="000000"/>
          <w:sz w:val="24"/>
          <w:szCs w:val="24"/>
          <w:shd w:val="clear" w:color="auto" w:fill="FFFFFF"/>
          <w:lang w:val="ro-MD"/>
        </w:rPr>
        <w:t>ș</w:t>
      </w:r>
      <w:r w:rsidR="00077FEE" w:rsidRPr="00B13B9A">
        <w:rPr>
          <w:rFonts w:asciiTheme="majorHAnsi" w:hAnsiTheme="majorHAnsi" w:cstheme="minorHAnsi"/>
          <w:color w:val="000000"/>
          <w:sz w:val="24"/>
          <w:szCs w:val="24"/>
          <w:shd w:val="clear" w:color="auto" w:fill="FFFFFF"/>
          <w:lang w:val="ro-MD"/>
        </w:rPr>
        <w:t>i utilizării resurse</w:t>
      </w:r>
      <w:r w:rsidR="005C5502" w:rsidRPr="00B13B9A">
        <w:rPr>
          <w:rFonts w:asciiTheme="majorHAnsi" w:hAnsiTheme="majorHAnsi" w:cstheme="minorHAnsi"/>
          <w:color w:val="000000"/>
          <w:sz w:val="24"/>
          <w:szCs w:val="24"/>
          <w:shd w:val="clear" w:color="auto" w:fill="FFFFFF"/>
          <w:lang w:val="ro-MD"/>
        </w:rPr>
        <w:t>lor financiare de către IMSP IFP</w:t>
      </w:r>
      <w:r w:rsidR="00077FEE" w:rsidRPr="00B13B9A">
        <w:rPr>
          <w:rFonts w:asciiTheme="majorHAnsi" w:hAnsiTheme="majorHAnsi" w:cstheme="minorHAnsi"/>
          <w:color w:val="000000"/>
          <w:sz w:val="24"/>
          <w:szCs w:val="24"/>
          <w:shd w:val="clear" w:color="auto" w:fill="FFFFFF"/>
          <w:lang w:val="ro-MD"/>
        </w:rPr>
        <w:t xml:space="preserve"> </w:t>
      </w:r>
      <w:r w:rsidR="005C5502" w:rsidRPr="00B13B9A">
        <w:rPr>
          <w:rFonts w:asciiTheme="majorHAnsi" w:hAnsiTheme="majorHAnsi" w:cstheme="majorHAnsi"/>
          <w:sz w:val="24"/>
          <w:szCs w:val="24"/>
          <w:lang w:val="ro-MD"/>
        </w:rPr>
        <w:t>„Chiril Draganiuc”</w:t>
      </w:r>
      <w:r w:rsidRPr="00B13B9A">
        <w:rPr>
          <w:rFonts w:asciiTheme="majorHAnsi" w:hAnsiTheme="majorHAnsi" w:cstheme="minorHAnsi"/>
          <w:color w:val="000000"/>
          <w:sz w:val="24"/>
          <w:szCs w:val="24"/>
          <w:shd w:val="clear" w:color="auto" w:fill="FFFFFF"/>
          <w:lang w:val="ro-MD"/>
        </w:rPr>
        <w:t xml:space="preserve">. Auditorul public nu este responsabil de prevenirea faptelor de fraudă </w:t>
      </w:r>
      <w:r w:rsidR="00B13B9A" w:rsidRPr="00B13B9A">
        <w:rPr>
          <w:rFonts w:asciiTheme="majorHAnsi" w:hAnsiTheme="majorHAnsi" w:cstheme="minorHAnsi"/>
          <w:color w:val="000000"/>
          <w:sz w:val="24"/>
          <w:szCs w:val="24"/>
          <w:shd w:val="clear" w:color="auto" w:fill="FFFFFF"/>
          <w:lang w:val="ro-MD"/>
        </w:rPr>
        <w:t>ș</w:t>
      </w:r>
      <w:r w:rsidRPr="00B13B9A">
        <w:rPr>
          <w:rFonts w:asciiTheme="majorHAnsi" w:hAnsiTheme="majorHAnsi" w:cstheme="minorHAnsi"/>
          <w:color w:val="000000"/>
          <w:sz w:val="24"/>
          <w:szCs w:val="24"/>
          <w:shd w:val="clear" w:color="auto" w:fill="FFFFFF"/>
          <w:lang w:val="ro-MD"/>
        </w:rPr>
        <w:t>i eroare,</w:t>
      </w:r>
      <w:r w:rsidRPr="00B13B9A">
        <w:rPr>
          <w:rFonts w:asciiTheme="majorHAnsi" w:hAnsiTheme="majorHAnsi" w:cstheme="minorHAnsi"/>
          <w:sz w:val="24"/>
          <w:szCs w:val="24"/>
          <w:lang w:val="ro-MD"/>
        </w:rPr>
        <w:t xml:space="preserve"> a fost independent fa</w:t>
      </w:r>
      <w:r w:rsidR="00B13B9A" w:rsidRPr="00B13B9A">
        <w:rPr>
          <w:rFonts w:asciiTheme="majorHAnsi" w:hAnsiTheme="majorHAnsi" w:cstheme="minorHAnsi"/>
          <w:sz w:val="24"/>
          <w:szCs w:val="24"/>
          <w:lang w:val="ro-MD"/>
        </w:rPr>
        <w:t>ț</w:t>
      </w:r>
      <w:r w:rsidRPr="00B13B9A">
        <w:rPr>
          <w:rFonts w:asciiTheme="majorHAnsi" w:hAnsiTheme="majorHAnsi" w:cstheme="minorHAnsi"/>
          <w:sz w:val="24"/>
          <w:szCs w:val="24"/>
          <w:lang w:val="ro-MD"/>
        </w:rPr>
        <w:t xml:space="preserve">ă de entitate, precum </w:t>
      </w:r>
      <w:r w:rsidR="00B13B9A" w:rsidRPr="00B13B9A">
        <w:rPr>
          <w:rFonts w:asciiTheme="majorHAnsi" w:hAnsiTheme="majorHAnsi" w:cstheme="minorHAnsi"/>
          <w:sz w:val="24"/>
          <w:szCs w:val="24"/>
          <w:lang w:val="ro-MD"/>
        </w:rPr>
        <w:t>ș</w:t>
      </w:r>
      <w:r w:rsidRPr="00B13B9A">
        <w:rPr>
          <w:rFonts w:asciiTheme="majorHAnsi" w:hAnsiTheme="majorHAnsi" w:cstheme="minorHAnsi"/>
          <w:sz w:val="24"/>
          <w:szCs w:val="24"/>
          <w:lang w:val="ro-MD"/>
        </w:rPr>
        <w:t>i a îndeplinit responsabilită</w:t>
      </w:r>
      <w:r w:rsidR="00B13B9A" w:rsidRPr="00B13B9A">
        <w:rPr>
          <w:rFonts w:asciiTheme="majorHAnsi" w:hAnsiTheme="majorHAnsi" w:cstheme="minorHAnsi"/>
          <w:sz w:val="24"/>
          <w:szCs w:val="24"/>
          <w:lang w:val="ro-MD"/>
        </w:rPr>
        <w:t>ț</w:t>
      </w:r>
      <w:r w:rsidRPr="00B13B9A">
        <w:rPr>
          <w:rFonts w:asciiTheme="majorHAnsi" w:hAnsiTheme="majorHAnsi" w:cstheme="minorHAnsi"/>
          <w:sz w:val="24"/>
          <w:szCs w:val="24"/>
          <w:lang w:val="ro-MD"/>
        </w:rPr>
        <w:t xml:space="preserve">ile de etică în conformitate cu </w:t>
      </w:r>
      <w:r w:rsidRPr="00B13B9A">
        <w:rPr>
          <w:rFonts w:asciiTheme="majorHAnsi" w:eastAsia="Times New Roman" w:hAnsiTheme="majorHAnsi" w:cstheme="minorHAnsi"/>
          <w:sz w:val="24"/>
          <w:szCs w:val="24"/>
          <w:lang w:val="ro-MD"/>
        </w:rPr>
        <w:t>cerin</w:t>
      </w:r>
      <w:r w:rsidR="00B13B9A" w:rsidRPr="00B13B9A">
        <w:rPr>
          <w:rFonts w:asciiTheme="majorHAnsi" w:eastAsia="Times New Roman" w:hAnsiTheme="majorHAnsi" w:cstheme="minorHAnsi"/>
          <w:sz w:val="24"/>
          <w:szCs w:val="24"/>
          <w:lang w:val="ro-MD"/>
        </w:rPr>
        <w:t>ț</w:t>
      </w:r>
      <w:r w:rsidRPr="00B13B9A">
        <w:rPr>
          <w:rFonts w:asciiTheme="majorHAnsi" w:eastAsia="Times New Roman" w:hAnsiTheme="majorHAnsi" w:cstheme="minorHAnsi"/>
          <w:sz w:val="24"/>
          <w:szCs w:val="24"/>
          <w:lang w:val="ro-MD"/>
        </w:rPr>
        <w:t>ele Codului etic al Cur</w:t>
      </w:r>
      <w:r w:rsidR="00B13B9A" w:rsidRPr="00B13B9A">
        <w:rPr>
          <w:rFonts w:asciiTheme="majorHAnsi" w:eastAsia="Times New Roman" w:hAnsiTheme="majorHAnsi" w:cstheme="minorHAnsi"/>
          <w:sz w:val="24"/>
          <w:szCs w:val="24"/>
          <w:lang w:val="ro-MD"/>
        </w:rPr>
        <w:t>ț</w:t>
      </w:r>
      <w:r w:rsidRPr="00B13B9A">
        <w:rPr>
          <w:rFonts w:asciiTheme="majorHAnsi" w:eastAsia="Times New Roman" w:hAnsiTheme="majorHAnsi" w:cstheme="minorHAnsi"/>
          <w:sz w:val="24"/>
          <w:szCs w:val="24"/>
          <w:lang w:val="ro-MD"/>
        </w:rPr>
        <w:t>ii de Conturi</w:t>
      </w:r>
      <w:r w:rsidRPr="00B13B9A">
        <w:rPr>
          <w:rStyle w:val="a9"/>
          <w:rFonts w:asciiTheme="majorHAnsi" w:eastAsia="Times New Roman" w:hAnsiTheme="majorHAnsi" w:cstheme="minorHAnsi"/>
          <w:sz w:val="24"/>
          <w:szCs w:val="24"/>
          <w:lang w:val="ro-MD"/>
        </w:rPr>
        <w:footnoteReference w:id="8"/>
      </w:r>
      <w:r w:rsidRPr="00B13B9A">
        <w:rPr>
          <w:rFonts w:asciiTheme="majorHAnsi" w:eastAsia="Times New Roman" w:hAnsiTheme="majorHAnsi" w:cstheme="minorHAnsi"/>
          <w:sz w:val="24"/>
          <w:szCs w:val="24"/>
          <w:lang w:val="ro-MD"/>
        </w:rPr>
        <w:t>.</w:t>
      </w:r>
    </w:p>
    <w:p w14:paraId="04789E2C" w14:textId="77777777" w:rsidR="00DA4EE2" w:rsidRPr="00B13B9A" w:rsidRDefault="001159D9" w:rsidP="00DA4EE2">
      <w:pPr>
        <w:pStyle w:val="a7"/>
        <w:numPr>
          <w:ilvl w:val="0"/>
          <w:numId w:val="1"/>
        </w:numPr>
        <w:tabs>
          <w:tab w:val="left" w:pos="720"/>
          <w:tab w:val="left" w:pos="1710"/>
        </w:tabs>
        <w:spacing w:after="0" w:line="276" w:lineRule="auto"/>
        <w:ind w:hanging="5940"/>
        <w:outlineLvl w:val="0"/>
        <w:rPr>
          <w:rFonts w:ascii="Calibri Light" w:eastAsia="Times New Roman" w:hAnsi="Calibri Light" w:cs="Calibri Light"/>
          <w:b/>
          <w:bCs/>
          <w:caps/>
          <w:color w:val="0070C0"/>
          <w:sz w:val="24"/>
          <w:szCs w:val="24"/>
          <w:lang w:val="ro-MD"/>
        </w:rPr>
      </w:pPr>
      <w:bookmarkStart w:id="17" w:name="_Toc123116703"/>
      <w:bookmarkStart w:id="18" w:name="_Toc154562493"/>
      <w:r w:rsidRPr="00B13B9A">
        <w:rPr>
          <w:rFonts w:ascii="Calibri Light" w:eastAsia="Times New Roman" w:hAnsi="Calibri Light" w:cs="Calibri Light"/>
          <w:b/>
          <w:bCs/>
          <w:caps/>
          <w:color w:val="0070C0"/>
          <w:sz w:val="24"/>
          <w:szCs w:val="24"/>
          <w:lang w:val="ro-MD"/>
        </w:rPr>
        <w:t>Constatări</w:t>
      </w:r>
      <w:bookmarkEnd w:id="17"/>
      <w:bookmarkEnd w:id="18"/>
    </w:p>
    <w:p w14:paraId="2258B3A3" w14:textId="77777777" w:rsidR="006A2C40" w:rsidRPr="00B13B9A" w:rsidRDefault="006A2C40" w:rsidP="006A2C40">
      <w:pPr>
        <w:rPr>
          <w:rFonts w:asciiTheme="majorHAnsi" w:hAnsiTheme="majorHAnsi" w:cstheme="majorHAnsi"/>
          <w:b/>
          <w:i/>
          <w:color w:val="2E74B5" w:themeColor="accent1" w:themeShade="BF"/>
          <w:sz w:val="24"/>
          <w:u w:val="single"/>
          <w:lang w:val="ro-MD"/>
        </w:rPr>
      </w:pPr>
      <w:r w:rsidRPr="00B13B9A">
        <w:rPr>
          <w:rFonts w:asciiTheme="majorHAnsi" w:hAnsiTheme="majorHAnsi" w:cstheme="majorHAnsi"/>
          <w:b/>
          <w:i/>
          <w:color w:val="2E74B5" w:themeColor="accent1" w:themeShade="BF"/>
          <w:sz w:val="24"/>
          <w:u w:val="single"/>
          <w:lang w:val="ro-MD"/>
        </w:rPr>
        <w:t>Obiectivul de audit nr. 1</w:t>
      </w:r>
    </w:p>
    <w:p w14:paraId="3FF029CA" w14:textId="4B348BE4" w:rsidR="00F2304D" w:rsidRPr="00B13B9A" w:rsidRDefault="00903EDE" w:rsidP="003B51A0">
      <w:pPr>
        <w:shd w:val="clear" w:color="auto" w:fill="FFFFFF"/>
        <w:spacing w:line="276" w:lineRule="auto"/>
        <w:jc w:val="both"/>
        <w:rPr>
          <w:rFonts w:asciiTheme="majorHAnsi" w:hAnsiTheme="majorHAnsi" w:cstheme="majorHAnsi"/>
          <w:b/>
          <w:i/>
          <w:color w:val="000000" w:themeColor="text1"/>
          <w:sz w:val="24"/>
          <w:lang w:val="ro-MD"/>
        </w:rPr>
      </w:pPr>
      <w:r w:rsidRPr="00B13B9A">
        <w:rPr>
          <w:rFonts w:asciiTheme="majorHAnsi" w:hAnsiTheme="majorHAnsi" w:cstheme="majorHAnsi"/>
          <w:b/>
          <w:i/>
          <w:color w:val="000000" w:themeColor="text1"/>
          <w:sz w:val="24"/>
          <w:lang w:val="ro-MD"/>
        </w:rPr>
        <w:t>A fost asigurată</w:t>
      </w:r>
      <w:r w:rsidR="00F34837" w:rsidRPr="00B13B9A">
        <w:rPr>
          <w:rFonts w:asciiTheme="majorHAnsi" w:hAnsiTheme="majorHAnsi" w:cstheme="majorHAnsi"/>
          <w:b/>
          <w:i/>
          <w:color w:val="000000" w:themeColor="text1"/>
          <w:sz w:val="24"/>
          <w:lang w:val="ro-MD"/>
        </w:rPr>
        <w:t xml:space="preserve"> gestionarea,</w:t>
      </w:r>
      <w:r w:rsidRPr="00B13B9A">
        <w:rPr>
          <w:rFonts w:asciiTheme="majorHAnsi" w:hAnsiTheme="majorHAnsi" w:cstheme="majorHAnsi"/>
          <w:b/>
          <w:i/>
          <w:color w:val="000000" w:themeColor="text1"/>
          <w:sz w:val="24"/>
          <w:lang w:val="ro-MD"/>
        </w:rPr>
        <w:t xml:space="preserve"> înregistrarea </w:t>
      </w:r>
      <w:r w:rsidR="00B13B9A" w:rsidRPr="00B13B9A">
        <w:rPr>
          <w:rFonts w:asciiTheme="majorHAnsi" w:hAnsiTheme="majorHAnsi" w:cstheme="majorHAnsi"/>
          <w:b/>
          <w:i/>
          <w:color w:val="000000" w:themeColor="text1"/>
          <w:sz w:val="24"/>
          <w:lang w:val="ro-MD"/>
        </w:rPr>
        <w:t>ș</w:t>
      </w:r>
      <w:r w:rsidRPr="00B13B9A">
        <w:rPr>
          <w:rFonts w:asciiTheme="majorHAnsi" w:hAnsiTheme="majorHAnsi" w:cstheme="majorHAnsi"/>
          <w:b/>
          <w:i/>
          <w:color w:val="000000" w:themeColor="text1"/>
          <w:sz w:val="24"/>
          <w:lang w:val="ro-MD"/>
        </w:rPr>
        <w:t xml:space="preserve">i </w:t>
      </w:r>
      <w:r w:rsidR="00F34837" w:rsidRPr="00B13B9A">
        <w:rPr>
          <w:rFonts w:asciiTheme="majorHAnsi" w:hAnsiTheme="majorHAnsi" w:cstheme="majorHAnsi"/>
          <w:b/>
          <w:i/>
          <w:color w:val="000000" w:themeColor="text1"/>
          <w:sz w:val="24"/>
          <w:lang w:val="ro-MD"/>
        </w:rPr>
        <w:t>eviden</w:t>
      </w:r>
      <w:r w:rsidR="00B13B9A" w:rsidRPr="00B13B9A">
        <w:rPr>
          <w:rFonts w:asciiTheme="majorHAnsi" w:hAnsiTheme="majorHAnsi" w:cstheme="majorHAnsi"/>
          <w:b/>
          <w:i/>
          <w:color w:val="000000" w:themeColor="text1"/>
          <w:sz w:val="24"/>
          <w:lang w:val="ro-MD"/>
        </w:rPr>
        <w:t>ț</w:t>
      </w:r>
      <w:r w:rsidR="00F34837" w:rsidRPr="00B13B9A">
        <w:rPr>
          <w:rFonts w:asciiTheme="majorHAnsi" w:hAnsiTheme="majorHAnsi" w:cstheme="majorHAnsi"/>
          <w:b/>
          <w:i/>
          <w:color w:val="000000" w:themeColor="text1"/>
          <w:sz w:val="24"/>
          <w:lang w:val="ro-MD"/>
        </w:rPr>
        <w:t>a</w:t>
      </w:r>
      <w:r w:rsidRPr="00B13B9A">
        <w:rPr>
          <w:rFonts w:asciiTheme="majorHAnsi" w:hAnsiTheme="majorHAnsi" w:cstheme="majorHAnsi"/>
          <w:b/>
          <w:i/>
          <w:color w:val="000000" w:themeColor="text1"/>
          <w:sz w:val="24"/>
          <w:lang w:val="ro-MD"/>
        </w:rPr>
        <w:t xml:space="preserve"> conformă a patrimoniului de stat transmis în gestiune economică către IMSP IFP</w:t>
      </w:r>
      <w:r w:rsidR="00A456FB" w:rsidRPr="00B13B9A">
        <w:rPr>
          <w:rFonts w:asciiTheme="majorHAnsi" w:hAnsiTheme="majorHAnsi" w:cstheme="majorHAnsi"/>
          <w:b/>
          <w:i/>
          <w:color w:val="000000" w:themeColor="text1"/>
          <w:sz w:val="24"/>
          <w:lang w:val="ro-MD"/>
        </w:rPr>
        <w:t xml:space="preserve"> </w:t>
      </w:r>
      <w:r w:rsidR="00696D0D" w:rsidRPr="00B13B9A">
        <w:rPr>
          <w:rFonts w:asciiTheme="majorHAnsi" w:hAnsiTheme="majorHAnsi" w:cstheme="majorHAnsi"/>
          <w:b/>
          <w:i/>
          <w:sz w:val="24"/>
          <w:szCs w:val="24"/>
          <w:lang w:val="ro-MD"/>
        </w:rPr>
        <w:t>„Chiril Draganiuc”</w:t>
      </w:r>
      <w:r w:rsidRPr="00B13B9A">
        <w:rPr>
          <w:rFonts w:asciiTheme="majorHAnsi" w:hAnsiTheme="majorHAnsi" w:cstheme="majorHAnsi"/>
          <w:b/>
          <w:i/>
          <w:color w:val="000000" w:themeColor="text1"/>
          <w:sz w:val="24"/>
          <w:lang w:val="ro-MD"/>
        </w:rPr>
        <w:t>?</w:t>
      </w:r>
    </w:p>
    <w:p w14:paraId="7B7FFF59" w14:textId="023D0297" w:rsidR="00351522" w:rsidRPr="00B13B9A" w:rsidRDefault="00A456FB" w:rsidP="003B51A0">
      <w:pPr>
        <w:pStyle w:val="a7"/>
        <w:spacing w:line="276" w:lineRule="auto"/>
        <w:ind w:left="0"/>
        <w:jc w:val="both"/>
        <w:outlineLvl w:val="1"/>
        <w:rPr>
          <w:rFonts w:asciiTheme="majorHAnsi" w:hAnsiTheme="majorHAnsi" w:cstheme="majorHAnsi"/>
          <w:b/>
          <w:color w:val="000000" w:themeColor="text1"/>
          <w:sz w:val="24"/>
          <w:lang w:val="ro-MD"/>
        </w:rPr>
      </w:pPr>
      <w:bookmarkStart w:id="19" w:name="_Toc154562494"/>
      <w:r w:rsidRPr="00B13B9A">
        <w:rPr>
          <w:rFonts w:asciiTheme="majorHAnsi" w:hAnsiTheme="majorHAnsi" w:cstheme="majorHAnsi"/>
          <w:b/>
          <w:color w:val="000000" w:themeColor="text1"/>
          <w:sz w:val="24"/>
          <w:szCs w:val="24"/>
          <w:lang w:val="ro-MD"/>
        </w:rPr>
        <w:t xml:space="preserve">4.1. </w:t>
      </w:r>
      <w:r w:rsidR="00D90992" w:rsidRPr="00B13B9A">
        <w:rPr>
          <w:rFonts w:asciiTheme="majorHAnsi" w:hAnsiTheme="majorHAnsi" w:cstheme="majorHAnsi"/>
          <w:b/>
          <w:color w:val="000000" w:themeColor="text1"/>
          <w:sz w:val="24"/>
          <w:szCs w:val="24"/>
          <w:lang w:val="ro-MD"/>
        </w:rPr>
        <w:t>Managementul gestionării patrimoniului public necesită a fi consolidat, pentru a asigura  înregistrarea contabilă conformă a t</w:t>
      </w:r>
      <w:r w:rsidRPr="00B13B9A">
        <w:rPr>
          <w:rFonts w:asciiTheme="majorHAnsi" w:hAnsiTheme="majorHAnsi" w:cstheme="majorHAnsi"/>
          <w:b/>
          <w:color w:val="000000" w:themeColor="text1"/>
          <w:sz w:val="24"/>
          <w:szCs w:val="24"/>
          <w:lang w:val="ro-MD"/>
        </w:rPr>
        <w:t>u</w:t>
      </w:r>
      <w:r w:rsidR="004F6612" w:rsidRPr="00B13B9A">
        <w:rPr>
          <w:rFonts w:asciiTheme="majorHAnsi" w:hAnsiTheme="majorHAnsi" w:cstheme="majorHAnsi"/>
          <w:b/>
          <w:color w:val="000000" w:themeColor="text1"/>
          <w:sz w:val="24"/>
          <w:szCs w:val="24"/>
          <w:lang w:val="ro-MD"/>
        </w:rPr>
        <w:t xml:space="preserve">turor elementelor patrimoniale, precum </w:t>
      </w:r>
      <w:r w:rsidR="00B13B9A" w:rsidRPr="00B13B9A">
        <w:rPr>
          <w:rFonts w:asciiTheme="majorHAnsi" w:hAnsiTheme="majorHAnsi" w:cstheme="majorHAnsi"/>
          <w:b/>
          <w:color w:val="000000" w:themeColor="text1"/>
          <w:sz w:val="24"/>
          <w:szCs w:val="24"/>
          <w:lang w:val="ro-MD"/>
        </w:rPr>
        <w:t>ș</w:t>
      </w:r>
      <w:r w:rsidR="004F6612" w:rsidRPr="00B13B9A">
        <w:rPr>
          <w:rFonts w:asciiTheme="majorHAnsi" w:hAnsiTheme="majorHAnsi" w:cstheme="majorHAnsi"/>
          <w:b/>
          <w:color w:val="000000" w:themeColor="text1"/>
          <w:sz w:val="24"/>
          <w:szCs w:val="24"/>
          <w:lang w:val="ro-MD"/>
        </w:rPr>
        <w:t xml:space="preserve">i </w:t>
      </w:r>
      <w:r w:rsidR="004F6612" w:rsidRPr="00B13B9A">
        <w:rPr>
          <w:rFonts w:asciiTheme="majorHAnsi" w:hAnsiTheme="majorHAnsi"/>
          <w:b/>
          <w:sz w:val="24"/>
          <w:szCs w:val="24"/>
          <w:lang w:val="ro-MD"/>
        </w:rPr>
        <w:t>fortificarea</w:t>
      </w:r>
      <w:r w:rsidR="00351522" w:rsidRPr="00B13B9A">
        <w:rPr>
          <w:rFonts w:asciiTheme="majorHAnsi" w:hAnsiTheme="majorHAnsi"/>
          <w:b/>
          <w:sz w:val="24"/>
          <w:szCs w:val="24"/>
          <w:lang w:val="ro-MD"/>
        </w:rPr>
        <w:t xml:space="preserve"> </w:t>
      </w:r>
      <w:r w:rsidR="004F6612" w:rsidRPr="00B13B9A">
        <w:rPr>
          <w:rFonts w:asciiTheme="majorHAnsi" w:hAnsiTheme="majorHAnsi"/>
          <w:b/>
          <w:sz w:val="24"/>
          <w:szCs w:val="24"/>
          <w:lang w:val="ro-MD"/>
        </w:rPr>
        <w:t>activită</w:t>
      </w:r>
      <w:r w:rsidR="00B13B9A" w:rsidRPr="00B13B9A">
        <w:rPr>
          <w:rFonts w:asciiTheme="majorHAnsi" w:hAnsiTheme="majorHAnsi"/>
          <w:b/>
          <w:sz w:val="24"/>
          <w:szCs w:val="24"/>
          <w:lang w:val="ro-MD"/>
        </w:rPr>
        <w:t>ț</w:t>
      </w:r>
      <w:r w:rsidR="004F6612" w:rsidRPr="00B13B9A">
        <w:rPr>
          <w:rFonts w:asciiTheme="majorHAnsi" w:hAnsiTheme="majorHAnsi"/>
          <w:b/>
          <w:sz w:val="24"/>
          <w:szCs w:val="24"/>
          <w:lang w:val="ro-MD"/>
        </w:rPr>
        <w:t>ilor aferente gestionării conforme a dispozitivelor m</w:t>
      </w:r>
      <w:r w:rsidR="003324EC" w:rsidRPr="00B13B9A">
        <w:rPr>
          <w:rFonts w:asciiTheme="majorHAnsi" w:hAnsiTheme="majorHAnsi"/>
          <w:b/>
          <w:sz w:val="24"/>
          <w:szCs w:val="24"/>
          <w:lang w:val="ro-MD"/>
        </w:rPr>
        <w:t>e</w:t>
      </w:r>
      <w:r w:rsidR="004F6612" w:rsidRPr="00B13B9A">
        <w:rPr>
          <w:rFonts w:asciiTheme="majorHAnsi" w:hAnsiTheme="majorHAnsi"/>
          <w:b/>
          <w:sz w:val="24"/>
          <w:szCs w:val="24"/>
          <w:lang w:val="ro-MD"/>
        </w:rPr>
        <w:t>dicale.</w:t>
      </w:r>
      <w:bookmarkEnd w:id="19"/>
      <w:r w:rsidR="00351522" w:rsidRPr="00B13B9A">
        <w:rPr>
          <w:rFonts w:asciiTheme="majorHAnsi" w:hAnsiTheme="majorHAnsi"/>
          <w:b/>
          <w:sz w:val="24"/>
          <w:szCs w:val="24"/>
          <w:lang w:val="ro-MD"/>
        </w:rPr>
        <w:t xml:space="preserve"> </w:t>
      </w:r>
    </w:p>
    <w:p w14:paraId="7873F8C8" w14:textId="32D70F9C" w:rsidR="007D147F" w:rsidRPr="00B13B9A" w:rsidRDefault="007D147F" w:rsidP="004B4356">
      <w:pPr>
        <w:pStyle w:val="cn"/>
        <w:spacing w:line="276" w:lineRule="auto"/>
        <w:ind w:right="71"/>
        <w:jc w:val="both"/>
        <w:rPr>
          <w:rFonts w:asciiTheme="majorHAnsi" w:eastAsiaTheme="minorHAnsi" w:hAnsiTheme="majorHAnsi" w:cstheme="majorHAnsi"/>
          <w:b/>
          <w:lang w:val="ro-MD" w:eastAsia="en-US"/>
        </w:rPr>
      </w:pPr>
      <w:r w:rsidRPr="00B13B9A">
        <w:rPr>
          <w:rFonts w:asciiTheme="majorHAnsi" w:hAnsiTheme="majorHAnsi" w:cstheme="majorHAnsi"/>
          <w:color w:val="000000" w:themeColor="text1"/>
          <w:lang w:val="ro-MD"/>
        </w:rPr>
        <w:t>Fondatorul IMSP IF</w:t>
      </w:r>
      <w:r w:rsidR="00696D0D" w:rsidRPr="00B13B9A">
        <w:rPr>
          <w:rFonts w:asciiTheme="majorHAnsi" w:hAnsiTheme="majorHAnsi" w:cstheme="majorHAnsi"/>
          <w:color w:val="000000" w:themeColor="text1"/>
          <w:lang w:val="ro-MD"/>
        </w:rPr>
        <w:t xml:space="preserve">P (MS) </w:t>
      </w:r>
      <w:r w:rsidR="00B13B9A" w:rsidRPr="00B13B9A">
        <w:rPr>
          <w:rFonts w:asciiTheme="majorHAnsi" w:hAnsiTheme="majorHAnsi" w:cstheme="majorHAnsi"/>
          <w:color w:val="000000" w:themeColor="text1"/>
          <w:lang w:val="ro-MD"/>
        </w:rPr>
        <w:t>ș</w:t>
      </w:r>
      <w:r w:rsidR="00696D0D" w:rsidRPr="00B13B9A">
        <w:rPr>
          <w:rFonts w:asciiTheme="majorHAnsi" w:hAnsiTheme="majorHAnsi" w:cstheme="majorHAnsi"/>
          <w:color w:val="000000" w:themeColor="text1"/>
          <w:lang w:val="ro-MD"/>
        </w:rPr>
        <w:t xml:space="preserve">i Managementul IMSP IFP </w:t>
      </w:r>
      <w:r w:rsidR="00696D0D" w:rsidRPr="00B13B9A">
        <w:rPr>
          <w:rFonts w:asciiTheme="majorHAnsi" w:hAnsiTheme="majorHAnsi" w:cstheme="majorHAnsi"/>
          <w:lang w:val="ro-MD"/>
        </w:rPr>
        <w:t>„Chiril Draganiuc”</w:t>
      </w:r>
      <w:r w:rsidR="00ED0107" w:rsidRPr="00B13B9A">
        <w:rPr>
          <w:rFonts w:asciiTheme="majorHAnsi" w:hAnsiTheme="majorHAnsi" w:cstheme="majorHAnsi"/>
          <w:lang w:val="ro-MD"/>
        </w:rPr>
        <w:t xml:space="preserve"> </w:t>
      </w:r>
      <w:r w:rsidRPr="00B13B9A">
        <w:rPr>
          <w:rFonts w:asciiTheme="majorHAnsi" w:hAnsiTheme="majorHAnsi" w:cstheme="majorHAnsi"/>
          <w:color w:val="000000" w:themeColor="text1"/>
          <w:lang w:val="ro-MD"/>
        </w:rPr>
        <w:t xml:space="preserve">nu s-au preocupat de înregistrarea conformă a drepturilor asupra patrimoniului de stat transmis în gestiune economică </w:t>
      </w:r>
      <w:r w:rsidR="00B13B9A" w:rsidRPr="00B13B9A">
        <w:rPr>
          <w:rFonts w:asciiTheme="majorHAnsi" w:hAnsiTheme="majorHAnsi" w:cstheme="majorHAnsi"/>
          <w:color w:val="000000" w:themeColor="text1"/>
          <w:lang w:val="ro-MD"/>
        </w:rPr>
        <w:t>ș</w:t>
      </w:r>
      <w:r w:rsidRPr="00B13B9A">
        <w:rPr>
          <w:rFonts w:asciiTheme="majorHAnsi" w:hAnsiTheme="majorHAnsi" w:cstheme="majorHAnsi"/>
          <w:color w:val="000000" w:themeColor="text1"/>
          <w:lang w:val="ro-MD"/>
        </w:rPr>
        <w:t xml:space="preserve">i cu titlul de proprietate, precum </w:t>
      </w:r>
      <w:r w:rsidR="00B13B9A" w:rsidRPr="00B13B9A">
        <w:rPr>
          <w:rFonts w:asciiTheme="majorHAnsi" w:hAnsiTheme="majorHAnsi" w:cstheme="majorHAnsi"/>
          <w:color w:val="000000" w:themeColor="text1"/>
          <w:lang w:val="ro-MD"/>
        </w:rPr>
        <w:t>ș</w:t>
      </w:r>
      <w:r w:rsidRPr="00B13B9A">
        <w:rPr>
          <w:rFonts w:asciiTheme="majorHAnsi" w:hAnsiTheme="majorHAnsi" w:cstheme="majorHAnsi"/>
          <w:color w:val="000000" w:themeColor="text1"/>
          <w:lang w:val="ro-MD"/>
        </w:rPr>
        <w:t xml:space="preserve">i </w:t>
      </w:r>
      <w:r w:rsidR="00FE1098">
        <w:rPr>
          <w:rFonts w:asciiTheme="majorHAnsi" w:hAnsiTheme="majorHAnsi" w:cstheme="majorHAnsi"/>
          <w:color w:val="000000" w:themeColor="text1"/>
          <w:lang w:val="ro-MD"/>
        </w:rPr>
        <w:t xml:space="preserve">de </w:t>
      </w:r>
      <w:r w:rsidRPr="00B13B9A">
        <w:rPr>
          <w:rFonts w:asciiTheme="majorHAnsi" w:hAnsiTheme="majorHAnsi" w:cstheme="majorHAnsi"/>
          <w:color w:val="000000" w:themeColor="text1"/>
          <w:lang w:val="ro-MD"/>
        </w:rPr>
        <w:t>înregistrarea conformă a acestuia. Aceste circumstan</w:t>
      </w:r>
      <w:r w:rsidR="00B13B9A" w:rsidRPr="00B13B9A">
        <w:rPr>
          <w:rFonts w:asciiTheme="majorHAnsi" w:hAnsiTheme="majorHAnsi" w:cstheme="majorHAnsi"/>
          <w:color w:val="000000" w:themeColor="text1"/>
          <w:lang w:val="ro-MD"/>
        </w:rPr>
        <w:t>ț</w:t>
      </w:r>
      <w:r w:rsidRPr="00B13B9A">
        <w:rPr>
          <w:rFonts w:asciiTheme="majorHAnsi" w:hAnsiTheme="majorHAnsi" w:cstheme="majorHAnsi"/>
          <w:color w:val="000000" w:themeColor="text1"/>
          <w:lang w:val="ro-MD"/>
        </w:rPr>
        <w:t>e, a determinat admiterea neconformită</w:t>
      </w:r>
      <w:r w:rsidR="00B13B9A" w:rsidRPr="00B13B9A">
        <w:rPr>
          <w:rFonts w:asciiTheme="majorHAnsi" w:hAnsiTheme="majorHAnsi" w:cstheme="majorHAnsi"/>
          <w:color w:val="000000" w:themeColor="text1"/>
          <w:lang w:val="ro-MD"/>
        </w:rPr>
        <w:t>ț</w:t>
      </w:r>
      <w:r w:rsidRPr="00B13B9A">
        <w:rPr>
          <w:rFonts w:asciiTheme="majorHAnsi" w:hAnsiTheme="majorHAnsi" w:cstheme="majorHAnsi"/>
          <w:color w:val="000000" w:themeColor="text1"/>
          <w:lang w:val="ro-MD"/>
        </w:rPr>
        <w:t>ilor, în valori semnificative care au fost generate de neînregistrarea conformă a drepturilor de gestiune a patrimoniului, nede</w:t>
      </w:r>
      <w:r w:rsidR="00B13B9A" w:rsidRPr="00B13B9A">
        <w:rPr>
          <w:rFonts w:asciiTheme="majorHAnsi" w:hAnsiTheme="majorHAnsi" w:cstheme="majorHAnsi"/>
          <w:color w:val="000000" w:themeColor="text1"/>
          <w:lang w:val="ro-MD"/>
        </w:rPr>
        <w:t>ț</w:t>
      </w:r>
      <w:r w:rsidRPr="00B13B9A">
        <w:rPr>
          <w:rFonts w:asciiTheme="majorHAnsi" w:hAnsiTheme="majorHAnsi" w:cstheme="majorHAnsi"/>
          <w:color w:val="000000" w:themeColor="text1"/>
          <w:lang w:val="ro-MD"/>
        </w:rPr>
        <w:t xml:space="preserve">inerea documentelor asupra unor bunuri patrimoniale, nefinalizarea proceselor de delimitare a patrimoniului </w:t>
      </w:r>
      <w:r w:rsidR="00B13B9A" w:rsidRPr="00B13B9A">
        <w:rPr>
          <w:rFonts w:asciiTheme="majorHAnsi" w:hAnsiTheme="majorHAnsi" w:cstheme="majorHAnsi"/>
          <w:color w:val="000000" w:themeColor="text1"/>
          <w:lang w:val="ro-MD"/>
        </w:rPr>
        <w:t>ș</w:t>
      </w:r>
      <w:r w:rsidRPr="00B13B9A">
        <w:rPr>
          <w:rFonts w:asciiTheme="majorHAnsi" w:hAnsiTheme="majorHAnsi" w:cstheme="majorHAnsi"/>
          <w:color w:val="000000" w:themeColor="text1"/>
          <w:lang w:val="ro-MD"/>
        </w:rPr>
        <w:t>i transmitere a terenurilor, ceea ce conduce la denaturarea situa</w:t>
      </w:r>
      <w:r w:rsidR="00B13B9A" w:rsidRPr="00B13B9A">
        <w:rPr>
          <w:rFonts w:asciiTheme="majorHAnsi" w:hAnsiTheme="majorHAnsi" w:cstheme="majorHAnsi"/>
          <w:color w:val="000000" w:themeColor="text1"/>
          <w:lang w:val="ro-MD"/>
        </w:rPr>
        <w:t>ț</w:t>
      </w:r>
      <w:r w:rsidRPr="00B13B9A">
        <w:rPr>
          <w:rFonts w:asciiTheme="majorHAnsi" w:hAnsiTheme="majorHAnsi" w:cstheme="majorHAnsi"/>
          <w:color w:val="000000" w:themeColor="text1"/>
          <w:lang w:val="ro-MD"/>
        </w:rPr>
        <w:t xml:space="preserve">iilor patrimoniale </w:t>
      </w:r>
      <w:r w:rsidR="00B13B9A" w:rsidRPr="00B13B9A">
        <w:rPr>
          <w:rFonts w:asciiTheme="majorHAnsi" w:hAnsiTheme="majorHAnsi" w:cstheme="majorHAnsi"/>
          <w:color w:val="000000" w:themeColor="text1"/>
          <w:lang w:val="ro-MD"/>
        </w:rPr>
        <w:t>ș</w:t>
      </w:r>
      <w:r w:rsidRPr="00B13B9A">
        <w:rPr>
          <w:rFonts w:asciiTheme="majorHAnsi" w:hAnsiTheme="majorHAnsi" w:cstheme="majorHAnsi"/>
          <w:color w:val="000000" w:themeColor="text1"/>
          <w:lang w:val="ro-MD"/>
        </w:rPr>
        <w:t xml:space="preserve">i financiare ale IMSP </w:t>
      </w:r>
      <w:r w:rsidR="00B13B9A" w:rsidRPr="00B13B9A">
        <w:rPr>
          <w:rFonts w:asciiTheme="majorHAnsi" w:hAnsiTheme="majorHAnsi" w:cstheme="majorHAnsi"/>
          <w:color w:val="000000" w:themeColor="text1"/>
          <w:lang w:val="ro-MD"/>
        </w:rPr>
        <w:t>ș</w:t>
      </w:r>
      <w:r w:rsidRPr="00B13B9A">
        <w:rPr>
          <w:rFonts w:asciiTheme="majorHAnsi" w:hAnsiTheme="majorHAnsi" w:cstheme="majorHAnsi"/>
          <w:color w:val="000000" w:themeColor="text1"/>
          <w:lang w:val="ro-MD"/>
        </w:rPr>
        <w:t>i generează riscuri de pierdere a acestuia.</w:t>
      </w:r>
    </w:p>
    <w:p w14:paraId="141C0FD0" w14:textId="1F0C363F" w:rsidR="00792BD5" w:rsidRPr="00B13B9A" w:rsidRDefault="00472BE5" w:rsidP="003914B9">
      <w:pPr>
        <w:pStyle w:val="ae"/>
        <w:shd w:val="clear" w:color="auto" w:fill="FFFFFF"/>
        <w:spacing w:before="0" w:beforeAutospacing="0" w:after="0" w:afterAutospacing="0" w:line="276" w:lineRule="auto"/>
        <w:jc w:val="both"/>
        <w:rPr>
          <w:rFonts w:asciiTheme="majorHAnsi" w:hAnsiTheme="majorHAnsi" w:cstheme="majorHAnsi"/>
          <w:color w:val="000000" w:themeColor="text1"/>
          <w:lang w:val="ro-MD"/>
        </w:rPr>
      </w:pPr>
      <w:r w:rsidRPr="00B13B9A">
        <w:rPr>
          <w:rFonts w:asciiTheme="majorHAnsi" w:hAnsiTheme="majorHAnsi" w:cstheme="majorHAnsi"/>
          <w:color w:val="000000" w:themeColor="text1"/>
          <w:lang w:val="ro-MD"/>
        </w:rPr>
        <w:t>Institutul de Ftiziopneumologie</w:t>
      </w:r>
      <w:r w:rsidR="00D15513" w:rsidRPr="00B13B9A">
        <w:rPr>
          <w:color w:val="000000" w:themeColor="text1"/>
          <w:vertAlign w:val="superscript"/>
          <w:lang w:val="ro-MD"/>
        </w:rPr>
        <w:footnoteReference w:id="9"/>
      </w:r>
      <w:r w:rsidRPr="00B13B9A">
        <w:rPr>
          <w:rFonts w:asciiTheme="majorHAnsi" w:hAnsiTheme="majorHAnsi" w:cstheme="majorHAnsi"/>
          <w:color w:val="000000" w:themeColor="text1"/>
          <w:lang w:val="ro-MD"/>
        </w:rPr>
        <w:t xml:space="preserve"> a fost creat în anul 2004 </w:t>
      </w:r>
      <w:r w:rsidR="00B13B9A" w:rsidRPr="00B13B9A">
        <w:rPr>
          <w:rFonts w:asciiTheme="majorHAnsi" w:hAnsiTheme="majorHAnsi" w:cstheme="majorHAnsi"/>
          <w:color w:val="000000" w:themeColor="text1"/>
          <w:lang w:val="ro-MD"/>
        </w:rPr>
        <w:t>ș</w:t>
      </w:r>
      <w:r w:rsidRPr="00B13B9A">
        <w:rPr>
          <w:rFonts w:asciiTheme="majorHAnsi" w:hAnsiTheme="majorHAnsi" w:cstheme="majorHAnsi"/>
          <w:color w:val="000000" w:themeColor="text1"/>
          <w:lang w:val="ro-MD"/>
        </w:rPr>
        <w:t>i activează pe principiul de autofinan</w:t>
      </w:r>
      <w:r w:rsidR="00B13B9A" w:rsidRPr="00B13B9A">
        <w:rPr>
          <w:rFonts w:asciiTheme="majorHAnsi" w:hAnsiTheme="majorHAnsi" w:cstheme="majorHAnsi"/>
          <w:color w:val="000000" w:themeColor="text1"/>
          <w:lang w:val="ro-MD"/>
        </w:rPr>
        <w:t>ț</w:t>
      </w:r>
      <w:r w:rsidRPr="00B13B9A">
        <w:rPr>
          <w:rFonts w:asciiTheme="majorHAnsi" w:hAnsiTheme="majorHAnsi" w:cstheme="majorHAnsi"/>
          <w:color w:val="000000" w:themeColor="text1"/>
          <w:lang w:val="ro-MD"/>
        </w:rPr>
        <w:t>are, de non-profit. Ulterior, în</w:t>
      </w:r>
      <w:r w:rsidR="00BF2684" w:rsidRPr="00B13B9A">
        <w:rPr>
          <w:rFonts w:asciiTheme="majorHAnsi" w:hAnsiTheme="majorHAnsi" w:cstheme="majorHAnsi"/>
          <w:color w:val="000000" w:themeColor="text1"/>
          <w:lang w:val="ro-MD"/>
        </w:rPr>
        <w:t>c</w:t>
      </w:r>
      <w:r w:rsidR="00792BD5" w:rsidRPr="00B13B9A">
        <w:rPr>
          <w:rFonts w:asciiTheme="majorHAnsi" w:hAnsiTheme="majorHAnsi" w:cstheme="majorHAnsi"/>
          <w:color w:val="000000" w:themeColor="text1"/>
          <w:lang w:val="ro-MD"/>
        </w:rPr>
        <w:t>epând cu 01.06.2005, prin ordinul Ministerului Sănătă</w:t>
      </w:r>
      <w:r w:rsidR="00B13B9A" w:rsidRPr="00B13B9A">
        <w:rPr>
          <w:rFonts w:asciiTheme="majorHAnsi" w:hAnsiTheme="majorHAnsi" w:cstheme="majorHAnsi"/>
          <w:color w:val="000000" w:themeColor="text1"/>
          <w:lang w:val="ro-MD"/>
        </w:rPr>
        <w:t>ț</w:t>
      </w:r>
      <w:r w:rsidR="00792BD5" w:rsidRPr="00B13B9A">
        <w:rPr>
          <w:rFonts w:asciiTheme="majorHAnsi" w:hAnsiTheme="majorHAnsi" w:cstheme="majorHAnsi"/>
          <w:color w:val="000000" w:themeColor="text1"/>
          <w:lang w:val="ro-MD"/>
        </w:rPr>
        <w:t xml:space="preserve">ii s-a dispus comasarea Spitalului de Boli Tuberculoase din Vorniceni cu IMSP IFP </w:t>
      </w:r>
      <w:r w:rsidR="004E1122" w:rsidRPr="00B13B9A">
        <w:rPr>
          <w:rFonts w:asciiTheme="majorHAnsi" w:hAnsiTheme="majorHAnsi" w:cstheme="majorHAnsi"/>
          <w:lang w:val="ro-MD"/>
        </w:rPr>
        <w:t>„Chiril Draganiuc”</w:t>
      </w:r>
      <w:r w:rsidR="00792BD5" w:rsidRPr="00B13B9A">
        <w:rPr>
          <w:rFonts w:asciiTheme="majorHAnsi" w:hAnsiTheme="majorHAnsi" w:cstheme="majorHAnsi"/>
          <w:color w:val="000000" w:themeColor="text1"/>
          <w:lang w:val="ro-MD"/>
        </w:rPr>
        <w:t>, care a devenit filială a institutului, numită clinica nr.2. Însă statutul de clinică a fost de scurtă durată</w:t>
      </w:r>
      <w:r w:rsidR="00BF2684" w:rsidRPr="00B13B9A">
        <w:rPr>
          <w:rFonts w:asciiTheme="majorHAnsi" w:hAnsiTheme="majorHAnsi" w:cstheme="majorHAnsi"/>
          <w:color w:val="000000" w:themeColor="text1"/>
          <w:lang w:val="ro-MD"/>
        </w:rPr>
        <w:t xml:space="preserve">, astfel </w:t>
      </w:r>
      <w:r w:rsidR="00792BD5" w:rsidRPr="00B13B9A">
        <w:rPr>
          <w:rFonts w:asciiTheme="majorHAnsi" w:hAnsiTheme="majorHAnsi" w:cstheme="majorHAnsi"/>
          <w:color w:val="000000" w:themeColor="text1"/>
          <w:lang w:val="ro-MD"/>
        </w:rPr>
        <w:t>ordinul Ministerului Sănătă</w:t>
      </w:r>
      <w:r w:rsidR="00B13B9A" w:rsidRPr="00B13B9A">
        <w:rPr>
          <w:rFonts w:asciiTheme="majorHAnsi" w:hAnsiTheme="majorHAnsi" w:cstheme="majorHAnsi"/>
          <w:color w:val="000000" w:themeColor="text1"/>
          <w:lang w:val="ro-MD"/>
        </w:rPr>
        <w:t>ț</w:t>
      </w:r>
      <w:r w:rsidR="00792BD5" w:rsidRPr="00B13B9A">
        <w:rPr>
          <w:rFonts w:asciiTheme="majorHAnsi" w:hAnsiTheme="majorHAnsi" w:cstheme="majorHAnsi"/>
          <w:color w:val="000000" w:themeColor="text1"/>
          <w:lang w:val="ro-MD"/>
        </w:rPr>
        <w:t xml:space="preserve">ii </w:t>
      </w:r>
      <w:r w:rsidR="00D9767C" w:rsidRPr="00B13B9A">
        <w:rPr>
          <w:rFonts w:asciiTheme="majorHAnsi" w:hAnsiTheme="majorHAnsi" w:cstheme="majorHAnsi"/>
          <w:color w:val="000000" w:themeColor="text1"/>
          <w:lang w:val="ro-MD"/>
        </w:rPr>
        <w:t xml:space="preserve">a fost abrogat </w:t>
      </w:r>
      <w:r w:rsidR="00B13B9A" w:rsidRPr="00B13B9A">
        <w:rPr>
          <w:rFonts w:asciiTheme="majorHAnsi" w:hAnsiTheme="majorHAnsi" w:cstheme="majorHAnsi"/>
          <w:color w:val="000000" w:themeColor="text1"/>
          <w:lang w:val="ro-MD"/>
        </w:rPr>
        <w:t>ș</w:t>
      </w:r>
      <w:r w:rsidR="00792BD5" w:rsidRPr="00B13B9A">
        <w:rPr>
          <w:rFonts w:asciiTheme="majorHAnsi" w:hAnsiTheme="majorHAnsi" w:cstheme="majorHAnsi"/>
          <w:color w:val="000000" w:themeColor="text1"/>
          <w:lang w:val="ro-MD"/>
        </w:rPr>
        <w:t xml:space="preserve">i începând cu 01.01.2007, </w:t>
      </w:r>
      <w:r w:rsidR="00FE1B93" w:rsidRPr="00B13B9A">
        <w:rPr>
          <w:rFonts w:asciiTheme="majorHAnsi" w:hAnsiTheme="majorHAnsi" w:cstheme="majorHAnsi"/>
          <w:color w:val="000000" w:themeColor="text1"/>
          <w:lang w:val="ro-MD"/>
        </w:rPr>
        <w:t xml:space="preserve">a fost instituit </w:t>
      </w:r>
      <w:r w:rsidR="00792BD5" w:rsidRPr="00B13B9A">
        <w:rPr>
          <w:rFonts w:asciiTheme="majorHAnsi" w:hAnsiTheme="majorHAnsi" w:cstheme="majorHAnsi"/>
          <w:color w:val="000000" w:themeColor="text1"/>
          <w:lang w:val="ro-MD"/>
        </w:rPr>
        <w:t>IMSP Spitalul de Boli Tuberculoase din Vorniceni, care activa după principiul de autofinan</w:t>
      </w:r>
      <w:r w:rsidR="00B13B9A" w:rsidRPr="00B13B9A">
        <w:rPr>
          <w:rFonts w:asciiTheme="majorHAnsi" w:hAnsiTheme="majorHAnsi" w:cstheme="majorHAnsi"/>
          <w:color w:val="000000" w:themeColor="text1"/>
          <w:lang w:val="ro-MD"/>
        </w:rPr>
        <w:t>ț</w:t>
      </w:r>
      <w:r w:rsidR="00792BD5" w:rsidRPr="00B13B9A">
        <w:rPr>
          <w:rFonts w:asciiTheme="majorHAnsi" w:hAnsiTheme="majorHAnsi" w:cstheme="majorHAnsi"/>
          <w:color w:val="000000" w:themeColor="text1"/>
          <w:lang w:val="ro-MD"/>
        </w:rPr>
        <w:t>are, nonprofit</w:t>
      </w:r>
      <w:r w:rsidRPr="00B13B9A">
        <w:rPr>
          <w:rFonts w:asciiTheme="majorHAnsi" w:hAnsiTheme="majorHAnsi" w:cstheme="majorHAnsi"/>
          <w:color w:val="000000" w:themeColor="text1"/>
          <w:vertAlign w:val="superscript"/>
          <w:lang w:val="ro-MD"/>
        </w:rPr>
        <w:footnoteReference w:id="10"/>
      </w:r>
      <w:r w:rsidR="00FE1B93" w:rsidRPr="00B13B9A">
        <w:rPr>
          <w:rFonts w:asciiTheme="majorHAnsi" w:hAnsiTheme="majorHAnsi" w:cstheme="majorHAnsi"/>
          <w:color w:val="000000" w:themeColor="text1"/>
          <w:lang w:val="ro-MD"/>
        </w:rPr>
        <w:t xml:space="preserve">. </w:t>
      </w:r>
      <w:r w:rsidR="00BF2684" w:rsidRPr="00B13B9A">
        <w:rPr>
          <w:rFonts w:asciiTheme="majorHAnsi" w:hAnsiTheme="majorHAnsi" w:cstheme="majorHAnsi"/>
          <w:color w:val="000000" w:themeColor="text1"/>
          <w:lang w:val="ro-MD"/>
        </w:rPr>
        <w:t>După 5 ani</w:t>
      </w:r>
      <w:r w:rsidR="00FE1B93" w:rsidRPr="00B13B9A">
        <w:rPr>
          <w:rFonts w:asciiTheme="majorHAnsi" w:hAnsiTheme="majorHAnsi" w:cstheme="majorHAnsi"/>
          <w:color w:val="000000" w:themeColor="text1"/>
          <w:lang w:val="ro-MD"/>
        </w:rPr>
        <w:t xml:space="preserve"> de activitate</w:t>
      </w:r>
      <w:r w:rsidR="00BF2684" w:rsidRPr="00B13B9A">
        <w:rPr>
          <w:rFonts w:asciiTheme="majorHAnsi" w:hAnsiTheme="majorHAnsi" w:cstheme="majorHAnsi"/>
          <w:color w:val="000000" w:themeColor="text1"/>
          <w:lang w:val="ro-MD"/>
        </w:rPr>
        <w:t>,</w:t>
      </w:r>
      <w:r w:rsidR="00792BD5" w:rsidRPr="00B13B9A">
        <w:rPr>
          <w:rFonts w:asciiTheme="majorHAnsi" w:hAnsiTheme="majorHAnsi" w:cstheme="majorHAnsi"/>
          <w:color w:val="000000" w:themeColor="text1"/>
          <w:lang w:val="ro-MD"/>
        </w:rPr>
        <w:t xml:space="preserve"> întru eficientizarea utilizării resurselor umane </w:t>
      </w:r>
      <w:r w:rsidR="00B13B9A" w:rsidRPr="00B13B9A">
        <w:rPr>
          <w:rFonts w:asciiTheme="majorHAnsi" w:hAnsiTheme="majorHAnsi" w:cstheme="majorHAnsi"/>
          <w:color w:val="000000" w:themeColor="text1"/>
          <w:lang w:val="ro-MD"/>
        </w:rPr>
        <w:t>ș</w:t>
      </w:r>
      <w:r w:rsidR="00792BD5" w:rsidRPr="00B13B9A">
        <w:rPr>
          <w:rFonts w:asciiTheme="majorHAnsi" w:hAnsiTheme="majorHAnsi" w:cstheme="majorHAnsi"/>
          <w:color w:val="000000" w:themeColor="text1"/>
          <w:lang w:val="ro-MD"/>
        </w:rPr>
        <w:t>i mijloacelor financiare,</w:t>
      </w:r>
      <w:r w:rsidR="00BF2684" w:rsidRPr="00B13B9A">
        <w:rPr>
          <w:rFonts w:asciiTheme="majorHAnsi" w:hAnsiTheme="majorHAnsi" w:cstheme="majorHAnsi"/>
          <w:color w:val="000000" w:themeColor="text1"/>
          <w:lang w:val="ro-MD"/>
        </w:rPr>
        <w:t xml:space="preserve"> </w:t>
      </w:r>
      <w:r w:rsidR="00792BD5" w:rsidRPr="00B13B9A">
        <w:rPr>
          <w:rFonts w:asciiTheme="majorHAnsi" w:hAnsiTheme="majorHAnsi" w:cstheme="majorHAnsi"/>
          <w:color w:val="000000" w:themeColor="text1"/>
          <w:lang w:val="ro-MD"/>
        </w:rPr>
        <w:t>optimizarea managementului</w:t>
      </w:r>
      <w:r w:rsidR="00BF2684" w:rsidRPr="00B13B9A">
        <w:rPr>
          <w:rFonts w:asciiTheme="majorHAnsi" w:hAnsiTheme="majorHAnsi" w:cstheme="majorHAnsi"/>
          <w:color w:val="000000" w:themeColor="text1"/>
          <w:lang w:val="ro-MD"/>
        </w:rPr>
        <w:t xml:space="preserve"> institu</w:t>
      </w:r>
      <w:r w:rsidR="00B13B9A" w:rsidRPr="00B13B9A">
        <w:rPr>
          <w:rFonts w:asciiTheme="majorHAnsi" w:hAnsiTheme="majorHAnsi" w:cstheme="majorHAnsi"/>
          <w:color w:val="000000" w:themeColor="text1"/>
          <w:lang w:val="ro-MD"/>
        </w:rPr>
        <w:t>ț</w:t>
      </w:r>
      <w:r w:rsidR="00BF2684" w:rsidRPr="00B13B9A">
        <w:rPr>
          <w:rFonts w:asciiTheme="majorHAnsi" w:hAnsiTheme="majorHAnsi" w:cstheme="majorHAnsi"/>
          <w:color w:val="000000" w:themeColor="text1"/>
          <w:lang w:val="ro-MD"/>
        </w:rPr>
        <w:t>iilor medico-</w:t>
      </w:r>
      <w:r w:rsidR="00792BD5" w:rsidRPr="00B13B9A">
        <w:rPr>
          <w:rFonts w:asciiTheme="majorHAnsi" w:hAnsiTheme="majorHAnsi" w:cstheme="majorHAnsi"/>
          <w:color w:val="000000" w:themeColor="text1"/>
          <w:lang w:val="ro-MD"/>
        </w:rPr>
        <w:t xml:space="preserve">sanitare, repetat, </w:t>
      </w:r>
      <w:r w:rsidR="00C47678" w:rsidRPr="00B13B9A">
        <w:rPr>
          <w:rFonts w:asciiTheme="majorHAnsi" w:hAnsiTheme="majorHAnsi" w:cstheme="majorHAnsi"/>
          <w:color w:val="000000" w:themeColor="text1"/>
          <w:lang w:val="ro-MD"/>
        </w:rPr>
        <w:t>a fost</w:t>
      </w:r>
      <w:r w:rsidR="00792BD5" w:rsidRPr="00B13B9A">
        <w:rPr>
          <w:rFonts w:asciiTheme="majorHAnsi" w:hAnsiTheme="majorHAnsi" w:cstheme="majorHAnsi"/>
          <w:color w:val="000000" w:themeColor="text1"/>
          <w:lang w:val="ro-MD"/>
        </w:rPr>
        <w:t xml:space="preserve"> reorganiza</w:t>
      </w:r>
      <w:r w:rsidR="00D9767C">
        <w:rPr>
          <w:rFonts w:asciiTheme="majorHAnsi" w:hAnsiTheme="majorHAnsi" w:cstheme="majorHAnsi"/>
          <w:color w:val="000000" w:themeColor="text1"/>
          <w:lang w:val="ro-MD"/>
        </w:rPr>
        <w:t xml:space="preserve">t </w:t>
      </w:r>
      <w:r w:rsidR="00792BD5" w:rsidRPr="00B13B9A">
        <w:rPr>
          <w:rFonts w:asciiTheme="majorHAnsi" w:hAnsiTheme="majorHAnsi" w:cstheme="majorHAnsi"/>
          <w:color w:val="000000" w:themeColor="text1"/>
          <w:lang w:val="ro-MD"/>
        </w:rPr>
        <w:t>prin fuziune (absorb</w:t>
      </w:r>
      <w:r w:rsidR="00B13B9A" w:rsidRPr="00B13B9A">
        <w:rPr>
          <w:rFonts w:asciiTheme="majorHAnsi" w:hAnsiTheme="majorHAnsi" w:cstheme="majorHAnsi"/>
          <w:color w:val="000000" w:themeColor="text1"/>
          <w:lang w:val="ro-MD"/>
        </w:rPr>
        <w:t>ț</w:t>
      </w:r>
      <w:r w:rsidR="00792BD5" w:rsidRPr="00B13B9A">
        <w:rPr>
          <w:rFonts w:asciiTheme="majorHAnsi" w:hAnsiTheme="majorHAnsi" w:cstheme="majorHAnsi"/>
          <w:color w:val="000000" w:themeColor="text1"/>
          <w:lang w:val="ro-MD"/>
        </w:rPr>
        <w:t xml:space="preserve">ie) Spitalul Ftiziopneumologie din Vorniceni cu Institutul de Ftiziopneumologie </w:t>
      </w:r>
      <w:r w:rsidR="004E1122" w:rsidRPr="00B13B9A">
        <w:rPr>
          <w:rFonts w:asciiTheme="majorHAnsi" w:hAnsiTheme="majorHAnsi" w:cstheme="majorHAnsi"/>
          <w:lang w:val="ro-MD"/>
        </w:rPr>
        <w:t>„Chiril Draganiuc”</w:t>
      </w:r>
      <w:r w:rsidR="00792BD5" w:rsidRPr="00B13B9A">
        <w:rPr>
          <w:rFonts w:asciiTheme="majorHAnsi" w:hAnsiTheme="majorHAnsi" w:cstheme="majorHAnsi"/>
          <w:color w:val="000000" w:themeColor="text1"/>
          <w:lang w:val="ro-MD"/>
        </w:rPr>
        <w:t xml:space="preserve">, </w:t>
      </w:r>
      <w:r w:rsidR="00B13B9A" w:rsidRPr="00B13B9A">
        <w:rPr>
          <w:rFonts w:asciiTheme="majorHAnsi" w:hAnsiTheme="majorHAnsi" w:cstheme="majorHAnsi"/>
          <w:color w:val="000000" w:themeColor="text1"/>
          <w:lang w:val="ro-MD"/>
        </w:rPr>
        <w:t>ș</w:t>
      </w:r>
      <w:r w:rsidR="00792BD5" w:rsidRPr="00B13B9A">
        <w:rPr>
          <w:rFonts w:asciiTheme="majorHAnsi" w:hAnsiTheme="majorHAnsi" w:cstheme="majorHAnsi"/>
          <w:color w:val="000000" w:themeColor="text1"/>
          <w:lang w:val="ro-MD"/>
        </w:rPr>
        <w:t>i începând cu 07.11.2011, spitalul a devenit filiala Institutului, numi</w:t>
      </w:r>
      <w:r w:rsidR="00BF2684" w:rsidRPr="00B13B9A">
        <w:rPr>
          <w:rFonts w:asciiTheme="majorHAnsi" w:hAnsiTheme="majorHAnsi" w:cstheme="majorHAnsi"/>
          <w:color w:val="000000" w:themeColor="text1"/>
          <w:lang w:val="ro-MD"/>
        </w:rPr>
        <w:t>t</w:t>
      </w:r>
      <w:r w:rsidR="00792BD5" w:rsidRPr="00B13B9A">
        <w:rPr>
          <w:rFonts w:asciiTheme="majorHAnsi" w:hAnsiTheme="majorHAnsi" w:cstheme="majorHAnsi"/>
          <w:color w:val="000000" w:themeColor="text1"/>
          <w:lang w:val="ro-MD"/>
        </w:rPr>
        <w:t xml:space="preserve"> Cl</w:t>
      </w:r>
      <w:r w:rsidR="00FE1B93" w:rsidRPr="00B13B9A">
        <w:rPr>
          <w:rFonts w:asciiTheme="majorHAnsi" w:hAnsiTheme="majorHAnsi" w:cstheme="majorHAnsi"/>
          <w:color w:val="000000" w:themeColor="text1"/>
          <w:lang w:val="ro-MD"/>
        </w:rPr>
        <w:t xml:space="preserve">inica Vorniceni, iar IMSP IFP </w:t>
      </w:r>
      <w:r w:rsidR="00792BD5" w:rsidRPr="00B13B9A">
        <w:rPr>
          <w:rFonts w:asciiTheme="majorHAnsi" w:hAnsiTheme="majorHAnsi" w:cstheme="majorHAnsi"/>
          <w:color w:val="000000" w:themeColor="text1"/>
          <w:lang w:val="ro-MD"/>
        </w:rPr>
        <w:t xml:space="preserve">succesor de drepturi </w:t>
      </w:r>
      <w:r w:rsidR="00B13B9A" w:rsidRPr="00B13B9A">
        <w:rPr>
          <w:rFonts w:asciiTheme="majorHAnsi" w:hAnsiTheme="majorHAnsi" w:cstheme="majorHAnsi"/>
          <w:color w:val="000000" w:themeColor="text1"/>
          <w:lang w:val="ro-MD"/>
        </w:rPr>
        <w:t>ș</w:t>
      </w:r>
      <w:r w:rsidR="00792BD5" w:rsidRPr="00B13B9A">
        <w:rPr>
          <w:rFonts w:asciiTheme="majorHAnsi" w:hAnsiTheme="majorHAnsi" w:cstheme="majorHAnsi"/>
          <w:color w:val="000000" w:themeColor="text1"/>
          <w:lang w:val="ro-MD"/>
        </w:rPr>
        <w:t>i obliga</w:t>
      </w:r>
      <w:r w:rsidR="00B13B9A" w:rsidRPr="00B13B9A">
        <w:rPr>
          <w:rFonts w:asciiTheme="majorHAnsi" w:hAnsiTheme="majorHAnsi" w:cstheme="majorHAnsi"/>
          <w:color w:val="000000" w:themeColor="text1"/>
          <w:lang w:val="ro-MD"/>
        </w:rPr>
        <w:t>ț</w:t>
      </w:r>
      <w:r w:rsidR="00792BD5" w:rsidRPr="00B13B9A">
        <w:rPr>
          <w:rFonts w:asciiTheme="majorHAnsi" w:hAnsiTheme="majorHAnsi" w:cstheme="majorHAnsi"/>
          <w:color w:val="000000" w:themeColor="text1"/>
          <w:lang w:val="ro-MD"/>
        </w:rPr>
        <w:t>ii al spitalului</w:t>
      </w:r>
      <w:r w:rsidR="00BF2684" w:rsidRPr="00B13B9A">
        <w:rPr>
          <w:rFonts w:asciiTheme="majorHAnsi" w:hAnsiTheme="majorHAnsi" w:cstheme="majorHAnsi"/>
          <w:color w:val="000000" w:themeColor="text1"/>
          <w:vertAlign w:val="superscript"/>
          <w:lang w:val="ro-MD"/>
        </w:rPr>
        <w:footnoteReference w:id="11"/>
      </w:r>
      <w:r w:rsidR="00FE1B93" w:rsidRPr="00B13B9A">
        <w:rPr>
          <w:rFonts w:asciiTheme="majorHAnsi" w:hAnsiTheme="majorHAnsi" w:cstheme="majorHAnsi"/>
          <w:color w:val="000000" w:themeColor="text1"/>
          <w:lang w:val="ro-MD"/>
        </w:rPr>
        <w:t xml:space="preserve">. </w:t>
      </w:r>
      <w:r w:rsidR="00792BD5" w:rsidRPr="00B13B9A">
        <w:rPr>
          <w:rFonts w:asciiTheme="majorHAnsi" w:hAnsiTheme="majorHAnsi" w:cstheme="majorHAnsi"/>
          <w:color w:val="000000" w:themeColor="text1"/>
          <w:lang w:val="ro-MD"/>
        </w:rPr>
        <w:t>Astfel, conform Actului de primire-predare</w:t>
      </w:r>
      <w:r w:rsidR="00D15513" w:rsidRPr="00B13B9A">
        <w:rPr>
          <w:color w:val="000000" w:themeColor="text1"/>
          <w:vertAlign w:val="superscript"/>
          <w:lang w:val="ro-MD"/>
        </w:rPr>
        <w:footnoteReference w:id="12"/>
      </w:r>
      <w:r w:rsidR="00792BD5" w:rsidRPr="00B13B9A">
        <w:rPr>
          <w:rFonts w:asciiTheme="majorHAnsi" w:hAnsiTheme="majorHAnsi" w:cstheme="majorHAnsi"/>
          <w:color w:val="000000" w:themeColor="text1"/>
          <w:lang w:val="ro-MD"/>
        </w:rPr>
        <w:t>,</w:t>
      </w:r>
      <w:r w:rsidR="00AA7535" w:rsidRPr="00B13B9A">
        <w:rPr>
          <w:rFonts w:asciiTheme="majorHAnsi" w:hAnsiTheme="majorHAnsi" w:cstheme="majorHAnsi"/>
          <w:color w:val="000000" w:themeColor="text1"/>
          <w:lang w:val="ro-MD"/>
        </w:rPr>
        <w:t xml:space="preserve"> </w:t>
      </w:r>
      <w:r w:rsidR="00792BD5" w:rsidRPr="00B13B9A">
        <w:rPr>
          <w:rFonts w:asciiTheme="majorHAnsi" w:hAnsiTheme="majorHAnsi" w:cstheme="majorHAnsi"/>
          <w:color w:val="000000" w:themeColor="text1"/>
          <w:lang w:val="ro-MD"/>
        </w:rPr>
        <w:t>IFP a preluat în gestiunea economică (conform bilan</w:t>
      </w:r>
      <w:r w:rsidR="00B13B9A" w:rsidRPr="00B13B9A">
        <w:rPr>
          <w:rFonts w:asciiTheme="majorHAnsi" w:hAnsiTheme="majorHAnsi" w:cstheme="majorHAnsi"/>
          <w:color w:val="000000" w:themeColor="text1"/>
          <w:lang w:val="ro-MD"/>
        </w:rPr>
        <w:t>ț</w:t>
      </w:r>
      <w:r w:rsidR="00792BD5" w:rsidRPr="00B13B9A">
        <w:rPr>
          <w:rFonts w:asciiTheme="majorHAnsi" w:hAnsiTheme="majorHAnsi" w:cstheme="majorHAnsi"/>
          <w:color w:val="000000" w:themeColor="text1"/>
          <w:lang w:val="ro-MD"/>
        </w:rPr>
        <w:t>ului de transmitere):</w:t>
      </w:r>
    </w:p>
    <w:p w14:paraId="309D4B03" w14:textId="20DB9999" w:rsidR="00792BD5" w:rsidRPr="00B13B9A" w:rsidRDefault="00792BD5" w:rsidP="00241AB3">
      <w:pPr>
        <w:pStyle w:val="ae"/>
        <w:numPr>
          <w:ilvl w:val="0"/>
          <w:numId w:val="12"/>
        </w:numPr>
        <w:shd w:val="clear" w:color="auto" w:fill="FFFFFF"/>
        <w:spacing w:before="0" w:beforeAutospacing="0" w:after="0" w:afterAutospacing="0" w:line="276" w:lineRule="auto"/>
        <w:jc w:val="both"/>
        <w:rPr>
          <w:rFonts w:asciiTheme="majorHAnsi" w:hAnsiTheme="majorHAnsi" w:cstheme="majorHAnsi"/>
          <w:color w:val="000000" w:themeColor="text1"/>
          <w:lang w:val="ro-MD"/>
        </w:rPr>
      </w:pPr>
      <w:r w:rsidRPr="00B13B9A">
        <w:rPr>
          <w:rFonts w:asciiTheme="majorHAnsi" w:hAnsiTheme="majorHAnsi" w:cstheme="majorHAnsi"/>
          <w:color w:val="000000" w:themeColor="text1"/>
          <w:lang w:val="ro-MD"/>
        </w:rPr>
        <w:t xml:space="preserve">active </w:t>
      </w:r>
      <w:r w:rsidR="00B13B9A" w:rsidRPr="00B13B9A">
        <w:rPr>
          <w:rFonts w:asciiTheme="majorHAnsi" w:hAnsiTheme="majorHAnsi" w:cstheme="majorHAnsi"/>
          <w:color w:val="000000" w:themeColor="text1"/>
          <w:lang w:val="ro-MD"/>
        </w:rPr>
        <w:t>ș</w:t>
      </w:r>
      <w:r w:rsidRPr="00B13B9A">
        <w:rPr>
          <w:rFonts w:asciiTheme="majorHAnsi" w:hAnsiTheme="majorHAnsi" w:cstheme="majorHAnsi"/>
          <w:color w:val="000000" w:themeColor="text1"/>
          <w:lang w:val="ro-MD"/>
        </w:rPr>
        <w:t>i pasive în valoare de 285 134</w:t>
      </w:r>
      <w:r w:rsidR="00D15513" w:rsidRPr="00B13B9A">
        <w:rPr>
          <w:rFonts w:asciiTheme="majorHAnsi" w:hAnsiTheme="majorHAnsi" w:cstheme="majorHAnsi"/>
          <w:color w:val="000000" w:themeColor="text1"/>
          <w:lang w:val="ro-MD"/>
        </w:rPr>
        <w:t>,3 mii lei</w:t>
      </w:r>
      <w:r w:rsidRPr="00B13B9A">
        <w:rPr>
          <w:rFonts w:asciiTheme="majorHAnsi" w:hAnsiTheme="majorHAnsi" w:cstheme="majorHAnsi"/>
          <w:color w:val="000000" w:themeColor="text1"/>
          <w:lang w:val="ro-MD"/>
        </w:rPr>
        <w:t>;</w:t>
      </w:r>
    </w:p>
    <w:p w14:paraId="1D5376F4" w14:textId="661D8A4C" w:rsidR="00792BD5" w:rsidRPr="00B13B9A" w:rsidRDefault="00BF2684" w:rsidP="00241AB3">
      <w:pPr>
        <w:pStyle w:val="ae"/>
        <w:numPr>
          <w:ilvl w:val="0"/>
          <w:numId w:val="12"/>
        </w:numPr>
        <w:shd w:val="clear" w:color="auto" w:fill="FFFFFF"/>
        <w:spacing w:before="0" w:beforeAutospacing="0" w:after="0" w:afterAutospacing="0" w:line="276" w:lineRule="auto"/>
        <w:jc w:val="both"/>
        <w:rPr>
          <w:rFonts w:asciiTheme="majorHAnsi" w:hAnsiTheme="majorHAnsi" w:cstheme="majorHAnsi"/>
          <w:color w:val="000000" w:themeColor="text1"/>
          <w:lang w:val="ro-MD"/>
        </w:rPr>
      </w:pPr>
      <w:r w:rsidRPr="00B13B9A">
        <w:rPr>
          <w:rFonts w:asciiTheme="majorHAnsi" w:hAnsiTheme="majorHAnsi" w:cstheme="majorHAnsi"/>
          <w:color w:val="000000" w:themeColor="text1"/>
          <w:lang w:val="ro-MD"/>
        </w:rPr>
        <w:t xml:space="preserve">terenuri </w:t>
      </w:r>
      <w:r w:rsidR="00792BD5" w:rsidRPr="00B13B9A">
        <w:rPr>
          <w:rFonts w:asciiTheme="majorHAnsi" w:hAnsiTheme="majorHAnsi" w:cstheme="majorHAnsi"/>
          <w:color w:val="000000" w:themeColor="text1"/>
          <w:lang w:val="ro-MD"/>
        </w:rPr>
        <w:t>cu o suprafa</w:t>
      </w:r>
      <w:r w:rsidR="00B13B9A" w:rsidRPr="00B13B9A">
        <w:rPr>
          <w:rFonts w:asciiTheme="majorHAnsi" w:hAnsiTheme="majorHAnsi" w:cstheme="majorHAnsi"/>
          <w:color w:val="000000" w:themeColor="text1"/>
          <w:lang w:val="ro-MD"/>
        </w:rPr>
        <w:t>ț</w:t>
      </w:r>
      <w:r w:rsidR="00792BD5" w:rsidRPr="00B13B9A">
        <w:rPr>
          <w:rFonts w:asciiTheme="majorHAnsi" w:hAnsiTheme="majorHAnsi" w:cstheme="majorHAnsi"/>
          <w:color w:val="000000" w:themeColor="text1"/>
          <w:lang w:val="ro-MD"/>
        </w:rPr>
        <w:t>ă totală de 44,8812 ha în valoare de 451</w:t>
      </w:r>
      <w:r w:rsidR="00D15513" w:rsidRPr="00B13B9A">
        <w:rPr>
          <w:rFonts w:asciiTheme="majorHAnsi" w:hAnsiTheme="majorHAnsi" w:cstheme="majorHAnsi"/>
          <w:color w:val="000000" w:themeColor="text1"/>
          <w:lang w:val="ro-MD"/>
        </w:rPr>
        <w:t>,</w:t>
      </w:r>
      <w:r w:rsidR="00792BD5" w:rsidRPr="00B13B9A">
        <w:rPr>
          <w:rFonts w:asciiTheme="majorHAnsi" w:hAnsiTheme="majorHAnsi" w:cstheme="majorHAnsi"/>
          <w:color w:val="000000" w:themeColor="text1"/>
          <w:lang w:val="ro-MD"/>
        </w:rPr>
        <w:t>5</w:t>
      </w:r>
      <w:r w:rsidR="00D15513" w:rsidRPr="00B13B9A">
        <w:rPr>
          <w:rFonts w:asciiTheme="majorHAnsi" w:hAnsiTheme="majorHAnsi" w:cstheme="majorHAnsi"/>
          <w:color w:val="000000" w:themeColor="text1"/>
          <w:lang w:val="ro-MD"/>
        </w:rPr>
        <w:t xml:space="preserve"> mii</w:t>
      </w:r>
      <w:r w:rsidR="00792BD5" w:rsidRPr="00B13B9A">
        <w:rPr>
          <w:rFonts w:asciiTheme="majorHAnsi" w:hAnsiTheme="majorHAnsi" w:cstheme="majorHAnsi"/>
          <w:color w:val="000000" w:themeColor="text1"/>
          <w:lang w:val="ro-MD"/>
        </w:rPr>
        <w:t xml:space="preserve"> lei;</w:t>
      </w:r>
    </w:p>
    <w:p w14:paraId="26071F59" w14:textId="2D755181" w:rsidR="00FE1B93" w:rsidRPr="00B13B9A" w:rsidRDefault="00792BD5" w:rsidP="00241AB3">
      <w:pPr>
        <w:pStyle w:val="ae"/>
        <w:numPr>
          <w:ilvl w:val="0"/>
          <w:numId w:val="12"/>
        </w:numPr>
        <w:shd w:val="clear" w:color="auto" w:fill="FFFFFF"/>
        <w:spacing w:before="0" w:beforeAutospacing="0" w:after="0" w:afterAutospacing="0" w:line="276" w:lineRule="auto"/>
        <w:jc w:val="both"/>
        <w:rPr>
          <w:rFonts w:asciiTheme="majorHAnsi" w:hAnsiTheme="majorHAnsi" w:cstheme="majorHAnsi"/>
          <w:color w:val="000000" w:themeColor="text1"/>
          <w:lang w:val="ro-MD"/>
        </w:rPr>
      </w:pPr>
      <w:r w:rsidRPr="00B13B9A">
        <w:rPr>
          <w:rFonts w:asciiTheme="majorHAnsi" w:hAnsiTheme="majorHAnsi" w:cstheme="majorHAnsi"/>
          <w:color w:val="000000" w:themeColor="text1"/>
          <w:lang w:val="ro-MD"/>
        </w:rPr>
        <w:t xml:space="preserve">datorii comerciale pe termen scurt privind facturile comerciale </w:t>
      </w:r>
      <w:r w:rsidR="00270FEF" w:rsidRPr="00B13B9A">
        <w:rPr>
          <w:rFonts w:asciiTheme="majorHAnsi" w:hAnsiTheme="majorHAnsi" w:cstheme="majorHAnsi"/>
          <w:color w:val="000000" w:themeColor="text1"/>
          <w:lang w:val="ro-MD"/>
        </w:rPr>
        <w:t xml:space="preserve">în sumă de </w:t>
      </w:r>
      <w:r w:rsidRPr="00B13B9A">
        <w:rPr>
          <w:rFonts w:asciiTheme="majorHAnsi" w:hAnsiTheme="majorHAnsi" w:cstheme="majorHAnsi"/>
          <w:color w:val="000000" w:themeColor="text1"/>
          <w:lang w:val="ro-MD"/>
        </w:rPr>
        <w:t>761</w:t>
      </w:r>
      <w:r w:rsidR="00D15513" w:rsidRPr="00B13B9A">
        <w:rPr>
          <w:rFonts w:asciiTheme="majorHAnsi" w:hAnsiTheme="majorHAnsi" w:cstheme="majorHAnsi"/>
          <w:color w:val="000000" w:themeColor="text1"/>
          <w:lang w:val="ro-MD"/>
        </w:rPr>
        <w:t>,5 mii lei</w:t>
      </w:r>
      <w:r w:rsidRPr="00B13B9A">
        <w:rPr>
          <w:rFonts w:asciiTheme="majorHAnsi" w:hAnsiTheme="majorHAnsi" w:cstheme="majorHAnsi"/>
          <w:color w:val="000000" w:themeColor="text1"/>
          <w:lang w:val="ro-MD"/>
        </w:rPr>
        <w:t>;</w:t>
      </w:r>
    </w:p>
    <w:p w14:paraId="7A4A4F5A" w14:textId="036E7282" w:rsidR="00792BD5" w:rsidRPr="00B13B9A" w:rsidRDefault="00792BD5" w:rsidP="00241AB3">
      <w:pPr>
        <w:pStyle w:val="ae"/>
        <w:numPr>
          <w:ilvl w:val="0"/>
          <w:numId w:val="12"/>
        </w:numPr>
        <w:shd w:val="clear" w:color="auto" w:fill="FFFFFF"/>
        <w:spacing w:before="0" w:beforeAutospacing="0" w:after="0" w:afterAutospacing="0" w:line="276" w:lineRule="auto"/>
        <w:jc w:val="both"/>
        <w:rPr>
          <w:rFonts w:asciiTheme="majorHAnsi" w:hAnsiTheme="majorHAnsi" w:cstheme="majorHAnsi"/>
          <w:color w:val="000000" w:themeColor="text1"/>
          <w:lang w:val="ro-MD"/>
        </w:rPr>
      </w:pPr>
      <w:r w:rsidRPr="00B13B9A">
        <w:rPr>
          <w:rFonts w:asciiTheme="majorHAnsi" w:hAnsiTheme="majorHAnsi" w:cstheme="majorHAnsi"/>
          <w:lang w:val="ro-MD"/>
        </w:rPr>
        <w:t>datorii fa</w:t>
      </w:r>
      <w:r w:rsidR="00B13B9A" w:rsidRPr="00B13B9A">
        <w:rPr>
          <w:rFonts w:asciiTheme="majorHAnsi" w:hAnsiTheme="majorHAnsi" w:cstheme="majorHAnsi"/>
          <w:lang w:val="ro-MD"/>
        </w:rPr>
        <w:t>ț</w:t>
      </w:r>
      <w:r w:rsidRPr="00B13B9A">
        <w:rPr>
          <w:rFonts w:asciiTheme="majorHAnsi" w:hAnsiTheme="majorHAnsi" w:cstheme="majorHAnsi"/>
          <w:lang w:val="ro-MD"/>
        </w:rPr>
        <w:t xml:space="preserve">ă de personal privind retribuirea muncii </w:t>
      </w:r>
      <w:r w:rsidR="00270FEF" w:rsidRPr="00B13B9A">
        <w:rPr>
          <w:rFonts w:asciiTheme="majorHAnsi" w:hAnsiTheme="majorHAnsi" w:cstheme="majorHAnsi"/>
          <w:lang w:val="ro-MD"/>
        </w:rPr>
        <w:t xml:space="preserve">în sumă de </w:t>
      </w:r>
      <w:r w:rsidRPr="00B13B9A">
        <w:rPr>
          <w:rFonts w:asciiTheme="majorHAnsi" w:hAnsiTheme="majorHAnsi" w:cstheme="majorHAnsi"/>
          <w:lang w:val="ro-MD"/>
        </w:rPr>
        <w:t>3</w:t>
      </w:r>
      <w:r w:rsidR="00D15513" w:rsidRPr="00B13B9A">
        <w:rPr>
          <w:rFonts w:asciiTheme="majorHAnsi" w:hAnsiTheme="majorHAnsi" w:cstheme="majorHAnsi"/>
          <w:lang w:val="ro-MD"/>
        </w:rPr>
        <w:t>,3 mii</w:t>
      </w:r>
      <w:r w:rsidRPr="00B13B9A">
        <w:rPr>
          <w:rFonts w:asciiTheme="majorHAnsi" w:hAnsiTheme="majorHAnsi" w:cstheme="majorHAnsi"/>
          <w:lang w:val="ro-MD"/>
        </w:rPr>
        <w:t xml:space="preserve"> lei.</w:t>
      </w:r>
    </w:p>
    <w:p w14:paraId="0FD32E7A" w14:textId="43BC0D02" w:rsidR="00BF2684" w:rsidRPr="00B13B9A" w:rsidRDefault="00BF2684" w:rsidP="00792BD5">
      <w:pPr>
        <w:spacing w:after="0" w:line="276" w:lineRule="auto"/>
        <w:jc w:val="both"/>
        <w:rPr>
          <w:rFonts w:asciiTheme="majorHAnsi" w:hAnsiTheme="majorHAnsi" w:cstheme="majorHAnsi"/>
          <w:sz w:val="24"/>
          <w:szCs w:val="24"/>
          <w:lang w:val="ro-MD"/>
        </w:rPr>
      </w:pPr>
      <w:r w:rsidRPr="00B13B9A">
        <w:rPr>
          <w:rFonts w:asciiTheme="majorHAnsi" w:hAnsiTheme="majorHAnsi" w:cstheme="majorHAnsi"/>
          <w:sz w:val="24"/>
          <w:szCs w:val="24"/>
          <w:lang w:val="ro-MD"/>
        </w:rPr>
        <w:t>P</w:t>
      </w:r>
      <w:r w:rsidR="00AA7535" w:rsidRPr="00B13B9A">
        <w:rPr>
          <w:rFonts w:asciiTheme="majorHAnsi" w:hAnsiTheme="majorHAnsi" w:cstheme="majorHAnsi"/>
          <w:sz w:val="24"/>
          <w:szCs w:val="24"/>
          <w:lang w:val="ro-MD"/>
        </w:rPr>
        <w:t>rin urmare, din anul 2012</w:t>
      </w:r>
      <w:r w:rsidRPr="00B13B9A">
        <w:rPr>
          <w:rFonts w:asciiTheme="majorHAnsi" w:hAnsiTheme="majorHAnsi" w:cstheme="majorHAnsi"/>
          <w:sz w:val="24"/>
          <w:szCs w:val="24"/>
          <w:lang w:val="ro-MD"/>
        </w:rPr>
        <w:t xml:space="preserve"> IMSP de</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ine</w:t>
      </w:r>
      <w:r w:rsidR="00792BD5" w:rsidRPr="00B13B9A">
        <w:rPr>
          <w:rFonts w:asciiTheme="majorHAnsi" w:hAnsiTheme="majorHAnsi" w:cstheme="majorHAnsi"/>
          <w:sz w:val="24"/>
          <w:szCs w:val="24"/>
          <w:lang w:val="ro-MD"/>
        </w:rPr>
        <w:t xml:space="preserve"> 37 </w:t>
      </w:r>
      <w:r w:rsidR="00270FEF" w:rsidRPr="00B13B9A">
        <w:rPr>
          <w:rFonts w:asciiTheme="majorHAnsi" w:hAnsiTheme="majorHAnsi" w:cstheme="majorHAnsi"/>
          <w:sz w:val="24"/>
          <w:szCs w:val="24"/>
          <w:lang w:val="ro-MD"/>
        </w:rPr>
        <w:t xml:space="preserve">de </w:t>
      </w:r>
      <w:r w:rsidR="00792BD5" w:rsidRPr="00B13B9A">
        <w:rPr>
          <w:rFonts w:asciiTheme="majorHAnsi" w:hAnsiTheme="majorHAnsi" w:cstheme="majorHAnsi"/>
          <w:sz w:val="24"/>
          <w:szCs w:val="24"/>
          <w:lang w:val="ro-MD"/>
        </w:rPr>
        <w:t>clădi</w:t>
      </w:r>
      <w:r w:rsidRPr="00B13B9A">
        <w:rPr>
          <w:rFonts w:asciiTheme="majorHAnsi" w:hAnsiTheme="majorHAnsi" w:cstheme="majorHAnsi"/>
          <w:sz w:val="24"/>
          <w:szCs w:val="24"/>
          <w:lang w:val="ro-MD"/>
        </w:rPr>
        <w:t>ri aflate la balan</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a entită</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 xml:space="preserve">ii, </w:t>
      </w:r>
      <w:r w:rsidR="00792BD5" w:rsidRPr="00B13B9A">
        <w:rPr>
          <w:rFonts w:asciiTheme="majorHAnsi" w:hAnsiTheme="majorHAnsi" w:cstheme="majorHAnsi"/>
          <w:sz w:val="24"/>
          <w:szCs w:val="24"/>
          <w:lang w:val="ro-MD"/>
        </w:rPr>
        <w:t>incl</w:t>
      </w:r>
      <w:r w:rsidRPr="00B13B9A">
        <w:rPr>
          <w:rFonts w:asciiTheme="majorHAnsi" w:hAnsiTheme="majorHAnsi" w:cstheme="majorHAnsi"/>
          <w:sz w:val="24"/>
          <w:szCs w:val="24"/>
          <w:lang w:val="ro-MD"/>
        </w:rPr>
        <w:t xml:space="preserve">usiv 31 ale </w:t>
      </w:r>
      <w:r w:rsidR="00270FEF" w:rsidRPr="00B13B9A">
        <w:rPr>
          <w:rFonts w:asciiTheme="majorHAnsi" w:hAnsiTheme="majorHAnsi" w:cstheme="majorHAnsi"/>
          <w:sz w:val="24"/>
          <w:szCs w:val="24"/>
          <w:lang w:val="ro-MD"/>
        </w:rPr>
        <w:t>C</w:t>
      </w:r>
      <w:r w:rsidRPr="00B13B9A">
        <w:rPr>
          <w:rFonts w:asciiTheme="majorHAnsi" w:hAnsiTheme="majorHAnsi" w:cstheme="majorHAnsi"/>
          <w:sz w:val="24"/>
          <w:szCs w:val="24"/>
          <w:lang w:val="ro-MD"/>
        </w:rPr>
        <w:t>linicii Vorniceni</w:t>
      </w:r>
      <w:r w:rsidR="00782B80" w:rsidRPr="00B13B9A">
        <w:rPr>
          <w:rFonts w:asciiTheme="majorHAnsi" w:hAnsiTheme="majorHAnsi" w:cstheme="majorHAnsi"/>
          <w:sz w:val="24"/>
          <w:szCs w:val="24"/>
          <w:lang w:val="ro-MD"/>
        </w:rPr>
        <w:t>.</w:t>
      </w:r>
    </w:p>
    <w:p w14:paraId="33AABEAF" w14:textId="55DF568A" w:rsidR="00BF2684" w:rsidRPr="00B13B9A" w:rsidRDefault="00BF2684" w:rsidP="00792BD5">
      <w:pPr>
        <w:spacing w:after="0" w:line="276" w:lineRule="auto"/>
        <w:jc w:val="both"/>
        <w:rPr>
          <w:rFonts w:asciiTheme="majorHAnsi" w:hAnsiTheme="majorHAnsi" w:cstheme="majorHAnsi"/>
          <w:sz w:val="24"/>
          <w:szCs w:val="24"/>
          <w:lang w:val="ro-MD"/>
        </w:rPr>
      </w:pPr>
      <w:r w:rsidRPr="00B13B9A">
        <w:rPr>
          <w:rFonts w:asciiTheme="majorHAnsi" w:hAnsiTheme="majorHAnsi" w:cstheme="majorHAnsi"/>
          <w:sz w:val="24"/>
          <w:szCs w:val="24"/>
          <w:lang w:val="ro-MD"/>
        </w:rPr>
        <w:t>Verificările de audit asupra</w:t>
      </w:r>
      <w:r w:rsidR="006609E2" w:rsidRPr="00B13B9A">
        <w:rPr>
          <w:rFonts w:asciiTheme="majorHAnsi" w:hAnsiTheme="majorHAnsi" w:cstheme="majorHAnsi"/>
          <w:sz w:val="24"/>
          <w:szCs w:val="24"/>
          <w:lang w:val="ro-MD"/>
        </w:rPr>
        <w:t xml:space="preserve"> de</w:t>
      </w:r>
      <w:r w:rsidR="00B13B9A" w:rsidRPr="00B13B9A">
        <w:rPr>
          <w:rFonts w:asciiTheme="majorHAnsi" w:hAnsiTheme="majorHAnsi" w:cstheme="majorHAnsi"/>
          <w:sz w:val="24"/>
          <w:szCs w:val="24"/>
          <w:lang w:val="ro-MD"/>
        </w:rPr>
        <w:t>ț</w:t>
      </w:r>
      <w:r w:rsidR="006609E2" w:rsidRPr="00B13B9A">
        <w:rPr>
          <w:rFonts w:asciiTheme="majorHAnsi" w:hAnsiTheme="majorHAnsi" w:cstheme="majorHAnsi"/>
          <w:sz w:val="24"/>
          <w:szCs w:val="24"/>
          <w:lang w:val="ro-MD"/>
        </w:rPr>
        <w:t xml:space="preserve">inerii conforme </w:t>
      </w:r>
      <w:r w:rsidR="00B13B9A" w:rsidRPr="00B13B9A">
        <w:rPr>
          <w:rFonts w:asciiTheme="majorHAnsi" w:hAnsiTheme="majorHAnsi" w:cstheme="majorHAnsi"/>
          <w:sz w:val="24"/>
          <w:szCs w:val="24"/>
          <w:lang w:val="ro-MD"/>
        </w:rPr>
        <w:t>ș</w:t>
      </w:r>
      <w:r w:rsidR="006609E2" w:rsidRPr="00B13B9A">
        <w:rPr>
          <w:rFonts w:asciiTheme="majorHAnsi" w:hAnsiTheme="majorHAnsi" w:cstheme="majorHAnsi"/>
          <w:sz w:val="24"/>
          <w:szCs w:val="24"/>
          <w:lang w:val="ro-MD"/>
        </w:rPr>
        <w:t>i depline a patrimoniul</w:t>
      </w:r>
      <w:r w:rsidR="00B120A1" w:rsidRPr="00B13B9A">
        <w:rPr>
          <w:rFonts w:asciiTheme="majorHAnsi" w:hAnsiTheme="majorHAnsi" w:cstheme="majorHAnsi"/>
          <w:sz w:val="24"/>
          <w:szCs w:val="24"/>
          <w:lang w:val="ro-MD"/>
        </w:rPr>
        <w:t>ui</w:t>
      </w:r>
      <w:r w:rsidR="006609E2" w:rsidRPr="00B13B9A">
        <w:rPr>
          <w:rFonts w:asciiTheme="majorHAnsi" w:hAnsiTheme="majorHAnsi" w:cstheme="majorHAnsi"/>
          <w:sz w:val="24"/>
          <w:szCs w:val="24"/>
          <w:lang w:val="ro-MD"/>
        </w:rPr>
        <w:t xml:space="preserve"> entită</w:t>
      </w:r>
      <w:r w:rsidR="00B13B9A" w:rsidRPr="00B13B9A">
        <w:rPr>
          <w:rFonts w:asciiTheme="majorHAnsi" w:hAnsiTheme="majorHAnsi" w:cstheme="majorHAnsi"/>
          <w:sz w:val="24"/>
          <w:szCs w:val="24"/>
          <w:lang w:val="ro-MD"/>
        </w:rPr>
        <w:t>ț</w:t>
      </w:r>
      <w:r w:rsidR="006609E2" w:rsidRPr="00B13B9A">
        <w:rPr>
          <w:rFonts w:asciiTheme="majorHAnsi" w:hAnsiTheme="majorHAnsi" w:cstheme="majorHAnsi"/>
          <w:sz w:val="24"/>
          <w:szCs w:val="24"/>
          <w:lang w:val="ro-MD"/>
        </w:rPr>
        <w:t xml:space="preserve">ii </w:t>
      </w:r>
      <w:r w:rsidRPr="00B13B9A">
        <w:rPr>
          <w:rFonts w:asciiTheme="majorHAnsi" w:hAnsiTheme="majorHAnsi" w:cstheme="majorHAnsi"/>
          <w:sz w:val="24"/>
          <w:szCs w:val="24"/>
          <w:lang w:val="ro-MD"/>
        </w:rPr>
        <w:t>atestă următoarele neconformită</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i</w:t>
      </w:r>
      <w:r w:rsidR="00B120A1" w:rsidRPr="00B13B9A">
        <w:rPr>
          <w:rFonts w:asciiTheme="majorHAnsi" w:hAnsiTheme="majorHAnsi" w:cstheme="majorHAnsi"/>
          <w:sz w:val="24"/>
          <w:szCs w:val="24"/>
          <w:lang w:val="ro-MD"/>
        </w:rPr>
        <w:t>.</w:t>
      </w:r>
    </w:p>
    <w:p w14:paraId="38621A8A" w14:textId="77777777" w:rsidR="00782B80" w:rsidRPr="00B13B9A" w:rsidRDefault="00782B80" w:rsidP="00792BD5">
      <w:pPr>
        <w:spacing w:after="0" w:line="276" w:lineRule="auto"/>
        <w:jc w:val="both"/>
        <w:rPr>
          <w:rFonts w:asciiTheme="majorHAnsi" w:hAnsiTheme="majorHAnsi" w:cstheme="majorHAnsi"/>
          <w:sz w:val="24"/>
          <w:szCs w:val="24"/>
          <w:lang w:val="ro-MD"/>
        </w:rPr>
      </w:pPr>
    </w:p>
    <w:p w14:paraId="26A0E73E" w14:textId="301C93F9" w:rsidR="00847C7C" w:rsidRPr="00B13B9A" w:rsidRDefault="00C063FB" w:rsidP="00241AB3">
      <w:pPr>
        <w:pStyle w:val="a7"/>
        <w:numPr>
          <w:ilvl w:val="2"/>
          <w:numId w:val="10"/>
        </w:numPr>
        <w:spacing w:after="0" w:line="276" w:lineRule="auto"/>
        <w:ind w:left="0" w:firstLine="0"/>
        <w:jc w:val="both"/>
        <w:outlineLvl w:val="2"/>
        <w:rPr>
          <w:rFonts w:asciiTheme="majorHAnsi" w:hAnsiTheme="majorHAnsi" w:cstheme="majorHAnsi"/>
          <w:b/>
          <w:sz w:val="24"/>
          <w:szCs w:val="24"/>
          <w:lang w:val="ro-MD"/>
        </w:rPr>
      </w:pPr>
      <w:bookmarkStart w:id="20" w:name="_Toc154562495"/>
      <w:r w:rsidRPr="00B13B9A">
        <w:rPr>
          <w:rFonts w:asciiTheme="majorHAnsi" w:hAnsiTheme="majorHAnsi" w:cstheme="majorHAnsi"/>
          <w:b/>
          <w:color w:val="000000"/>
          <w:sz w:val="24"/>
          <w:szCs w:val="24"/>
          <w:shd w:val="clear" w:color="auto" w:fill="FFFFFF"/>
          <w:lang w:val="ro-MD"/>
        </w:rPr>
        <w:t>P</w:t>
      </w:r>
      <w:r w:rsidR="00847C7C" w:rsidRPr="00B13B9A">
        <w:rPr>
          <w:rFonts w:asciiTheme="majorHAnsi" w:hAnsiTheme="majorHAnsi" w:cstheme="majorHAnsi"/>
          <w:b/>
          <w:color w:val="000000"/>
          <w:sz w:val="24"/>
          <w:szCs w:val="24"/>
          <w:shd w:val="clear" w:color="auto" w:fill="FFFFFF"/>
          <w:lang w:val="ro-MD"/>
        </w:rPr>
        <w:t xml:space="preserve">rocesul de </w:t>
      </w:r>
      <w:r w:rsidR="00847C7C" w:rsidRPr="00B13B9A">
        <w:rPr>
          <w:rFonts w:asciiTheme="majorHAnsi" w:hAnsiTheme="majorHAnsi" w:cstheme="majorHAnsi"/>
          <w:b/>
          <w:sz w:val="24"/>
          <w:szCs w:val="24"/>
          <w:lang w:val="ro-MD"/>
        </w:rPr>
        <w:t>delimitare a proprietă</w:t>
      </w:r>
      <w:r w:rsidR="00B13B9A" w:rsidRPr="00B13B9A">
        <w:rPr>
          <w:rFonts w:asciiTheme="majorHAnsi" w:hAnsiTheme="majorHAnsi" w:cstheme="majorHAnsi"/>
          <w:b/>
          <w:sz w:val="24"/>
          <w:szCs w:val="24"/>
          <w:lang w:val="ro-MD"/>
        </w:rPr>
        <w:t>ț</w:t>
      </w:r>
      <w:r w:rsidR="00847C7C" w:rsidRPr="00B13B9A">
        <w:rPr>
          <w:rFonts w:asciiTheme="majorHAnsi" w:hAnsiTheme="majorHAnsi" w:cstheme="majorHAnsi"/>
          <w:b/>
          <w:sz w:val="24"/>
          <w:szCs w:val="24"/>
          <w:lang w:val="ro-MD"/>
        </w:rPr>
        <w:t>ii publice</w:t>
      </w:r>
      <w:r w:rsidR="00847C7C" w:rsidRPr="00B13B9A">
        <w:rPr>
          <w:rFonts w:asciiTheme="majorHAnsi" w:hAnsiTheme="majorHAnsi" w:cstheme="majorHAnsi"/>
          <w:b/>
          <w:color w:val="000000"/>
          <w:sz w:val="24"/>
          <w:szCs w:val="24"/>
          <w:shd w:val="clear" w:color="auto" w:fill="FFFFFF"/>
          <w:lang w:val="ro-MD"/>
        </w:rPr>
        <w:t xml:space="preserve"> nu est</w:t>
      </w:r>
      <w:r w:rsidR="00B97968" w:rsidRPr="00B13B9A">
        <w:rPr>
          <w:rFonts w:asciiTheme="majorHAnsi" w:hAnsiTheme="majorHAnsi" w:cstheme="majorHAnsi"/>
          <w:b/>
          <w:color w:val="000000"/>
          <w:sz w:val="24"/>
          <w:szCs w:val="24"/>
          <w:shd w:val="clear" w:color="auto" w:fill="FFFFFF"/>
          <w:lang w:val="ro-MD"/>
        </w:rPr>
        <w:t>e finalizat conform, ceea</w:t>
      </w:r>
      <w:r w:rsidR="00847C7C" w:rsidRPr="00B13B9A">
        <w:rPr>
          <w:rFonts w:asciiTheme="majorHAnsi" w:hAnsiTheme="majorHAnsi" w:cstheme="majorHAnsi"/>
          <w:b/>
          <w:color w:val="000000"/>
          <w:sz w:val="24"/>
          <w:szCs w:val="24"/>
          <w:shd w:val="clear" w:color="auto" w:fill="FFFFFF"/>
          <w:lang w:val="ro-MD"/>
        </w:rPr>
        <w:t xml:space="preserve"> ce indică</w:t>
      </w:r>
      <w:r w:rsidR="00B97968" w:rsidRPr="00B13B9A">
        <w:rPr>
          <w:rFonts w:asciiTheme="majorHAnsi" w:hAnsiTheme="majorHAnsi" w:cstheme="majorHAnsi"/>
          <w:b/>
          <w:color w:val="000000"/>
          <w:sz w:val="24"/>
          <w:szCs w:val="24"/>
          <w:shd w:val="clear" w:color="auto" w:fill="FFFFFF"/>
          <w:lang w:val="ro-MD"/>
        </w:rPr>
        <w:t xml:space="preserve"> unele</w:t>
      </w:r>
      <w:r w:rsidR="00847C7C" w:rsidRPr="00B13B9A">
        <w:rPr>
          <w:rFonts w:asciiTheme="majorHAnsi" w:hAnsiTheme="majorHAnsi" w:cstheme="majorHAnsi"/>
          <w:b/>
          <w:color w:val="000000"/>
          <w:sz w:val="24"/>
          <w:szCs w:val="24"/>
          <w:shd w:val="clear" w:color="auto" w:fill="FFFFFF"/>
          <w:lang w:val="ro-MD"/>
        </w:rPr>
        <w:t xml:space="preserve"> </w:t>
      </w:r>
      <w:r w:rsidR="00D54BEB" w:rsidRPr="00B13B9A">
        <w:rPr>
          <w:rFonts w:asciiTheme="majorHAnsi" w:hAnsiTheme="majorHAnsi" w:cstheme="majorHAnsi"/>
          <w:b/>
          <w:color w:val="000000"/>
          <w:sz w:val="24"/>
          <w:szCs w:val="24"/>
          <w:shd w:val="clear" w:color="auto" w:fill="FFFFFF"/>
          <w:lang w:val="ro-MD"/>
        </w:rPr>
        <w:t>deficien</w:t>
      </w:r>
      <w:r w:rsidR="00B13B9A" w:rsidRPr="00B13B9A">
        <w:rPr>
          <w:rFonts w:asciiTheme="majorHAnsi" w:hAnsiTheme="majorHAnsi" w:cstheme="majorHAnsi"/>
          <w:b/>
          <w:color w:val="000000"/>
          <w:sz w:val="24"/>
          <w:szCs w:val="24"/>
          <w:shd w:val="clear" w:color="auto" w:fill="FFFFFF"/>
          <w:lang w:val="ro-MD"/>
        </w:rPr>
        <w:t>ț</w:t>
      </w:r>
      <w:r w:rsidR="00D54BEB" w:rsidRPr="00B13B9A">
        <w:rPr>
          <w:rFonts w:asciiTheme="majorHAnsi" w:hAnsiTheme="majorHAnsi" w:cstheme="majorHAnsi"/>
          <w:b/>
          <w:color w:val="000000"/>
          <w:sz w:val="24"/>
          <w:szCs w:val="24"/>
          <w:shd w:val="clear" w:color="auto" w:fill="FFFFFF"/>
          <w:lang w:val="ro-MD"/>
        </w:rPr>
        <w:t xml:space="preserve">e </w:t>
      </w:r>
      <w:r w:rsidR="00847C7C" w:rsidRPr="00B13B9A">
        <w:rPr>
          <w:rFonts w:asciiTheme="majorHAnsi" w:hAnsiTheme="majorHAnsi" w:cstheme="majorHAnsi"/>
          <w:b/>
          <w:color w:val="000000"/>
          <w:sz w:val="24"/>
          <w:szCs w:val="24"/>
          <w:shd w:val="clear" w:color="auto" w:fill="FFFFFF"/>
          <w:lang w:val="ro-MD"/>
        </w:rPr>
        <w:t>a</w:t>
      </w:r>
      <w:r w:rsidR="00C47678" w:rsidRPr="00B13B9A">
        <w:rPr>
          <w:rFonts w:asciiTheme="majorHAnsi" w:hAnsiTheme="majorHAnsi" w:cstheme="majorHAnsi"/>
          <w:b/>
          <w:color w:val="000000"/>
          <w:sz w:val="24"/>
          <w:szCs w:val="24"/>
          <w:shd w:val="clear" w:color="auto" w:fill="FFFFFF"/>
          <w:lang w:val="ro-MD"/>
        </w:rPr>
        <w:t>ferent</w:t>
      </w:r>
      <w:r w:rsidR="00B120A1" w:rsidRPr="00B13B9A">
        <w:rPr>
          <w:rFonts w:asciiTheme="majorHAnsi" w:hAnsiTheme="majorHAnsi" w:cstheme="majorHAnsi"/>
          <w:b/>
          <w:color w:val="000000"/>
          <w:sz w:val="24"/>
          <w:szCs w:val="24"/>
          <w:shd w:val="clear" w:color="auto" w:fill="FFFFFF"/>
          <w:lang w:val="ro-MD"/>
        </w:rPr>
        <w:t>e</w:t>
      </w:r>
      <w:r w:rsidR="00847C7C" w:rsidRPr="00B13B9A">
        <w:rPr>
          <w:rFonts w:asciiTheme="majorHAnsi" w:hAnsiTheme="majorHAnsi" w:cstheme="majorHAnsi"/>
          <w:b/>
          <w:color w:val="000000"/>
          <w:sz w:val="24"/>
          <w:szCs w:val="24"/>
          <w:shd w:val="clear" w:color="auto" w:fill="FFFFFF"/>
          <w:lang w:val="ro-MD"/>
        </w:rPr>
        <w:t xml:space="preserve"> înregistrării dreptului de proprietate asupra </w:t>
      </w:r>
      <w:r w:rsidR="00B97968" w:rsidRPr="00B13B9A">
        <w:rPr>
          <w:rFonts w:asciiTheme="majorHAnsi" w:hAnsiTheme="majorHAnsi" w:cstheme="majorHAnsi"/>
          <w:b/>
          <w:color w:val="000000"/>
          <w:sz w:val="24"/>
          <w:szCs w:val="24"/>
          <w:shd w:val="clear" w:color="auto" w:fill="FFFFFF"/>
          <w:lang w:val="ro-MD"/>
        </w:rPr>
        <w:t>acesteia</w:t>
      </w:r>
      <w:r w:rsidR="00847C7C" w:rsidRPr="00B13B9A">
        <w:rPr>
          <w:rStyle w:val="a9"/>
          <w:rFonts w:asciiTheme="majorHAnsi" w:hAnsiTheme="majorHAnsi" w:cstheme="majorHAnsi"/>
          <w:b/>
          <w:sz w:val="24"/>
          <w:szCs w:val="24"/>
          <w:shd w:val="clear" w:color="auto" w:fill="FFFFFF"/>
          <w:lang w:val="ro-MD"/>
        </w:rPr>
        <w:footnoteReference w:id="13"/>
      </w:r>
      <w:r w:rsidR="00C56368" w:rsidRPr="00B13B9A">
        <w:rPr>
          <w:rFonts w:asciiTheme="majorHAnsi" w:hAnsiTheme="majorHAnsi" w:cstheme="majorHAnsi"/>
          <w:b/>
          <w:sz w:val="24"/>
          <w:szCs w:val="24"/>
          <w:lang w:val="ro-MD"/>
        </w:rPr>
        <w:t>.</w:t>
      </w:r>
      <w:bookmarkEnd w:id="20"/>
    </w:p>
    <w:p w14:paraId="05D3F777" w14:textId="47C4CE66" w:rsidR="00C56368" w:rsidRPr="00B13B9A" w:rsidRDefault="00C56368" w:rsidP="00BC4E04">
      <w:pPr>
        <w:spacing w:after="0" w:line="276" w:lineRule="auto"/>
        <w:jc w:val="both"/>
        <w:rPr>
          <w:rFonts w:ascii="Times New Roman" w:hAnsi="Times New Roman" w:cs="Times New Roman"/>
          <w:sz w:val="24"/>
          <w:szCs w:val="24"/>
          <w:lang w:val="ro-MD"/>
        </w:rPr>
      </w:pPr>
      <w:r w:rsidRPr="00B13B9A">
        <w:rPr>
          <w:rFonts w:asciiTheme="majorHAnsi" w:hAnsiTheme="majorHAnsi" w:cstheme="majorHAnsi"/>
          <w:sz w:val="24"/>
          <w:szCs w:val="24"/>
          <w:lang w:val="ro-MD"/>
        </w:rPr>
        <w:t xml:space="preserve">IMSP IFP </w:t>
      </w:r>
      <w:r w:rsidR="004E1122" w:rsidRPr="00B13B9A">
        <w:rPr>
          <w:rFonts w:asciiTheme="majorHAnsi" w:hAnsiTheme="majorHAnsi" w:cstheme="majorHAnsi"/>
          <w:sz w:val="24"/>
          <w:szCs w:val="24"/>
          <w:lang w:val="ro-MD"/>
        </w:rPr>
        <w:t>„Chiril Draganiuc”</w:t>
      </w:r>
      <w:r w:rsidRPr="00B13B9A">
        <w:rPr>
          <w:rFonts w:asciiTheme="majorHAnsi" w:hAnsiTheme="majorHAnsi" w:cstheme="majorHAnsi"/>
          <w:sz w:val="24"/>
          <w:szCs w:val="24"/>
          <w:lang w:val="ro-MD"/>
        </w:rPr>
        <w:t xml:space="preserve"> </w:t>
      </w:r>
      <w:r w:rsidR="00B97968" w:rsidRPr="00B13B9A">
        <w:rPr>
          <w:rFonts w:asciiTheme="majorHAnsi" w:hAnsiTheme="majorHAnsi" w:cstheme="majorHAnsi"/>
          <w:sz w:val="24"/>
          <w:szCs w:val="24"/>
          <w:lang w:val="ro-MD"/>
        </w:rPr>
        <w:t>de</w:t>
      </w:r>
      <w:r w:rsidR="00B13B9A" w:rsidRPr="00B13B9A">
        <w:rPr>
          <w:rFonts w:asciiTheme="majorHAnsi" w:hAnsiTheme="majorHAnsi" w:cstheme="majorHAnsi"/>
          <w:sz w:val="24"/>
          <w:szCs w:val="24"/>
          <w:lang w:val="ro-MD"/>
        </w:rPr>
        <w:t>ț</w:t>
      </w:r>
      <w:r w:rsidR="00B97968" w:rsidRPr="00B13B9A">
        <w:rPr>
          <w:rFonts w:asciiTheme="majorHAnsi" w:hAnsiTheme="majorHAnsi" w:cstheme="majorHAnsi"/>
          <w:sz w:val="24"/>
          <w:szCs w:val="24"/>
          <w:lang w:val="ro-MD"/>
        </w:rPr>
        <w:t xml:space="preserve">ine în gestiune, la </w:t>
      </w:r>
      <w:r w:rsidR="001E4DA6" w:rsidRPr="00B13B9A">
        <w:rPr>
          <w:rFonts w:asciiTheme="majorHAnsi" w:hAnsiTheme="majorHAnsi" w:cstheme="majorHAnsi"/>
          <w:sz w:val="24"/>
          <w:szCs w:val="24"/>
          <w:lang w:val="ro-MD"/>
        </w:rPr>
        <w:t>situa</w:t>
      </w:r>
      <w:r w:rsidR="00B13B9A" w:rsidRPr="00B13B9A">
        <w:rPr>
          <w:rFonts w:asciiTheme="majorHAnsi" w:hAnsiTheme="majorHAnsi" w:cstheme="majorHAnsi"/>
          <w:sz w:val="24"/>
          <w:szCs w:val="24"/>
          <w:lang w:val="ro-MD"/>
        </w:rPr>
        <w:t>ț</w:t>
      </w:r>
      <w:r w:rsidR="001E4DA6" w:rsidRPr="00B13B9A">
        <w:rPr>
          <w:rFonts w:asciiTheme="majorHAnsi" w:hAnsiTheme="majorHAnsi" w:cstheme="majorHAnsi"/>
          <w:sz w:val="24"/>
          <w:szCs w:val="24"/>
          <w:lang w:val="ro-MD"/>
        </w:rPr>
        <w:t xml:space="preserve">ia din </w:t>
      </w:r>
      <w:r w:rsidR="00B97968" w:rsidRPr="00B13B9A">
        <w:rPr>
          <w:rFonts w:asciiTheme="majorHAnsi" w:hAnsiTheme="majorHAnsi" w:cstheme="majorHAnsi"/>
          <w:sz w:val="24"/>
          <w:szCs w:val="24"/>
          <w:lang w:val="ro-MD"/>
        </w:rPr>
        <w:t xml:space="preserve">30.06.2023, </w:t>
      </w:r>
      <w:r w:rsidRPr="00B13B9A">
        <w:rPr>
          <w:rFonts w:asciiTheme="majorHAnsi" w:hAnsiTheme="majorHAnsi" w:cstheme="majorHAnsi"/>
          <w:sz w:val="24"/>
          <w:szCs w:val="24"/>
          <w:lang w:val="ro-MD"/>
        </w:rPr>
        <w:t xml:space="preserve">37 </w:t>
      </w:r>
      <w:r w:rsidR="001E4DA6" w:rsidRPr="00B13B9A">
        <w:rPr>
          <w:rFonts w:asciiTheme="majorHAnsi" w:hAnsiTheme="majorHAnsi" w:cstheme="majorHAnsi"/>
          <w:sz w:val="24"/>
          <w:szCs w:val="24"/>
          <w:lang w:val="ro-MD"/>
        </w:rPr>
        <w:t xml:space="preserve">de </w:t>
      </w:r>
      <w:r w:rsidRPr="00B13B9A">
        <w:rPr>
          <w:rFonts w:asciiTheme="majorHAnsi" w:hAnsiTheme="majorHAnsi" w:cstheme="majorHAnsi"/>
          <w:sz w:val="24"/>
          <w:szCs w:val="24"/>
          <w:lang w:val="ro-MD"/>
        </w:rPr>
        <w:t>clădiri în valoare ini</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ială totală de 169</w:t>
      </w:r>
      <w:r w:rsidR="009A3E67" w:rsidRPr="00B13B9A">
        <w:rPr>
          <w:rFonts w:asciiTheme="majorHAnsi" w:hAnsiTheme="majorHAnsi" w:cstheme="majorHAnsi"/>
          <w:sz w:val="24"/>
          <w:szCs w:val="24"/>
          <w:lang w:val="ro-MD"/>
        </w:rPr>
        <w:t xml:space="preserve"> </w:t>
      </w:r>
      <w:r w:rsidRPr="00B13B9A">
        <w:rPr>
          <w:rFonts w:asciiTheme="majorHAnsi" w:hAnsiTheme="majorHAnsi" w:cstheme="majorHAnsi"/>
          <w:sz w:val="24"/>
          <w:szCs w:val="24"/>
          <w:lang w:val="ro-MD"/>
        </w:rPr>
        <w:t xml:space="preserve">016,0 mii lei </w:t>
      </w:r>
      <w:r w:rsidR="00B13B9A" w:rsidRPr="00B13B9A">
        <w:rPr>
          <w:rFonts w:asciiTheme="majorHAnsi" w:hAnsiTheme="majorHAnsi" w:cstheme="majorHAnsi"/>
          <w:sz w:val="24"/>
          <w:szCs w:val="24"/>
          <w:lang w:val="ro-MD"/>
        </w:rPr>
        <w:t>ș</w:t>
      </w:r>
      <w:r w:rsidRPr="00B13B9A">
        <w:rPr>
          <w:rFonts w:asciiTheme="majorHAnsi" w:hAnsiTheme="majorHAnsi" w:cstheme="majorHAnsi"/>
          <w:sz w:val="24"/>
          <w:szCs w:val="24"/>
          <w:lang w:val="ro-MD"/>
        </w:rPr>
        <w:t>i cu suprafa</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a totală de 17</w:t>
      </w:r>
      <w:r w:rsidR="009A3E67" w:rsidRPr="00B13B9A">
        <w:rPr>
          <w:rFonts w:asciiTheme="majorHAnsi" w:hAnsiTheme="majorHAnsi" w:cstheme="majorHAnsi"/>
          <w:sz w:val="24"/>
          <w:szCs w:val="24"/>
          <w:lang w:val="ro-MD"/>
        </w:rPr>
        <w:t xml:space="preserve"> </w:t>
      </w:r>
      <w:r w:rsidRPr="00B13B9A">
        <w:rPr>
          <w:rFonts w:asciiTheme="majorHAnsi" w:hAnsiTheme="majorHAnsi" w:cstheme="majorHAnsi"/>
          <w:sz w:val="24"/>
          <w:szCs w:val="24"/>
          <w:lang w:val="ro-MD"/>
        </w:rPr>
        <w:t>724,4 m.p.</w:t>
      </w:r>
      <w:r w:rsidR="00B97968" w:rsidRPr="00B13B9A">
        <w:rPr>
          <w:rFonts w:asciiTheme="majorHAnsi" w:hAnsiTheme="majorHAnsi" w:cstheme="majorHAnsi"/>
          <w:sz w:val="24"/>
          <w:szCs w:val="24"/>
          <w:lang w:val="ro-MD"/>
        </w:rPr>
        <w:t xml:space="preserve"> </w:t>
      </w:r>
    </w:p>
    <w:p w14:paraId="2FC93DB7" w14:textId="3B8C7FFF" w:rsidR="00C56368" w:rsidRPr="00B13B9A" w:rsidRDefault="00835914" w:rsidP="00BC4E04">
      <w:pPr>
        <w:pStyle w:val="a7"/>
        <w:spacing w:after="0" w:line="276" w:lineRule="auto"/>
        <w:ind w:left="0"/>
        <w:jc w:val="both"/>
        <w:rPr>
          <w:rFonts w:asciiTheme="majorHAnsi" w:hAnsiTheme="majorHAnsi" w:cstheme="majorHAnsi"/>
          <w:sz w:val="24"/>
          <w:szCs w:val="24"/>
          <w:lang w:val="ro-MD"/>
        </w:rPr>
      </w:pPr>
      <w:r w:rsidRPr="00B13B9A">
        <w:rPr>
          <w:rFonts w:asciiTheme="majorHAnsi" w:hAnsiTheme="majorHAnsi" w:cstheme="majorHAnsi"/>
          <w:sz w:val="24"/>
          <w:szCs w:val="24"/>
          <w:lang w:val="ro-MD"/>
        </w:rPr>
        <w:t>Conform</w:t>
      </w:r>
      <w:r w:rsidR="00C56368" w:rsidRPr="00B13B9A">
        <w:rPr>
          <w:rFonts w:asciiTheme="majorHAnsi" w:hAnsiTheme="majorHAnsi" w:cstheme="majorHAnsi"/>
          <w:sz w:val="24"/>
          <w:szCs w:val="24"/>
          <w:lang w:val="ro-MD"/>
        </w:rPr>
        <w:t xml:space="preserve"> prevederilor</w:t>
      </w:r>
      <w:r w:rsidR="00D54BEB" w:rsidRPr="00B13B9A">
        <w:rPr>
          <w:rFonts w:asciiTheme="majorHAnsi" w:hAnsiTheme="majorHAnsi" w:cstheme="majorHAnsi"/>
          <w:sz w:val="24"/>
          <w:szCs w:val="24"/>
          <w:lang w:val="ro-MD"/>
        </w:rPr>
        <w:t xml:space="preserve"> cadrului normativ</w:t>
      </w:r>
      <w:r w:rsidR="00C56368" w:rsidRPr="00B13B9A">
        <w:rPr>
          <w:rStyle w:val="a9"/>
          <w:rFonts w:asciiTheme="majorHAnsi" w:hAnsiTheme="majorHAnsi" w:cstheme="majorHAnsi"/>
          <w:sz w:val="24"/>
          <w:szCs w:val="24"/>
          <w:shd w:val="clear" w:color="auto" w:fill="FFFFFF"/>
          <w:lang w:val="ro-MD"/>
        </w:rPr>
        <w:footnoteReference w:id="14"/>
      </w:r>
      <w:r w:rsidR="001E4DA6" w:rsidRPr="00B13B9A">
        <w:rPr>
          <w:rFonts w:asciiTheme="majorHAnsi" w:hAnsiTheme="majorHAnsi" w:cstheme="majorHAnsi"/>
          <w:sz w:val="24"/>
          <w:szCs w:val="24"/>
          <w:lang w:val="ro-MD"/>
        </w:rPr>
        <w:t>,</w:t>
      </w:r>
      <w:r w:rsidR="00C56368" w:rsidRPr="00B13B9A">
        <w:rPr>
          <w:rFonts w:asciiTheme="majorHAnsi" w:hAnsiTheme="majorHAnsi" w:cstheme="majorHAnsi"/>
          <w:sz w:val="24"/>
          <w:szCs w:val="24"/>
          <w:lang w:val="ro-MD"/>
        </w:rPr>
        <w:t xml:space="preserve"> </w:t>
      </w:r>
      <w:r w:rsidR="00C56368" w:rsidRPr="00B13B9A">
        <w:rPr>
          <w:rFonts w:asciiTheme="majorHAnsi" w:hAnsiTheme="majorHAnsi" w:cstheme="majorHAnsi"/>
          <w:color w:val="333333"/>
          <w:sz w:val="24"/>
          <w:szCs w:val="24"/>
          <w:shd w:val="clear" w:color="auto" w:fill="FFFFFF"/>
          <w:lang w:val="ro-MD"/>
        </w:rPr>
        <w:t xml:space="preserve">procesul de delimitare a bunurilor imobile proprietate publică se finalizează odată cu înregistrarea dreptului de proprietate </w:t>
      </w:r>
      <w:r w:rsidR="00B13B9A" w:rsidRPr="00B13B9A">
        <w:rPr>
          <w:rFonts w:asciiTheme="majorHAnsi" w:hAnsiTheme="majorHAnsi" w:cstheme="majorHAnsi"/>
          <w:color w:val="333333"/>
          <w:sz w:val="24"/>
          <w:szCs w:val="24"/>
          <w:shd w:val="clear" w:color="auto" w:fill="FFFFFF"/>
          <w:lang w:val="ro-MD"/>
        </w:rPr>
        <w:t>ș</w:t>
      </w:r>
      <w:r w:rsidR="00C56368" w:rsidRPr="00B13B9A">
        <w:rPr>
          <w:rFonts w:asciiTheme="majorHAnsi" w:hAnsiTheme="majorHAnsi" w:cstheme="majorHAnsi"/>
          <w:color w:val="333333"/>
          <w:sz w:val="24"/>
          <w:szCs w:val="24"/>
          <w:shd w:val="clear" w:color="auto" w:fill="FFFFFF"/>
          <w:lang w:val="ro-MD"/>
        </w:rPr>
        <w:t xml:space="preserve">i a domeniului </w:t>
      </w:r>
      <w:r w:rsidR="00D9767C" w:rsidRPr="00B13B9A">
        <w:rPr>
          <w:rFonts w:asciiTheme="majorHAnsi" w:hAnsiTheme="majorHAnsi" w:cstheme="majorHAnsi"/>
          <w:color w:val="333333"/>
          <w:sz w:val="24"/>
          <w:szCs w:val="24"/>
          <w:shd w:val="clear" w:color="auto" w:fill="FFFFFF"/>
          <w:lang w:val="ro-MD"/>
        </w:rPr>
        <w:t xml:space="preserve">asupra acestora </w:t>
      </w:r>
      <w:r w:rsidR="00C56368" w:rsidRPr="00B13B9A">
        <w:rPr>
          <w:rFonts w:asciiTheme="majorHAnsi" w:hAnsiTheme="majorHAnsi" w:cstheme="majorHAnsi"/>
          <w:color w:val="333333"/>
          <w:sz w:val="24"/>
          <w:szCs w:val="24"/>
          <w:shd w:val="clear" w:color="auto" w:fill="FFFFFF"/>
          <w:lang w:val="ro-MD"/>
        </w:rPr>
        <w:t xml:space="preserve">respectiv în </w:t>
      </w:r>
      <w:r w:rsidR="001E4DA6" w:rsidRPr="00B13B9A">
        <w:rPr>
          <w:rFonts w:asciiTheme="majorHAnsi" w:hAnsiTheme="majorHAnsi" w:cstheme="majorHAnsi"/>
          <w:color w:val="333333"/>
          <w:sz w:val="24"/>
          <w:szCs w:val="24"/>
          <w:shd w:val="clear" w:color="auto" w:fill="FFFFFF"/>
          <w:lang w:val="ro-MD"/>
        </w:rPr>
        <w:t>R</w:t>
      </w:r>
      <w:r w:rsidR="00C56368" w:rsidRPr="00B13B9A">
        <w:rPr>
          <w:rFonts w:asciiTheme="majorHAnsi" w:hAnsiTheme="majorHAnsi" w:cstheme="majorHAnsi"/>
          <w:color w:val="333333"/>
          <w:sz w:val="24"/>
          <w:szCs w:val="24"/>
          <w:shd w:val="clear" w:color="auto" w:fill="FFFFFF"/>
          <w:lang w:val="ro-MD"/>
        </w:rPr>
        <w:t xml:space="preserve">egistrul bunurilor imobile sau în </w:t>
      </w:r>
      <w:r w:rsidR="001E4DA6" w:rsidRPr="00B13B9A">
        <w:rPr>
          <w:rFonts w:asciiTheme="majorHAnsi" w:hAnsiTheme="majorHAnsi" w:cstheme="majorHAnsi"/>
          <w:color w:val="333333"/>
          <w:sz w:val="24"/>
          <w:szCs w:val="24"/>
          <w:shd w:val="clear" w:color="auto" w:fill="FFFFFF"/>
          <w:lang w:val="ro-MD"/>
        </w:rPr>
        <w:t>R</w:t>
      </w:r>
      <w:r w:rsidR="00C56368" w:rsidRPr="00B13B9A">
        <w:rPr>
          <w:rFonts w:asciiTheme="majorHAnsi" w:hAnsiTheme="majorHAnsi" w:cstheme="majorHAnsi"/>
          <w:color w:val="333333"/>
          <w:sz w:val="24"/>
          <w:szCs w:val="24"/>
          <w:shd w:val="clear" w:color="auto" w:fill="FFFFFF"/>
          <w:lang w:val="ro-MD"/>
        </w:rPr>
        <w:t>egistrul obiectivelor de infrastructură tehnico-edilitară</w:t>
      </w:r>
      <w:r w:rsidRPr="00B13B9A">
        <w:rPr>
          <w:rFonts w:asciiTheme="majorHAnsi" w:hAnsiTheme="majorHAnsi" w:cstheme="majorHAnsi"/>
          <w:color w:val="333333"/>
          <w:sz w:val="24"/>
          <w:szCs w:val="24"/>
          <w:shd w:val="clear" w:color="auto" w:fill="FFFFFF"/>
          <w:lang w:val="ro-MD"/>
        </w:rPr>
        <w:t>.</w:t>
      </w:r>
      <w:r w:rsidR="00C56368" w:rsidRPr="00B13B9A">
        <w:rPr>
          <w:rFonts w:asciiTheme="majorHAnsi" w:hAnsiTheme="majorHAnsi" w:cstheme="majorHAnsi"/>
          <w:color w:val="333333"/>
          <w:sz w:val="24"/>
          <w:szCs w:val="24"/>
          <w:shd w:val="clear" w:color="auto" w:fill="FFFFFF"/>
          <w:lang w:val="ro-MD"/>
        </w:rPr>
        <w:t xml:space="preserve"> </w:t>
      </w:r>
      <w:r w:rsidRPr="00B13B9A">
        <w:rPr>
          <w:rFonts w:asciiTheme="majorHAnsi" w:hAnsiTheme="majorHAnsi" w:cstheme="majorHAnsi"/>
          <w:color w:val="333333"/>
          <w:sz w:val="24"/>
          <w:szCs w:val="24"/>
          <w:shd w:val="clear" w:color="auto" w:fill="FFFFFF"/>
          <w:lang w:val="ro-MD"/>
        </w:rPr>
        <w:t xml:space="preserve">În </w:t>
      </w:r>
      <w:r w:rsidR="001E4DA6" w:rsidRPr="00B13B9A">
        <w:rPr>
          <w:rFonts w:asciiTheme="majorHAnsi" w:hAnsiTheme="majorHAnsi" w:cstheme="majorHAnsi"/>
          <w:color w:val="333333"/>
          <w:sz w:val="24"/>
          <w:szCs w:val="24"/>
          <w:shd w:val="clear" w:color="auto" w:fill="FFFFFF"/>
          <w:lang w:val="ro-MD"/>
        </w:rPr>
        <w:t xml:space="preserve">acest </w:t>
      </w:r>
      <w:r w:rsidRPr="00B13B9A">
        <w:rPr>
          <w:rFonts w:asciiTheme="majorHAnsi" w:hAnsiTheme="majorHAnsi" w:cstheme="majorHAnsi"/>
          <w:color w:val="333333"/>
          <w:sz w:val="24"/>
          <w:szCs w:val="24"/>
          <w:shd w:val="clear" w:color="auto" w:fill="FFFFFF"/>
          <w:lang w:val="ro-MD"/>
        </w:rPr>
        <w:t xml:space="preserve">context, se denotă că </w:t>
      </w:r>
      <w:r w:rsidR="00C56368" w:rsidRPr="00B13B9A">
        <w:rPr>
          <w:rFonts w:asciiTheme="majorHAnsi" w:hAnsiTheme="majorHAnsi" w:cstheme="majorHAnsi"/>
          <w:sz w:val="24"/>
          <w:szCs w:val="24"/>
          <w:lang w:val="ro-MD"/>
        </w:rPr>
        <w:t>Ministerul Sănătă</w:t>
      </w:r>
      <w:r w:rsidR="00B13B9A" w:rsidRPr="00B13B9A">
        <w:rPr>
          <w:rFonts w:asciiTheme="majorHAnsi" w:hAnsiTheme="majorHAnsi" w:cstheme="majorHAnsi"/>
          <w:sz w:val="24"/>
          <w:szCs w:val="24"/>
          <w:lang w:val="ro-MD"/>
        </w:rPr>
        <w:t>ț</w:t>
      </w:r>
      <w:r w:rsidR="00C56368" w:rsidRPr="00B13B9A">
        <w:rPr>
          <w:rFonts w:asciiTheme="majorHAnsi" w:hAnsiTheme="majorHAnsi" w:cstheme="majorHAnsi"/>
          <w:sz w:val="24"/>
          <w:szCs w:val="24"/>
          <w:lang w:val="ro-MD"/>
        </w:rPr>
        <w:t xml:space="preserve">ii </w:t>
      </w:r>
      <w:r w:rsidR="00B13B9A" w:rsidRPr="00B13B9A">
        <w:rPr>
          <w:rFonts w:asciiTheme="majorHAnsi" w:hAnsiTheme="majorHAnsi" w:cstheme="majorHAnsi"/>
          <w:sz w:val="24"/>
          <w:szCs w:val="24"/>
          <w:lang w:val="ro-MD"/>
        </w:rPr>
        <w:t>ș</w:t>
      </w:r>
      <w:r w:rsidR="00C56368" w:rsidRPr="00B13B9A">
        <w:rPr>
          <w:rFonts w:asciiTheme="majorHAnsi" w:hAnsiTheme="majorHAnsi" w:cstheme="majorHAnsi"/>
          <w:sz w:val="24"/>
          <w:szCs w:val="24"/>
          <w:lang w:val="ro-MD"/>
        </w:rPr>
        <w:t xml:space="preserve">i IFP </w:t>
      </w:r>
      <w:r w:rsidR="004E1122" w:rsidRPr="00B13B9A">
        <w:rPr>
          <w:rFonts w:asciiTheme="majorHAnsi" w:hAnsiTheme="majorHAnsi" w:cstheme="majorHAnsi"/>
          <w:sz w:val="24"/>
          <w:szCs w:val="24"/>
          <w:lang w:val="ro-MD"/>
        </w:rPr>
        <w:t>„Chiril Draganiuc”</w:t>
      </w:r>
      <w:r w:rsidR="00C56368" w:rsidRPr="00B13B9A">
        <w:rPr>
          <w:rFonts w:asciiTheme="majorHAnsi" w:hAnsiTheme="majorHAnsi" w:cstheme="majorHAnsi"/>
          <w:sz w:val="24"/>
          <w:szCs w:val="24"/>
          <w:lang w:val="ro-MD"/>
        </w:rPr>
        <w:t xml:space="preserve"> nu au asigurat gestionarea conformă a </w:t>
      </w:r>
      <w:r w:rsidRPr="00B13B9A">
        <w:rPr>
          <w:rFonts w:asciiTheme="majorHAnsi" w:hAnsiTheme="majorHAnsi" w:cstheme="majorHAnsi"/>
          <w:sz w:val="24"/>
          <w:szCs w:val="24"/>
          <w:lang w:val="ro-MD"/>
        </w:rPr>
        <w:t>realizării acestui proces, ceea ce a determinat</w:t>
      </w:r>
      <w:r w:rsidR="003D4000" w:rsidRPr="00B13B9A">
        <w:rPr>
          <w:rFonts w:asciiTheme="majorHAnsi" w:hAnsiTheme="majorHAnsi" w:cstheme="majorHAnsi"/>
          <w:sz w:val="24"/>
          <w:szCs w:val="24"/>
          <w:lang w:val="ro-MD"/>
        </w:rPr>
        <w:t xml:space="preserve"> </w:t>
      </w:r>
      <w:r w:rsidR="00B94D25" w:rsidRPr="00B13B9A">
        <w:rPr>
          <w:rFonts w:asciiTheme="majorHAnsi" w:hAnsiTheme="majorHAnsi" w:cstheme="majorHAnsi"/>
          <w:sz w:val="24"/>
          <w:szCs w:val="24"/>
          <w:lang w:val="ro-MD"/>
        </w:rPr>
        <w:t>următoarele situa</w:t>
      </w:r>
      <w:r w:rsidR="00B13B9A" w:rsidRPr="00B13B9A">
        <w:rPr>
          <w:rFonts w:asciiTheme="majorHAnsi" w:hAnsiTheme="majorHAnsi" w:cstheme="majorHAnsi"/>
          <w:sz w:val="24"/>
          <w:szCs w:val="24"/>
          <w:lang w:val="ro-MD"/>
        </w:rPr>
        <w:t>ț</w:t>
      </w:r>
      <w:r w:rsidR="00B94D25" w:rsidRPr="00B13B9A">
        <w:rPr>
          <w:rFonts w:asciiTheme="majorHAnsi" w:hAnsiTheme="majorHAnsi" w:cstheme="majorHAnsi"/>
          <w:sz w:val="24"/>
          <w:szCs w:val="24"/>
          <w:lang w:val="ro-MD"/>
        </w:rPr>
        <w:t>ii</w:t>
      </w:r>
      <w:r w:rsidR="00C56368" w:rsidRPr="00B13B9A">
        <w:rPr>
          <w:rFonts w:asciiTheme="majorHAnsi" w:hAnsiTheme="majorHAnsi" w:cstheme="majorHAnsi"/>
          <w:sz w:val="24"/>
          <w:szCs w:val="24"/>
          <w:lang w:val="ro-MD"/>
        </w:rPr>
        <w:t>:</w:t>
      </w:r>
    </w:p>
    <w:p w14:paraId="565152C5" w14:textId="713C8CDF" w:rsidR="00BF2684" w:rsidRPr="00B13B9A" w:rsidRDefault="00D9767C" w:rsidP="00241AB3">
      <w:pPr>
        <w:pStyle w:val="ae"/>
        <w:numPr>
          <w:ilvl w:val="3"/>
          <w:numId w:val="11"/>
        </w:numPr>
        <w:shd w:val="clear" w:color="auto" w:fill="FFFFFF"/>
        <w:tabs>
          <w:tab w:val="left" w:pos="851"/>
          <w:tab w:val="left" w:pos="1134"/>
        </w:tabs>
        <w:spacing w:before="0" w:beforeAutospacing="0" w:after="0" w:afterAutospacing="0" w:line="276" w:lineRule="auto"/>
        <w:ind w:left="0" w:firstLine="0"/>
        <w:jc w:val="both"/>
        <w:rPr>
          <w:rFonts w:asciiTheme="majorHAnsi" w:hAnsiTheme="majorHAnsi" w:cstheme="majorHAnsi"/>
          <w:shd w:val="clear" w:color="auto" w:fill="FFFFFF"/>
          <w:lang w:val="ro-MD"/>
        </w:rPr>
      </w:pPr>
      <w:r w:rsidRPr="00B13B9A">
        <w:rPr>
          <w:rFonts w:asciiTheme="majorHAnsi" w:hAnsiTheme="majorHAnsi" w:cstheme="majorHAnsi"/>
          <w:shd w:val="clear" w:color="auto" w:fill="FFFFFF"/>
          <w:lang w:val="ro-MD"/>
        </w:rPr>
        <w:t>ne</w:t>
      </w:r>
      <w:r w:rsidR="003803F6" w:rsidRPr="00B13B9A">
        <w:rPr>
          <w:rFonts w:asciiTheme="majorHAnsi" w:hAnsiTheme="majorHAnsi" w:cstheme="majorHAnsi"/>
          <w:shd w:val="clear" w:color="auto" w:fill="FFFFFF"/>
          <w:lang w:val="ro-MD"/>
        </w:rPr>
        <w:t>î</w:t>
      </w:r>
      <w:r w:rsidR="00BF2684" w:rsidRPr="00B13B9A">
        <w:rPr>
          <w:rFonts w:asciiTheme="majorHAnsi" w:hAnsiTheme="majorHAnsi" w:cstheme="majorHAnsi"/>
          <w:shd w:val="clear" w:color="auto" w:fill="FFFFFF"/>
          <w:lang w:val="ro-MD"/>
        </w:rPr>
        <w:t>nregistr</w:t>
      </w:r>
      <w:r w:rsidR="003803F6" w:rsidRPr="00B13B9A">
        <w:rPr>
          <w:rFonts w:asciiTheme="majorHAnsi" w:hAnsiTheme="majorHAnsi" w:cstheme="majorHAnsi"/>
          <w:shd w:val="clear" w:color="auto" w:fill="FFFFFF"/>
          <w:lang w:val="ro-MD"/>
        </w:rPr>
        <w:t xml:space="preserve">area </w:t>
      </w:r>
      <w:r w:rsidR="00B94D25" w:rsidRPr="00B13B9A">
        <w:rPr>
          <w:rFonts w:asciiTheme="majorHAnsi" w:hAnsiTheme="majorHAnsi" w:cstheme="majorHAnsi"/>
          <w:shd w:val="clear" w:color="auto" w:fill="FFFFFF"/>
          <w:lang w:val="ro-MD"/>
        </w:rPr>
        <w:t>conform</w:t>
      </w:r>
      <w:r w:rsidR="003803F6" w:rsidRPr="00B13B9A">
        <w:rPr>
          <w:rFonts w:asciiTheme="majorHAnsi" w:hAnsiTheme="majorHAnsi" w:cstheme="majorHAnsi"/>
          <w:shd w:val="clear" w:color="auto" w:fill="FFFFFF"/>
          <w:lang w:val="ro-MD"/>
        </w:rPr>
        <w:t>ă</w:t>
      </w:r>
      <w:r w:rsidR="00BF2684" w:rsidRPr="00B13B9A">
        <w:rPr>
          <w:rFonts w:asciiTheme="majorHAnsi" w:hAnsiTheme="majorHAnsi" w:cstheme="majorHAnsi"/>
          <w:shd w:val="clear" w:color="auto" w:fill="FFFFFF"/>
          <w:lang w:val="ro-MD"/>
        </w:rPr>
        <w:t xml:space="preserve"> în Registrul </w:t>
      </w:r>
      <w:r w:rsidR="001E4DA6" w:rsidRPr="00B13B9A">
        <w:rPr>
          <w:rFonts w:asciiTheme="majorHAnsi" w:hAnsiTheme="majorHAnsi" w:cstheme="majorHAnsi"/>
          <w:shd w:val="clear" w:color="auto" w:fill="FFFFFF"/>
          <w:lang w:val="ro-MD"/>
        </w:rPr>
        <w:t>b</w:t>
      </w:r>
      <w:r w:rsidR="00BF2684" w:rsidRPr="00B13B9A">
        <w:rPr>
          <w:rFonts w:asciiTheme="majorHAnsi" w:hAnsiTheme="majorHAnsi" w:cstheme="majorHAnsi"/>
          <w:shd w:val="clear" w:color="auto" w:fill="FFFFFF"/>
          <w:lang w:val="ro-MD"/>
        </w:rPr>
        <w:t xml:space="preserve">unurilor </w:t>
      </w:r>
      <w:r w:rsidR="001E4DA6" w:rsidRPr="00B13B9A">
        <w:rPr>
          <w:rFonts w:asciiTheme="majorHAnsi" w:hAnsiTheme="majorHAnsi" w:cstheme="majorHAnsi"/>
          <w:shd w:val="clear" w:color="auto" w:fill="FFFFFF"/>
          <w:lang w:val="ro-MD"/>
        </w:rPr>
        <w:t>i</w:t>
      </w:r>
      <w:r w:rsidR="00BF2684" w:rsidRPr="00B13B9A">
        <w:rPr>
          <w:rFonts w:asciiTheme="majorHAnsi" w:hAnsiTheme="majorHAnsi" w:cstheme="majorHAnsi"/>
          <w:shd w:val="clear" w:color="auto" w:fill="FFFFFF"/>
          <w:lang w:val="ro-MD"/>
        </w:rPr>
        <w:t>mobile a 3 clădiri (2 case de locuit func</w:t>
      </w:r>
      <w:r w:rsidR="00B13B9A" w:rsidRPr="00B13B9A">
        <w:rPr>
          <w:rFonts w:asciiTheme="majorHAnsi" w:hAnsiTheme="majorHAnsi" w:cstheme="majorHAnsi"/>
          <w:shd w:val="clear" w:color="auto" w:fill="FFFFFF"/>
          <w:lang w:val="ro-MD"/>
        </w:rPr>
        <w:t>ț</w:t>
      </w:r>
      <w:r w:rsidR="00BF2684" w:rsidRPr="00B13B9A">
        <w:rPr>
          <w:rFonts w:asciiTheme="majorHAnsi" w:hAnsiTheme="majorHAnsi" w:cstheme="majorHAnsi"/>
          <w:shd w:val="clear" w:color="auto" w:fill="FFFFFF"/>
          <w:lang w:val="ro-MD"/>
        </w:rPr>
        <w:t>ionale</w:t>
      </w:r>
      <w:r w:rsidR="001E4DA6" w:rsidRPr="00B13B9A">
        <w:rPr>
          <w:rFonts w:asciiTheme="majorHAnsi" w:hAnsiTheme="majorHAnsi" w:cstheme="majorHAnsi"/>
          <w:shd w:val="clear" w:color="auto" w:fill="FFFFFF"/>
          <w:lang w:val="ro-MD"/>
        </w:rPr>
        <w:t>,</w:t>
      </w:r>
      <w:r w:rsidR="00BF2684" w:rsidRPr="00B13B9A">
        <w:rPr>
          <w:rFonts w:asciiTheme="majorHAnsi" w:hAnsiTheme="majorHAnsi" w:cstheme="majorHAnsi"/>
          <w:shd w:val="clear" w:color="auto" w:fill="FFFFFF"/>
          <w:lang w:val="ro-MD"/>
        </w:rPr>
        <w:t xml:space="preserve"> a câte 55 </w:t>
      </w:r>
      <w:r w:rsidR="00B13B9A" w:rsidRPr="00B13B9A">
        <w:rPr>
          <w:rFonts w:asciiTheme="majorHAnsi" w:hAnsiTheme="majorHAnsi" w:cstheme="majorHAnsi"/>
          <w:shd w:val="clear" w:color="auto" w:fill="FFFFFF"/>
          <w:lang w:val="ro-MD"/>
        </w:rPr>
        <w:t>ș</w:t>
      </w:r>
      <w:r w:rsidR="00BF2684" w:rsidRPr="00B13B9A">
        <w:rPr>
          <w:rFonts w:asciiTheme="majorHAnsi" w:hAnsiTheme="majorHAnsi" w:cstheme="majorHAnsi"/>
          <w:shd w:val="clear" w:color="auto" w:fill="FFFFFF"/>
          <w:lang w:val="ro-MD"/>
        </w:rPr>
        <w:t xml:space="preserve">i 30 </w:t>
      </w:r>
      <w:r w:rsidR="001E4DA6" w:rsidRPr="00B13B9A">
        <w:rPr>
          <w:rFonts w:asciiTheme="majorHAnsi" w:hAnsiTheme="majorHAnsi" w:cstheme="majorHAnsi"/>
          <w:shd w:val="clear" w:color="auto" w:fill="FFFFFF"/>
          <w:lang w:val="ro-MD"/>
        </w:rPr>
        <w:t xml:space="preserve">de </w:t>
      </w:r>
      <w:r w:rsidR="00BF2684" w:rsidRPr="00B13B9A">
        <w:rPr>
          <w:rFonts w:asciiTheme="majorHAnsi" w:hAnsiTheme="majorHAnsi" w:cstheme="majorHAnsi"/>
          <w:shd w:val="clear" w:color="auto" w:fill="FFFFFF"/>
          <w:lang w:val="ro-MD"/>
        </w:rPr>
        <w:t>apartamente</w:t>
      </w:r>
      <w:r w:rsidR="001E4DA6" w:rsidRPr="00B13B9A">
        <w:rPr>
          <w:rFonts w:asciiTheme="majorHAnsi" w:hAnsiTheme="majorHAnsi" w:cstheme="majorHAnsi"/>
          <w:shd w:val="clear" w:color="auto" w:fill="FFFFFF"/>
          <w:lang w:val="ro-MD"/>
        </w:rPr>
        <w:t>,</w:t>
      </w:r>
      <w:r w:rsidR="00BF2684" w:rsidRPr="00B13B9A">
        <w:rPr>
          <w:rFonts w:asciiTheme="majorHAnsi" w:hAnsiTheme="majorHAnsi" w:cstheme="majorHAnsi"/>
          <w:shd w:val="clear" w:color="auto" w:fill="FFFFFF"/>
          <w:lang w:val="ro-MD"/>
        </w:rPr>
        <w:t xml:space="preserve"> </w:t>
      </w:r>
      <w:r w:rsidR="00B13B9A" w:rsidRPr="00B13B9A">
        <w:rPr>
          <w:rFonts w:asciiTheme="majorHAnsi" w:hAnsiTheme="majorHAnsi" w:cstheme="majorHAnsi"/>
          <w:shd w:val="clear" w:color="auto" w:fill="FFFFFF"/>
          <w:lang w:val="ro-MD"/>
        </w:rPr>
        <w:t>ș</w:t>
      </w:r>
      <w:r w:rsidR="00BF2684" w:rsidRPr="00B13B9A">
        <w:rPr>
          <w:rFonts w:asciiTheme="majorHAnsi" w:hAnsiTheme="majorHAnsi" w:cstheme="majorHAnsi"/>
          <w:shd w:val="clear" w:color="auto" w:fill="FFFFFF"/>
          <w:lang w:val="ro-MD"/>
        </w:rPr>
        <w:t>i cazangeria nefunc</w:t>
      </w:r>
      <w:r w:rsidR="00B13B9A" w:rsidRPr="00B13B9A">
        <w:rPr>
          <w:rFonts w:asciiTheme="majorHAnsi" w:hAnsiTheme="majorHAnsi" w:cstheme="majorHAnsi"/>
          <w:shd w:val="clear" w:color="auto" w:fill="FFFFFF"/>
          <w:lang w:val="ro-MD"/>
        </w:rPr>
        <w:t>ț</w:t>
      </w:r>
      <w:r w:rsidR="00BF2684" w:rsidRPr="00B13B9A">
        <w:rPr>
          <w:rFonts w:asciiTheme="majorHAnsi" w:hAnsiTheme="majorHAnsi" w:cstheme="majorHAnsi"/>
          <w:shd w:val="clear" w:color="auto" w:fill="FFFFFF"/>
          <w:lang w:val="ro-MD"/>
        </w:rPr>
        <w:t>ională, spre demolare) în valoare</w:t>
      </w:r>
      <w:r w:rsidR="00D15513" w:rsidRPr="00B13B9A">
        <w:rPr>
          <w:rFonts w:asciiTheme="majorHAnsi" w:hAnsiTheme="majorHAnsi" w:cstheme="majorHAnsi"/>
          <w:shd w:val="clear" w:color="auto" w:fill="FFFFFF"/>
          <w:lang w:val="ro-MD"/>
        </w:rPr>
        <w:t xml:space="preserve"> de 5 </w:t>
      </w:r>
      <w:r w:rsidR="00BF2684" w:rsidRPr="00B13B9A">
        <w:rPr>
          <w:rFonts w:asciiTheme="majorHAnsi" w:hAnsiTheme="majorHAnsi" w:cstheme="majorHAnsi"/>
          <w:shd w:val="clear" w:color="auto" w:fill="FFFFFF"/>
          <w:lang w:val="ro-MD"/>
        </w:rPr>
        <w:t>792</w:t>
      </w:r>
      <w:r w:rsidR="00D15513" w:rsidRPr="00B13B9A">
        <w:rPr>
          <w:rFonts w:asciiTheme="majorHAnsi" w:hAnsiTheme="majorHAnsi" w:cstheme="majorHAnsi"/>
          <w:shd w:val="clear" w:color="auto" w:fill="FFFFFF"/>
          <w:lang w:val="ro-MD"/>
        </w:rPr>
        <w:t>,7 mii</w:t>
      </w:r>
      <w:r w:rsidR="00BF2684" w:rsidRPr="00B13B9A">
        <w:rPr>
          <w:rFonts w:asciiTheme="majorHAnsi" w:hAnsiTheme="majorHAnsi" w:cstheme="majorHAnsi"/>
          <w:shd w:val="clear" w:color="auto" w:fill="FFFFFF"/>
          <w:lang w:val="ro-MD"/>
        </w:rPr>
        <w:t xml:space="preserve"> lei</w:t>
      </w:r>
      <w:r w:rsidR="001E4DA6" w:rsidRPr="00B13B9A">
        <w:rPr>
          <w:rFonts w:asciiTheme="majorHAnsi" w:hAnsiTheme="majorHAnsi" w:cstheme="majorHAnsi"/>
          <w:shd w:val="clear" w:color="auto" w:fill="FFFFFF"/>
          <w:lang w:val="ro-MD"/>
        </w:rPr>
        <w:t>,</w:t>
      </w:r>
      <w:r w:rsidR="00BF2684" w:rsidRPr="00B13B9A">
        <w:rPr>
          <w:rFonts w:asciiTheme="majorHAnsi" w:hAnsiTheme="majorHAnsi" w:cstheme="majorHAnsi"/>
          <w:shd w:val="clear" w:color="auto" w:fill="FFFFFF"/>
          <w:lang w:val="ro-MD"/>
        </w:rPr>
        <w:t xml:space="preserve"> </w:t>
      </w:r>
      <w:r w:rsidR="00D15513" w:rsidRPr="00B13B9A">
        <w:rPr>
          <w:rFonts w:asciiTheme="majorHAnsi" w:hAnsiTheme="majorHAnsi" w:cstheme="majorHAnsi"/>
          <w:noProof/>
          <w:lang w:val="ro-MD"/>
        </w:rPr>
        <w:t>cu o suprafa</w:t>
      </w:r>
      <w:r w:rsidR="00B13B9A" w:rsidRPr="00B13B9A">
        <w:rPr>
          <w:rFonts w:asciiTheme="majorHAnsi" w:hAnsiTheme="majorHAnsi" w:cstheme="majorHAnsi"/>
          <w:noProof/>
          <w:lang w:val="ro-MD"/>
        </w:rPr>
        <w:t>ț</w:t>
      </w:r>
      <w:r w:rsidR="00D15513" w:rsidRPr="00B13B9A">
        <w:rPr>
          <w:rFonts w:asciiTheme="majorHAnsi" w:hAnsiTheme="majorHAnsi" w:cstheme="majorHAnsi"/>
          <w:noProof/>
          <w:lang w:val="ro-MD"/>
        </w:rPr>
        <w:t xml:space="preserve">ă de 1 </w:t>
      </w:r>
      <w:r w:rsidR="00656D89" w:rsidRPr="00B13B9A">
        <w:rPr>
          <w:rFonts w:asciiTheme="majorHAnsi" w:hAnsiTheme="majorHAnsi" w:cstheme="majorHAnsi"/>
          <w:noProof/>
          <w:lang w:val="ro-MD"/>
        </w:rPr>
        <w:t>198,8 m.p., pe terenurile pe care se</w:t>
      </w:r>
      <w:r w:rsidR="003A2F51" w:rsidRPr="00B13B9A">
        <w:rPr>
          <w:rFonts w:asciiTheme="majorHAnsi" w:hAnsiTheme="majorHAnsi" w:cstheme="majorHAnsi"/>
          <w:noProof/>
          <w:lang w:val="ro-MD"/>
        </w:rPr>
        <w:t xml:space="preserve"> află. </w:t>
      </w:r>
      <w:r>
        <w:rPr>
          <w:rFonts w:asciiTheme="majorHAnsi" w:hAnsiTheme="majorHAnsi" w:cstheme="majorHAnsi"/>
          <w:noProof/>
          <w:lang w:val="ro-MD"/>
        </w:rPr>
        <w:t>Aceste c</w:t>
      </w:r>
      <w:r w:rsidR="00656D89" w:rsidRPr="00B13B9A">
        <w:rPr>
          <w:rFonts w:asciiTheme="majorHAnsi" w:hAnsiTheme="majorHAnsi" w:cstheme="majorHAnsi"/>
          <w:shd w:val="clear" w:color="auto" w:fill="FFFFFF"/>
          <w:lang w:val="ro-MD"/>
        </w:rPr>
        <w:t>ase de locuit func</w:t>
      </w:r>
      <w:r w:rsidR="00B13B9A" w:rsidRPr="00B13B9A">
        <w:rPr>
          <w:rFonts w:asciiTheme="majorHAnsi" w:hAnsiTheme="majorHAnsi" w:cstheme="majorHAnsi"/>
          <w:shd w:val="clear" w:color="auto" w:fill="FFFFFF"/>
          <w:lang w:val="ro-MD"/>
        </w:rPr>
        <w:t>ț</w:t>
      </w:r>
      <w:r w:rsidR="00656D89" w:rsidRPr="00B13B9A">
        <w:rPr>
          <w:rFonts w:asciiTheme="majorHAnsi" w:hAnsiTheme="majorHAnsi" w:cstheme="majorHAnsi"/>
          <w:shd w:val="clear" w:color="auto" w:fill="FFFFFF"/>
          <w:lang w:val="ro-MD"/>
        </w:rPr>
        <w:t>ionale sunt înregistrate în RBI cu numere conven</w:t>
      </w:r>
      <w:r w:rsidR="00B13B9A" w:rsidRPr="00B13B9A">
        <w:rPr>
          <w:rFonts w:asciiTheme="majorHAnsi" w:hAnsiTheme="majorHAnsi" w:cstheme="majorHAnsi"/>
          <w:shd w:val="clear" w:color="auto" w:fill="FFFFFF"/>
          <w:lang w:val="ro-MD"/>
        </w:rPr>
        <w:t>ț</w:t>
      </w:r>
      <w:r w:rsidR="00656D89" w:rsidRPr="00B13B9A">
        <w:rPr>
          <w:rFonts w:asciiTheme="majorHAnsi" w:hAnsiTheme="majorHAnsi" w:cstheme="majorHAnsi"/>
          <w:shd w:val="clear" w:color="auto" w:fill="FFFFFF"/>
          <w:lang w:val="ro-MD"/>
        </w:rPr>
        <w:t>ionale</w:t>
      </w:r>
      <w:r w:rsidR="00656D89" w:rsidRPr="00B13B9A">
        <w:rPr>
          <w:rStyle w:val="a9"/>
          <w:rFonts w:asciiTheme="majorHAnsi" w:hAnsiTheme="majorHAnsi" w:cstheme="majorHAnsi"/>
          <w:sz w:val="24"/>
          <w:shd w:val="clear" w:color="auto" w:fill="FFFFFF"/>
          <w:lang w:val="ro-MD"/>
        </w:rPr>
        <w:footnoteReference w:id="15"/>
      </w:r>
      <w:r w:rsidR="001E4DA6" w:rsidRPr="00B13B9A">
        <w:rPr>
          <w:rFonts w:asciiTheme="majorHAnsi" w:hAnsiTheme="majorHAnsi" w:cstheme="majorHAnsi"/>
          <w:shd w:val="clear" w:color="auto" w:fill="FFFFFF"/>
          <w:lang w:val="ro-MD"/>
        </w:rPr>
        <w:t>.</w:t>
      </w:r>
    </w:p>
    <w:p w14:paraId="08E13FBD" w14:textId="680094D3" w:rsidR="00BF2684" w:rsidRPr="00B13B9A" w:rsidRDefault="00B94D25" w:rsidP="00241AB3">
      <w:pPr>
        <w:pStyle w:val="ae"/>
        <w:numPr>
          <w:ilvl w:val="0"/>
          <w:numId w:val="11"/>
        </w:numPr>
        <w:shd w:val="clear" w:color="auto" w:fill="FFFFFF"/>
        <w:tabs>
          <w:tab w:val="left" w:pos="851"/>
          <w:tab w:val="left" w:pos="1134"/>
        </w:tabs>
        <w:spacing w:before="0" w:beforeAutospacing="0" w:after="0" w:afterAutospacing="0" w:line="276" w:lineRule="auto"/>
        <w:ind w:left="0" w:firstLine="0"/>
        <w:jc w:val="both"/>
        <w:rPr>
          <w:rFonts w:asciiTheme="majorHAnsi" w:hAnsiTheme="majorHAnsi" w:cstheme="majorHAnsi"/>
          <w:shd w:val="clear" w:color="auto" w:fill="FFFFFF"/>
          <w:lang w:val="ro-MD"/>
        </w:rPr>
      </w:pPr>
      <w:r w:rsidRPr="00B13B9A">
        <w:rPr>
          <w:rFonts w:asciiTheme="majorHAnsi" w:hAnsiTheme="majorHAnsi" w:cstheme="majorHAnsi"/>
          <w:shd w:val="clear" w:color="auto" w:fill="FFFFFF"/>
          <w:lang w:val="ro-MD"/>
        </w:rPr>
        <w:t xml:space="preserve">identificarea a 8 clădiri </w:t>
      </w:r>
      <w:r w:rsidRPr="00B13B9A">
        <w:rPr>
          <w:rFonts w:asciiTheme="majorHAnsi" w:hAnsiTheme="majorHAnsi" w:cstheme="majorHAnsi"/>
          <w:noProof/>
          <w:lang w:val="ro-MD"/>
        </w:rPr>
        <w:t>ale entită</w:t>
      </w:r>
      <w:r w:rsidR="00B13B9A" w:rsidRPr="00B13B9A">
        <w:rPr>
          <w:rFonts w:asciiTheme="majorHAnsi" w:hAnsiTheme="majorHAnsi" w:cstheme="majorHAnsi"/>
          <w:noProof/>
          <w:lang w:val="ro-MD"/>
        </w:rPr>
        <w:t>ț</w:t>
      </w:r>
      <w:r w:rsidRPr="00B13B9A">
        <w:rPr>
          <w:rFonts w:asciiTheme="majorHAnsi" w:hAnsiTheme="majorHAnsi" w:cstheme="majorHAnsi"/>
          <w:noProof/>
          <w:lang w:val="ro-MD"/>
        </w:rPr>
        <w:t>ii în valoare</w:t>
      </w:r>
      <w:r w:rsidR="00D54BEB" w:rsidRPr="00B13B9A">
        <w:rPr>
          <w:rFonts w:asciiTheme="majorHAnsi" w:hAnsiTheme="majorHAnsi" w:cstheme="majorHAnsi"/>
          <w:noProof/>
          <w:lang w:val="ro-MD"/>
        </w:rPr>
        <w:t xml:space="preserve"> estimată de audit</w:t>
      </w:r>
      <w:r w:rsidRPr="00B13B9A">
        <w:rPr>
          <w:rFonts w:asciiTheme="majorHAnsi" w:hAnsiTheme="majorHAnsi" w:cstheme="majorHAnsi"/>
          <w:noProof/>
          <w:lang w:val="ro-MD"/>
        </w:rPr>
        <w:t xml:space="preserve"> de </w:t>
      </w:r>
      <w:r w:rsidR="00D54BEB" w:rsidRPr="00B13B9A">
        <w:rPr>
          <w:rFonts w:asciiTheme="majorHAnsi" w:hAnsiTheme="majorHAnsi" w:cstheme="majorHAnsi"/>
          <w:noProof/>
          <w:lang w:val="ro-MD"/>
        </w:rPr>
        <w:t xml:space="preserve">cca </w:t>
      </w:r>
      <w:r w:rsidRPr="00B13B9A">
        <w:rPr>
          <w:rFonts w:asciiTheme="majorHAnsi" w:hAnsiTheme="majorHAnsi" w:cstheme="majorHAnsi"/>
          <w:noProof/>
          <w:lang w:val="ro-MD"/>
        </w:rPr>
        <w:t>271,0 mii lei cu suprafa</w:t>
      </w:r>
      <w:r w:rsidR="00B13B9A" w:rsidRPr="00B13B9A">
        <w:rPr>
          <w:rFonts w:asciiTheme="majorHAnsi" w:hAnsiTheme="majorHAnsi" w:cstheme="majorHAnsi"/>
          <w:noProof/>
          <w:lang w:val="ro-MD"/>
        </w:rPr>
        <w:t>ț</w:t>
      </w:r>
      <w:r w:rsidRPr="00B13B9A">
        <w:rPr>
          <w:rFonts w:asciiTheme="majorHAnsi" w:hAnsiTheme="majorHAnsi" w:cstheme="majorHAnsi"/>
          <w:noProof/>
          <w:lang w:val="ro-MD"/>
        </w:rPr>
        <w:t>a de 590,20 m.p</w:t>
      </w:r>
      <w:r w:rsidR="00AE15A5" w:rsidRPr="00B13B9A">
        <w:rPr>
          <w:rFonts w:asciiTheme="majorHAnsi" w:hAnsiTheme="majorHAnsi" w:cstheme="majorHAnsi"/>
          <w:noProof/>
          <w:lang w:val="ro-MD"/>
        </w:rPr>
        <w:t>.</w:t>
      </w:r>
      <w:r w:rsidR="003803F6" w:rsidRPr="00B13B9A">
        <w:rPr>
          <w:rFonts w:asciiTheme="majorHAnsi" w:hAnsiTheme="majorHAnsi" w:cstheme="majorHAnsi"/>
          <w:noProof/>
          <w:lang w:val="ro-MD"/>
        </w:rPr>
        <w:t>,</w:t>
      </w:r>
      <w:r w:rsidRPr="00B13B9A">
        <w:rPr>
          <w:rFonts w:asciiTheme="majorHAnsi" w:hAnsiTheme="majorHAnsi" w:cstheme="majorHAnsi"/>
          <w:noProof/>
          <w:lang w:val="ro-MD"/>
        </w:rPr>
        <w:t xml:space="preserve"> drepturile asupra cărora sunt înregistrate în Registrul bunurilor imobile ca fiind gestionate de IMSP IFP </w:t>
      </w:r>
      <w:r w:rsidR="00AE15A5" w:rsidRPr="00B13B9A">
        <w:rPr>
          <w:rFonts w:asciiTheme="majorHAnsi" w:hAnsiTheme="majorHAnsi" w:cstheme="majorHAnsi"/>
          <w:noProof/>
          <w:lang w:val="ro-MD"/>
        </w:rPr>
        <w:t>„</w:t>
      </w:r>
      <w:r w:rsidRPr="00B13B9A">
        <w:rPr>
          <w:rFonts w:asciiTheme="majorHAnsi" w:hAnsiTheme="majorHAnsi" w:cstheme="majorHAnsi"/>
          <w:noProof/>
          <w:lang w:val="ro-MD"/>
        </w:rPr>
        <w:t>Chiril Draganiuc</w:t>
      </w:r>
      <w:r w:rsidR="00AE15A5" w:rsidRPr="00B13B9A">
        <w:rPr>
          <w:rFonts w:asciiTheme="majorHAnsi" w:hAnsiTheme="majorHAnsi" w:cstheme="majorHAnsi"/>
          <w:noProof/>
          <w:lang w:val="ro-MD"/>
        </w:rPr>
        <w:t>”</w:t>
      </w:r>
      <w:r w:rsidRPr="00B13B9A">
        <w:rPr>
          <w:rFonts w:asciiTheme="majorHAnsi" w:hAnsiTheme="majorHAnsi" w:cstheme="majorHAnsi"/>
          <w:noProof/>
          <w:lang w:val="ro-MD"/>
        </w:rPr>
        <w:t xml:space="preserve">, dar </w:t>
      </w:r>
      <w:r w:rsidRPr="00B13B9A">
        <w:rPr>
          <w:rFonts w:asciiTheme="majorHAnsi" w:hAnsiTheme="majorHAnsi" w:cstheme="majorHAnsi"/>
          <w:shd w:val="clear" w:color="auto" w:fill="FFFFFF"/>
          <w:lang w:val="ro-MD"/>
        </w:rPr>
        <w:t>neînregistrate</w:t>
      </w:r>
      <w:r w:rsidR="00BF2684" w:rsidRPr="00B13B9A">
        <w:rPr>
          <w:rFonts w:asciiTheme="majorHAnsi" w:hAnsiTheme="majorHAnsi" w:cstheme="majorHAnsi"/>
          <w:shd w:val="clear" w:color="auto" w:fill="FFFFFF"/>
          <w:lang w:val="ro-MD"/>
        </w:rPr>
        <w:t xml:space="preserve"> în eviden</w:t>
      </w:r>
      <w:r w:rsidR="00B13B9A" w:rsidRPr="00B13B9A">
        <w:rPr>
          <w:rFonts w:asciiTheme="majorHAnsi" w:hAnsiTheme="majorHAnsi" w:cstheme="majorHAnsi"/>
          <w:shd w:val="clear" w:color="auto" w:fill="FFFFFF"/>
          <w:lang w:val="ro-MD"/>
        </w:rPr>
        <w:t>ț</w:t>
      </w:r>
      <w:r w:rsidR="00BF2684" w:rsidRPr="00B13B9A">
        <w:rPr>
          <w:rFonts w:asciiTheme="majorHAnsi" w:hAnsiTheme="majorHAnsi" w:cstheme="majorHAnsi"/>
          <w:shd w:val="clear" w:color="auto" w:fill="FFFFFF"/>
          <w:lang w:val="ro-MD"/>
        </w:rPr>
        <w:t>a contabilă</w:t>
      </w:r>
      <w:r w:rsidR="003803F6" w:rsidRPr="00B13B9A">
        <w:rPr>
          <w:rFonts w:asciiTheme="majorHAnsi" w:hAnsiTheme="majorHAnsi" w:cstheme="majorHAnsi"/>
          <w:shd w:val="clear" w:color="auto" w:fill="FFFFFF"/>
          <w:lang w:val="ro-MD"/>
        </w:rPr>
        <w:t xml:space="preserve"> a</w:t>
      </w:r>
      <w:r w:rsidR="00BF2684" w:rsidRPr="00B13B9A">
        <w:rPr>
          <w:rFonts w:asciiTheme="majorHAnsi" w:hAnsiTheme="majorHAnsi" w:cstheme="majorHAnsi"/>
          <w:shd w:val="clear" w:color="auto" w:fill="FFFFFF"/>
          <w:lang w:val="ro-MD"/>
        </w:rPr>
        <w:t xml:space="preserve"> </w:t>
      </w:r>
      <w:r w:rsidRPr="00B13B9A">
        <w:rPr>
          <w:rFonts w:asciiTheme="majorHAnsi" w:hAnsiTheme="majorHAnsi" w:cstheme="majorHAnsi"/>
          <w:shd w:val="clear" w:color="auto" w:fill="FFFFFF"/>
          <w:lang w:val="ro-MD"/>
        </w:rPr>
        <w:t>IMSP;</w:t>
      </w:r>
    </w:p>
    <w:p w14:paraId="4456E5EA" w14:textId="60CE4FD9" w:rsidR="00BF2684" w:rsidRPr="00B13B9A" w:rsidRDefault="00B94D25" w:rsidP="00241AB3">
      <w:pPr>
        <w:pStyle w:val="ae"/>
        <w:numPr>
          <w:ilvl w:val="0"/>
          <w:numId w:val="11"/>
        </w:numPr>
        <w:shd w:val="clear" w:color="auto" w:fill="FFFFFF"/>
        <w:tabs>
          <w:tab w:val="left" w:pos="851"/>
          <w:tab w:val="left" w:pos="1134"/>
        </w:tabs>
        <w:spacing w:before="0" w:beforeAutospacing="0" w:after="0" w:afterAutospacing="0" w:line="276" w:lineRule="auto"/>
        <w:ind w:left="0" w:firstLine="0"/>
        <w:jc w:val="both"/>
        <w:rPr>
          <w:rFonts w:asciiTheme="majorHAnsi" w:hAnsiTheme="majorHAnsi" w:cstheme="majorHAnsi"/>
          <w:shd w:val="clear" w:color="auto" w:fill="FFFFFF"/>
          <w:lang w:val="ro-MD"/>
        </w:rPr>
      </w:pPr>
      <w:r w:rsidRPr="00B13B9A">
        <w:rPr>
          <w:rFonts w:asciiTheme="majorHAnsi" w:hAnsiTheme="majorHAnsi" w:cstheme="majorHAnsi"/>
          <w:shd w:val="clear" w:color="auto" w:fill="FFFFFF"/>
          <w:lang w:val="ro-MD"/>
        </w:rPr>
        <w:t>identificarea în e-Cadastru a 2 bunuri în valoare estimată de audit de 133,2 mii lei</w:t>
      </w:r>
      <w:r w:rsidR="0081359A" w:rsidRPr="00B13B9A">
        <w:rPr>
          <w:rFonts w:asciiTheme="majorHAnsi" w:hAnsiTheme="majorHAnsi" w:cstheme="majorHAnsi"/>
          <w:shd w:val="clear" w:color="auto" w:fill="FFFFFF"/>
          <w:lang w:val="ro-MD"/>
        </w:rPr>
        <w:t>,</w:t>
      </w:r>
      <w:r w:rsidRPr="00B13B9A">
        <w:rPr>
          <w:rFonts w:asciiTheme="majorHAnsi" w:hAnsiTheme="majorHAnsi" w:cstheme="majorHAnsi"/>
          <w:shd w:val="clear" w:color="auto" w:fill="FFFFFF"/>
          <w:lang w:val="ro-MD"/>
        </w:rPr>
        <w:t xml:space="preserve"> cu suprafa</w:t>
      </w:r>
      <w:r w:rsidR="00B13B9A" w:rsidRPr="00B13B9A">
        <w:rPr>
          <w:rFonts w:asciiTheme="majorHAnsi" w:hAnsiTheme="majorHAnsi" w:cstheme="majorHAnsi"/>
          <w:shd w:val="clear" w:color="auto" w:fill="FFFFFF"/>
          <w:lang w:val="ro-MD"/>
        </w:rPr>
        <w:t>ț</w:t>
      </w:r>
      <w:r w:rsidRPr="00B13B9A">
        <w:rPr>
          <w:rFonts w:asciiTheme="majorHAnsi" w:hAnsiTheme="majorHAnsi" w:cstheme="majorHAnsi"/>
          <w:shd w:val="clear" w:color="auto" w:fill="FFFFFF"/>
          <w:lang w:val="ro-MD"/>
        </w:rPr>
        <w:t>a totală de 256,0 m.p</w:t>
      </w:r>
      <w:r w:rsidR="0081359A" w:rsidRPr="00B13B9A">
        <w:rPr>
          <w:rFonts w:asciiTheme="majorHAnsi" w:hAnsiTheme="majorHAnsi" w:cstheme="majorHAnsi"/>
          <w:shd w:val="clear" w:color="auto" w:fill="FFFFFF"/>
          <w:lang w:val="ro-MD"/>
        </w:rPr>
        <w:t>.</w:t>
      </w:r>
      <w:r w:rsidRPr="00B13B9A">
        <w:rPr>
          <w:rFonts w:asciiTheme="majorHAnsi" w:hAnsiTheme="majorHAnsi" w:cstheme="majorHAnsi"/>
          <w:shd w:val="clear" w:color="auto" w:fill="FFFFFF"/>
          <w:lang w:val="ro-MD"/>
        </w:rPr>
        <w:t>, asupra cărora IMSP nu a solicitat drepturi</w:t>
      </w:r>
      <w:r w:rsidR="00616E8C" w:rsidRPr="00B13B9A">
        <w:rPr>
          <w:rFonts w:asciiTheme="majorHAnsi" w:hAnsiTheme="majorHAnsi" w:cstheme="majorHAnsi"/>
          <w:shd w:val="clear" w:color="auto" w:fill="FFFFFF"/>
          <w:lang w:val="ro-MD"/>
        </w:rPr>
        <w:t xml:space="preserve"> patrimoniale</w:t>
      </w:r>
      <w:r w:rsidRPr="00B13B9A">
        <w:rPr>
          <w:rFonts w:asciiTheme="majorHAnsi" w:hAnsiTheme="majorHAnsi" w:cstheme="majorHAnsi"/>
          <w:shd w:val="clear" w:color="auto" w:fill="FFFFFF"/>
          <w:lang w:val="ro-MD"/>
        </w:rPr>
        <w:t xml:space="preserve">, astfel </w:t>
      </w:r>
      <w:r w:rsidR="0081359A" w:rsidRPr="00B13B9A">
        <w:rPr>
          <w:rFonts w:asciiTheme="majorHAnsi" w:hAnsiTheme="majorHAnsi" w:cstheme="majorHAnsi"/>
          <w:shd w:val="clear" w:color="auto" w:fill="FFFFFF"/>
          <w:lang w:val="ro-MD"/>
        </w:rPr>
        <w:t>nefiind</w:t>
      </w:r>
      <w:r w:rsidRPr="00B13B9A">
        <w:rPr>
          <w:rFonts w:asciiTheme="majorHAnsi" w:hAnsiTheme="majorHAnsi" w:cstheme="majorHAnsi"/>
          <w:shd w:val="clear" w:color="auto" w:fill="FFFFFF"/>
          <w:lang w:val="ro-MD"/>
        </w:rPr>
        <w:t xml:space="preserve"> </w:t>
      </w:r>
      <w:r w:rsidR="00BF2684" w:rsidRPr="00B13B9A">
        <w:rPr>
          <w:rFonts w:asciiTheme="majorHAnsi" w:hAnsiTheme="majorHAnsi" w:cstheme="majorHAnsi"/>
          <w:shd w:val="clear" w:color="auto" w:fill="FFFFFF"/>
          <w:lang w:val="ro-MD"/>
        </w:rPr>
        <w:t>înregistra</w:t>
      </w:r>
      <w:r w:rsidRPr="00B13B9A">
        <w:rPr>
          <w:rFonts w:asciiTheme="majorHAnsi" w:hAnsiTheme="majorHAnsi" w:cstheme="majorHAnsi"/>
          <w:shd w:val="clear" w:color="auto" w:fill="FFFFFF"/>
          <w:lang w:val="ro-MD"/>
        </w:rPr>
        <w:t>te în eviden</w:t>
      </w:r>
      <w:r w:rsidR="00B13B9A" w:rsidRPr="00B13B9A">
        <w:rPr>
          <w:rFonts w:asciiTheme="majorHAnsi" w:hAnsiTheme="majorHAnsi" w:cstheme="majorHAnsi"/>
          <w:shd w:val="clear" w:color="auto" w:fill="FFFFFF"/>
          <w:lang w:val="ro-MD"/>
        </w:rPr>
        <w:t>ț</w:t>
      </w:r>
      <w:r w:rsidRPr="00B13B9A">
        <w:rPr>
          <w:rFonts w:asciiTheme="majorHAnsi" w:hAnsiTheme="majorHAnsi" w:cstheme="majorHAnsi"/>
          <w:shd w:val="clear" w:color="auto" w:fill="FFFFFF"/>
          <w:lang w:val="ro-MD"/>
        </w:rPr>
        <w:t>a contabilă</w:t>
      </w:r>
      <w:r w:rsidR="00BF2684" w:rsidRPr="00B13B9A">
        <w:rPr>
          <w:rFonts w:asciiTheme="majorHAnsi" w:hAnsiTheme="majorHAnsi" w:cstheme="majorHAnsi"/>
          <w:shd w:val="clear" w:color="auto" w:fill="FFFFFF"/>
          <w:lang w:val="ro-MD"/>
        </w:rPr>
        <w:t xml:space="preserve"> </w:t>
      </w:r>
      <w:r w:rsidR="00B13B9A" w:rsidRPr="00B13B9A">
        <w:rPr>
          <w:rFonts w:asciiTheme="majorHAnsi" w:hAnsiTheme="majorHAnsi" w:cstheme="majorHAnsi"/>
          <w:shd w:val="clear" w:color="auto" w:fill="FFFFFF"/>
          <w:lang w:val="ro-MD"/>
        </w:rPr>
        <w:t>ș</w:t>
      </w:r>
      <w:r w:rsidR="00BF2684" w:rsidRPr="00B13B9A">
        <w:rPr>
          <w:rFonts w:asciiTheme="majorHAnsi" w:hAnsiTheme="majorHAnsi" w:cstheme="majorHAnsi"/>
          <w:shd w:val="clear" w:color="auto" w:fill="FFFFFF"/>
          <w:lang w:val="ro-MD"/>
        </w:rPr>
        <w:t xml:space="preserve">i </w:t>
      </w:r>
      <w:r w:rsidRPr="00B13B9A">
        <w:rPr>
          <w:rFonts w:asciiTheme="majorHAnsi" w:hAnsiTheme="majorHAnsi" w:cstheme="majorHAnsi"/>
          <w:shd w:val="clear" w:color="auto" w:fill="FFFFFF"/>
          <w:lang w:val="ro-MD"/>
        </w:rPr>
        <w:t xml:space="preserve">nici </w:t>
      </w:r>
      <w:r w:rsidR="00BF2684" w:rsidRPr="00B13B9A">
        <w:rPr>
          <w:rFonts w:asciiTheme="majorHAnsi" w:hAnsiTheme="majorHAnsi" w:cstheme="majorHAnsi"/>
          <w:shd w:val="clear" w:color="auto" w:fill="FFFFFF"/>
          <w:lang w:val="ro-MD"/>
        </w:rPr>
        <w:t>în RBI</w:t>
      </w:r>
      <w:r w:rsidR="0081359A" w:rsidRPr="00B13B9A">
        <w:rPr>
          <w:rFonts w:asciiTheme="majorHAnsi" w:hAnsiTheme="majorHAnsi" w:cstheme="majorHAnsi"/>
          <w:shd w:val="clear" w:color="auto" w:fill="FFFFFF"/>
          <w:lang w:val="ro-MD"/>
        </w:rPr>
        <w:t>;</w:t>
      </w:r>
    </w:p>
    <w:p w14:paraId="54BF1AF2" w14:textId="5C2FB5AE" w:rsidR="00BF2684" w:rsidRPr="00B13B9A" w:rsidRDefault="00BF2684" w:rsidP="00241AB3">
      <w:pPr>
        <w:pStyle w:val="ae"/>
        <w:numPr>
          <w:ilvl w:val="0"/>
          <w:numId w:val="11"/>
        </w:numPr>
        <w:shd w:val="clear" w:color="auto" w:fill="FFFFFF"/>
        <w:tabs>
          <w:tab w:val="left" w:pos="851"/>
          <w:tab w:val="left" w:pos="1134"/>
        </w:tabs>
        <w:spacing w:before="0" w:beforeAutospacing="0" w:after="0" w:afterAutospacing="0" w:line="276" w:lineRule="auto"/>
        <w:ind w:left="0" w:firstLine="0"/>
        <w:jc w:val="both"/>
        <w:rPr>
          <w:rFonts w:asciiTheme="majorHAnsi" w:hAnsiTheme="majorHAnsi" w:cstheme="majorHAnsi"/>
          <w:shd w:val="clear" w:color="auto" w:fill="FFFFFF"/>
          <w:lang w:val="ro-MD"/>
        </w:rPr>
      </w:pPr>
      <w:r w:rsidRPr="00B13B9A">
        <w:rPr>
          <w:rFonts w:asciiTheme="majorHAnsi" w:hAnsiTheme="majorHAnsi" w:cstheme="majorHAnsi"/>
          <w:shd w:val="clear" w:color="auto" w:fill="FFFFFF"/>
          <w:lang w:val="ro-MD"/>
        </w:rPr>
        <w:t>înregistrarea neconformă în eviden</w:t>
      </w:r>
      <w:r w:rsidR="00B13B9A" w:rsidRPr="00B13B9A">
        <w:rPr>
          <w:rFonts w:asciiTheme="majorHAnsi" w:hAnsiTheme="majorHAnsi" w:cstheme="majorHAnsi"/>
          <w:shd w:val="clear" w:color="auto" w:fill="FFFFFF"/>
          <w:lang w:val="ro-MD"/>
        </w:rPr>
        <w:t>ț</w:t>
      </w:r>
      <w:r w:rsidR="00B94D25" w:rsidRPr="00B13B9A">
        <w:rPr>
          <w:rFonts w:asciiTheme="majorHAnsi" w:hAnsiTheme="majorHAnsi" w:cstheme="majorHAnsi"/>
          <w:shd w:val="clear" w:color="auto" w:fill="FFFFFF"/>
          <w:lang w:val="ro-MD"/>
        </w:rPr>
        <w:t>a contabilă a unui bun imobil</w:t>
      </w:r>
      <w:r w:rsidR="0081359A" w:rsidRPr="00B13B9A">
        <w:rPr>
          <w:rFonts w:asciiTheme="majorHAnsi" w:hAnsiTheme="majorHAnsi" w:cstheme="majorHAnsi"/>
          <w:shd w:val="clear" w:color="auto" w:fill="FFFFFF"/>
          <w:lang w:val="ro-MD"/>
        </w:rPr>
        <w:t>,</w:t>
      </w:r>
      <w:r w:rsidR="00B94D25" w:rsidRPr="00B13B9A">
        <w:rPr>
          <w:rFonts w:asciiTheme="majorHAnsi" w:hAnsiTheme="majorHAnsi" w:cstheme="majorHAnsi"/>
          <w:shd w:val="clear" w:color="auto" w:fill="FFFFFF"/>
          <w:lang w:val="ro-MD"/>
        </w:rPr>
        <w:t xml:space="preserve"> </w:t>
      </w:r>
      <w:r w:rsidR="0081359A" w:rsidRPr="00B13B9A">
        <w:rPr>
          <w:rFonts w:asciiTheme="majorHAnsi" w:hAnsiTheme="majorHAnsi" w:cstheme="majorHAnsi"/>
          <w:shd w:val="clear" w:color="auto" w:fill="FFFFFF"/>
          <w:lang w:val="ro-MD"/>
        </w:rPr>
        <w:t>S</w:t>
      </w:r>
      <w:r w:rsidRPr="00B13B9A">
        <w:rPr>
          <w:rFonts w:asciiTheme="majorHAnsi" w:hAnsiTheme="majorHAnsi" w:cstheme="majorHAnsi"/>
          <w:shd w:val="clear" w:color="auto" w:fill="FFFFFF"/>
          <w:lang w:val="ro-MD"/>
        </w:rPr>
        <w:t>ta</w:t>
      </w:r>
      <w:r w:rsidR="00B13B9A" w:rsidRPr="00B13B9A">
        <w:rPr>
          <w:rFonts w:asciiTheme="majorHAnsi" w:hAnsiTheme="majorHAnsi" w:cstheme="majorHAnsi"/>
          <w:shd w:val="clear" w:color="auto" w:fill="FFFFFF"/>
          <w:lang w:val="ro-MD"/>
        </w:rPr>
        <w:t>ț</w:t>
      </w:r>
      <w:r w:rsidRPr="00B13B9A">
        <w:rPr>
          <w:rFonts w:asciiTheme="majorHAnsi" w:hAnsiTheme="majorHAnsi" w:cstheme="majorHAnsi"/>
          <w:shd w:val="clear" w:color="auto" w:fill="FFFFFF"/>
          <w:lang w:val="ro-MD"/>
        </w:rPr>
        <w:t>i</w:t>
      </w:r>
      <w:r w:rsidR="0081359A" w:rsidRPr="00B13B9A">
        <w:rPr>
          <w:rFonts w:asciiTheme="majorHAnsi" w:hAnsiTheme="majorHAnsi" w:cstheme="majorHAnsi"/>
          <w:shd w:val="clear" w:color="auto" w:fill="FFFFFF"/>
          <w:lang w:val="ro-MD"/>
        </w:rPr>
        <w:t>a</w:t>
      </w:r>
      <w:r w:rsidRPr="00B13B9A">
        <w:rPr>
          <w:rFonts w:asciiTheme="majorHAnsi" w:hAnsiTheme="majorHAnsi" w:cstheme="majorHAnsi"/>
          <w:shd w:val="clear" w:color="auto" w:fill="FFFFFF"/>
          <w:lang w:val="ro-MD"/>
        </w:rPr>
        <w:t xml:space="preserve"> de transformatoare </w:t>
      </w:r>
      <w:r w:rsidR="00B94D25" w:rsidRPr="00B13B9A">
        <w:rPr>
          <w:rFonts w:asciiTheme="majorHAnsi" w:hAnsiTheme="majorHAnsi" w:cstheme="majorHAnsi"/>
          <w:shd w:val="clear" w:color="auto" w:fill="FFFFFF"/>
          <w:lang w:val="ro-MD"/>
        </w:rPr>
        <w:t xml:space="preserve">a </w:t>
      </w:r>
      <w:r w:rsidRPr="00B13B9A">
        <w:rPr>
          <w:rFonts w:asciiTheme="majorHAnsi" w:hAnsiTheme="majorHAnsi" w:cstheme="majorHAnsi"/>
          <w:shd w:val="clear" w:color="auto" w:fill="FFFFFF"/>
          <w:lang w:val="ro-MD"/>
        </w:rPr>
        <w:t>Cli</w:t>
      </w:r>
      <w:r w:rsidR="00D15513" w:rsidRPr="00B13B9A">
        <w:rPr>
          <w:rFonts w:asciiTheme="majorHAnsi" w:hAnsiTheme="majorHAnsi" w:cstheme="majorHAnsi"/>
          <w:shd w:val="clear" w:color="auto" w:fill="FFFFFF"/>
          <w:lang w:val="ro-MD"/>
        </w:rPr>
        <w:t>nic</w:t>
      </w:r>
      <w:r w:rsidR="00B94D25" w:rsidRPr="00B13B9A">
        <w:rPr>
          <w:rFonts w:asciiTheme="majorHAnsi" w:hAnsiTheme="majorHAnsi" w:cstheme="majorHAnsi"/>
          <w:shd w:val="clear" w:color="auto" w:fill="FFFFFF"/>
          <w:lang w:val="ro-MD"/>
        </w:rPr>
        <w:t xml:space="preserve">ii </w:t>
      </w:r>
      <w:r w:rsidR="00D15513" w:rsidRPr="00B13B9A">
        <w:rPr>
          <w:rFonts w:asciiTheme="majorHAnsi" w:hAnsiTheme="majorHAnsi" w:cstheme="majorHAnsi"/>
          <w:shd w:val="clear" w:color="auto" w:fill="FFFFFF"/>
          <w:lang w:val="ro-MD"/>
        </w:rPr>
        <w:t>Vorniceni</w:t>
      </w:r>
      <w:r w:rsidR="00B94D25" w:rsidRPr="00B13B9A">
        <w:rPr>
          <w:rFonts w:asciiTheme="majorHAnsi" w:hAnsiTheme="majorHAnsi" w:cstheme="majorHAnsi"/>
          <w:shd w:val="clear" w:color="auto" w:fill="FFFFFF"/>
          <w:lang w:val="ro-MD"/>
        </w:rPr>
        <w:t xml:space="preserve">, </w:t>
      </w:r>
      <w:r w:rsidR="00D15513" w:rsidRPr="00B13B9A">
        <w:rPr>
          <w:rFonts w:asciiTheme="majorHAnsi" w:hAnsiTheme="majorHAnsi" w:cstheme="majorHAnsi"/>
          <w:shd w:val="clear" w:color="auto" w:fill="FFFFFF"/>
          <w:lang w:val="ro-MD"/>
        </w:rPr>
        <w:t>în valoare de 43,</w:t>
      </w:r>
      <w:r w:rsidRPr="00B13B9A">
        <w:rPr>
          <w:rFonts w:asciiTheme="majorHAnsi" w:hAnsiTheme="majorHAnsi" w:cstheme="majorHAnsi"/>
          <w:shd w:val="clear" w:color="auto" w:fill="FFFFFF"/>
          <w:lang w:val="ro-MD"/>
        </w:rPr>
        <w:t>9</w:t>
      </w:r>
      <w:r w:rsidR="00D15513" w:rsidRPr="00B13B9A">
        <w:rPr>
          <w:rFonts w:asciiTheme="majorHAnsi" w:hAnsiTheme="majorHAnsi" w:cstheme="majorHAnsi"/>
          <w:shd w:val="clear" w:color="auto" w:fill="FFFFFF"/>
          <w:lang w:val="ro-MD"/>
        </w:rPr>
        <w:t xml:space="preserve"> mii</w:t>
      </w:r>
      <w:r w:rsidRPr="00B13B9A">
        <w:rPr>
          <w:rFonts w:asciiTheme="majorHAnsi" w:hAnsiTheme="majorHAnsi" w:cstheme="majorHAnsi"/>
          <w:shd w:val="clear" w:color="auto" w:fill="FFFFFF"/>
          <w:lang w:val="ro-MD"/>
        </w:rPr>
        <w:t xml:space="preserve"> lei </w:t>
      </w:r>
      <w:r w:rsidR="00B13B9A" w:rsidRPr="00B13B9A">
        <w:rPr>
          <w:rFonts w:asciiTheme="majorHAnsi" w:hAnsiTheme="majorHAnsi" w:cstheme="majorHAnsi"/>
          <w:shd w:val="clear" w:color="auto" w:fill="FFFFFF"/>
          <w:lang w:val="ro-MD"/>
        </w:rPr>
        <w:t>ș</w:t>
      </w:r>
      <w:r w:rsidRPr="00B13B9A">
        <w:rPr>
          <w:rFonts w:asciiTheme="majorHAnsi" w:hAnsiTheme="majorHAnsi" w:cstheme="majorHAnsi"/>
          <w:shd w:val="clear" w:color="auto" w:fill="FFFFFF"/>
          <w:lang w:val="ro-MD"/>
        </w:rPr>
        <w:t>i suprafa</w:t>
      </w:r>
      <w:r w:rsidR="00B13B9A" w:rsidRPr="00B13B9A">
        <w:rPr>
          <w:rFonts w:asciiTheme="majorHAnsi" w:hAnsiTheme="majorHAnsi" w:cstheme="majorHAnsi"/>
          <w:shd w:val="clear" w:color="auto" w:fill="FFFFFF"/>
          <w:lang w:val="ro-MD"/>
        </w:rPr>
        <w:t>ț</w:t>
      </w:r>
      <w:r w:rsidRPr="00B13B9A">
        <w:rPr>
          <w:rFonts w:asciiTheme="majorHAnsi" w:hAnsiTheme="majorHAnsi" w:cstheme="majorHAnsi"/>
          <w:shd w:val="clear" w:color="auto" w:fill="FFFFFF"/>
          <w:lang w:val="ro-MD"/>
        </w:rPr>
        <w:t xml:space="preserve">a </w:t>
      </w:r>
      <w:r w:rsidR="0081359A" w:rsidRPr="00B13B9A">
        <w:rPr>
          <w:rFonts w:asciiTheme="majorHAnsi" w:hAnsiTheme="majorHAnsi" w:cstheme="majorHAnsi"/>
          <w:shd w:val="clear" w:color="auto" w:fill="FFFFFF"/>
          <w:lang w:val="ro-MD"/>
        </w:rPr>
        <w:t xml:space="preserve">de </w:t>
      </w:r>
      <w:r w:rsidRPr="00B13B9A">
        <w:rPr>
          <w:rFonts w:asciiTheme="majorHAnsi" w:hAnsiTheme="majorHAnsi" w:cstheme="majorHAnsi"/>
          <w:shd w:val="clear" w:color="auto" w:fill="FFFFFF"/>
          <w:lang w:val="ro-MD"/>
        </w:rPr>
        <w:t xml:space="preserve">46,40 m.p., </w:t>
      </w:r>
      <w:r w:rsidR="00616E8C" w:rsidRPr="00B13B9A">
        <w:rPr>
          <w:rFonts w:asciiTheme="majorHAnsi" w:hAnsiTheme="majorHAnsi" w:cstheme="majorHAnsi"/>
          <w:shd w:val="clear" w:color="auto" w:fill="FFFFFF"/>
          <w:lang w:val="ro-MD"/>
        </w:rPr>
        <w:t>în timp ce</w:t>
      </w:r>
      <w:r w:rsidRPr="00B13B9A">
        <w:rPr>
          <w:rFonts w:asciiTheme="majorHAnsi" w:hAnsiTheme="majorHAnsi" w:cstheme="majorHAnsi"/>
          <w:shd w:val="clear" w:color="auto" w:fill="FFFFFF"/>
          <w:lang w:val="ro-MD"/>
        </w:rPr>
        <w:t xml:space="preserve"> drepturile de proprietate le de</w:t>
      </w:r>
      <w:r w:rsidR="00B13B9A" w:rsidRPr="00B13B9A">
        <w:rPr>
          <w:rFonts w:asciiTheme="majorHAnsi" w:hAnsiTheme="majorHAnsi" w:cstheme="majorHAnsi"/>
          <w:shd w:val="clear" w:color="auto" w:fill="FFFFFF"/>
          <w:lang w:val="ro-MD"/>
        </w:rPr>
        <w:t>ț</w:t>
      </w:r>
      <w:r w:rsidRPr="00B13B9A">
        <w:rPr>
          <w:rFonts w:asciiTheme="majorHAnsi" w:hAnsiTheme="majorHAnsi" w:cstheme="majorHAnsi"/>
          <w:shd w:val="clear" w:color="auto" w:fill="FFFFFF"/>
          <w:lang w:val="ro-MD"/>
        </w:rPr>
        <w:t xml:space="preserve">ine ICS </w:t>
      </w:r>
      <w:r w:rsidR="0081359A" w:rsidRPr="00B13B9A">
        <w:rPr>
          <w:rFonts w:asciiTheme="majorHAnsi" w:hAnsiTheme="majorHAnsi" w:cstheme="majorHAnsi"/>
          <w:shd w:val="clear" w:color="auto" w:fill="FFFFFF"/>
          <w:lang w:val="ro-MD"/>
        </w:rPr>
        <w:t>„</w:t>
      </w:r>
      <w:r w:rsidR="00CC2624" w:rsidRPr="00B13B9A">
        <w:rPr>
          <w:rFonts w:asciiTheme="majorHAnsi" w:hAnsiTheme="majorHAnsi" w:cstheme="majorHAnsi"/>
          <w:shd w:val="clear" w:color="auto" w:fill="FFFFFF"/>
          <w:lang w:val="ro-MD"/>
        </w:rPr>
        <w:t>P</w:t>
      </w:r>
      <w:r w:rsidR="00B94D25" w:rsidRPr="00B13B9A">
        <w:rPr>
          <w:rFonts w:asciiTheme="majorHAnsi" w:hAnsiTheme="majorHAnsi" w:cstheme="majorHAnsi"/>
          <w:shd w:val="clear" w:color="auto" w:fill="FFFFFF"/>
          <w:lang w:val="ro-MD"/>
        </w:rPr>
        <w:t>remier Energy Distribution</w:t>
      </w:r>
      <w:r w:rsidR="0081359A" w:rsidRPr="00B13B9A">
        <w:rPr>
          <w:rFonts w:asciiTheme="majorHAnsi" w:hAnsiTheme="majorHAnsi" w:cstheme="majorHAnsi"/>
          <w:shd w:val="clear" w:color="auto" w:fill="FFFFFF"/>
          <w:lang w:val="ro-MD"/>
        </w:rPr>
        <w:t>”</w:t>
      </w:r>
      <w:r w:rsidR="00B94D25" w:rsidRPr="00B13B9A">
        <w:rPr>
          <w:rFonts w:asciiTheme="majorHAnsi" w:hAnsiTheme="majorHAnsi" w:cstheme="majorHAnsi"/>
          <w:shd w:val="clear" w:color="auto" w:fill="FFFFFF"/>
          <w:lang w:val="ro-MD"/>
        </w:rPr>
        <w:t xml:space="preserve"> SA;</w:t>
      </w:r>
    </w:p>
    <w:p w14:paraId="4279A70E" w14:textId="661D8762" w:rsidR="00BF2684" w:rsidRPr="00B13B9A" w:rsidRDefault="00BF2684" w:rsidP="00241AB3">
      <w:pPr>
        <w:pStyle w:val="ae"/>
        <w:numPr>
          <w:ilvl w:val="0"/>
          <w:numId w:val="11"/>
        </w:numPr>
        <w:shd w:val="clear" w:color="auto" w:fill="FFFFFF"/>
        <w:tabs>
          <w:tab w:val="left" w:pos="851"/>
          <w:tab w:val="left" w:pos="1134"/>
        </w:tabs>
        <w:spacing w:before="0" w:beforeAutospacing="0" w:after="0" w:afterAutospacing="0" w:line="276" w:lineRule="auto"/>
        <w:ind w:left="0" w:firstLine="0"/>
        <w:jc w:val="both"/>
        <w:rPr>
          <w:rFonts w:asciiTheme="majorHAnsi" w:hAnsiTheme="majorHAnsi" w:cstheme="majorHAnsi"/>
          <w:shd w:val="clear" w:color="auto" w:fill="FFFFFF"/>
          <w:lang w:val="ro-MD"/>
        </w:rPr>
      </w:pPr>
      <w:r w:rsidRPr="00B13B9A">
        <w:rPr>
          <w:rFonts w:asciiTheme="majorHAnsi" w:hAnsiTheme="majorHAnsi" w:cstheme="majorHAnsi"/>
          <w:shd w:val="clear" w:color="auto" w:fill="FFFFFF"/>
          <w:lang w:val="ro-MD"/>
        </w:rPr>
        <w:t>de</w:t>
      </w:r>
      <w:r w:rsidR="00B13B9A" w:rsidRPr="00B13B9A">
        <w:rPr>
          <w:rFonts w:asciiTheme="majorHAnsi" w:hAnsiTheme="majorHAnsi" w:cstheme="majorHAnsi"/>
          <w:shd w:val="clear" w:color="auto" w:fill="FFFFFF"/>
          <w:lang w:val="ro-MD"/>
        </w:rPr>
        <w:t>ș</w:t>
      </w:r>
      <w:r w:rsidRPr="00B13B9A">
        <w:rPr>
          <w:rFonts w:asciiTheme="majorHAnsi" w:hAnsiTheme="majorHAnsi" w:cstheme="majorHAnsi"/>
          <w:shd w:val="clear" w:color="auto" w:fill="FFFFFF"/>
          <w:lang w:val="ro-MD"/>
        </w:rPr>
        <w:t xml:space="preserve">i în </w:t>
      </w:r>
      <w:r w:rsidRPr="00B13B9A">
        <w:rPr>
          <w:rFonts w:asciiTheme="majorHAnsi" w:hAnsiTheme="majorHAnsi"/>
          <w:noProof/>
          <w:lang w:val="ro-MD"/>
        </w:rPr>
        <w:t xml:space="preserve">Darea de seamă </w:t>
      </w:r>
      <w:r w:rsidR="0081359A" w:rsidRPr="00B13B9A">
        <w:rPr>
          <w:rFonts w:asciiTheme="majorHAnsi" w:hAnsiTheme="majorHAnsi" w:cstheme="majorHAnsi"/>
          <w:shd w:val="clear" w:color="auto" w:fill="FFFFFF"/>
          <w:lang w:val="ro-MD"/>
        </w:rPr>
        <w:t>a entită</w:t>
      </w:r>
      <w:r w:rsidR="00B13B9A" w:rsidRPr="00B13B9A">
        <w:rPr>
          <w:rFonts w:asciiTheme="majorHAnsi" w:hAnsiTheme="majorHAnsi" w:cstheme="majorHAnsi"/>
          <w:shd w:val="clear" w:color="auto" w:fill="FFFFFF"/>
          <w:lang w:val="ro-MD"/>
        </w:rPr>
        <w:t>ț</w:t>
      </w:r>
      <w:r w:rsidR="0081359A" w:rsidRPr="00B13B9A">
        <w:rPr>
          <w:rFonts w:asciiTheme="majorHAnsi" w:hAnsiTheme="majorHAnsi" w:cstheme="majorHAnsi"/>
          <w:shd w:val="clear" w:color="auto" w:fill="FFFFFF"/>
          <w:lang w:val="ro-MD"/>
        </w:rPr>
        <w:t>ii</w:t>
      </w:r>
      <w:r w:rsidR="0081359A" w:rsidRPr="00B13B9A">
        <w:rPr>
          <w:rFonts w:asciiTheme="majorHAnsi" w:hAnsiTheme="majorHAnsi"/>
          <w:noProof/>
          <w:lang w:val="ro-MD"/>
        </w:rPr>
        <w:t xml:space="preserve"> </w:t>
      </w:r>
      <w:r w:rsidRPr="00B13B9A">
        <w:rPr>
          <w:rFonts w:asciiTheme="majorHAnsi" w:hAnsiTheme="majorHAnsi"/>
          <w:noProof/>
          <w:lang w:val="ro-MD"/>
        </w:rPr>
        <w:t xml:space="preserve">privind bunurile imobile proprietate publică a statului </w:t>
      </w:r>
      <w:r w:rsidRPr="00B13B9A">
        <w:rPr>
          <w:rFonts w:asciiTheme="majorHAnsi" w:hAnsiTheme="majorHAnsi" w:cstheme="majorHAnsi"/>
          <w:shd w:val="clear" w:color="auto" w:fill="FFFFFF"/>
          <w:lang w:val="ro-MD"/>
        </w:rPr>
        <w:t xml:space="preserve">sunt reflectate </w:t>
      </w:r>
      <w:r w:rsidR="002F3A86" w:rsidRPr="00B13B9A">
        <w:rPr>
          <w:rFonts w:asciiTheme="majorHAnsi" w:hAnsiTheme="majorHAnsi" w:cstheme="majorHAnsi"/>
          <w:shd w:val="clear" w:color="auto" w:fill="FFFFFF"/>
          <w:lang w:val="ro-MD"/>
        </w:rPr>
        <w:t>2 numere</w:t>
      </w:r>
      <w:r w:rsidRPr="00B13B9A">
        <w:rPr>
          <w:rFonts w:asciiTheme="majorHAnsi" w:hAnsiTheme="majorHAnsi" w:cstheme="majorHAnsi"/>
          <w:shd w:val="clear" w:color="auto" w:fill="FFFFFF"/>
          <w:lang w:val="ro-MD"/>
        </w:rPr>
        <w:t xml:space="preserve"> cadastrale</w:t>
      </w:r>
      <w:r w:rsidR="00111AF8" w:rsidRPr="00B13B9A">
        <w:rPr>
          <w:rStyle w:val="a9"/>
          <w:rFonts w:asciiTheme="majorHAnsi" w:hAnsiTheme="majorHAnsi"/>
          <w:noProof/>
          <w:sz w:val="24"/>
          <w:lang w:val="ro-MD"/>
        </w:rPr>
        <w:footnoteReference w:id="16"/>
      </w:r>
      <w:r w:rsidRPr="00B13B9A">
        <w:rPr>
          <w:rFonts w:asciiTheme="majorHAnsi" w:hAnsiTheme="majorHAnsi" w:cstheme="majorHAnsi"/>
          <w:shd w:val="clear" w:color="auto" w:fill="FFFFFF"/>
          <w:lang w:val="ro-MD"/>
        </w:rPr>
        <w:t>, în Registrul bunurilor imobile acestea nu există;</w:t>
      </w:r>
    </w:p>
    <w:p w14:paraId="500AA890" w14:textId="61C20E49" w:rsidR="00BF2684" w:rsidRPr="00B13B9A" w:rsidRDefault="002F3A86" w:rsidP="00241AB3">
      <w:pPr>
        <w:pStyle w:val="ae"/>
        <w:numPr>
          <w:ilvl w:val="0"/>
          <w:numId w:val="11"/>
        </w:numPr>
        <w:shd w:val="clear" w:color="auto" w:fill="FFFFFF"/>
        <w:tabs>
          <w:tab w:val="left" w:pos="851"/>
          <w:tab w:val="left" w:pos="1134"/>
        </w:tabs>
        <w:spacing w:before="0" w:beforeAutospacing="0" w:after="0" w:afterAutospacing="0" w:line="276" w:lineRule="auto"/>
        <w:ind w:left="0" w:firstLine="0"/>
        <w:jc w:val="both"/>
        <w:rPr>
          <w:rFonts w:asciiTheme="majorHAnsi" w:hAnsiTheme="majorHAnsi" w:cstheme="majorHAnsi"/>
          <w:shd w:val="clear" w:color="auto" w:fill="FFFFFF"/>
          <w:lang w:val="ro-MD"/>
        </w:rPr>
      </w:pPr>
      <w:r w:rsidRPr="00B13B9A">
        <w:rPr>
          <w:rFonts w:asciiTheme="majorHAnsi" w:hAnsiTheme="majorHAnsi" w:cstheme="majorHAnsi"/>
          <w:shd w:val="clear" w:color="auto" w:fill="FFFFFF"/>
          <w:lang w:val="ro-MD"/>
        </w:rPr>
        <w:t xml:space="preserve">atribuirea </w:t>
      </w:r>
      <w:r w:rsidR="0081359A" w:rsidRPr="00B13B9A">
        <w:rPr>
          <w:rFonts w:asciiTheme="majorHAnsi" w:hAnsiTheme="majorHAnsi" w:cstheme="majorHAnsi"/>
          <w:shd w:val="clear" w:color="auto" w:fill="FFFFFF"/>
          <w:lang w:val="ro-MD"/>
        </w:rPr>
        <w:t xml:space="preserve">unui </w:t>
      </w:r>
      <w:r w:rsidR="001B6264" w:rsidRPr="00B13B9A">
        <w:rPr>
          <w:rFonts w:asciiTheme="majorHAnsi" w:hAnsiTheme="majorHAnsi" w:cstheme="majorHAnsi"/>
          <w:shd w:val="clear" w:color="auto" w:fill="FFFFFF"/>
          <w:lang w:val="ro-MD"/>
        </w:rPr>
        <w:t xml:space="preserve">număr cadastral </w:t>
      </w:r>
      <w:r w:rsidRPr="00B13B9A">
        <w:rPr>
          <w:rFonts w:asciiTheme="majorHAnsi" w:hAnsiTheme="majorHAnsi" w:cstheme="majorHAnsi"/>
          <w:shd w:val="clear" w:color="auto" w:fill="FFFFFF"/>
          <w:lang w:val="ro-MD"/>
        </w:rPr>
        <w:t>eronat</w:t>
      </w:r>
      <w:r w:rsidR="00BC4E04" w:rsidRPr="00B13B9A">
        <w:rPr>
          <w:rStyle w:val="a9"/>
          <w:rFonts w:asciiTheme="majorHAnsi" w:hAnsiTheme="majorHAnsi" w:cstheme="majorHAnsi"/>
          <w:sz w:val="24"/>
          <w:shd w:val="clear" w:color="auto" w:fill="FFFFFF"/>
          <w:lang w:val="ro-MD"/>
        </w:rPr>
        <w:footnoteReference w:id="17"/>
      </w:r>
      <w:r w:rsidRPr="00B13B9A">
        <w:rPr>
          <w:rFonts w:asciiTheme="majorHAnsi" w:hAnsiTheme="majorHAnsi" w:cstheme="majorHAnsi"/>
          <w:shd w:val="clear" w:color="auto" w:fill="FFFFFF"/>
          <w:lang w:val="ro-MD"/>
        </w:rPr>
        <w:t xml:space="preserve"> </w:t>
      </w:r>
      <w:r w:rsidRPr="00B13B9A">
        <w:rPr>
          <w:rFonts w:asciiTheme="majorHAnsi" w:hAnsiTheme="majorHAnsi"/>
          <w:noProof/>
          <w:lang w:val="ro-MD"/>
        </w:rPr>
        <w:t>cazangeriei</w:t>
      </w:r>
      <w:r w:rsidRPr="00B13B9A">
        <w:rPr>
          <w:rFonts w:asciiTheme="majorHAnsi" w:hAnsiTheme="majorHAnsi" w:cstheme="majorHAnsi"/>
          <w:shd w:val="clear" w:color="auto" w:fill="FFFFFF"/>
          <w:lang w:val="ro-MD"/>
        </w:rPr>
        <w:t xml:space="preserve"> </w:t>
      </w:r>
      <w:r w:rsidR="00BF2684" w:rsidRPr="00B13B9A">
        <w:rPr>
          <w:rFonts w:asciiTheme="majorHAnsi" w:hAnsiTheme="majorHAnsi" w:cstheme="majorHAnsi"/>
          <w:shd w:val="clear" w:color="auto" w:fill="FFFFFF"/>
          <w:lang w:val="ro-MD"/>
        </w:rPr>
        <w:t xml:space="preserve">în </w:t>
      </w:r>
      <w:r w:rsidR="00BF2684" w:rsidRPr="00B13B9A">
        <w:rPr>
          <w:rFonts w:asciiTheme="majorHAnsi" w:hAnsiTheme="majorHAnsi"/>
          <w:noProof/>
          <w:lang w:val="ro-MD"/>
        </w:rPr>
        <w:t xml:space="preserve">Darea de seamă privind bunurile imobile proprietate publică a </w:t>
      </w:r>
      <w:r w:rsidRPr="00B13B9A">
        <w:rPr>
          <w:rFonts w:asciiTheme="majorHAnsi" w:hAnsiTheme="majorHAnsi"/>
          <w:noProof/>
          <w:lang w:val="ro-MD"/>
        </w:rPr>
        <w:t xml:space="preserve">statului, care </w:t>
      </w:r>
      <w:r w:rsidRPr="00B13B9A">
        <w:rPr>
          <w:rFonts w:asciiTheme="majorHAnsi" w:hAnsiTheme="majorHAnsi" w:cstheme="majorHAnsi"/>
          <w:shd w:val="clear" w:color="auto" w:fill="FFFFFF"/>
          <w:lang w:val="ro-MD"/>
        </w:rPr>
        <w:t>conform datelor din RBI apar</w:t>
      </w:r>
      <w:r w:rsidR="00B13B9A" w:rsidRPr="00B13B9A">
        <w:rPr>
          <w:rFonts w:asciiTheme="majorHAnsi" w:hAnsiTheme="majorHAnsi" w:cstheme="majorHAnsi"/>
          <w:shd w:val="clear" w:color="auto" w:fill="FFFFFF"/>
          <w:lang w:val="ro-MD"/>
        </w:rPr>
        <w:t>ț</w:t>
      </w:r>
      <w:r w:rsidRPr="00B13B9A">
        <w:rPr>
          <w:rFonts w:asciiTheme="majorHAnsi" w:hAnsiTheme="majorHAnsi" w:cstheme="majorHAnsi"/>
          <w:shd w:val="clear" w:color="auto" w:fill="FFFFFF"/>
          <w:lang w:val="ro-MD"/>
        </w:rPr>
        <w:t>ine unui bun</w:t>
      </w:r>
      <w:r w:rsidR="00BF2684" w:rsidRPr="00B13B9A">
        <w:rPr>
          <w:rFonts w:asciiTheme="majorHAnsi" w:hAnsiTheme="majorHAnsi" w:cstheme="majorHAnsi"/>
          <w:shd w:val="clear" w:color="auto" w:fill="FFFFFF"/>
          <w:lang w:val="ro-MD"/>
        </w:rPr>
        <w:t xml:space="preserve"> imobil a</w:t>
      </w:r>
      <w:r w:rsidR="0081359A" w:rsidRPr="00B13B9A">
        <w:rPr>
          <w:rFonts w:asciiTheme="majorHAnsi" w:hAnsiTheme="majorHAnsi" w:cstheme="majorHAnsi"/>
          <w:shd w:val="clear" w:color="auto" w:fill="FFFFFF"/>
          <w:lang w:val="ro-MD"/>
        </w:rPr>
        <w:t>l</w:t>
      </w:r>
      <w:r w:rsidR="00BF2684" w:rsidRPr="00B13B9A">
        <w:rPr>
          <w:rFonts w:asciiTheme="majorHAnsi" w:hAnsiTheme="majorHAnsi" w:cstheme="majorHAnsi"/>
          <w:shd w:val="clear" w:color="auto" w:fill="FFFFFF"/>
          <w:lang w:val="ro-MD"/>
        </w:rPr>
        <w:t xml:space="preserve"> cărui drept de proprietate îl de</w:t>
      </w:r>
      <w:r w:rsidR="00B13B9A" w:rsidRPr="00B13B9A">
        <w:rPr>
          <w:rFonts w:asciiTheme="majorHAnsi" w:hAnsiTheme="majorHAnsi" w:cstheme="majorHAnsi"/>
          <w:shd w:val="clear" w:color="auto" w:fill="FFFFFF"/>
          <w:lang w:val="ro-MD"/>
        </w:rPr>
        <w:t>ț</w:t>
      </w:r>
      <w:r w:rsidR="00BF2684" w:rsidRPr="00B13B9A">
        <w:rPr>
          <w:rFonts w:asciiTheme="majorHAnsi" w:hAnsiTheme="majorHAnsi" w:cstheme="majorHAnsi"/>
          <w:shd w:val="clear" w:color="auto" w:fill="FFFFFF"/>
          <w:lang w:val="ro-MD"/>
        </w:rPr>
        <w:t xml:space="preserve">ine ICS </w:t>
      </w:r>
      <w:r w:rsidR="0081359A" w:rsidRPr="00B13B9A">
        <w:rPr>
          <w:rFonts w:asciiTheme="majorHAnsi" w:hAnsiTheme="majorHAnsi" w:cstheme="majorHAnsi"/>
          <w:shd w:val="clear" w:color="auto" w:fill="FFFFFF"/>
          <w:lang w:val="ro-MD"/>
        </w:rPr>
        <w:t>„</w:t>
      </w:r>
      <w:r w:rsidR="00BF2684" w:rsidRPr="00B13B9A">
        <w:rPr>
          <w:rFonts w:asciiTheme="majorHAnsi" w:hAnsiTheme="majorHAnsi" w:cstheme="majorHAnsi"/>
          <w:shd w:val="clear" w:color="auto" w:fill="FFFFFF"/>
          <w:lang w:val="ro-MD"/>
        </w:rPr>
        <w:t>Premier Energy Distribution</w:t>
      </w:r>
      <w:r w:rsidR="0081359A" w:rsidRPr="00B13B9A">
        <w:rPr>
          <w:rFonts w:asciiTheme="majorHAnsi" w:hAnsiTheme="majorHAnsi" w:cstheme="majorHAnsi"/>
          <w:shd w:val="clear" w:color="auto" w:fill="FFFFFF"/>
          <w:lang w:val="ro-MD"/>
        </w:rPr>
        <w:t>”</w:t>
      </w:r>
      <w:r w:rsidR="00BF2684" w:rsidRPr="00B13B9A">
        <w:rPr>
          <w:rFonts w:asciiTheme="majorHAnsi" w:hAnsiTheme="majorHAnsi" w:cstheme="majorHAnsi"/>
          <w:shd w:val="clear" w:color="auto" w:fill="FFFFFF"/>
          <w:lang w:val="ro-MD"/>
        </w:rPr>
        <w:t xml:space="preserve"> SA;</w:t>
      </w:r>
    </w:p>
    <w:p w14:paraId="43F18C68" w14:textId="12524DF7" w:rsidR="002F3A86" w:rsidRPr="00B13B9A" w:rsidRDefault="00E00EE3" w:rsidP="00241AB3">
      <w:pPr>
        <w:pStyle w:val="ae"/>
        <w:numPr>
          <w:ilvl w:val="0"/>
          <w:numId w:val="11"/>
        </w:numPr>
        <w:shd w:val="clear" w:color="auto" w:fill="FFFFFF"/>
        <w:tabs>
          <w:tab w:val="left" w:pos="851"/>
          <w:tab w:val="left" w:pos="1134"/>
        </w:tabs>
        <w:spacing w:before="0" w:beforeAutospacing="0" w:after="0" w:afterAutospacing="0" w:line="276" w:lineRule="auto"/>
        <w:ind w:left="0" w:firstLine="0"/>
        <w:jc w:val="both"/>
        <w:rPr>
          <w:rFonts w:asciiTheme="majorHAnsi" w:hAnsiTheme="majorHAnsi" w:cstheme="majorHAnsi"/>
          <w:shd w:val="clear" w:color="auto" w:fill="FFFFFF"/>
          <w:lang w:val="ro-MD"/>
        </w:rPr>
      </w:pPr>
      <w:r w:rsidRPr="00B13B9A">
        <w:rPr>
          <w:rFonts w:asciiTheme="majorHAnsi" w:hAnsiTheme="majorHAnsi" w:cstheme="majorHAnsi"/>
          <w:shd w:val="clear" w:color="auto" w:fill="FFFFFF"/>
          <w:lang w:val="ro-MD"/>
        </w:rPr>
        <w:t>în eviden</w:t>
      </w:r>
      <w:r w:rsidR="00B13B9A" w:rsidRPr="00B13B9A">
        <w:rPr>
          <w:rFonts w:asciiTheme="majorHAnsi" w:hAnsiTheme="majorHAnsi" w:cstheme="majorHAnsi"/>
          <w:shd w:val="clear" w:color="auto" w:fill="FFFFFF"/>
          <w:lang w:val="ro-MD"/>
        </w:rPr>
        <w:t>ț</w:t>
      </w:r>
      <w:r w:rsidRPr="00B13B9A">
        <w:rPr>
          <w:rFonts w:asciiTheme="majorHAnsi" w:hAnsiTheme="majorHAnsi" w:cstheme="majorHAnsi"/>
          <w:shd w:val="clear" w:color="auto" w:fill="FFFFFF"/>
          <w:lang w:val="ro-MD"/>
        </w:rPr>
        <w:t>a contabilă este înregistrată</w:t>
      </w:r>
      <w:r w:rsidR="002F3A86" w:rsidRPr="00B13B9A">
        <w:rPr>
          <w:rFonts w:asciiTheme="majorHAnsi" w:hAnsiTheme="majorHAnsi" w:cstheme="majorHAnsi"/>
          <w:shd w:val="clear" w:color="auto" w:fill="FFFFFF"/>
          <w:lang w:val="ro-MD"/>
        </w:rPr>
        <w:t xml:space="preserve"> cas</w:t>
      </w:r>
      <w:r w:rsidRPr="00B13B9A">
        <w:rPr>
          <w:rFonts w:asciiTheme="majorHAnsi" w:hAnsiTheme="majorHAnsi" w:cstheme="majorHAnsi"/>
          <w:shd w:val="clear" w:color="auto" w:fill="FFFFFF"/>
          <w:lang w:val="ro-MD"/>
        </w:rPr>
        <w:t>a</w:t>
      </w:r>
      <w:r w:rsidR="002F3A86" w:rsidRPr="00B13B9A">
        <w:rPr>
          <w:rFonts w:asciiTheme="majorHAnsi" w:hAnsiTheme="majorHAnsi" w:cstheme="majorHAnsi"/>
          <w:shd w:val="clear" w:color="auto" w:fill="FFFFFF"/>
          <w:lang w:val="ro-MD"/>
        </w:rPr>
        <w:t xml:space="preserve"> cu 4 apartamente </w:t>
      </w:r>
      <w:r w:rsidRPr="00B13B9A">
        <w:rPr>
          <w:rFonts w:asciiTheme="majorHAnsi" w:hAnsiTheme="majorHAnsi" w:cstheme="majorHAnsi"/>
          <w:shd w:val="clear" w:color="auto" w:fill="FFFFFF"/>
          <w:lang w:val="ro-MD"/>
        </w:rPr>
        <w:t xml:space="preserve">de </w:t>
      </w:r>
      <w:r w:rsidR="0069084E" w:rsidRPr="00B13B9A">
        <w:rPr>
          <w:rFonts w:asciiTheme="majorHAnsi" w:hAnsiTheme="majorHAnsi" w:cstheme="majorHAnsi"/>
          <w:shd w:val="clear" w:color="auto" w:fill="FFFFFF"/>
          <w:lang w:val="ro-MD"/>
        </w:rPr>
        <w:t xml:space="preserve">pe teritoriul </w:t>
      </w:r>
      <w:r w:rsidR="00C37EED" w:rsidRPr="00B13B9A">
        <w:rPr>
          <w:rFonts w:asciiTheme="majorHAnsi" w:hAnsiTheme="majorHAnsi" w:cstheme="majorHAnsi"/>
          <w:shd w:val="clear" w:color="auto" w:fill="FFFFFF"/>
          <w:lang w:val="ro-MD"/>
        </w:rPr>
        <w:t>C</w:t>
      </w:r>
      <w:r w:rsidR="0069084E" w:rsidRPr="00B13B9A">
        <w:rPr>
          <w:rFonts w:asciiTheme="majorHAnsi" w:hAnsiTheme="majorHAnsi" w:cstheme="majorHAnsi"/>
          <w:shd w:val="clear" w:color="auto" w:fill="FFFFFF"/>
          <w:lang w:val="ro-MD"/>
        </w:rPr>
        <w:t>linicii Vorniceni</w:t>
      </w:r>
      <w:r w:rsidR="00F34E75" w:rsidRPr="00B13B9A">
        <w:rPr>
          <w:rFonts w:asciiTheme="majorHAnsi" w:hAnsiTheme="majorHAnsi" w:cstheme="majorHAnsi"/>
          <w:shd w:val="clear" w:color="auto" w:fill="FFFFFF"/>
          <w:lang w:val="ro-MD"/>
        </w:rPr>
        <w:t>,</w:t>
      </w:r>
      <w:r w:rsidR="00DB6082" w:rsidRPr="00B13B9A">
        <w:rPr>
          <w:rFonts w:asciiTheme="majorHAnsi" w:hAnsiTheme="majorHAnsi" w:cstheme="majorHAnsi"/>
          <w:shd w:val="clear" w:color="auto" w:fill="FFFFFF"/>
          <w:lang w:val="ro-MD"/>
        </w:rPr>
        <w:t xml:space="preserve"> </w:t>
      </w:r>
      <w:r w:rsidRPr="00B13B9A">
        <w:rPr>
          <w:rFonts w:asciiTheme="majorHAnsi" w:hAnsiTheme="majorHAnsi" w:cstheme="majorHAnsi"/>
          <w:shd w:val="clear" w:color="auto" w:fill="FFFFFF"/>
          <w:lang w:val="ro-MD"/>
        </w:rPr>
        <w:t xml:space="preserve">cu </w:t>
      </w:r>
      <w:r w:rsidR="00DB6082" w:rsidRPr="00B13B9A">
        <w:rPr>
          <w:rFonts w:asciiTheme="majorHAnsi" w:hAnsiTheme="majorHAnsi" w:cstheme="majorHAnsi"/>
          <w:shd w:val="clear" w:color="auto" w:fill="FFFFFF"/>
          <w:lang w:val="ro-MD"/>
        </w:rPr>
        <w:t>valoare</w:t>
      </w:r>
      <w:r w:rsidRPr="00B13B9A">
        <w:rPr>
          <w:rFonts w:asciiTheme="majorHAnsi" w:hAnsiTheme="majorHAnsi" w:cstheme="majorHAnsi"/>
          <w:shd w:val="clear" w:color="auto" w:fill="FFFFFF"/>
          <w:lang w:val="ro-MD"/>
        </w:rPr>
        <w:t>a</w:t>
      </w:r>
      <w:r w:rsidR="00DB6082" w:rsidRPr="00B13B9A">
        <w:rPr>
          <w:rFonts w:asciiTheme="majorHAnsi" w:hAnsiTheme="majorHAnsi" w:cstheme="majorHAnsi"/>
          <w:shd w:val="clear" w:color="auto" w:fill="FFFFFF"/>
          <w:lang w:val="ro-MD"/>
        </w:rPr>
        <w:t xml:space="preserve"> de 136,2 mii lei</w:t>
      </w:r>
      <w:r w:rsidRPr="00B13B9A">
        <w:rPr>
          <w:rFonts w:asciiTheme="majorHAnsi" w:hAnsiTheme="majorHAnsi" w:cstheme="majorHAnsi"/>
          <w:shd w:val="clear" w:color="auto" w:fill="FFFFFF"/>
          <w:lang w:val="ro-MD"/>
        </w:rPr>
        <w:t xml:space="preserve"> </w:t>
      </w:r>
      <w:r w:rsidR="00B13B9A" w:rsidRPr="00B13B9A">
        <w:rPr>
          <w:rFonts w:asciiTheme="majorHAnsi" w:hAnsiTheme="majorHAnsi" w:cstheme="majorHAnsi"/>
          <w:shd w:val="clear" w:color="auto" w:fill="FFFFFF"/>
          <w:lang w:val="ro-MD"/>
        </w:rPr>
        <w:t>ș</w:t>
      </w:r>
      <w:r w:rsidRPr="00B13B9A">
        <w:rPr>
          <w:rFonts w:asciiTheme="majorHAnsi" w:hAnsiTheme="majorHAnsi" w:cstheme="majorHAnsi"/>
          <w:shd w:val="clear" w:color="auto" w:fill="FFFFFF"/>
          <w:lang w:val="ro-MD"/>
        </w:rPr>
        <w:t>i</w:t>
      </w:r>
      <w:r w:rsidR="00DB6082" w:rsidRPr="00B13B9A">
        <w:rPr>
          <w:rFonts w:asciiTheme="majorHAnsi" w:hAnsiTheme="majorHAnsi" w:cstheme="majorHAnsi"/>
          <w:shd w:val="clear" w:color="auto" w:fill="FFFFFF"/>
          <w:lang w:val="ro-MD"/>
        </w:rPr>
        <w:t xml:space="preserve"> cu suprafa</w:t>
      </w:r>
      <w:r w:rsidR="00B13B9A" w:rsidRPr="00B13B9A">
        <w:rPr>
          <w:rFonts w:asciiTheme="majorHAnsi" w:hAnsiTheme="majorHAnsi" w:cstheme="majorHAnsi"/>
          <w:shd w:val="clear" w:color="auto" w:fill="FFFFFF"/>
          <w:lang w:val="ro-MD"/>
        </w:rPr>
        <w:t>ț</w:t>
      </w:r>
      <w:r w:rsidR="00DB6082" w:rsidRPr="00B13B9A">
        <w:rPr>
          <w:rFonts w:asciiTheme="majorHAnsi" w:hAnsiTheme="majorHAnsi" w:cstheme="majorHAnsi"/>
          <w:shd w:val="clear" w:color="auto" w:fill="FFFFFF"/>
          <w:lang w:val="ro-MD"/>
        </w:rPr>
        <w:t>a de 356,0 m.p.</w:t>
      </w:r>
      <w:r w:rsidR="0069084E" w:rsidRPr="00B13B9A">
        <w:rPr>
          <w:rFonts w:asciiTheme="majorHAnsi" w:hAnsiTheme="majorHAnsi" w:cstheme="majorHAnsi"/>
          <w:shd w:val="clear" w:color="auto" w:fill="FFFFFF"/>
          <w:lang w:val="ro-MD"/>
        </w:rPr>
        <w:t>, iar la organele cadastrale</w:t>
      </w:r>
      <w:r w:rsidR="00F34E75" w:rsidRPr="00B13B9A">
        <w:rPr>
          <w:rFonts w:asciiTheme="majorHAnsi" w:hAnsiTheme="majorHAnsi" w:cstheme="majorHAnsi"/>
          <w:shd w:val="clear" w:color="auto" w:fill="FFFFFF"/>
          <w:lang w:val="ro-MD"/>
        </w:rPr>
        <w:t xml:space="preserve"> lips</w:t>
      </w:r>
      <w:r w:rsidRPr="00B13B9A">
        <w:rPr>
          <w:rFonts w:asciiTheme="majorHAnsi" w:hAnsiTheme="majorHAnsi" w:cstheme="majorHAnsi"/>
          <w:shd w:val="clear" w:color="auto" w:fill="FFFFFF"/>
          <w:lang w:val="ro-MD"/>
        </w:rPr>
        <w:t>esc</w:t>
      </w:r>
      <w:r w:rsidR="00F34E75" w:rsidRPr="00B13B9A">
        <w:rPr>
          <w:rFonts w:asciiTheme="majorHAnsi" w:hAnsiTheme="majorHAnsi" w:cstheme="majorHAnsi"/>
          <w:shd w:val="clear" w:color="auto" w:fill="FFFFFF"/>
          <w:lang w:val="ro-MD"/>
        </w:rPr>
        <w:t xml:space="preserve"> datele </w:t>
      </w:r>
      <w:r w:rsidR="002F3A86" w:rsidRPr="00B13B9A">
        <w:rPr>
          <w:rFonts w:asciiTheme="majorHAnsi" w:hAnsiTheme="majorHAnsi" w:cstheme="majorHAnsi"/>
          <w:shd w:val="clear" w:color="auto" w:fill="FFFFFF"/>
          <w:lang w:val="ro-MD"/>
        </w:rPr>
        <w:t>privind suprafa</w:t>
      </w:r>
      <w:r w:rsidR="00B13B9A" w:rsidRPr="00B13B9A">
        <w:rPr>
          <w:rFonts w:asciiTheme="majorHAnsi" w:hAnsiTheme="majorHAnsi" w:cstheme="majorHAnsi"/>
          <w:shd w:val="clear" w:color="auto" w:fill="FFFFFF"/>
          <w:lang w:val="ro-MD"/>
        </w:rPr>
        <w:t>ț</w:t>
      </w:r>
      <w:r w:rsidR="002F3A86" w:rsidRPr="00B13B9A">
        <w:rPr>
          <w:rFonts w:asciiTheme="majorHAnsi" w:hAnsiTheme="majorHAnsi" w:cstheme="majorHAnsi"/>
          <w:shd w:val="clear" w:color="auto" w:fill="FFFFFF"/>
          <w:lang w:val="ro-MD"/>
        </w:rPr>
        <w:t xml:space="preserve">a </w:t>
      </w:r>
      <w:r w:rsidR="00B13B9A" w:rsidRPr="00B13B9A">
        <w:rPr>
          <w:rFonts w:asciiTheme="majorHAnsi" w:hAnsiTheme="majorHAnsi" w:cstheme="majorHAnsi"/>
          <w:shd w:val="clear" w:color="auto" w:fill="FFFFFF"/>
          <w:lang w:val="ro-MD"/>
        </w:rPr>
        <w:t>ș</w:t>
      </w:r>
      <w:r w:rsidR="002F3A86" w:rsidRPr="00B13B9A">
        <w:rPr>
          <w:rFonts w:asciiTheme="majorHAnsi" w:hAnsiTheme="majorHAnsi" w:cstheme="majorHAnsi"/>
          <w:shd w:val="clear" w:color="auto" w:fill="FFFFFF"/>
          <w:lang w:val="ro-MD"/>
        </w:rPr>
        <w:t>i valoare</w:t>
      </w:r>
      <w:r w:rsidR="0069084E" w:rsidRPr="00B13B9A">
        <w:rPr>
          <w:rFonts w:asciiTheme="majorHAnsi" w:hAnsiTheme="majorHAnsi" w:cstheme="majorHAnsi"/>
          <w:shd w:val="clear" w:color="auto" w:fill="FFFFFF"/>
          <w:lang w:val="ro-MD"/>
        </w:rPr>
        <w:t>a acesteia</w:t>
      </w:r>
      <w:r w:rsidR="002F3A86" w:rsidRPr="00B13B9A">
        <w:rPr>
          <w:rFonts w:asciiTheme="majorHAnsi" w:hAnsiTheme="majorHAnsi" w:cstheme="majorHAnsi"/>
          <w:shd w:val="clear" w:color="auto" w:fill="FFFFFF"/>
          <w:lang w:val="ro-MD"/>
        </w:rPr>
        <w:t>.</w:t>
      </w:r>
    </w:p>
    <w:p w14:paraId="24A4416F" w14:textId="21C569E5" w:rsidR="002F3A86" w:rsidRPr="00B13B9A" w:rsidRDefault="002F3A86" w:rsidP="002F3A86">
      <w:pPr>
        <w:pStyle w:val="ae"/>
        <w:shd w:val="clear" w:color="auto" w:fill="FFFFFF"/>
        <w:tabs>
          <w:tab w:val="left" w:pos="851"/>
          <w:tab w:val="left" w:pos="1134"/>
        </w:tabs>
        <w:spacing w:before="0" w:beforeAutospacing="0" w:after="0" w:afterAutospacing="0" w:line="276" w:lineRule="auto"/>
        <w:jc w:val="both"/>
        <w:rPr>
          <w:rFonts w:asciiTheme="majorHAnsi" w:hAnsiTheme="majorHAnsi" w:cstheme="majorHAnsi"/>
          <w:shd w:val="clear" w:color="auto" w:fill="FFFFFF"/>
          <w:lang w:val="ro-MD"/>
        </w:rPr>
      </w:pPr>
      <w:r w:rsidRPr="00B13B9A">
        <w:rPr>
          <w:rFonts w:asciiTheme="majorHAnsi" w:hAnsiTheme="majorHAnsi" w:cstheme="majorHAnsi"/>
          <w:shd w:val="clear" w:color="auto" w:fill="FFFFFF"/>
          <w:lang w:val="ro-MD"/>
        </w:rPr>
        <w:t xml:space="preserve">În </w:t>
      </w:r>
      <w:r w:rsidR="008E6696" w:rsidRPr="00B13B9A">
        <w:rPr>
          <w:rFonts w:asciiTheme="majorHAnsi" w:hAnsiTheme="majorHAnsi" w:cstheme="majorHAnsi"/>
          <w:shd w:val="clear" w:color="auto" w:fill="FFFFFF"/>
          <w:lang w:val="ro-MD"/>
        </w:rPr>
        <w:t xml:space="preserve">acest </w:t>
      </w:r>
      <w:r w:rsidRPr="00B13B9A">
        <w:rPr>
          <w:rFonts w:asciiTheme="majorHAnsi" w:hAnsiTheme="majorHAnsi" w:cstheme="majorHAnsi"/>
          <w:shd w:val="clear" w:color="auto" w:fill="FFFFFF"/>
          <w:lang w:val="ro-MD"/>
        </w:rPr>
        <w:t>context, neconformită</w:t>
      </w:r>
      <w:r w:rsidR="00B13B9A" w:rsidRPr="00B13B9A">
        <w:rPr>
          <w:rFonts w:asciiTheme="majorHAnsi" w:hAnsiTheme="majorHAnsi" w:cstheme="majorHAnsi"/>
          <w:shd w:val="clear" w:color="auto" w:fill="FFFFFF"/>
          <w:lang w:val="ro-MD"/>
        </w:rPr>
        <w:t>ț</w:t>
      </w:r>
      <w:r w:rsidRPr="00B13B9A">
        <w:rPr>
          <w:rFonts w:asciiTheme="majorHAnsi" w:hAnsiTheme="majorHAnsi" w:cstheme="majorHAnsi"/>
          <w:shd w:val="clear" w:color="auto" w:fill="FFFFFF"/>
          <w:lang w:val="ro-MD"/>
        </w:rPr>
        <w:t xml:space="preserve">ile identificate de audit asupra procedurilor de înregistrare </w:t>
      </w:r>
      <w:r w:rsidR="00B13B9A" w:rsidRPr="00B13B9A">
        <w:rPr>
          <w:rFonts w:asciiTheme="majorHAnsi" w:hAnsiTheme="majorHAnsi" w:cstheme="majorHAnsi"/>
          <w:shd w:val="clear" w:color="auto" w:fill="FFFFFF"/>
          <w:lang w:val="ro-MD"/>
        </w:rPr>
        <w:t>ș</w:t>
      </w:r>
      <w:r w:rsidRPr="00B13B9A">
        <w:rPr>
          <w:rFonts w:asciiTheme="majorHAnsi" w:hAnsiTheme="majorHAnsi" w:cstheme="majorHAnsi"/>
          <w:shd w:val="clear" w:color="auto" w:fill="FFFFFF"/>
          <w:lang w:val="ro-MD"/>
        </w:rPr>
        <w:t>i eviden</w:t>
      </w:r>
      <w:r w:rsidR="00B13B9A" w:rsidRPr="00B13B9A">
        <w:rPr>
          <w:rFonts w:asciiTheme="majorHAnsi" w:hAnsiTheme="majorHAnsi" w:cstheme="majorHAnsi"/>
          <w:shd w:val="clear" w:color="auto" w:fill="FFFFFF"/>
          <w:lang w:val="ro-MD"/>
        </w:rPr>
        <w:t>ț</w:t>
      </w:r>
      <w:r w:rsidRPr="00B13B9A">
        <w:rPr>
          <w:rFonts w:asciiTheme="majorHAnsi" w:hAnsiTheme="majorHAnsi" w:cstheme="majorHAnsi"/>
          <w:shd w:val="clear" w:color="auto" w:fill="FFFFFF"/>
          <w:lang w:val="ro-MD"/>
        </w:rPr>
        <w:t>ă a bunurilor imobile de</w:t>
      </w:r>
      <w:r w:rsidR="00B13B9A" w:rsidRPr="00B13B9A">
        <w:rPr>
          <w:rFonts w:asciiTheme="majorHAnsi" w:hAnsiTheme="majorHAnsi" w:cstheme="majorHAnsi"/>
          <w:shd w:val="clear" w:color="auto" w:fill="FFFFFF"/>
          <w:lang w:val="ro-MD"/>
        </w:rPr>
        <w:t>ț</w:t>
      </w:r>
      <w:r w:rsidRPr="00B13B9A">
        <w:rPr>
          <w:rFonts w:asciiTheme="majorHAnsi" w:hAnsiTheme="majorHAnsi" w:cstheme="majorHAnsi"/>
          <w:shd w:val="clear" w:color="auto" w:fill="FFFFFF"/>
          <w:lang w:val="ro-MD"/>
        </w:rPr>
        <w:t>inute de IMSP denotă caren</w:t>
      </w:r>
      <w:r w:rsidR="00B13B9A" w:rsidRPr="00B13B9A">
        <w:rPr>
          <w:rFonts w:asciiTheme="majorHAnsi" w:hAnsiTheme="majorHAnsi" w:cstheme="majorHAnsi"/>
          <w:shd w:val="clear" w:color="auto" w:fill="FFFFFF"/>
          <w:lang w:val="ro-MD"/>
        </w:rPr>
        <w:t>ț</w:t>
      </w:r>
      <w:r w:rsidRPr="00B13B9A">
        <w:rPr>
          <w:rFonts w:asciiTheme="majorHAnsi" w:hAnsiTheme="majorHAnsi" w:cstheme="majorHAnsi"/>
          <w:shd w:val="clear" w:color="auto" w:fill="FFFFFF"/>
          <w:lang w:val="ro-MD"/>
        </w:rPr>
        <w:t xml:space="preserve">e în procesul </w:t>
      </w:r>
      <w:r w:rsidR="008E6696" w:rsidRPr="00B13B9A">
        <w:rPr>
          <w:rFonts w:asciiTheme="majorHAnsi" w:hAnsiTheme="majorHAnsi" w:cstheme="majorHAnsi"/>
          <w:shd w:val="clear" w:color="auto" w:fill="FFFFFF"/>
          <w:lang w:val="ro-MD"/>
        </w:rPr>
        <w:t xml:space="preserve">de </w:t>
      </w:r>
      <w:r w:rsidRPr="00B13B9A">
        <w:rPr>
          <w:rFonts w:asciiTheme="majorHAnsi" w:hAnsiTheme="majorHAnsi" w:cstheme="majorHAnsi"/>
          <w:shd w:val="clear" w:color="auto" w:fill="FFFFFF"/>
          <w:lang w:val="ro-MD"/>
        </w:rPr>
        <w:t>gestion</w:t>
      </w:r>
      <w:r w:rsidR="008E6696" w:rsidRPr="00B13B9A">
        <w:rPr>
          <w:rFonts w:asciiTheme="majorHAnsi" w:hAnsiTheme="majorHAnsi" w:cstheme="majorHAnsi"/>
          <w:shd w:val="clear" w:color="auto" w:fill="FFFFFF"/>
          <w:lang w:val="ro-MD"/>
        </w:rPr>
        <w:t>are a</w:t>
      </w:r>
      <w:r w:rsidRPr="00B13B9A">
        <w:rPr>
          <w:rFonts w:asciiTheme="majorHAnsi" w:hAnsiTheme="majorHAnsi" w:cstheme="majorHAnsi"/>
          <w:shd w:val="clear" w:color="auto" w:fill="FFFFFF"/>
          <w:lang w:val="ro-MD"/>
        </w:rPr>
        <w:t xml:space="preserve"> patrimoniului, precum </w:t>
      </w:r>
      <w:r w:rsidR="00B13B9A" w:rsidRPr="00B13B9A">
        <w:rPr>
          <w:rFonts w:asciiTheme="majorHAnsi" w:hAnsiTheme="majorHAnsi" w:cstheme="majorHAnsi"/>
          <w:shd w:val="clear" w:color="auto" w:fill="FFFFFF"/>
          <w:lang w:val="ro-MD"/>
        </w:rPr>
        <w:t>ș</w:t>
      </w:r>
      <w:r w:rsidRPr="00B13B9A">
        <w:rPr>
          <w:rFonts w:asciiTheme="majorHAnsi" w:hAnsiTheme="majorHAnsi" w:cstheme="majorHAnsi"/>
          <w:shd w:val="clear" w:color="auto" w:fill="FFFFFF"/>
          <w:lang w:val="ro-MD"/>
        </w:rPr>
        <w:t xml:space="preserve">i </w:t>
      </w:r>
      <w:r w:rsidR="008E6696" w:rsidRPr="00B13B9A">
        <w:rPr>
          <w:rFonts w:asciiTheme="majorHAnsi" w:hAnsiTheme="majorHAnsi" w:cstheme="majorHAnsi"/>
          <w:shd w:val="clear" w:color="auto" w:fill="FFFFFF"/>
          <w:lang w:val="ro-MD"/>
        </w:rPr>
        <w:t>ne</w:t>
      </w:r>
      <w:r w:rsidRPr="00B13B9A">
        <w:rPr>
          <w:rFonts w:asciiTheme="majorHAnsi" w:hAnsiTheme="majorHAnsi" w:cstheme="majorHAnsi"/>
          <w:shd w:val="clear" w:color="auto" w:fill="FFFFFF"/>
          <w:lang w:val="ro-MD"/>
        </w:rPr>
        <w:t xml:space="preserve">finalizarea conformă a </w:t>
      </w:r>
      <w:r w:rsidRPr="00B13B9A">
        <w:rPr>
          <w:rFonts w:asciiTheme="majorHAnsi" w:hAnsiTheme="majorHAnsi" w:cstheme="majorHAnsi"/>
          <w:color w:val="333333"/>
          <w:shd w:val="clear" w:color="auto" w:fill="FFFFFF"/>
          <w:lang w:val="ro-MD"/>
        </w:rPr>
        <w:t>delimit</w:t>
      </w:r>
      <w:r w:rsidR="008E6696" w:rsidRPr="00B13B9A">
        <w:rPr>
          <w:rFonts w:asciiTheme="majorHAnsi" w:hAnsiTheme="majorHAnsi" w:cstheme="majorHAnsi"/>
          <w:color w:val="333333"/>
          <w:shd w:val="clear" w:color="auto" w:fill="FFFFFF"/>
          <w:lang w:val="ro-MD"/>
        </w:rPr>
        <w:t>ării</w:t>
      </w:r>
      <w:r w:rsidRPr="00B13B9A">
        <w:rPr>
          <w:rFonts w:asciiTheme="majorHAnsi" w:hAnsiTheme="majorHAnsi" w:cstheme="majorHAnsi"/>
          <w:color w:val="333333"/>
          <w:shd w:val="clear" w:color="auto" w:fill="FFFFFF"/>
          <w:lang w:val="ro-MD"/>
        </w:rPr>
        <w:t xml:space="preserve"> bunurilor imobile proprietate publică</w:t>
      </w:r>
      <w:r w:rsidRPr="00B13B9A">
        <w:rPr>
          <w:rFonts w:asciiTheme="majorHAnsi" w:hAnsiTheme="majorHAnsi" w:cstheme="majorHAnsi"/>
          <w:shd w:val="clear" w:color="auto" w:fill="FFFFFF"/>
          <w:lang w:val="ro-MD"/>
        </w:rPr>
        <w:t xml:space="preserve"> prin înregistrarea drepturilor de proprietate</w:t>
      </w:r>
      <w:r w:rsidR="00F34E75" w:rsidRPr="00B13B9A">
        <w:rPr>
          <w:rFonts w:asciiTheme="majorHAnsi" w:hAnsiTheme="majorHAnsi" w:cstheme="majorHAnsi"/>
          <w:shd w:val="clear" w:color="auto" w:fill="FFFFFF"/>
          <w:lang w:val="ro-MD"/>
        </w:rPr>
        <w:t>, situa</w:t>
      </w:r>
      <w:r w:rsidR="00B13B9A" w:rsidRPr="00B13B9A">
        <w:rPr>
          <w:rFonts w:asciiTheme="majorHAnsi" w:hAnsiTheme="majorHAnsi" w:cstheme="majorHAnsi"/>
          <w:shd w:val="clear" w:color="auto" w:fill="FFFFFF"/>
          <w:lang w:val="ro-MD"/>
        </w:rPr>
        <w:t>ț</w:t>
      </w:r>
      <w:r w:rsidR="00F34E75" w:rsidRPr="00B13B9A">
        <w:rPr>
          <w:rFonts w:asciiTheme="majorHAnsi" w:hAnsiTheme="majorHAnsi" w:cstheme="majorHAnsi"/>
          <w:shd w:val="clear" w:color="auto" w:fill="FFFFFF"/>
          <w:lang w:val="ro-MD"/>
        </w:rPr>
        <w:t>i</w:t>
      </w:r>
      <w:r w:rsidR="00B46993" w:rsidRPr="00B13B9A">
        <w:rPr>
          <w:rFonts w:asciiTheme="majorHAnsi" w:hAnsiTheme="majorHAnsi" w:cstheme="majorHAnsi"/>
          <w:shd w:val="clear" w:color="auto" w:fill="FFFFFF"/>
          <w:lang w:val="ro-MD"/>
        </w:rPr>
        <w:t>e</w:t>
      </w:r>
      <w:r w:rsidR="00F34E75" w:rsidRPr="00B13B9A">
        <w:rPr>
          <w:rFonts w:asciiTheme="majorHAnsi" w:hAnsiTheme="majorHAnsi" w:cstheme="majorHAnsi"/>
          <w:shd w:val="clear" w:color="auto" w:fill="FFFFFF"/>
          <w:lang w:val="ro-MD"/>
        </w:rPr>
        <w:t xml:space="preserve"> determinată de insuficien</w:t>
      </w:r>
      <w:r w:rsidR="00B13B9A" w:rsidRPr="00B13B9A">
        <w:rPr>
          <w:rFonts w:asciiTheme="majorHAnsi" w:hAnsiTheme="majorHAnsi" w:cstheme="majorHAnsi"/>
          <w:shd w:val="clear" w:color="auto" w:fill="FFFFFF"/>
          <w:lang w:val="ro-MD"/>
        </w:rPr>
        <w:t>ț</w:t>
      </w:r>
      <w:r w:rsidR="00F34E75" w:rsidRPr="00B13B9A">
        <w:rPr>
          <w:rFonts w:asciiTheme="majorHAnsi" w:hAnsiTheme="majorHAnsi" w:cstheme="majorHAnsi"/>
          <w:shd w:val="clear" w:color="auto" w:fill="FFFFFF"/>
          <w:lang w:val="ro-MD"/>
        </w:rPr>
        <w:t>a contro</w:t>
      </w:r>
      <w:r w:rsidR="008E6696" w:rsidRPr="00B13B9A">
        <w:rPr>
          <w:rFonts w:asciiTheme="majorHAnsi" w:hAnsiTheme="majorHAnsi" w:cstheme="majorHAnsi"/>
          <w:shd w:val="clear" w:color="auto" w:fill="FFFFFF"/>
          <w:lang w:val="ro-MD"/>
        </w:rPr>
        <w:t>a</w:t>
      </w:r>
      <w:r w:rsidR="00F34E75" w:rsidRPr="00B13B9A">
        <w:rPr>
          <w:rFonts w:asciiTheme="majorHAnsi" w:hAnsiTheme="majorHAnsi" w:cstheme="majorHAnsi"/>
          <w:shd w:val="clear" w:color="auto" w:fill="FFFFFF"/>
          <w:lang w:val="ro-MD"/>
        </w:rPr>
        <w:t>l</w:t>
      </w:r>
      <w:r w:rsidR="008E6696" w:rsidRPr="00B13B9A">
        <w:rPr>
          <w:rFonts w:asciiTheme="majorHAnsi" w:hAnsiTheme="majorHAnsi" w:cstheme="majorHAnsi"/>
          <w:shd w:val="clear" w:color="auto" w:fill="FFFFFF"/>
          <w:lang w:val="ro-MD"/>
        </w:rPr>
        <w:t>elor</w:t>
      </w:r>
      <w:r w:rsidR="00F34E75" w:rsidRPr="00B13B9A">
        <w:rPr>
          <w:rFonts w:asciiTheme="majorHAnsi" w:hAnsiTheme="majorHAnsi" w:cstheme="majorHAnsi"/>
          <w:shd w:val="clear" w:color="auto" w:fill="FFFFFF"/>
          <w:lang w:val="ro-MD"/>
        </w:rPr>
        <w:t xml:space="preserve"> intern</w:t>
      </w:r>
      <w:r w:rsidR="008E6696" w:rsidRPr="00B13B9A">
        <w:rPr>
          <w:rFonts w:asciiTheme="majorHAnsi" w:hAnsiTheme="majorHAnsi" w:cstheme="majorHAnsi"/>
          <w:shd w:val="clear" w:color="auto" w:fill="FFFFFF"/>
          <w:lang w:val="ro-MD"/>
        </w:rPr>
        <w:t>e</w:t>
      </w:r>
      <w:r w:rsidR="00F34E75" w:rsidRPr="00B13B9A">
        <w:rPr>
          <w:rFonts w:asciiTheme="majorHAnsi" w:hAnsiTheme="majorHAnsi" w:cstheme="majorHAnsi"/>
          <w:shd w:val="clear" w:color="auto" w:fill="FFFFFF"/>
          <w:lang w:val="ro-MD"/>
        </w:rPr>
        <w:t>, inclusiv prin fundamentarea conformă a proceselor de inventariere anuală</w:t>
      </w:r>
      <w:r w:rsidR="00B46993" w:rsidRPr="00B13B9A">
        <w:rPr>
          <w:rFonts w:asciiTheme="majorHAnsi" w:hAnsiTheme="majorHAnsi" w:cstheme="majorHAnsi"/>
          <w:shd w:val="clear" w:color="auto" w:fill="FFFFFF"/>
          <w:lang w:val="ro-MD"/>
        </w:rPr>
        <w:t xml:space="preserve">. Astfel, au fost </w:t>
      </w:r>
      <w:r w:rsidRPr="00B13B9A">
        <w:rPr>
          <w:rFonts w:asciiTheme="majorHAnsi" w:hAnsiTheme="majorHAnsi" w:cstheme="majorHAnsi"/>
          <w:shd w:val="clear" w:color="auto" w:fill="FFFFFF"/>
          <w:lang w:val="ro-MD"/>
        </w:rPr>
        <w:t>admise neconformită</w:t>
      </w:r>
      <w:r w:rsidR="00B13B9A" w:rsidRPr="00B13B9A">
        <w:rPr>
          <w:rFonts w:asciiTheme="majorHAnsi" w:hAnsiTheme="majorHAnsi" w:cstheme="majorHAnsi"/>
          <w:shd w:val="clear" w:color="auto" w:fill="FFFFFF"/>
          <w:lang w:val="ro-MD"/>
        </w:rPr>
        <w:t>ț</w:t>
      </w:r>
      <w:r w:rsidRPr="00B13B9A">
        <w:rPr>
          <w:rFonts w:asciiTheme="majorHAnsi" w:hAnsiTheme="majorHAnsi" w:cstheme="majorHAnsi"/>
          <w:shd w:val="clear" w:color="auto" w:fill="FFFFFF"/>
          <w:lang w:val="ro-MD"/>
        </w:rPr>
        <w:t xml:space="preserve">i </w:t>
      </w:r>
      <w:r w:rsidR="00C47678" w:rsidRPr="00B13B9A">
        <w:rPr>
          <w:rFonts w:asciiTheme="majorHAnsi" w:hAnsiTheme="majorHAnsi" w:cstheme="majorHAnsi"/>
          <w:shd w:val="clear" w:color="auto" w:fill="FFFFFF"/>
          <w:lang w:val="ro-MD"/>
        </w:rPr>
        <w:t xml:space="preserve">aferente a 18 bunuri </w:t>
      </w:r>
      <w:r w:rsidRPr="00B13B9A">
        <w:rPr>
          <w:rFonts w:asciiTheme="majorHAnsi" w:hAnsiTheme="majorHAnsi" w:cstheme="majorHAnsi"/>
          <w:shd w:val="clear" w:color="auto" w:fill="FFFFFF"/>
          <w:lang w:val="ro-MD"/>
        </w:rPr>
        <w:t xml:space="preserve">în valoare de </w:t>
      </w:r>
      <w:r w:rsidR="00C47678" w:rsidRPr="00B13B9A">
        <w:rPr>
          <w:rFonts w:asciiTheme="majorHAnsi" w:hAnsiTheme="majorHAnsi" w:cstheme="majorHAnsi"/>
          <w:shd w:val="clear" w:color="auto" w:fill="FFFFFF"/>
          <w:lang w:val="ro-MD"/>
        </w:rPr>
        <w:t>6240,7 mii lei</w:t>
      </w:r>
      <w:r w:rsidRPr="00B13B9A">
        <w:rPr>
          <w:rFonts w:asciiTheme="majorHAnsi" w:hAnsiTheme="majorHAnsi" w:cstheme="majorHAnsi"/>
          <w:shd w:val="clear" w:color="auto" w:fill="FFFFFF"/>
          <w:lang w:val="ro-MD"/>
        </w:rPr>
        <w:t>.</w:t>
      </w:r>
    </w:p>
    <w:p w14:paraId="4C6EF605" w14:textId="77777777" w:rsidR="00BF2684" w:rsidRPr="00B13B9A" w:rsidRDefault="00BF2684" w:rsidP="00792BD5">
      <w:pPr>
        <w:spacing w:after="0" w:line="276" w:lineRule="auto"/>
        <w:jc w:val="both"/>
        <w:rPr>
          <w:rFonts w:asciiTheme="majorHAnsi" w:hAnsiTheme="majorHAnsi" w:cstheme="majorHAnsi"/>
          <w:sz w:val="24"/>
          <w:szCs w:val="24"/>
          <w:lang w:val="ro-MD"/>
        </w:rPr>
      </w:pPr>
    </w:p>
    <w:p w14:paraId="57E10E95" w14:textId="101DE74A" w:rsidR="00CC278C" w:rsidRPr="00B13B9A" w:rsidRDefault="00CC278C" w:rsidP="00241AB3">
      <w:pPr>
        <w:pStyle w:val="a7"/>
        <w:numPr>
          <w:ilvl w:val="2"/>
          <w:numId w:val="10"/>
        </w:numPr>
        <w:spacing w:after="0" w:line="276" w:lineRule="auto"/>
        <w:jc w:val="both"/>
        <w:outlineLvl w:val="2"/>
        <w:rPr>
          <w:rFonts w:asciiTheme="majorHAnsi" w:hAnsiTheme="majorHAnsi" w:cstheme="majorHAnsi"/>
          <w:sz w:val="24"/>
          <w:szCs w:val="24"/>
          <w:lang w:val="ro-MD"/>
        </w:rPr>
      </w:pPr>
      <w:bookmarkStart w:id="21" w:name="_Toc154562496"/>
      <w:r w:rsidRPr="00B13B9A">
        <w:rPr>
          <w:rFonts w:asciiTheme="majorHAnsi" w:hAnsiTheme="majorHAnsi" w:cstheme="majorHAnsi"/>
          <w:b/>
          <w:sz w:val="24"/>
          <w:szCs w:val="24"/>
          <w:lang w:val="ro-MD"/>
        </w:rPr>
        <w:t>Entitatea nu a aplicat pe deplin reglementările privind imobilizările corporale neutilizate în activitatea opera</w:t>
      </w:r>
      <w:r w:rsidR="00B13B9A" w:rsidRPr="00B13B9A">
        <w:rPr>
          <w:rFonts w:asciiTheme="majorHAnsi" w:hAnsiTheme="majorHAnsi" w:cstheme="majorHAnsi"/>
          <w:b/>
          <w:sz w:val="24"/>
          <w:szCs w:val="24"/>
          <w:lang w:val="ro-MD"/>
        </w:rPr>
        <w:t>ț</w:t>
      </w:r>
      <w:r w:rsidRPr="00B13B9A">
        <w:rPr>
          <w:rFonts w:asciiTheme="majorHAnsi" w:hAnsiTheme="majorHAnsi" w:cstheme="majorHAnsi"/>
          <w:b/>
          <w:sz w:val="24"/>
          <w:szCs w:val="24"/>
          <w:lang w:val="ro-MD"/>
        </w:rPr>
        <w:t>ională, ceea ce po</w:t>
      </w:r>
      <w:r w:rsidR="008E6696" w:rsidRPr="00B13B9A">
        <w:rPr>
          <w:rFonts w:asciiTheme="majorHAnsi" w:hAnsiTheme="majorHAnsi" w:cstheme="majorHAnsi"/>
          <w:b/>
          <w:sz w:val="24"/>
          <w:szCs w:val="24"/>
          <w:lang w:val="ro-MD"/>
        </w:rPr>
        <w:t>a</w:t>
      </w:r>
      <w:r w:rsidRPr="00B13B9A">
        <w:rPr>
          <w:rFonts w:asciiTheme="majorHAnsi" w:hAnsiTheme="majorHAnsi" w:cstheme="majorHAnsi"/>
          <w:b/>
          <w:sz w:val="24"/>
          <w:szCs w:val="24"/>
          <w:lang w:val="ro-MD"/>
        </w:rPr>
        <w:t>t</w:t>
      </w:r>
      <w:r w:rsidR="008E6696" w:rsidRPr="00B13B9A">
        <w:rPr>
          <w:rFonts w:asciiTheme="majorHAnsi" w:hAnsiTheme="majorHAnsi" w:cstheme="majorHAnsi"/>
          <w:b/>
          <w:sz w:val="24"/>
          <w:szCs w:val="24"/>
          <w:lang w:val="ro-MD"/>
        </w:rPr>
        <w:t>e</w:t>
      </w:r>
      <w:r w:rsidRPr="00B13B9A">
        <w:rPr>
          <w:rFonts w:asciiTheme="majorHAnsi" w:hAnsiTheme="majorHAnsi" w:cstheme="majorHAnsi"/>
          <w:b/>
          <w:sz w:val="24"/>
          <w:szCs w:val="24"/>
          <w:lang w:val="ro-MD"/>
        </w:rPr>
        <w:t xml:space="preserve"> influen</w:t>
      </w:r>
      <w:r w:rsidR="00B13B9A" w:rsidRPr="00B13B9A">
        <w:rPr>
          <w:rFonts w:asciiTheme="majorHAnsi" w:hAnsiTheme="majorHAnsi" w:cstheme="majorHAnsi"/>
          <w:b/>
          <w:sz w:val="24"/>
          <w:szCs w:val="24"/>
          <w:lang w:val="ro-MD"/>
        </w:rPr>
        <w:t>ț</w:t>
      </w:r>
      <w:r w:rsidRPr="00B13B9A">
        <w:rPr>
          <w:rFonts w:asciiTheme="majorHAnsi" w:hAnsiTheme="majorHAnsi" w:cstheme="majorHAnsi"/>
          <w:b/>
          <w:sz w:val="24"/>
          <w:szCs w:val="24"/>
          <w:lang w:val="ro-MD"/>
        </w:rPr>
        <w:t xml:space="preserve">a costul serviciului prestat, precum </w:t>
      </w:r>
      <w:r w:rsidR="00B13B9A" w:rsidRPr="00B13B9A">
        <w:rPr>
          <w:rFonts w:asciiTheme="majorHAnsi" w:hAnsiTheme="majorHAnsi" w:cstheme="majorHAnsi"/>
          <w:b/>
          <w:sz w:val="24"/>
          <w:szCs w:val="24"/>
          <w:lang w:val="ro-MD"/>
        </w:rPr>
        <w:t>ș</w:t>
      </w:r>
      <w:r w:rsidRPr="00B13B9A">
        <w:rPr>
          <w:rFonts w:asciiTheme="majorHAnsi" w:hAnsiTheme="majorHAnsi" w:cstheme="majorHAnsi"/>
          <w:b/>
          <w:sz w:val="24"/>
          <w:szCs w:val="24"/>
          <w:lang w:val="ro-MD"/>
        </w:rPr>
        <w:t>i</w:t>
      </w:r>
      <w:r w:rsidR="00C47678" w:rsidRPr="00B13B9A">
        <w:rPr>
          <w:rFonts w:asciiTheme="majorHAnsi" w:hAnsiTheme="majorHAnsi" w:cstheme="majorHAnsi"/>
          <w:b/>
          <w:sz w:val="24"/>
          <w:szCs w:val="24"/>
          <w:lang w:val="ro-MD"/>
        </w:rPr>
        <w:t xml:space="preserve"> reflectarea neconformă a informa</w:t>
      </w:r>
      <w:r w:rsidR="00B13B9A" w:rsidRPr="00B13B9A">
        <w:rPr>
          <w:rFonts w:asciiTheme="majorHAnsi" w:hAnsiTheme="majorHAnsi" w:cstheme="majorHAnsi"/>
          <w:b/>
          <w:sz w:val="24"/>
          <w:szCs w:val="24"/>
          <w:lang w:val="ro-MD"/>
        </w:rPr>
        <w:t>ț</w:t>
      </w:r>
      <w:r w:rsidR="00C47678" w:rsidRPr="00B13B9A">
        <w:rPr>
          <w:rFonts w:asciiTheme="majorHAnsi" w:hAnsiTheme="majorHAnsi" w:cstheme="majorHAnsi"/>
          <w:b/>
          <w:sz w:val="24"/>
          <w:szCs w:val="24"/>
          <w:lang w:val="ro-MD"/>
        </w:rPr>
        <w:t>iilor/situa</w:t>
      </w:r>
      <w:r w:rsidR="00B13B9A" w:rsidRPr="00B13B9A">
        <w:rPr>
          <w:rFonts w:asciiTheme="majorHAnsi" w:hAnsiTheme="majorHAnsi" w:cstheme="majorHAnsi"/>
          <w:b/>
          <w:sz w:val="24"/>
          <w:szCs w:val="24"/>
          <w:lang w:val="ro-MD"/>
        </w:rPr>
        <w:t>ț</w:t>
      </w:r>
      <w:r w:rsidR="00C47678" w:rsidRPr="00B13B9A">
        <w:rPr>
          <w:rFonts w:asciiTheme="majorHAnsi" w:hAnsiTheme="majorHAnsi" w:cstheme="majorHAnsi"/>
          <w:b/>
          <w:sz w:val="24"/>
          <w:szCs w:val="24"/>
          <w:lang w:val="ro-MD"/>
        </w:rPr>
        <w:t>iilor raportate</w:t>
      </w:r>
      <w:r w:rsidR="00F64F59" w:rsidRPr="00B13B9A">
        <w:rPr>
          <w:rFonts w:asciiTheme="majorHAnsi" w:hAnsiTheme="majorHAnsi" w:cstheme="majorHAnsi"/>
          <w:b/>
          <w:sz w:val="24"/>
          <w:szCs w:val="24"/>
          <w:lang w:val="ro-MD"/>
        </w:rPr>
        <w:t>.</w:t>
      </w:r>
      <w:bookmarkEnd w:id="21"/>
    </w:p>
    <w:p w14:paraId="6FF95220" w14:textId="1A71CB7E" w:rsidR="00E60CF1" w:rsidRPr="00B13B9A" w:rsidRDefault="00CC278C" w:rsidP="00E60CF1">
      <w:pPr>
        <w:pStyle w:val="ae"/>
        <w:shd w:val="clear" w:color="auto" w:fill="FFFFFF" w:themeFill="background1"/>
        <w:tabs>
          <w:tab w:val="left" w:pos="284"/>
        </w:tabs>
        <w:spacing w:before="0" w:beforeAutospacing="0" w:after="0" w:afterAutospacing="0" w:line="276" w:lineRule="auto"/>
        <w:jc w:val="both"/>
        <w:textAlignment w:val="baseline"/>
        <w:rPr>
          <w:rFonts w:asciiTheme="majorHAnsi" w:hAnsiTheme="majorHAnsi" w:cstheme="majorHAnsi"/>
          <w:lang w:val="ro-MD"/>
        </w:rPr>
      </w:pPr>
      <w:r w:rsidRPr="00B13B9A">
        <w:rPr>
          <w:rFonts w:asciiTheme="majorHAnsi" w:hAnsiTheme="majorHAnsi" w:cstheme="majorHAnsi"/>
          <w:lang w:val="ro-MD"/>
        </w:rPr>
        <w:t>Auditul denotă că</w:t>
      </w:r>
      <w:r w:rsidR="00F64F59" w:rsidRPr="00B13B9A">
        <w:rPr>
          <w:rFonts w:asciiTheme="majorHAnsi" w:hAnsiTheme="majorHAnsi" w:cstheme="majorHAnsi"/>
          <w:lang w:val="ro-MD"/>
        </w:rPr>
        <w:t>,</w:t>
      </w:r>
      <w:r w:rsidRPr="00B13B9A">
        <w:rPr>
          <w:rFonts w:asciiTheme="majorHAnsi" w:hAnsiTheme="majorHAnsi" w:cstheme="majorHAnsi"/>
          <w:lang w:val="ro-MD"/>
        </w:rPr>
        <w:t xml:space="preserve"> d</w:t>
      </w:r>
      <w:r w:rsidR="00C164B2" w:rsidRPr="00B13B9A">
        <w:rPr>
          <w:rFonts w:asciiTheme="majorHAnsi" w:hAnsiTheme="majorHAnsi" w:cstheme="majorHAnsi"/>
          <w:lang w:val="ro-MD"/>
        </w:rPr>
        <w:t xml:space="preserve">in cele 37 </w:t>
      </w:r>
      <w:r w:rsidR="00F64F59" w:rsidRPr="00B13B9A">
        <w:rPr>
          <w:rFonts w:asciiTheme="majorHAnsi" w:hAnsiTheme="majorHAnsi" w:cstheme="majorHAnsi"/>
          <w:lang w:val="ro-MD"/>
        </w:rPr>
        <w:t xml:space="preserve">de </w:t>
      </w:r>
      <w:r w:rsidR="00C164B2" w:rsidRPr="00B13B9A">
        <w:rPr>
          <w:rFonts w:asciiTheme="majorHAnsi" w:hAnsiTheme="majorHAnsi" w:cstheme="majorHAnsi"/>
          <w:lang w:val="ro-MD"/>
        </w:rPr>
        <w:t>clădiri de</w:t>
      </w:r>
      <w:r w:rsidR="00B13B9A" w:rsidRPr="00B13B9A">
        <w:rPr>
          <w:rFonts w:asciiTheme="majorHAnsi" w:hAnsiTheme="majorHAnsi" w:cstheme="majorHAnsi"/>
          <w:lang w:val="ro-MD"/>
        </w:rPr>
        <w:t>ț</w:t>
      </w:r>
      <w:r w:rsidR="00C164B2" w:rsidRPr="00B13B9A">
        <w:rPr>
          <w:rFonts w:asciiTheme="majorHAnsi" w:hAnsiTheme="majorHAnsi" w:cstheme="majorHAnsi"/>
          <w:lang w:val="ro-MD"/>
        </w:rPr>
        <w:t xml:space="preserve">inute de IMSP, </w:t>
      </w:r>
      <w:r w:rsidR="00792BD5" w:rsidRPr="00B13B9A">
        <w:rPr>
          <w:rFonts w:asciiTheme="majorHAnsi" w:hAnsiTheme="majorHAnsi" w:cstheme="majorHAnsi"/>
          <w:noProof/>
          <w:lang w:val="ro-MD"/>
        </w:rPr>
        <w:t>22 sunt func</w:t>
      </w:r>
      <w:r w:rsidR="00B13B9A" w:rsidRPr="00B13B9A">
        <w:rPr>
          <w:rFonts w:asciiTheme="majorHAnsi" w:hAnsiTheme="majorHAnsi" w:cstheme="majorHAnsi"/>
          <w:noProof/>
          <w:lang w:val="ro-MD"/>
        </w:rPr>
        <w:t>ț</w:t>
      </w:r>
      <w:r w:rsidR="00792BD5" w:rsidRPr="00B13B9A">
        <w:rPr>
          <w:rFonts w:asciiTheme="majorHAnsi" w:hAnsiTheme="majorHAnsi" w:cstheme="majorHAnsi"/>
          <w:noProof/>
          <w:lang w:val="ro-MD"/>
        </w:rPr>
        <w:t>ionale</w:t>
      </w:r>
      <w:r w:rsidR="00F64F59" w:rsidRPr="00B13B9A">
        <w:rPr>
          <w:rFonts w:asciiTheme="majorHAnsi" w:hAnsiTheme="majorHAnsi" w:cstheme="majorHAnsi"/>
          <w:noProof/>
          <w:lang w:val="ro-MD"/>
        </w:rPr>
        <w:t>,</w:t>
      </w:r>
      <w:r w:rsidR="00792BD5" w:rsidRPr="00B13B9A">
        <w:rPr>
          <w:rFonts w:asciiTheme="majorHAnsi" w:hAnsiTheme="majorHAnsi" w:cstheme="majorHAnsi"/>
          <w:noProof/>
          <w:lang w:val="ro-MD"/>
        </w:rPr>
        <w:t xml:space="preserve"> </w:t>
      </w:r>
      <w:r w:rsidRPr="00B13B9A">
        <w:rPr>
          <w:rFonts w:asciiTheme="majorHAnsi" w:hAnsiTheme="majorHAnsi" w:cstheme="majorHAnsi"/>
          <w:noProof/>
          <w:lang w:val="ro-MD"/>
        </w:rPr>
        <w:t xml:space="preserve">iar </w:t>
      </w:r>
      <w:r w:rsidR="00792BD5" w:rsidRPr="00B13B9A">
        <w:rPr>
          <w:rFonts w:asciiTheme="majorHAnsi" w:hAnsiTheme="majorHAnsi" w:cstheme="majorHAnsi"/>
          <w:noProof/>
          <w:lang w:val="ro-MD"/>
        </w:rPr>
        <w:t>15 nefunc</w:t>
      </w:r>
      <w:r w:rsidR="00B13B9A" w:rsidRPr="00B13B9A">
        <w:rPr>
          <w:rFonts w:asciiTheme="majorHAnsi" w:hAnsiTheme="majorHAnsi" w:cstheme="majorHAnsi"/>
          <w:noProof/>
          <w:lang w:val="ro-MD"/>
        </w:rPr>
        <w:t>ț</w:t>
      </w:r>
      <w:r w:rsidR="00792BD5" w:rsidRPr="00B13B9A">
        <w:rPr>
          <w:rFonts w:asciiTheme="majorHAnsi" w:hAnsiTheme="majorHAnsi" w:cstheme="majorHAnsi"/>
          <w:noProof/>
          <w:lang w:val="ro-MD"/>
        </w:rPr>
        <w:t>ionale, toate</w:t>
      </w:r>
      <w:r w:rsidRPr="00B13B9A">
        <w:rPr>
          <w:rFonts w:asciiTheme="majorHAnsi" w:hAnsiTheme="majorHAnsi" w:cstheme="majorHAnsi"/>
          <w:noProof/>
          <w:lang w:val="ro-MD"/>
        </w:rPr>
        <w:t xml:space="preserve"> fiind amplasate</w:t>
      </w:r>
      <w:r w:rsidR="00F64F59" w:rsidRPr="00B13B9A">
        <w:rPr>
          <w:rFonts w:asciiTheme="majorHAnsi" w:hAnsiTheme="majorHAnsi" w:cstheme="majorHAnsi"/>
          <w:noProof/>
          <w:lang w:val="ro-MD"/>
        </w:rPr>
        <w:t xml:space="preserve"> </w:t>
      </w:r>
      <w:r w:rsidRPr="00B13B9A">
        <w:rPr>
          <w:rFonts w:asciiTheme="majorHAnsi" w:hAnsiTheme="majorHAnsi" w:cstheme="majorHAnsi"/>
          <w:noProof/>
          <w:lang w:val="ro-MD"/>
        </w:rPr>
        <w:t xml:space="preserve">în cadrul </w:t>
      </w:r>
      <w:r w:rsidR="00F64F59" w:rsidRPr="00B13B9A">
        <w:rPr>
          <w:rFonts w:asciiTheme="majorHAnsi" w:hAnsiTheme="majorHAnsi" w:cstheme="majorHAnsi"/>
          <w:noProof/>
          <w:lang w:val="ro-MD"/>
        </w:rPr>
        <w:t>C</w:t>
      </w:r>
      <w:r w:rsidR="00792BD5" w:rsidRPr="00B13B9A">
        <w:rPr>
          <w:rFonts w:asciiTheme="majorHAnsi" w:hAnsiTheme="majorHAnsi" w:cstheme="majorHAnsi"/>
          <w:noProof/>
          <w:lang w:val="ro-MD"/>
        </w:rPr>
        <w:t xml:space="preserve">linicii Vorniceni. </w:t>
      </w:r>
      <w:r w:rsidR="00D54BEB" w:rsidRPr="00B13B9A">
        <w:rPr>
          <w:rFonts w:asciiTheme="majorHAnsi" w:hAnsiTheme="majorHAnsi" w:cstheme="majorHAnsi"/>
          <w:color w:val="000000" w:themeColor="text1"/>
          <w:lang w:val="ro-MD"/>
        </w:rPr>
        <w:t>Pentru 13 clădiri neutilizate înc</w:t>
      </w:r>
      <w:r w:rsidRPr="00B13B9A">
        <w:rPr>
          <w:rFonts w:asciiTheme="majorHAnsi" w:hAnsiTheme="majorHAnsi" w:cstheme="majorHAnsi"/>
          <w:color w:val="000000" w:themeColor="text1"/>
          <w:lang w:val="ro-MD"/>
        </w:rPr>
        <w:t>ă</w:t>
      </w:r>
      <w:r w:rsidR="00D54BEB" w:rsidRPr="00B13B9A">
        <w:rPr>
          <w:rFonts w:asciiTheme="majorHAnsi" w:hAnsiTheme="majorHAnsi" w:cstheme="majorHAnsi"/>
          <w:color w:val="000000" w:themeColor="text1"/>
          <w:lang w:val="ro-MD"/>
        </w:rPr>
        <w:t xml:space="preserve"> continuă să </w:t>
      </w:r>
      <w:r w:rsidR="004E1122" w:rsidRPr="00B13B9A">
        <w:rPr>
          <w:rFonts w:asciiTheme="majorHAnsi" w:hAnsiTheme="majorHAnsi" w:cstheme="majorHAnsi"/>
          <w:color w:val="000000" w:themeColor="text1"/>
          <w:lang w:val="ro-MD"/>
        </w:rPr>
        <w:t>se calcule</w:t>
      </w:r>
      <w:r w:rsidR="00D54BEB" w:rsidRPr="00B13B9A">
        <w:rPr>
          <w:rFonts w:asciiTheme="majorHAnsi" w:hAnsiTheme="majorHAnsi" w:cstheme="majorHAnsi"/>
          <w:color w:val="000000" w:themeColor="text1"/>
          <w:lang w:val="ro-MD"/>
        </w:rPr>
        <w:t>z</w:t>
      </w:r>
      <w:r w:rsidR="00C47678" w:rsidRPr="00B13B9A">
        <w:rPr>
          <w:rFonts w:asciiTheme="majorHAnsi" w:hAnsiTheme="majorHAnsi" w:cstheme="majorHAnsi"/>
          <w:color w:val="000000" w:themeColor="text1"/>
          <w:lang w:val="ro-MD"/>
        </w:rPr>
        <w:t>e</w:t>
      </w:r>
      <w:r w:rsidR="00D54BEB" w:rsidRPr="00B13B9A">
        <w:rPr>
          <w:rFonts w:asciiTheme="majorHAnsi" w:hAnsiTheme="majorHAnsi" w:cstheme="majorHAnsi"/>
          <w:color w:val="000000" w:themeColor="text1"/>
          <w:lang w:val="ro-MD"/>
        </w:rPr>
        <w:t xml:space="preserve"> uzura care contribuie direct la formarea costului serviciilor, iar 2 clădiri sunt uzate complet. Astfel, suma uzurii calculat</w:t>
      </w:r>
      <w:r w:rsidR="00993FB6" w:rsidRPr="00B13B9A">
        <w:rPr>
          <w:rFonts w:asciiTheme="majorHAnsi" w:hAnsiTheme="majorHAnsi" w:cstheme="majorHAnsi"/>
          <w:color w:val="000000" w:themeColor="text1"/>
          <w:lang w:val="ro-MD"/>
        </w:rPr>
        <w:t>e</w:t>
      </w:r>
      <w:r w:rsidR="00D54BEB" w:rsidRPr="00B13B9A">
        <w:rPr>
          <w:rFonts w:asciiTheme="majorHAnsi" w:hAnsiTheme="majorHAnsi" w:cstheme="majorHAnsi"/>
          <w:color w:val="000000" w:themeColor="text1"/>
          <w:lang w:val="ro-MD"/>
        </w:rPr>
        <w:t xml:space="preserve"> </w:t>
      </w:r>
      <w:r w:rsidR="00C47678" w:rsidRPr="00B13B9A">
        <w:rPr>
          <w:rFonts w:asciiTheme="majorHAnsi" w:hAnsiTheme="majorHAnsi" w:cstheme="majorHAnsi"/>
          <w:color w:val="000000" w:themeColor="text1"/>
          <w:lang w:val="ro-MD"/>
        </w:rPr>
        <w:t xml:space="preserve">pentru </w:t>
      </w:r>
      <w:r w:rsidR="00D54BEB" w:rsidRPr="00B13B9A">
        <w:rPr>
          <w:rFonts w:asciiTheme="majorHAnsi" w:hAnsiTheme="majorHAnsi" w:cstheme="majorHAnsi"/>
          <w:color w:val="000000" w:themeColor="text1"/>
          <w:lang w:val="ro-MD"/>
        </w:rPr>
        <w:t xml:space="preserve">aceste clădiri </w:t>
      </w:r>
      <w:r w:rsidR="00C47678" w:rsidRPr="00B13B9A">
        <w:rPr>
          <w:rFonts w:asciiTheme="majorHAnsi" w:hAnsiTheme="majorHAnsi" w:cstheme="majorHAnsi"/>
          <w:color w:val="000000" w:themeColor="text1"/>
          <w:lang w:val="ro-MD"/>
        </w:rPr>
        <w:t>în</w:t>
      </w:r>
      <w:r w:rsidR="00D54BEB" w:rsidRPr="00B13B9A">
        <w:rPr>
          <w:rFonts w:asciiTheme="majorHAnsi" w:hAnsiTheme="majorHAnsi" w:cstheme="majorHAnsi"/>
          <w:color w:val="000000" w:themeColor="text1"/>
          <w:lang w:val="ro-MD"/>
        </w:rPr>
        <w:t xml:space="preserve"> perioada auditată a constituit 205,5 mii lei</w:t>
      </w:r>
      <w:r w:rsidR="00D54BEB" w:rsidRPr="00B13B9A">
        <w:rPr>
          <w:rStyle w:val="a9"/>
          <w:rFonts w:asciiTheme="majorHAnsi" w:hAnsiTheme="majorHAnsi" w:cstheme="majorHAnsi"/>
          <w:color w:val="000000" w:themeColor="text1"/>
          <w:sz w:val="24"/>
          <w:lang w:val="ro-MD"/>
        </w:rPr>
        <w:footnoteReference w:id="18"/>
      </w:r>
      <w:r w:rsidR="00D54BEB" w:rsidRPr="00B13B9A">
        <w:rPr>
          <w:rFonts w:asciiTheme="majorHAnsi" w:hAnsiTheme="majorHAnsi" w:cstheme="majorHAnsi"/>
          <w:color w:val="000000" w:themeColor="text1"/>
          <w:lang w:val="ro-MD"/>
        </w:rPr>
        <w:t xml:space="preserve">. Totodată, uzura totală cumulată a acestor clădiri înregistrată la </w:t>
      </w:r>
      <w:r w:rsidR="00993FB6" w:rsidRPr="00B13B9A">
        <w:rPr>
          <w:rFonts w:asciiTheme="majorHAnsi" w:hAnsiTheme="majorHAnsi" w:cstheme="majorHAnsi"/>
          <w:color w:val="000000" w:themeColor="text1"/>
          <w:lang w:val="ro-MD"/>
        </w:rPr>
        <w:t>situa</w:t>
      </w:r>
      <w:r w:rsidR="00B13B9A" w:rsidRPr="00B13B9A">
        <w:rPr>
          <w:rFonts w:asciiTheme="majorHAnsi" w:hAnsiTheme="majorHAnsi" w:cstheme="majorHAnsi"/>
          <w:color w:val="000000" w:themeColor="text1"/>
          <w:lang w:val="ro-MD"/>
        </w:rPr>
        <w:t>ț</w:t>
      </w:r>
      <w:r w:rsidR="00993FB6" w:rsidRPr="00B13B9A">
        <w:rPr>
          <w:rFonts w:asciiTheme="majorHAnsi" w:hAnsiTheme="majorHAnsi" w:cstheme="majorHAnsi"/>
          <w:color w:val="000000" w:themeColor="text1"/>
          <w:lang w:val="ro-MD"/>
        </w:rPr>
        <w:t xml:space="preserve">ia din </w:t>
      </w:r>
      <w:r w:rsidR="00D54BEB" w:rsidRPr="00B13B9A">
        <w:rPr>
          <w:rFonts w:asciiTheme="majorHAnsi" w:hAnsiTheme="majorHAnsi" w:cstheme="majorHAnsi"/>
          <w:color w:val="000000" w:themeColor="text1"/>
          <w:lang w:val="ro-MD"/>
        </w:rPr>
        <w:t xml:space="preserve">30.06.2023 constituie 2 565,2 mii lei. </w:t>
      </w:r>
      <w:r w:rsidR="00E60CF1" w:rsidRPr="00B13B9A">
        <w:rPr>
          <w:rFonts w:asciiTheme="majorHAnsi" w:hAnsiTheme="majorHAnsi" w:cstheme="majorHAnsi"/>
          <w:lang w:val="ro-MD"/>
        </w:rPr>
        <w:t>De men</w:t>
      </w:r>
      <w:r w:rsidR="00B13B9A" w:rsidRPr="00B13B9A">
        <w:rPr>
          <w:rFonts w:asciiTheme="majorHAnsi" w:hAnsiTheme="majorHAnsi" w:cstheme="majorHAnsi"/>
          <w:lang w:val="ro-MD"/>
        </w:rPr>
        <w:t>ț</w:t>
      </w:r>
      <w:r w:rsidR="00E60CF1" w:rsidRPr="00B13B9A">
        <w:rPr>
          <w:rFonts w:asciiTheme="majorHAnsi" w:hAnsiTheme="majorHAnsi" w:cstheme="majorHAnsi"/>
          <w:lang w:val="ro-MD"/>
        </w:rPr>
        <w:t>ionat că</w:t>
      </w:r>
      <w:r w:rsidR="00993FB6" w:rsidRPr="00B13B9A">
        <w:rPr>
          <w:rFonts w:asciiTheme="majorHAnsi" w:hAnsiTheme="majorHAnsi" w:cstheme="majorHAnsi"/>
          <w:lang w:val="ro-MD"/>
        </w:rPr>
        <w:t>,</w:t>
      </w:r>
      <w:r w:rsidR="00E60CF1" w:rsidRPr="00B13B9A">
        <w:rPr>
          <w:rFonts w:asciiTheme="majorHAnsi" w:hAnsiTheme="majorHAnsi" w:cstheme="majorHAnsi"/>
          <w:lang w:val="ro-MD"/>
        </w:rPr>
        <w:t xml:space="preserve"> potrivit SNC, imobilizările neutilizate pot fi conservate</w:t>
      </w:r>
      <w:r w:rsidR="00C56368" w:rsidRPr="00B13B9A">
        <w:rPr>
          <w:rFonts w:asciiTheme="majorHAnsi" w:hAnsiTheme="majorHAnsi" w:cstheme="majorHAnsi"/>
          <w:lang w:val="ro-MD"/>
        </w:rPr>
        <w:t>,</w:t>
      </w:r>
      <w:r w:rsidR="00E60CF1" w:rsidRPr="00B13B9A">
        <w:rPr>
          <w:rFonts w:asciiTheme="majorHAnsi" w:hAnsiTheme="majorHAnsi" w:cstheme="majorHAnsi"/>
          <w:lang w:val="ro-MD"/>
        </w:rPr>
        <w:t xml:space="preserve"> </w:t>
      </w:r>
      <w:r w:rsidR="00E34CEF" w:rsidRPr="00B13B9A">
        <w:rPr>
          <w:rFonts w:asciiTheme="majorHAnsi" w:hAnsiTheme="majorHAnsi" w:cstheme="majorHAnsi"/>
          <w:lang w:val="ro-MD"/>
        </w:rPr>
        <w:t>iar</w:t>
      </w:r>
      <w:r w:rsidR="00E60CF1" w:rsidRPr="00B13B9A">
        <w:rPr>
          <w:rFonts w:asciiTheme="majorHAnsi" w:hAnsiTheme="majorHAnsi" w:cstheme="majorHAnsi"/>
          <w:lang w:val="ro-MD"/>
        </w:rPr>
        <w:t xml:space="preserve"> uzura acestora continuă a fi calculată, cu atribuire la alte cheltuieli </w:t>
      </w:r>
      <w:r w:rsidR="00A165D9" w:rsidRPr="00B13B9A">
        <w:rPr>
          <w:rFonts w:asciiTheme="majorHAnsi" w:hAnsiTheme="majorHAnsi" w:cstheme="majorHAnsi"/>
          <w:lang w:val="ro-MD"/>
        </w:rPr>
        <w:t>administrative</w:t>
      </w:r>
      <w:r w:rsidR="00BC4E04" w:rsidRPr="00B13B9A">
        <w:rPr>
          <w:rStyle w:val="a9"/>
          <w:rFonts w:asciiTheme="majorHAnsi" w:hAnsiTheme="majorHAnsi" w:cstheme="majorHAnsi"/>
          <w:sz w:val="24"/>
          <w:lang w:val="ro-MD"/>
        </w:rPr>
        <w:footnoteReference w:id="19"/>
      </w:r>
      <w:r w:rsidR="00E60CF1" w:rsidRPr="00B13B9A">
        <w:rPr>
          <w:rFonts w:asciiTheme="majorHAnsi" w:hAnsiTheme="majorHAnsi" w:cstheme="majorHAnsi"/>
          <w:lang w:val="ro-MD"/>
        </w:rPr>
        <w:t>.</w:t>
      </w:r>
    </w:p>
    <w:p w14:paraId="4AD09A53" w14:textId="64E10557" w:rsidR="00D54BEB" w:rsidRPr="00B13B9A" w:rsidRDefault="00D54BEB" w:rsidP="00D54BEB">
      <w:pPr>
        <w:spacing w:after="0" w:line="276" w:lineRule="auto"/>
        <w:jc w:val="both"/>
        <w:rPr>
          <w:rFonts w:asciiTheme="majorHAnsi" w:hAnsiTheme="majorHAnsi" w:cstheme="majorHAnsi"/>
          <w:color w:val="000000" w:themeColor="text1"/>
          <w:sz w:val="24"/>
          <w:szCs w:val="24"/>
          <w:lang w:val="ro-MD"/>
        </w:rPr>
      </w:pPr>
      <w:r w:rsidRPr="00B13B9A">
        <w:rPr>
          <w:rFonts w:asciiTheme="majorHAnsi" w:hAnsiTheme="majorHAnsi" w:cstheme="majorHAnsi"/>
          <w:color w:val="000000" w:themeColor="text1"/>
          <w:sz w:val="24"/>
          <w:szCs w:val="24"/>
          <w:lang w:val="ro-MD"/>
        </w:rPr>
        <w:t>Subsecvent</w:t>
      </w:r>
      <w:r w:rsidR="00993FB6" w:rsidRPr="00B13B9A">
        <w:rPr>
          <w:rFonts w:asciiTheme="majorHAnsi" w:hAnsiTheme="majorHAnsi" w:cstheme="majorHAnsi"/>
          <w:color w:val="000000" w:themeColor="text1"/>
          <w:sz w:val="24"/>
          <w:szCs w:val="24"/>
          <w:lang w:val="ro-MD"/>
        </w:rPr>
        <w:t>,</w:t>
      </w:r>
      <w:r w:rsidRPr="00B13B9A">
        <w:rPr>
          <w:rFonts w:asciiTheme="majorHAnsi" w:hAnsiTheme="majorHAnsi" w:cstheme="majorHAnsi"/>
          <w:color w:val="000000" w:themeColor="text1"/>
          <w:sz w:val="24"/>
          <w:szCs w:val="24"/>
          <w:lang w:val="ro-MD"/>
        </w:rPr>
        <w:t xml:space="preserve"> auditul men</w:t>
      </w:r>
      <w:r w:rsidR="00B13B9A" w:rsidRPr="00B13B9A">
        <w:rPr>
          <w:rFonts w:asciiTheme="majorHAnsi" w:hAnsiTheme="majorHAnsi" w:cstheme="majorHAnsi"/>
          <w:color w:val="000000" w:themeColor="text1"/>
          <w:sz w:val="24"/>
          <w:szCs w:val="24"/>
          <w:lang w:val="ro-MD"/>
        </w:rPr>
        <w:t>ț</w:t>
      </w:r>
      <w:r w:rsidRPr="00B13B9A">
        <w:rPr>
          <w:rFonts w:asciiTheme="majorHAnsi" w:hAnsiTheme="majorHAnsi" w:cstheme="majorHAnsi"/>
          <w:color w:val="000000" w:themeColor="text1"/>
          <w:sz w:val="24"/>
          <w:szCs w:val="24"/>
          <w:lang w:val="ro-MD"/>
        </w:rPr>
        <w:t>ionează că</w:t>
      </w:r>
      <w:r w:rsidR="00993FB6" w:rsidRPr="00B13B9A">
        <w:rPr>
          <w:rFonts w:asciiTheme="majorHAnsi" w:hAnsiTheme="majorHAnsi" w:cstheme="majorHAnsi"/>
          <w:color w:val="000000" w:themeColor="text1"/>
          <w:sz w:val="24"/>
          <w:szCs w:val="24"/>
          <w:lang w:val="ro-MD"/>
        </w:rPr>
        <w:t>,</w:t>
      </w:r>
      <w:r w:rsidRPr="00B13B9A">
        <w:rPr>
          <w:rFonts w:asciiTheme="majorHAnsi" w:hAnsiTheme="majorHAnsi" w:cstheme="majorHAnsi"/>
          <w:color w:val="000000" w:themeColor="text1"/>
          <w:sz w:val="24"/>
          <w:szCs w:val="24"/>
          <w:lang w:val="ro-MD"/>
        </w:rPr>
        <w:t xml:space="preserve"> contrar prevederilor cadrului normativ</w:t>
      </w:r>
      <w:r w:rsidRPr="00B13B9A">
        <w:rPr>
          <w:rStyle w:val="a9"/>
          <w:rFonts w:asciiTheme="majorHAnsi" w:hAnsiTheme="majorHAnsi" w:cstheme="majorHAnsi"/>
          <w:color w:val="000000" w:themeColor="text1"/>
          <w:sz w:val="24"/>
          <w:szCs w:val="24"/>
          <w:lang w:val="ro-MD"/>
        </w:rPr>
        <w:footnoteReference w:id="20"/>
      </w:r>
      <w:r w:rsidRPr="00B13B9A">
        <w:rPr>
          <w:rFonts w:asciiTheme="majorHAnsi" w:hAnsiTheme="majorHAnsi" w:cstheme="majorHAnsi"/>
          <w:color w:val="000000" w:themeColor="text1"/>
          <w:sz w:val="24"/>
          <w:szCs w:val="24"/>
          <w:lang w:val="ro-MD"/>
        </w:rPr>
        <w:t xml:space="preserve">, entitatea </w:t>
      </w:r>
      <w:r w:rsidR="00B13B9A" w:rsidRPr="00B13B9A">
        <w:rPr>
          <w:rFonts w:asciiTheme="majorHAnsi" w:hAnsiTheme="majorHAnsi" w:cstheme="majorHAnsi"/>
          <w:color w:val="000000" w:themeColor="text1"/>
          <w:sz w:val="24"/>
          <w:szCs w:val="24"/>
          <w:lang w:val="ro-MD"/>
        </w:rPr>
        <w:t>ș</w:t>
      </w:r>
      <w:r w:rsidRPr="00B13B9A">
        <w:rPr>
          <w:rFonts w:asciiTheme="majorHAnsi" w:hAnsiTheme="majorHAnsi" w:cstheme="majorHAnsi"/>
          <w:color w:val="000000" w:themeColor="text1"/>
          <w:sz w:val="24"/>
          <w:szCs w:val="24"/>
          <w:lang w:val="ro-MD"/>
        </w:rPr>
        <w:t>i-a stabilit în Politica de contabilitate durata func</w:t>
      </w:r>
      <w:r w:rsidR="00B13B9A" w:rsidRPr="00B13B9A">
        <w:rPr>
          <w:rFonts w:asciiTheme="majorHAnsi" w:hAnsiTheme="majorHAnsi" w:cstheme="majorHAnsi"/>
          <w:color w:val="000000" w:themeColor="text1"/>
          <w:sz w:val="24"/>
          <w:szCs w:val="24"/>
          <w:lang w:val="ro-MD"/>
        </w:rPr>
        <w:t>ț</w:t>
      </w:r>
      <w:r w:rsidRPr="00B13B9A">
        <w:rPr>
          <w:rFonts w:asciiTheme="majorHAnsi" w:hAnsiTheme="majorHAnsi" w:cstheme="majorHAnsi"/>
          <w:color w:val="000000" w:themeColor="text1"/>
          <w:sz w:val="24"/>
          <w:szCs w:val="24"/>
          <w:lang w:val="ro-MD"/>
        </w:rPr>
        <w:t xml:space="preserve">ională utilă pentru toate bunurile imobile de 77 </w:t>
      </w:r>
      <w:r w:rsidR="00993FB6" w:rsidRPr="00B13B9A">
        <w:rPr>
          <w:rFonts w:asciiTheme="majorHAnsi" w:hAnsiTheme="majorHAnsi" w:cstheme="majorHAnsi"/>
          <w:color w:val="000000" w:themeColor="text1"/>
          <w:sz w:val="24"/>
          <w:szCs w:val="24"/>
          <w:lang w:val="ro-MD"/>
        </w:rPr>
        <w:t xml:space="preserve">de </w:t>
      </w:r>
      <w:r w:rsidRPr="00B13B9A">
        <w:rPr>
          <w:rFonts w:asciiTheme="majorHAnsi" w:hAnsiTheme="majorHAnsi" w:cstheme="majorHAnsi"/>
          <w:color w:val="000000" w:themeColor="text1"/>
          <w:sz w:val="24"/>
          <w:szCs w:val="24"/>
          <w:lang w:val="ro-MD"/>
        </w:rPr>
        <w:t xml:space="preserve">ani, fără a </w:t>
      </w:r>
      <w:r w:rsidR="00B13B9A" w:rsidRPr="00B13B9A">
        <w:rPr>
          <w:rFonts w:asciiTheme="majorHAnsi" w:hAnsiTheme="majorHAnsi" w:cstheme="majorHAnsi"/>
          <w:color w:val="000000" w:themeColor="text1"/>
          <w:sz w:val="24"/>
          <w:szCs w:val="24"/>
          <w:lang w:val="ro-MD"/>
        </w:rPr>
        <w:t>ț</w:t>
      </w:r>
      <w:r w:rsidRPr="00B13B9A">
        <w:rPr>
          <w:rFonts w:asciiTheme="majorHAnsi" w:hAnsiTheme="majorHAnsi" w:cstheme="majorHAnsi"/>
          <w:color w:val="000000" w:themeColor="text1"/>
          <w:sz w:val="24"/>
          <w:szCs w:val="24"/>
          <w:lang w:val="ro-MD"/>
        </w:rPr>
        <w:t xml:space="preserve">ine cont de termenul rămas de exploatare utilă a clădirilor </w:t>
      </w:r>
      <w:r w:rsidR="00B13B9A" w:rsidRPr="00B13B9A">
        <w:rPr>
          <w:rFonts w:asciiTheme="majorHAnsi" w:hAnsiTheme="majorHAnsi" w:cstheme="majorHAnsi"/>
          <w:color w:val="000000" w:themeColor="text1"/>
          <w:sz w:val="24"/>
          <w:szCs w:val="24"/>
          <w:lang w:val="ro-MD"/>
        </w:rPr>
        <w:t>ș</w:t>
      </w:r>
      <w:r w:rsidRPr="00B13B9A">
        <w:rPr>
          <w:rFonts w:asciiTheme="majorHAnsi" w:hAnsiTheme="majorHAnsi" w:cstheme="majorHAnsi"/>
          <w:color w:val="000000" w:themeColor="text1"/>
          <w:sz w:val="24"/>
          <w:szCs w:val="24"/>
          <w:lang w:val="ro-MD"/>
        </w:rPr>
        <w:t xml:space="preserve">i </w:t>
      </w:r>
      <w:r w:rsidR="00993FB6" w:rsidRPr="00B13B9A">
        <w:rPr>
          <w:rFonts w:asciiTheme="majorHAnsi" w:hAnsiTheme="majorHAnsi" w:cstheme="majorHAnsi"/>
          <w:color w:val="000000" w:themeColor="text1"/>
          <w:sz w:val="24"/>
          <w:szCs w:val="24"/>
          <w:lang w:val="ro-MD"/>
        </w:rPr>
        <w:t xml:space="preserve">de </w:t>
      </w:r>
      <w:r w:rsidRPr="00B13B9A">
        <w:rPr>
          <w:rFonts w:asciiTheme="majorHAnsi" w:hAnsiTheme="majorHAnsi" w:cstheme="majorHAnsi"/>
          <w:color w:val="000000" w:themeColor="text1"/>
          <w:sz w:val="24"/>
          <w:szCs w:val="24"/>
          <w:lang w:val="ro-MD"/>
        </w:rPr>
        <w:t>starea lor fizică existentă, ceea ce a dus la neasigurarea calculării în termenul de exploatare utilă a uzurii acestor imobile, deci a suportării unor costuri suplimentare pentru bunuri</w:t>
      </w:r>
      <w:r w:rsidR="00993FB6" w:rsidRPr="00B13B9A">
        <w:rPr>
          <w:rFonts w:asciiTheme="majorHAnsi" w:hAnsiTheme="majorHAnsi" w:cstheme="majorHAnsi"/>
          <w:color w:val="000000" w:themeColor="text1"/>
          <w:sz w:val="24"/>
          <w:szCs w:val="24"/>
          <w:lang w:val="ro-MD"/>
        </w:rPr>
        <w:t>le</w:t>
      </w:r>
      <w:r w:rsidRPr="00B13B9A">
        <w:rPr>
          <w:rFonts w:asciiTheme="majorHAnsi" w:hAnsiTheme="majorHAnsi" w:cstheme="majorHAnsi"/>
          <w:color w:val="000000" w:themeColor="text1"/>
          <w:sz w:val="24"/>
          <w:szCs w:val="24"/>
          <w:lang w:val="ro-MD"/>
        </w:rPr>
        <w:t xml:space="preserve"> imobile învechite moral </w:t>
      </w:r>
      <w:r w:rsidR="00B13B9A" w:rsidRPr="00B13B9A">
        <w:rPr>
          <w:rFonts w:asciiTheme="majorHAnsi" w:hAnsiTheme="majorHAnsi" w:cstheme="majorHAnsi"/>
          <w:color w:val="000000" w:themeColor="text1"/>
          <w:sz w:val="24"/>
          <w:szCs w:val="24"/>
          <w:lang w:val="ro-MD"/>
        </w:rPr>
        <w:t>ș</w:t>
      </w:r>
      <w:r w:rsidRPr="00B13B9A">
        <w:rPr>
          <w:rFonts w:asciiTheme="majorHAnsi" w:hAnsiTheme="majorHAnsi" w:cstheme="majorHAnsi"/>
          <w:color w:val="000000" w:themeColor="text1"/>
          <w:sz w:val="24"/>
          <w:szCs w:val="24"/>
          <w:lang w:val="ro-MD"/>
        </w:rPr>
        <w:t>i distruse de timp</w:t>
      </w:r>
      <w:r w:rsidR="00993FB6" w:rsidRPr="00B13B9A">
        <w:rPr>
          <w:rFonts w:asciiTheme="majorHAnsi" w:hAnsiTheme="majorHAnsi" w:cstheme="majorHAnsi"/>
          <w:color w:val="000000" w:themeColor="text1"/>
          <w:sz w:val="24"/>
          <w:szCs w:val="24"/>
          <w:lang w:val="ro-MD"/>
        </w:rPr>
        <w:t>,</w:t>
      </w:r>
      <w:r w:rsidRPr="00B13B9A">
        <w:rPr>
          <w:rFonts w:asciiTheme="majorHAnsi" w:hAnsiTheme="majorHAnsi" w:cstheme="majorHAnsi"/>
          <w:color w:val="000000" w:themeColor="text1"/>
          <w:sz w:val="24"/>
          <w:szCs w:val="24"/>
          <w:lang w:val="ro-MD"/>
        </w:rPr>
        <w:t xml:space="preserve"> acestea </w:t>
      </w:r>
      <w:r w:rsidR="00993FB6" w:rsidRPr="00B13B9A">
        <w:rPr>
          <w:rFonts w:asciiTheme="majorHAnsi" w:hAnsiTheme="majorHAnsi" w:cstheme="majorHAnsi"/>
          <w:color w:val="000000" w:themeColor="text1"/>
          <w:sz w:val="24"/>
          <w:szCs w:val="24"/>
          <w:lang w:val="ro-MD"/>
        </w:rPr>
        <w:t xml:space="preserve">nemaifiind </w:t>
      </w:r>
      <w:r w:rsidRPr="00B13B9A">
        <w:rPr>
          <w:rFonts w:asciiTheme="majorHAnsi" w:hAnsiTheme="majorHAnsi" w:cstheme="majorHAnsi"/>
          <w:color w:val="000000" w:themeColor="text1"/>
          <w:sz w:val="24"/>
          <w:szCs w:val="24"/>
          <w:lang w:val="ro-MD"/>
        </w:rPr>
        <w:t>utile.</w:t>
      </w:r>
    </w:p>
    <w:p w14:paraId="3FBD3001" w14:textId="77777777" w:rsidR="00E34CEF" w:rsidRPr="00B13B9A" w:rsidRDefault="00E34CEF" w:rsidP="00792BD5">
      <w:pPr>
        <w:spacing w:after="0" w:line="276" w:lineRule="auto"/>
        <w:jc w:val="both"/>
        <w:rPr>
          <w:rFonts w:asciiTheme="majorHAnsi" w:hAnsiTheme="majorHAnsi" w:cstheme="majorHAnsi"/>
          <w:noProof/>
          <w:sz w:val="24"/>
          <w:szCs w:val="24"/>
          <w:lang w:val="ro-MD"/>
        </w:rPr>
      </w:pPr>
    </w:p>
    <w:p w14:paraId="57E765A3" w14:textId="7B523500" w:rsidR="00D54BEB" w:rsidRPr="00B13B9A" w:rsidRDefault="00D54BEB" w:rsidP="00D54BEB">
      <w:pPr>
        <w:spacing w:after="0" w:line="276" w:lineRule="auto"/>
        <w:jc w:val="both"/>
        <w:rPr>
          <w:rFonts w:asciiTheme="majorHAnsi" w:hAnsiTheme="majorHAnsi" w:cstheme="majorHAnsi"/>
          <w:color w:val="000000" w:themeColor="text1"/>
          <w:sz w:val="24"/>
          <w:szCs w:val="24"/>
          <w:lang w:val="ro-MD"/>
        </w:rPr>
      </w:pPr>
      <w:r w:rsidRPr="00B13B9A">
        <w:rPr>
          <w:rFonts w:asciiTheme="majorHAnsi" w:hAnsiTheme="majorHAnsi" w:cstheme="majorHAnsi"/>
          <w:noProof/>
          <w:sz w:val="24"/>
          <w:szCs w:val="24"/>
          <w:lang w:val="ro-MD"/>
        </w:rPr>
        <w:t>În contextul identificării bunurilor nefunc</w:t>
      </w:r>
      <w:r w:rsidR="00B13B9A" w:rsidRPr="00B13B9A">
        <w:rPr>
          <w:rFonts w:asciiTheme="majorHAnsi" w:hAnsiTheme="majorHAnsi" w:cstheme="majorHAnsi"/>
          <w:noProof/>
          <w:sz w:val="24"/>
          <w:szCs w:val="24"/>
          <w:lang w:val="ro-MD"/>
        </w:rPr>
        <w:t>ț</w:t>
      </w:r>
      <w:r w:rsidRPr="00B13B9A">
        <w:rPr>
          <w:rFonts w:asciiTheme="majorHAnsi" w:hAnsiTheme="majorHAnsi" w:cstheme="majorHAnsi"/>
          <w:noProof/>
          <w:sz w:val="24"/>
          <w:szCs w:val="24"/>
          <w:lang w:val="ro-MD"/>
        </w:rPr>
        <w:t xml:space="preserve">ionale </w:t>
      </w:r>
      <w:r w:rsidR="00B13B9A" w:rsidRPr="00B13B9A">
        <w:rPr>
          <w:rFonts w:asciiTheme="majorHAnsi" w:hAnsiTheme="majorHAnsi" w:cstheme="majorHAnsi"/>
          <w:noProof/>
          <w:sz w:val="24"/>
          <w:szCs w:val="24"/>
          <w:lang w:val="ro-MD"/>
        </w:rPr>
        <w:t>ș</w:t>
      </w:r>
      <w:r w:rsidRPr="00B13B9A">
        <w:rPr>
          <w:rFonts w:asciiTheme="majorHAnsi" w:hAnsiTheme="majorHAnsi" w:cstheme="majorHAnsi"/>
          <w:noProof/>
          <w:sz w:val="24"/>
          <w:szCs w:val="24"/>
          <w:lang w:val="ro-MD"/>
        </w:rPr>
        <w:t xml:space="preserve">i învechite, auditul denotă că, </w:t>
      </w:r>
      <w:r w:rsidRPr="00B13B9A">
        <w:rPr>
          <w:rFonts w:asciiTheme="majorHAnsi" w:hAnsiTheme="majorHAnsi" w:cstheme="majorHAnsi"/>
          <w:color w:val="000000" w:themeColor="text1"/>
          <w:sz w:val="24"/>
          <w:szCs w:val="24"/>
          <w:lang w:val="ro-MD"/>
        </w:rPr>
        <w:t xml:space="preserve">pentru 7 clădiri, în valoare de 768,00 mii lei </w:t>
      </w:r>
      <w:r w:rsidR="00B13B9A" w:rsidRPr="00B13B9A">
        <w:rPr>
          <w:rFonts w:asciiTheme="majorHAnsi" w:hAnsiTheme="majorHAnsi" w:cstheme="majorHAnsi"/>
          <w:color w:val="000000" w:themeColor="text1"/>
          <w:sz w:val="24"/>
          <w:szCs w:val="24"/>
          <w:lang w:val="ro-MD"/>
        </w:rPr>
        <w:t>ș</w:t>
      </w:r>
      <w:r w:rsidRPr="00B13B9A">
        <w:rPr>
          <w:rFonts w:asciiTheme="majorHAnsi" w:hAnsiTheme="majorHAnsi" w:cstheme="majorHAnsi"/>
          <w:color w:val="000000" w:themeColor="text1"/>
          <w:sz w:val="24"/>
          <w:szCs w:val="24"/>
          <w:lang w:val="ro-MD"/>
        </w:rPr>
        <w:t>i cu suprafa</w:t>
      </w:r>
      <w:r w:rsidR="00B13B9A" w:rsidRPr="00B13B9A">
        <w:rPr>
          <w:rFonts w:asciiTheme="majorHAnsi" w:hAnsiTheme="majorHAnsi" w:cstheme="majorHAnsi"/>
          <w:color w:val="000000" w:themeColor="text1"/>
          <w:sz w:val="24"/>
          <w:szCs w:val="24"/>
          <w:lang w:val="ro-MD"/>
        </w:rPr>
        <w:t>ț</w:t>
      </w:r>
      <w:r w:rsidRPr="00B13B9A">
        <w:rPr>
          <w:rFonts w:asciiTheme="majorHAnsi" w:hAnsiTheme="majorHAnsi" w:cstheme="majorHAnsi"/>
          <w:color w:val="000000" w:themeColor="text1"/>
          <w:sz w:val="24"/>
          <w:szCs w:val="24"/>
          <w:lang w:val="ro-MD"/>
        </w:rPr>
        <w:t>a de 1604,7 m.p.</w:t>
      </w:r>
      <w:r w:rsidR="00F9347C" w:rsidRPr="00B13B9A">
        <w:rPr>
          <w:rFonts w:asciiTheme="majorHAnsi" w:hAnsiTheme="majorHAnsi" w:cstheme="majorHAnsi"/>
          <w:color w:val="000000" w:themeColor="text1"/>
          <w:sz w:val="24"/>
          <w:szCs w:val="24"/>
          <w:lang w:val="ro-MD"/>
        </w:rPr>
        <w:t>,</w:t>
      </w:r>
      <w:r w:rsidRPr="00B13B9A">
        <w:rPr>
          <w:rFonts w:asciiTheme="majorHAnsi" w:hAnsiTheme="majorHAnsi" w:cstheme="majorHAnsi"/>
          <w:color w:val="000000" w:themeColor="text1"/>
          <w:sz w:val="24"/>
          <w:szCs w:val="24"/>
          <w:lang w:val="ro-MD"/>
        </w:rPr>
        <w:t xml:space="preserve"> au fost elaborate în anul 2007 proiecte de execu</w:t>
      </w:r>
      <w:r w:rsidR="00B13B9A" w:rsidRPr="00B13B9A">
        <w:rPr>
          <w:rFonts w:asciiTheme="majorHAnsi" w:hAnsiTheme="majorHAnsi" w:cstheme="majorHAnsi"/>
          <w:color w:val="000000" w:themeColor="text1"/>
          <w:sz w:val="24"/>
          <w:szCs w:val="24"/>
          <w:lang w:val="ro-MD"/>
        </w:rPr>
        <w:t>ț</w:t>
      </w:r>
      <w:r w:rsidRPr="00B13B9A">
        <w:rPr>
          <w:rFonts w:asciiTheme="majorHAnsi" w:hAnsiTheme="majorHAnsi" w:cstheme="majorHAnsi"/>
          <w:color w:val="000000" w:themeColor="text1"/>
          <w:sz w:val="24"/>
          <w:szCs w:val="24"/>
          <w:lang w:val="ro-MD"/>
        </w:rPr>
        <w:t xml:space="preserve">ie privind lucrările de demolare, costul lucrărilor </w:t>
      </w:r>
      <w:r w:rsidR="00F9347C" w:rsidRPr="00B13B9A">
        <w:rPr>
          <w:rFonts w:asciiTheme="majorHAnsi" w:hAnsiTheme="majorHAnsi" w:cstheme="majorHAnsi"/>
          <w:color w:val="000000" w:themeColor="text1"/>
          <w:sz w:val="24"/>
          <w:szCs w:val="24"/>
          <w:lang w:val="ro-MD"/>
        </w:rPr>
        <w:t>fiind</w:t>
      </w:r>
      <w:r w:rsidRPr="00B13B9A">
        <w:rPr>
          <w:rFonts w:asciiTheme="majorHAnsi" w:hAnsiTheme="majorHAnsi" w:cstheme="majorHAnsi"/>
          <w:color w:val="000000" w:themeColor="text1"/>
          <w:sz w:val="24"/>
          <w:szCs w:val="24"/>
          <w:lang w:val="ro-MD"/>
        </w:rPr>
        <w:t xml:space="preserve"> estima</w:t>
      </w:r>
      <w:r w:rsidR="00F9347C" w:rsidRPr="00B13B9A">
        <w:rPr>
          <w:rFonts w:asciiTheme="majorHAnsi" w:hAnsiTheme="majorHAnsi" w:cstheme="majorHAnsi"/>
          <w:color w:val="000000" w:themeColor="text1"/>
          <w:sz w:val="24"/>
          <w:szCs w:val="24"/>
          <w:lang w:val="ro-MD"/>
        </w:rPr>
        <w:t>te</w:t>
      </w:r>
      <w:r w:rsidRPr="00B13B9A">
        <w:rPr>
          <w:rFonts w:asciiTheme="majorHAnsi" w:hAnsiTheme="majorHAnsi" w:cstheme="majorHAnsi"/>
          <w:color w:val="000000" w:themeColor="text1"/>
          <w:sz w:val="24"/>
          <w:szCs w:val="24"/>
          <w:lang w:val="ro-MD"/>
        </w:rPr>
        <w:t xml:space="preserve"> la cca 447,03 mii lei, care până în prezent nu au fost executate. Totodată, costul lucrărilor de demolare nu este actual </w:t>
      </w:r>
      <w:r w:rsidR="00B13B9A" w:rsidRPr="00B13B9A">
        <w:rPr>
          <w:rFonts w:asciiTheme="majorHAnsi" w:hAnsiTheme="majorHAnsi" w:cstheme="majorHAnsi"/>
          <w:color w:val="000000" w:themeColor="text1"/>
          <w:sz w:val="24"/>
          <w:szCs w:val="24"/>
          <w:lang w:val="ro-MD"/>
        </w:rPr>
        <w:t>ț</w:t>
      </w:r>
      <w:r w:rsidRPr="00B13B9A">
        <w:rPr>
          <w:rFonts w:asciiTheme="majorHAnsi" w:hAnsiTheme="majorHAnsi" w:cstheme="majorHAnsi"/>
          <w:color w:val="000000" w:themeColor="text1"/>
          <w:sz w:val="24"/>
          <w:szCs w:val="24"/>
          <w:lang w:val="ro-MD"/>
        </w:rPr>
        <w:t>inând cont de schimbarea situa</w:t>
      </w:r>
      <w:r w:rsidR="00B13B9A" w:rsidRPr="00B13B9A">
        <w:rPr>
          <w:rFonts w:asciiTheme="majorHAnsi" w:hAnsiTheme="majorHAnsi" w:cstheme="majorHAnsi"/>
          <w:color w:val="000000" w:themeColor="text1"/>
          <w:sz w:val="24"/>
          <w:szCs w:val="24"/>
          <w:lang w:val="ro-MD"/>
        </w:rPr>
        <w:t>ț</w:t>
      </w:r>
      <w:r w:rsidRPr="00B13B9A">
        <w:rPr>
          <w:rFonts w:asciiTheme="majorHAnsi" w:hAnsiTheme="majorHAnsi" w:cstheme="majorHAnsi"/>
          <w:color w:val="000000" w:themeColor="text1"/>
          <w:sz w:val="24"/>
          <w:szCs w:val="24"/>
          <w:lang w:val="ro-MD"/>
        </w:rPr>
        <w:t xml:space="preserve">iei economice din </w:t>
      </w:r>
      <w:r w:rsidR="00B13B9A" w:rsidRPr="00B13B9A">
        <w:rPr>
          <w:rFonts w:asciiTheme="majorHAnsi" w:hAnsiTheme="majorHAnsi" w:cstheme="majorHAnsi"/>
          <w:color w:val="000000" w:themeColor="text1"/>
          <w:sz w:val="24"/>
          <w:szCs w:val="24"/>
          <w:lang w:val="ro-MD"/>
        </w:rPr>
        <w:t>ț</w:t>
      </w:r>
      <w:r w:rsidRPr="00B13B9A">
        <w:rPr>
          <w:rFonts w:asciiTheme="majorHAnsi" w:hAnsiTheme="majorHAnsi" w:cstheme="majorHAnsi"/>
          <w:color w:val="000000" w:themeColor="text1"/>
          <w:sz w:val="24"/>
          <w:szCs w:val="24"/>
          <w:lang w:val="ro-MD"/>
        </w:rPr>
        <w:t>ară.</w:t>
      </w:r>
    </w:p>
    <w:p w14:paraId="6332FECC" w14:textId="6A191DB8" w:rsidR="00E34CEF" w:rsidRPr="00B13B9A" w:rsidRDefault="00E34CEF" w:rsidP="00792BD5">
      <w:pPr>
        <w:spacing w:after="0" w:line="276" w:lineRule="auto"/>
        <w:jc w:val="both"/>
        <w:rPr>
          <w:rFonts w:asciiTheme="majorHAnsi" w:hAnsiTheme="majorHAnsi" w:cstheme="majorHAnsi"/>
          <w:color w:val="000000" w:themeColor="text1"/>
          <w:sz w:val="24"/>
          <w:szCs w:val="24"/>
          <w:lang w:val="ro-MD"/>
        </w:rPr>
      </w:pPr>
      <w:r w:rsidRPr="00B13B9A">
        <w:rPr>
          <w:rFonts w:asciiTheme="majorHAnsi" w:hAnsiTheme="majorHAnsi" w:cstheme="majorHAnsi"/>
          <w:color w:val="000000" w:themeColor="text1"/>
          <w:sz w:val="24"/>
          <w:szCs w:val="24"/>
          <w:lang w:val="ro-MD"/>
        </w:rPr>
        <w:t>Prin urmare, neaplicarea reglementărilor aferente imobilizărilor corporale neutilizate a</w:t>
      </w:r>
      <w:r w:rsidR="00F9347C" w:rsidRPr="00B13B9A">
        <w:rPr>
          <w:rFonts w:asciiTheme="majorHAnsi" w:hAnsiTheme="majorHAnsi" w:cstheme="majorHAnsi"/>
          <w:color w:val="000000" w:themeColor="text1"/>
          <w:sz w:val="24"/>
          <w:szCs w:val="24"/>
          <w:lang w:val="ro-MD"/>
        </w:rPr>
        <w:t>re</w:t>
      </w:r>
      <w:r w:rsidRPr="00B13B9A">
        <w:rPr>
          <w:rFonts w:asciiTheme="majorHAnsi" w:hAnsiTheme="majorHAnsi" w:cstheme="majorHAnsi"/>
          <w:color w:val="000000" w:themeColor="text1"/>
          <w:sz w:val="24"/>
          <w:szCs w:val="24"/>
          <w:lang w:val="ro-MD"/>
        </w:rPr>
        <w:t xml:space="preserve"> impact direct asupra </w:t>
      </w:r>
      <w:r w:rsidR="00436679">
        <w:rPr>
          <w:rFonts w:asciiTheme="majorHAnsi" w:hAnsiTheme="majorHAnsi" w:cstheme="majorHAnsi"/>
          <w:color w:val="000000" w:themeColor="text1"/>
          <w:sz w:val="24"/>
          <w:szCs w:val="24"/>
          <w:lang w:val="ro-MD"/>
        </w:rPr>
        <w:t>costului serviciilor prestate</w:t>
      </w:r>
      <w:r w:rsidRPr="00B13B9A">
        <w:rPr>
          <w:rFonts w:asciiTheme="majorHAnsi" w:hAnsiTheme="majorHAnsi" w:cstheme="majorHAnsi"/>
          <w:color w:val="000000" w:themeColor="text1"/>
          <w:sz w:val="24"/>
          <w:szCs w:val="24"/>
          <w:lang w:val="ro-MD"/>
        </w:rPr>
        <w:t>.</w:t>
      </w:r>
    </w:p>
    <w:p w14:paraId="3665B71F" w14:textId="77777777" w:rsidR="00D57EB8" w:rsidRPr="00B13B9A" w:rsidRDefault="00D57EB8" w:rsidP="00C50F57">
      <w:pPr>
        <w:spacing w:after="0" w:line="276" w:lineRule="auto"/>
        <w:jc w:val="both"/>
        <w:rPr>
          <w:rFonts w:asciiTheme="majorHAnsi" w:hAnsiTheme="majorHAnsi" w:cstheme="majorHAnsi"/>
          <w:color w:val="000000" w:themeColor="text1"/>
          <w:sz w:val="24"/>
          <w:szCs w:val="24"/>
          <w:lang w:val="ro-MD"/>
        </w:rPr>
      </w:pPr>
    </w:p>
    <w:p w14:paraId="772EE006" w14:textId="5D9CBC73" w:rsidR="00E274CE" w:rsidRPr="00B13B9A" w:rsidRDefault="001C4994" w:rsidP="00241AB3">
      <w:pPr>
        <w:pStyle w:val="a7"/>
        <w:numPr>
          <w:ilvl w:val="2"/>
          <w:numId w:val="10"/>
        </w:numPr>
        <w:spacing w:after="0" w:line="276" w:lineRule="auto"/>
        <w:jc w:val="both"/>
        <w:outlineLvl w:val="2"/>
        <w:rPr>
          <w:rFonts w:asciiTheme="majorHAnsi" w:hAnsiTheme="majorHAnsi" w:cstheme="majorHAnsi"/>
          <w:b/>
          <w:color w:val="000000" w:themeColor="text1"/>
          <w:sz w:val="24"/>
          <w:szCs w:val="24"/>
          <w:lang w:val="ro-MD"/>
        </w:rPr>
      </w:pPr>
      <w:bookmarkStart w:id="22" w:name="_Toc154562497"/>
      <w:r w:rsidRPr="00B13B9A">
        <w:rPr>
          <w:rFonts w:asciiTheme="majorHAnsi" w:hAnsiTheme="majorHAnsi" w:cstheme="majorHAnsi"/>
          <w:b/>
          <w:color w:val="000000" w:themeColor="text1"/>
          <w:sz w:val="24"/>
          <w:szCs w:val="24"/>
          <w:lang w:val="ro-MD"/>
        </w:rPr>
        <w:t>Lipsa documentelor confirmative ce atestă p</w:t>
      </w:r>
      <w:r w:rsidR="00E274CE" w:rsidRPr="00B13B9A">
        <w:rPr>
          <w:rFonts w:asciiTheme="majorHAnsi" w:hAnsiTheme="majorHAnsi" w:cstheme="majorHAnsi"/>
          <w:b/>
          <w:color w:val="000000" w:themeColor="text1"/>
          <w:sz w:val="24"/>
          <w:szCs w:val="24"/>
          <w:lang w:val="ro-MD"/>
        </w:rPr>
        <w:t>rivatizarea</w:t>
      </w:r>
      <w:r w:rsidRPr="00B13B9A">
        <w:rPr>
          <w:rFonts w:asciiTheme="majorHAnsi" w:hAnsiTheme="majorHAnsi" w:cstheme="majorHAnsi"/>
          <w:b/>
          <w:color w:val="000000" w:themeColor="text1"/>
          <w:sz w:val="24"/>
          <w:szCs w:val="24"/>
          <w:lang w:val="ro-MD"/>
        </w:rPr>
        <w:t xml:space="preserve"> apartamentelor nu asigură eviden</w:t>
      </w:r>
      <w:r w:rsidR="00B13B9A" w:rsidRPr="00B13B9A">
        <w:rPr>
          <w:rFonts w:asciiTheme="majorHAnsi" w:hAnsiTheme="majorHAnsi" w:cstheme="majorHAnsi"/>
          <w:b/>
          <w:color w:val="000000" w:themeColor="text1"/>
          <w:sz w:val="24"/>
          <w:szCs w:val="24"/>
          <w:lang w:val="ro-MD"/>
        </w:rPr>
        <w:t>ț</w:t>
      </w:r>
      <w:r w:rsidRPr="00B13B9A">
        <w:rPr>
          <w:rFonts w:asciiTheme="majorHAnsi" w:hAnsiTheme="majorHAnsi" w:cstheme="majorHAnsi"/>
          <w:b/>
          <w:color w:val="000000" w:themeColor="text1"/>
          <w:sz w:val="24"/>
          <w:szCs w:val="24"/>
          <w:lang w:val="ro-MD"/>
        </w:rPr>
        <w:t xml:space="preserve">a conformă a </w:t>
      </w:r>
      <w:r w:rsidR="00651651" w:rsidRPr="00B13B9A">
        <w:rPr>
          <w:rFonts w:asciiTheme="majorHAnsi" w:hAnsiTheme="majorHAnsi" w:cstheme="majorHAnsi"/>
          <w:b/>
          <w:color w:val="000000" w:themeColor="text1"/>
          <w:sz w:val="24"/>
          <w:szCs w:val="24"/>
          <w:lang w:val="ro-MD"/>
        </w:rPr>
        <w:t>caselor de locuit</w:t>
      </w:r>
      <w:r w:rsidRPr="00B13B9A">
        <w:rPr>
          <w:rFonts w:asciiTheme="majorHAnsi" w:hAnsiTheme="majorHAnsi" w:cstheme="majorHAnsi"/>
          <w:b/>
          <w:color w:val="000000" w:themeColor="text1"/>
          <w:sz w:val="24"/>
          <w:szCs w:val="24"/>
          <w:lang w:val="ro-MD"/>
        </w:rPr>
        <w:t xml:space="preserve"> de</w:t>
      </w:r>
      <w:r w:rsidR="00B13B9A" w:rsidRPr="00B13B9A">
        <w:rPr>
          <w:rFonts w:asciiTheme="majorHAnsi" w:hAnsiTheme="majorHAnsi" w:cstheme="majorHAnsi"/>
          <w:b/>
          <w:color w:val="000000" w:themeColor="text1"/>
          <w:sz w:val="24"/>
          <w:szCs w:val="24"/>
          <w:lang w:val="ro-MD"/>
        </w:rPr>
        <w:t>ț</w:t>
      </w:r>
      <w:r w:rsidRPr="00B13B9A">
        <w:rPr>
          <w:rFonts w:asciiTheme="majorHAnsi" w:hAnsiTheme="majorHAnsi" w:cstheme="majorHAnsi"/>
          <w:b/>
          <w:color w:val="000000" w:themeColor="text1"/>
          <w:sz w:val="24"/>
          <w:szCs w:val="24"/>
          <w:lang w:val="ro-MD"/>
        </w:rPr>
        <w:t>inute de IMSP.</w:t>
      </w:r>
      <w:bookmarkEnd w:id="22"/>
    </w:p>
    <w:p w14:paraId="5C55361F" w14:textId="77777777" w:rsidR="00C56368" w:rsidRPr="00B13B9A" w:rsidRDefault="00C56368" w:rsidP="009B3E40">
      <w:pPr>
        <w:shd w:val="clear" w:color="auto" w:fill="FFFFFF"/>
        <w:spacing w:after="0" w:line="240" w:lineRule="auto"/>
        <w:ind w:firstLine="540"/>
        <w:jc w:val="both"/>
        <w:rPr>
          <w:rFonts w:ascii="Georgia" w:eastAsia="Times New Roman" w:hAnsi="Georgia" w:cs="Times New Roman"/>
          <w:color w:val="333333"/>
          <w:sz w:val="24"/>
          <w:szCs w:val="24"/>
          <w:lang w:val="ro-MD"/>
        </w:rPr>
      </w:pPr>
      <w:r w:rsidRPr="00B13B9A">
        <w:rPr>
          <w:rFonts w:ascii="Georgia" w:eastAsia="Times New Roman" w:hAnsi="Georgia" w:cs="Times New Roman"/>
          <w:color w:val="333333"/>
          <w:sz w:val="24"/>
          <w:szCs w:val="24"/>
          <w:lang w:val="ro-MD"/>
        </w:rPr>
        <w:t> </w:t>
      </w:r>
    </w:p>
    <w:p w14:paraId="4C0A2B7D" w14:textId="0B5CCA1F" w:rsidR="00D54BEB" w:rsidRPr="00B13B9A" w:rsidRDefault="00D54BEB" w:rsidP="004150CC">
      <w:pPr>
        <w:shd w:val="clear" w:color="auto" w:fill="FFFFFF"/>
        <w:spacing w:after="0" w:line="276" w:lineRule="auto"/>
        <w:jc w:val="both"/>
        <w:rPr>
          <w:rFonts w:asciiTheme="majorHAnsi" w:eastAsia="Times New Roman" w:hAnsiTheme="majorHAnsi" w:cstheme="majorHAnsi"/>
          <w:iCs/>
          <w:color w:val="000000"/>
          <w:sz w:val="24"/>
          <w:szCs w:val="20"/>
          <w:lang w:val="ro-MD"/>
        </w:rPr>
      </w:pPr>
      <w:r w:rsidRPr="00B13B9A">
        <w:rPr>
          <w:rFonts w:asciiTheme="majorHAnsi" w:eastAsia="Times New Roman" w:hAnsiTheme="majorHAnsi" w:cstheme="majorHAnsi"/>
          <w:iCs/>
          <w:color w:val="000000"/>
          <w:sz w:val="24"/>
          <w:szCs w:val="20"/>
          <w:lang w:val="ro-MD"/>
        </w:rPr>
        <w:t>Din totalul bunurilor imobile de</w:t>
      </w:r>
      <w:r w:rsidR="00B13B9A" w:rsidRPr="00B13B9A">
        <w:rPr>
          <w:rFonts w:asciiTheme="majorHAnsi" w:eastAsia="Times New Roman" w:hAnsiTheme="majorHAnsi" w:cstheme="majorHAnsi"/>
          <w:iCs/>
          <w:color w:val="000000"/>
          <w:sz w:val="24"/>
          <w:szCs w:val="20"/>
          <w:lang w:val="ro-MD"/>
        </w:rPr>
        <w:t>ț</w:t>
      </w:r>
      <w:r w:rsidRPr="00B13B9A">
        <w:rPr>
          <w:rFonts w:asciiTheme="majorHAnsi" w:eastAsia="Times New Roman" w:hAnsiTheme="majorHAnsi" w:cstheme="majorHAnsi"/>
          <w:iCs/>
          <w:color w:val="000000"/>
          <w:sz w:val="24"/>
          <w:szCs w:val="20"/>
          <w:lang w:val="ro-MD"/>
        </w:rPr>
        <w:t xml:space="preserve">inute de IMSP, 4 case de locuit </w:t>
      </w:r>
      <w:r w:rsidR="00651651" w:rsidRPr="00B13B9A">
        <w:rPr>
          <w:rFonts w:asciiTheme="majorHAnsi" w:eastAsia="Times New Roman" w:hAnsiTheme="majorHAnsi" w:cstheme="majorHAnsi"/>
          <w:iCs/>
          <w:color w:val="000000"/>
          <w:sz w:val="24"/>
          <w:szCs w:val="20"/>
          <w:lang w:val="ro-MD"/>
        </w:rPr>
        <w:t xml:space="preserve">sunt situate </w:t>
      </w:r>
      <w:r w:rsidRPr="00B13B9A">
        <w:rPr>
          <w:rFonts w:asciiTheme="majorHAnsi" w:eastAsia="Times New Roman" w:hAnsiTheme="majorHAnsi" w:cstheme="majorHAnsi"/>
          <w:iCs/>
          <w:color w:val="000000"/>
          <w:sz w:val="24"/>
          <w:szCs w:val="20"/>
          <w:lang w:val="ro-MD"/>
        </w:rPr>
        <w:t xml:space="preserve">în s. Vorniceni, cu 4, 30, 48 </w:t>
      </w:r>
      <w:r w:rsidR="00B13B9A" w:rsidRPr="00B13B9A">
        <w:rPr>
          <w:rFonts w:asciiTheme="majorHAnsi" w:eastAsia="Times New Roman" w:hAnsiTheme="majorHAnsi" w:cstheme="majorHAnsi"/>
          <w:iCs/>
          <w:color w:val="000000"/>
          <w:sz w:val="24"/>
          <w:szCs w:val="20"/>
          <w:lang w:val="ro-MD"/>
        </w:rPr>
        <w:t>ș</w:t>
      </w:r>
      <w:r w:rsidRPr="00B13B9A">
        <w:rPr>
          <w:rFonts w:asciiTheme="majorHAnsi" w:eastAsia="Times New Roman" w:hAnsiTheme="majorHAnsi" w:cstheme="majorHAnsi"/>
          <w:iCs/>
          <w:color w:val="000000"/>
          <w:sz w:val="24"/>
          <w:szCs w:val="20"/>
          <w:lang w:val="ro-MD"/>
        </w:rPr>
        <w:t xml:space="preserve">i, respectiv, 55 </w:t>
      </w:r>
      <w:r w:rsidR="00651651" w:rsidRPr="00B13B9A">
        <w:rPr>
          <w:rFonts w:asciiTheme="majorHAnsi" w:eastAsia="Times New Roman" w:hAnsiTheme="majorHAnsi" w:cstheme="majorHAnsi"/>
          <w:iCs/>
          <w:color w:val="000000"/>
          <w:sz w:val="24"/>
          <w:szCs w:val="20"/>
          <w:lang w:val="ro-MD"/>
        </w:rPr>
        <w:t xml:space="preserve">de </w:t>
      </w:r>
      <w:r w:rsidRPr="00B13B9A">
        <w:rPr>
          <w:rFonts w:asciiTheme="majorHAnsi" w:eastAsia="Times New Roman" w:hAnsiTheme="majorHAnsi" w:cstheme="majorHAnsi"/>
          <w:iCs/>
          <w:color w:val="000000"/>
          <w:sz w:val="24"/>
          <w:szCs w:val="20"/>
          <w:lang w:val="ro-MD"/>
        </w:rPr>
        <w:t>apartamente, în total 93 de apartamente</w:t>
      </w:r>
      <w:r w:rsidR="0053275E">
        <w:rPr>
          <w:rFonts w:asciiTheme="majorHAnsi" w:eastAsia="Times New Roman" w:hAnsiTheme="majorHAnsi" w:cstheme="majorHAnsi"/>
          <w:iCs/>
          <w:color w:val="000000"/>
          <w:sz w:val="24"/>
          <w:szCs w:val="20"/>
          <w:lang w:val="ro-MD"/>
        </w:rPr>
        <w:t xml:space="preserve"> (cu valoare inițială de 7662,77 mii lei și uzură completă)</w:t>
      </w:r>
      <w:r w:rsidRPr="00B13B9A">
        <w:rPr>
          <w:rFonts w:asciiTheme="majorHAnsi" w:eastAsia="Times New Roman" w:hAnsiTheme="majorHAnsi" w:cstheme="majorHAnsi"/>
          <w:iCs/>
          <w:color w:val="000000"/>
          <w:sz w:val="24"/>
          <w:szCs w:val="20"/>
          <w:lang w:val="ro-MD"/>
        </w:rPr>
        <w:t>. Potrivit Hotărârii sovietului sătesc din 1986, apartamentele au fost repartizate</w:t>
      </w:r>
      <w:r w:rsidR="00651651" w:rsidRPr="00B13B9A">
        <w:rPr>
          <w:rFonts w:asciiTheme="majorHAnsi" w:eastAsia="Times New Roman" w:hAnsiTheme="majorHAnsi" w:cstheme="majorHAnsi"/>
          <w:iCs/>
          <w:color w:val="000000"/>
          <w:sz w:val="24"/>
          <w:szCs w:val="20"/>
          <w:lang w:val="ro-MD"/>
        </w:rPr>
        <w:t xml:space="preserve"> angaja</w:t>
      </w:r>
      <w:r w:rsidR="00B13B9A" w:rsidRPr="00B13B9A">
        <w:rPr>
          <w:rFonts w:asciiTheme="majorHAnsi" w:eastAsia="Times New Roman" w:hAnsiTheme="majorHAnsi" w:cstheme="majorHAnsi"/>
          <w:iCs/>
          <w:color w:val="000000"/>
          <w:sz w:val="24"/>
          <w:szCs w:val="20"/>
          <w:lang w:val="ro-MD"/>
        </w:rPr>
        <w:t>ț</w:t>
      </w:r>
      <w:r w:rsidR="00651651" w:rsidRPr="00B13B9A">
        <w:rPr>
          <w:rFonts w:asciiTheme="majorHAnsi" w:eastAsia="Times New Roman" w:hAnsiTheme="majorHAnsi" w:cstheme="majorHAnsi"/>
          <w:iCs/>
          <w:color w:val="000000"/>
          <w:sz w:val="24"/>
          <w:szCs w:val="20"/>
          <w:lang w:val="ro-MD"/>
        </w:rPr>
        <w:t>ilor spitalului</w:t>
      </w:r>
      <w:r w:rsidRPr="00B13B9A">
        <w:rPr>
          <w:rFonts w:asciiTheme="majorHAnsi" w:eastAsia="Times New Roman" w:hAnsiTheme="majorHAnsi" w:cstheme="majorHAnsi"/>
          <w:iCs/>
          <w:color w:val="000000"/>
          <w:sz w:val="24"/>
          <w:szCs w:val="20"/>
          <w:lang w:val="ro-MD"/>
        </w:rPr>
        <w:t>. Ulterior</w:t>
      </w:r>
      <w:r w:rsidR="00651651" w:rsidRPr="00B13B9A">
        <w:rPr>
          <w:rFonts w:asciiTheme="majorHAnsi" w:eastAsia="Times New Roman" w:hAnsiTheme="majorHAnsi" w:cstheme="majorHAnsi"/>
          <w:iCs/>
          <w:color w:val="000000"/>
          <w:sz w:val="24"/>
          <w:szCs w:val="20"/>
          <w:lang w:val="ro-MD"/>
        </w:rPr>
        <w:t>,</w:t>
      </w:r>
      <w:r w:rsidRPr="00B13B9A">
        <w:rPr>
          <w:rFonts w:asciiTheme="majorHAnsi" w:eastAsia="Times New Roman" w:hAnsiTheme="majorHAnsi" w:cstheme="majorHAnsi"/>
          <w:iCs/>
          <w:color w:val="000000"/>
          <w:sz w:val="24"/>
          <w:szCs w:val="20"/>
          <w:lang w:val="ro-MD"/>
        </w:rPr>
        <w:t xml:space="preserve"> acestor apartamente le-au fost atribuite num</w:t>
      </w:r>
      <w:r w:rsidR="00651651" w:rsidRPr="00B13B9A">
        <w:rPr>
          <w:rFonts w:asciiTheme="majorHAnsi" w:eastAsia="Times New Roman" w:hAnsiTheme="majorHAnsi" w:cstheme="majorHAnsi"/>
          <w:iCs/>
          <w:color w:val="000000"/>
          <w:sz w:val="24"/>
          <w:szCs w:val="20"/>
          <w:lang w:val="ro-MD"/>
        </w:rPr>
        <w:t>ere</w:t>
      </w:r>
      <w:r w:rsidRPr="00B13B9A">
        <w:rPr>
          <w:rFonts w:asciiTheme="majorHAnsi" w:eastAsia="Times New Roman" w:hAnsiTheme="majorHAnsi" w:cstheme="majorHAnsi"/>
          <w:iCs/>
          <w:color w:val="000000"/>
          <w:sz w:val="24"/>
          <w:szCs w:val="20"/>
          <w:lang w:val="ro-MD"/>
        </w:rPr>
        <w:t xml:space="preserve"> cadastral</w:t>
      </w:r>
      <w:r w:rsidR="00651651" w:rsidRPr="00B13B9A">
        <w:rPr>
          <w:rFonts w:asciiTheme="majorHAnsi" w:eastAsia="Times New Roman" w:hAnsiTheme="majorHAnsi" w:cstheme="majorHAnsi"/>
          <w:iCs/>
          <w:color w:val="000000"/>
          <w:sz w:val="24"/>
          <w:szCs w:val="20"/>
          <w:lang w:val="ro-MD"/>
        </w:rPr>
        <w:t>e</w:t>
      </w:r>
      <w:r w:rsidRPr="00B13B9A">
        <w:rPr>
          <w:rFonts w:asciiTheme="majorHAnsi" w:eastAsia="Times New Roman" w:hAnsiTheme="majorHAnsi" w:cstheme="majorHAnsi"/>
          <w:iCs/>
          <w:color w:val="000000"/>
          <w:sz w:val="24"/>
          <w:szCs w:val="20"/>
          <w:lang w:val="ro-MD"/>
        </w:rPr>
        <w:t xml:space="preserve"> provizor</w:t>
      </w:r>
      <w:r w:rsidR="00651651" w:rsidRPr="00B13B9A">
        <w:rPr>
          <w:rFonts w:asciiTheme="majorHAnsi" w:eastAsia="Times New Roman" w:hAnsiTheme="majorHAnsi" w:cstheme="majorHAnsi"/>
          <w:iCs/>
          <w:color w:val="000000"/>
          <w:sz w:val="24"/>
          <w:szCs w:val="20"/>
          <w:lang w:val="ro-MD"/>
        </w:rPr>
        <w:t>i</w:t>
      </w:r>
      <w:r w:rsidRPr="00B13B9A">
        <w:rPr>
          <w:rFonts w:asciiTheme="majorHAnsi" w:eastAsia="Times New Roman" w:hAnsiTheme="majorHAnsi" w:cstheme="majorHAnsi"/>
          <w:iCs/>
          <w:color w:val="000000"/>
          <w:sz w:val="24"/>
          <w:szCs w:val="20"/>
          <w:lang w:val="ro-MD"/>
        </w:rPr>
        <w:t xml:space="preserve">i </w:t>
      </w:r>
      <w:r w:rsidR="00B13B9A" w:rsidRPr="00B13B9A">
        <w:rPr>
          <w:rFonts w:asciiTheme="majorHAnsi" w:eastAsia="Times New Roman" w:hAnsiTheme="majorHAnsi" w:cstheme="majorHAnsi"/>
          <w:iCs/>
          <w:color w:val="000000"/>
          <w:sz w:val="24"/>
          <w:szCs w:val="20"/>
          <w:lang w:val="ro-MD"/>
        </w:rPr>
        <w:t>ș</w:t>
      </w:r>
      <w:r w:rsidRPr="00B13B9A">
        <w:rPr>
          <w:rFonts w:asciiTheme="majorHAnsi" w:eastAsia="Times New Roman" w:hAnsiTheme="majorHAnsi" w:cstheme="majorHAnsi"/>
          <w:iCs/>
          <w:color w:val="000000"/>
          <w:sz w:val="24"/>
          <w:szCs w:val="20"/>
          <w:lang w:val="ro-MD"/>
        </w:rPr>
        <w:t xml:space="preserve">i urma să fie </w:t>
      </w:r>
      <w:r w:rsidR="00651651" w:rsidRPr="00B13B9A">
        <w:rPr>
          <w:rFonts w:asciiTheme="majorHAnsi" w:eastAsia="Times New Roman" w:hAnsiTheme="majorHAnsi" w:cstheme="majorHAnsi"/>
          <w:iCs/>
          <w:color w:val="000000"/>
          <w:sz w:val="24"/>
          <w:szCs w:val="20"/>
          <w:lang w:val="ro-MD"/>
        </w:rPr>
        <w:t>de</w:t>
      </w:r>
      <w:r w:rsidRPr="00B13B9A">
        <w:rPr>
          <w:rFonts w:asciiTheme="majorHAnsi" w:eastAsia="Times New Roman" w:hAnsiTheme="majorHAnsi" w:cstheme="majorHAnsi"/>
          <w:iCs/>
          <w:color w:val="000000"/>
          <w:sz w:val="24"/>
          <w:szCs w:val="20"/>
          <w:lang w:val="ro-MD"/>
        </w:rPr>
        <w:t>fini</w:t>
      </w:r>
      <w:r w:rsidR="00651651" w:rsidRPr="00B13B9A">
        <w:rPr>
          <w:rFonts w:asciiTheme="majorHAnsi" w:eastAsia="Times New Roman" w:hAnsiTheme="majorHAnsi" w:cstheme="majorHAnsi"/>
          <w:iCs/>
          <w:color w:val="000000"/>
          <w:sz w:val="24"/>
          <w:szCs w:val="20"/>
          <w:lang w:val="ro-MD"/>
        </w:rPr>
        <w:t>tiv</w:t>
      </w:r>
      <w:r w:rsidRPr="00B13B9A">
        <w:rPr>
          <w:rFonts w:asciiTheme="majorHAnsi" w:eastAsia="Times New Roman" w:hAnsiTheme="majorHAnsi" w:cstheme="majorHAnsi"/>
          <w:iCs/>
          <w:color w:val="000000"/>
          <w:sz w:val="24"/>
          <w:szCs w:val="20"/>
          <w:lang w:val="ro-MD"/>
        </w:rPr>
        <w:t xml:space="preserve">ată procedura de înregistrare a drepturilor asupra acestora. </w:t>
      </w:r>
    </w:p>
    <w:p w14:paraId="1DBEDA22" w14:textId="77777777" w:rsidR="006E5491" w:rsidRDefault="009B3E40" w:rsidP="009E24ED">
      <w:pPr>
        <w:shd w:val="clear" w:color="auto" w:fill="FFFFFF"/>
        <w:spacing w:after="0" w:line="276" w:lineRule="auto"/>
        <w:jc w:val="both"/>
        <w:rPr>
          <w:rFonts w:asciiTheme="majorHAnsi" w:eastAsia="Times New Roman" w:hAnsiTheme="majorHAnsi" w:cstheme="majorHAnsi"/>
          <w:iCs/>
          <w:color w:val="000000"/>
          <w:sz w:val="24"/>
          <w:szCs w:val="24"/>
          <w:lang w:val="ro-MD"/>
        </w:rPr>
      </w:pPr>
      <w:r w:rsidRPr="00B13B9A">
        <w:rPr>
          <w:rFonts w:asciiTheme="majorHAnsi" w:eastAsia="Times New Roman" w:hAnsiTheme="majorHAnsi" w:cstheme="majorHAnsi"/>
          <w:iCs/>
          <w:color w:val="000000"/>
          <w:sz w:val="24"/>
          <w:szCs w:val="20"/>
          <w:lang w:val="ro-MD"/>
        </w:rPr>
        <w:t>Totodată, potrivit cadrului legal</w:t>
      </w:r>
      <w:r w:rsidRPr="00B13B9A">
        <w:rPr>
          <w:rFonts w:asciiTheme="majorHAnsi" w:hAnsiTheme="majorHAnsi" w:cstheme="majorHAnsi"/>
          <w:iCs/>
          <w:color w:val="000000"/>
          <w:sz w:val="24"/>
          <w:szCs w:val="20"/>
          <w:vertAlign w:val="superscript"/>
          <w:lang w:val="ro-MD"/>
        </w:rPr>
        <w:footnoteReference w:id="21"/>
      </w:r>
      <w:r w:rsidRPr="00B13B9A">
        <w:rPr>
          <w:rFonts w:asciiTheme="majorHAnsi" w:eastAsia="Times New Roman" w:hAnsiTheme="majorHAnsi" w:cstheme="majorHAnsi"/>
          <w:iCs/>
          <w:color w:val="000000"/>
          <w:sz w:val="24"/>
          <w:szCs w:val="20"/>
          <w:lang w:val="ro-MD"/>
        </w:rPr>
        <w:t>, locuin</w:t>
      </w:r>
      <w:r w:rsidR="00B13B9A" w:rsidRPr="00B13B9A">
        <w:rPr>
          <w:rFonts w:asciiTheme="majorHAnsi" w:eastAsia="Times New Roman" w:hAnsiTheme="majorHAnsi" w:cstheme="majorHAnsi"/>
          <w:iCs/>
          <w:color w:val="000000"/>
          <w:sz w:val="24"/>
          <w:szCs w:val="20"/>
          <w:lang w:val="ro-MD"/>
        </w:rPr>
        <w:t>ț</w:t>
      </w:r>
      <w:r w:rsidRPr="00B13B9A">
        <w:rPr>
          <w:rFonts w:asciiTheme="majorHAnsi" w:eastAsia="Times New Roman" w:hAnsiTheme="majorHAnsi" w:cstheme="majorHAnsi"/>
          <w:iCs/>
          <w:color w:val="000000"/>
          <w:sz w:val="24"/>
          <w:szCs w:val="20"/>
          <w:lang w:val="ro-MD"/>
        </w:rPr>
        <w:t>ele cumpărate sau primite cu titlu gratuit în proprietate privată se exclud din fondul de locuin</w:t>
      </w:r>
      <w:r w:rsidR="00B13B9A" w:rsidRPr="00B13B9A">
        <w:rPr>
          <w:rFonts w:asciiTheme="majorHAnsi" w:eastAsia="Times New Roman" w:hAnsiTheme="majorHAnsi" w:cstheme="majorHAnsi"/>
          <w:iCs/>
          <w:color w:val="000000"/>
          <w:sz w:val="24"/>
          <w:szCs w:val="20"/>
          <w:lang w:val="ro-MD"/>
        </w:rPr>
        <w:t>ț</w:t>
      </w:r>
      <w:r w:rsidRPr="00B13B9A">
        <w:rPr>
          <w:rFonts w:asciiTheme="majorHAnsi" w:eastAsia="Times New Roman" w:hAnsiTheme="majorHAnsi" w:cstheme="majorHAnsi"/>
          <w:iCs/>
          <w:color w:val="000000"/>
          <w:sz w:val="24"/>
          <w:szCs w:val="20"/>
          <w:lang w:val="ro-MD"/>
        </w:rPr>
        <w:t>e de stat, ob</w:t>
      </w:r>
      <w:r w:rsidR="00B13B9A" w:rsidRPr="00B13B9A">
        <w:rPr>
          <w:rFonts w:asciiTheme="majorHAnsi" w:eastAsia="Times New Roman" w:hAnsiTheme="majorHAnsi" w:cstheme="majorHAnsi"/>
          <w:iCs/>
          <w:color w:val="000000"/>
          <w:sz w:val="24"/>
          <w:szCs w:val="20"/>
          <w:lang w:val="ro-MD"/>
        </w:rPr>
        <w:t>ș</w:t>
      </w:r>
      <w:r w:rsidRPr="00B13B9A">
        <w:rPr>
          <w:rFonts w:asciiTheme="majorHAnsi" w:eastAsia="Times New Roman" w:hAnsiTheme="majorHAnsi" w:cstheme="majorHAnsi"/>
          <w:iCs/>
          <w:color w:val="000000"/>
          <w:sz w:val="24"/>
          <w:szCs w:val="20"/>
          <w:lang w:val="ro-MD"/>
        </w:rPr>
        <w:t>tesc, departamental </w:t>
      </w:r>
      <w:r w:rsidR="00B13B9A" w:rsidRPr="00B13B9A">
        <w:rPr>
          <w:rFonts w:asciiTheme="majorHAnsi" w:eastAsia="Times New Roman" w:hAnsiTheme="majorHAnsi" w:cstheme="majorHAnsi"/>
          <w:iCs/>
          <w:color w:val="000000"/>
          <w:sz w:val="24"/>
          <w:szCs w:val="20"/>
          <w:lang w:val="ro-MD"/>
        </w:rPr>
        <w:t>ș</w:t>
      </w:r>
      <w:r w:rsidRPr="00B13B9A">
        <w:rPr>
          <w:rFonts w:asciiTheme="majorHAnsi" w:eastAsia="Times New Roman" w:hAnsiTheme="majorHAnsi" w:cstheme="majorHAnsi"/>
          <w:iCs/>
          <w:color w:val="000000"/>
          <w:sz w:val="24"/>
          <w:szCs w:val="20"/>
          <w:lang w:val="ro-MD"/>
        </w:rPr>
        <w:t>i cooperatist </w:t>
      </w:r>
      <w:r w:rsidR="00B13B9A" w:rsidRPr="00B13B9A">
        <w:rPr>
          <w:rFonts w:asciiTheme="majorHAnsi" w:eastAsia="Times New Roman" w:hAnsiTheme="majorHAnsi" w:cstheme="majorHAnsi"/>
          <w:iCs/>
          <w:color w:val="000000"/>
          <w:sz w:val="24"/>
          <w:szCs w:val="20"/>
          <w:lang w:val="ro-MD"/>
        </w:rPr>
        <w:t>ș</w:t>
      </w:r>
      <w:r w:rsidRPr="00B13B9A">
        <w:rPr>
          <w:rFonts w:asciiTheme="majorHAnsi" w:eastAsia="Times New Roman" w:hAnsiTheme="majorHAnsi" w:cstheme="majorHAnsi"/>
          <w:iCs/>
          <w:color w:val="000000"/>
          <w:sz w:val="24"/>
          <w:szCs w:val="20"/>
          <w:lang w:val="ro-MD"/>
        </w:rPr>
        <w:t>i se includ în fondul de locuin</w:t>
      </w:r>
      <w:r w:rsidR="00B13B9A" w:rsidRPr="00B13B9A">
        <w:rPr>
          <w:rFonts w:asciiTheme="majorHAnsi" w:eastAsia="Times New Roman" w:hAnsiTheme="majorHAnsi" w:cstheme="majorHAnsi"/>
          <w:iCs/>
          <w:color w:val="000000"/>
          <w:sz w:val="24"/>
          <w:szCs w:val="20"/>
          <w:lang w:val="ro-MD"/>
        </w:rPr>
        <w:t>ț</w:t>
      </w:r>
      <w:r w:rsidRPr="00B13B9A">
        <w:rPr>
          <w:rFonts w:asciiTheme="majorHAnsi" w:eastAsia="Times New Roman" w:hAnsiTheme="majorHAnsi" w:cstheme="majorHAnsi"/>
          <w:iCs/>
          <w:color w:val="000000"/>
          <w:sz w:val="24"/>
          <w:szCs w:val="20"/>
          <w:lang w:val="ro-MD"/>
        </w:rPr>
        <w:t>e privat, fapt despre care organele abilitate comunică în scris unită</w:t>
      </w:r>
      <w:r w:rsidR="00B13B9A" w:rsidRPr="00B13B9A">
        <w:rPr>
          <w:rFonts w:asciiTheme="majorHAnsi" w:eastAsia="Times New Roman" w:hAnsiTheme="majorHAnsi" w:cstheme="majorHAnsi"/>
          <w:iCs/>
          <w:color w:val="000000"/>
          <w:sz w:val="24"/>
          <w:szCs w:val="20"/>
          <w:lang w:val="ro-MD"/>
        </w:rPr>
        <w:t>ț</w:t>
      </w:r>
      <w:r w:rsidRPr="00B13B9A">
        <w:rPr>
          <w:rFonts w:asciiTheme="majorHAnsi" w:eastAsia="Times New Roman" w:hAnsiTheme="majorHAnsi" w:cstheme="majorHAnsi"/>
          <w:iCs/>
          <w:color w:val="000000"/>
          <w:sz w:val="24"/>
          <w:szCs w:val="20"/>
          <w:lang w:val="ro-MD"/>
        </w:rPr>
        <w:t>ilor la balan</w:t>
      </w:r>
      <w:r w:rsidR="00B13B9A" w:rsidRPr="00B13B9A">
        <w:rPr>
          <w:rFonts w:asciiTheme="majorHAnsi" w:eastAsia="Times New Roman" w:hAnsiTheme="majorHAnsi" w:cstheme="majorHAnsi"/>
          <w:iCs/>
          <w:color w:val="000000"/>
          <w:sz w:val="24"/>
          <w:szCs w:val="20"/>
          <w:lang w:val="ro-MD"/>
        </w:rPr>
        <w:t>ț</w:t>
      </w:r>
      <w:r w:rsidRPr="00B13B9A">
        <w:rPr>
          <w:rFonts w:asciiTheme="majorHAnsi" w:eastAsia="Times New Roman" w:hAnsiTheme="majorHAnsi" w:cstheme="majorHAnsi"/>
          <w:iCs/>
          <w:color w:val="000000"/>
          <w:sz w:val="24"/>
          <w:szCs w:val="20"/>
          <w:lang w:val="ro-MD"/>
        </w:rPr>
        <w:t>a cărora se află aceste locuin</w:t>
      </w:r>
      <w:r w:rsidR="00B13B9A" w:rsidRPr="00B13B9A">
        <w:rPr>
          <w:rFonts w:asciiTheme="majorHAnsi" w:eastAsia="Times New Roman" w:hAnsiTheme="majorHAnsi" w:cstheme="majorHAnsi"/>
          <w:iCs/>
          <w:color w:val="000000"/>
          <w:sz w:val="24"/>
          <w:szCs w:val="20"/>
          <w:lang w:val="ro-MD"/>
        </w:rPr>
        <w:t>ț</w:t>
      </w:r>
      <w:r w:rsidRPr="00B13B9A">
        <w:rPr>
          <w:rFonts w:asciiTheme="majorHAnsi" w:eastAsia="Times New Roman" w:hAnsiTheme="majorHAnsi" w:cstheme="majorHAnsi"/>
          <w:iCs/>
          <w:color w:val="000000"/>
          <w:sz w:val="24"/>
          <w:szCs w:val="20"/>
          <w:lang w:val="ro-MD"/>
        </w:rPr>
        <w:t>e. De asemenea, proprietarii blocurilor de locuin</w:t>
      </w:r>
      <w:r w:rsidR="00B13B9A" w:rsidRPr="00B13B9A">
        <w:rPr>
          <w:rFonts w:asciiTheme="majorHAnsi" w:eastAsia="Times New Roman" w:hAnsiTheme="majorHAnsi" w:cstheme="majorHAnsi"/>
          <w:iCs/>
          <w:color w:val="000000"/>
          <w:sz w:val="24"/>
          <w:szCs w:val="20"/>
          <w:lang w:val="ro-MD"/>
        </w:rPr>
        <w:t>ț</w:t>
      </w:r>
      <w:r w:rsidRPr="00B13B9A">
        <w:rPr>
          <w:rFonts w:asciiTheme="majorHAnsi" w:eastAsia="Times New Roman" w:hAnsiTheme="majorHAnsi" w:cstheme="majorHAnsi"/>
          <w:iCs/>
          <w:color w:val="000000"/>
          <w:sz w:val="24"/>
          <w:szCs w:val="20"/>
          <w:lang w:val="ro-MD"/>
        </w:rPr>
        <w:t>e exclud din balan</w:t>
      </w:r>
      <w:r w:rsidR="00B13B9A" w:rsidRPr="00B13B9A">
        <w:rPr>
          <w:rFonts w:asciiTheme="majorHAnsi" w:eastAsia="Times New Roman" w:hAnsiTheme="majorHAnsi" w:cstheme="majorHAnsi"/>
          <w:iCs/>
          <w:color w:val="000000"/>
          <w:sz w:val="24"/>
          <w:szCs w:val="20"/>
          <w:lang w:val="ro-MD"/>
        </w:rPr>
        <w:t>ț</w:t>
      </w:r>
      <w:r w:rsidRPr="00B13B9A">
        <w:rPr>
          <w:rFonts w:asciiTheme="majorHAnsi" w:eastAsia="Times New Roman" w:hAnsiTheme="majorHAnsi" w:cstheme="majorHAnsi"/>
          <w:iCs/>
          <w:color w:val="000000"/>
          <w:sz w:val="24"/>
          <w:szCs w:val="20"/>
          <w:lang w:val="ro-MD"/>
        </w:rPr>
        <w:t>ă apartamentele privatizate (suprafa</w:t>
      </w:r>
      <w:r w:rsidR="00B13B9A" w:rsidRPr="00B13B9A">
        <w:rPr>
          <w:rFonts w:asciiTheme="majorHAnsi" w:eastAsia="Times New Roman" w:hAnsiTheme="majorHAnsi" w:cstheme="majorHAnsi"/>
          <w:iCs/>
          <w:color w:val="000000"/>
          <w:sz w:val="24"/>
          <w:szCs w:val="20"/>
          <w:lang w:val="ro-MD"/>
        </w:rPr>
        <w:t>ț</w:t>
      </w:r>
      <w:r w:rsidRPr="00B13B9A">
        <w:rPr>
          <w:rFonts w:asciiTheme="majorHAnsi" w:eastAsia="Times New Roman" w:hAnsiTheme="majorHAnsi" w:cstheme="majorHAnsi"/>
          <w:iCs/>
          <w:color w:val="000000"/>
          <w:sz w:val="24"/>
          <w:szCs w:val="20"/>
          <w:lang w:val="ro-MD"/>
        </w:rPr>
        <w:t>a lor totală </w:t>
      </w:r>
      <w:r w:rsidR="00B13B9A" w:rsidRPr="00B13B9A">
        <w:rPr>
          <w:rFonts w:asciiTheme="majorHAnsi" w:eastAsia="Times New Roman" w:hAnsiTheme="majorHAnsi" w:cstheme="majorHAnsi"/>
          <w:iCs/>
          <w:color w:val="000000"/>
          <w:sz w:val="24"/>
          <w:szCs w:val="20"/>
          <w:lang w:val="ro-MD"/>
        </w:rPr>
        <w:t>ș</w:t>
      </w:r>
      <w:r w:rsidRPr="00B13B9A">
        <w:rPr>
          <w:rFonts w:asciiTheme="majorHAnsi" w:eastAsia="Times New Roman" w:hAnsiTheme="majorHAnsi" w:cstheme="majorHAnsi"/>
          <w:iCs/>
          <w:color w:val="000000"/>
          <w:sz w:val="24"/>
          <w:szCs w:val="20"/>
          <w:lang w:val="ro-MD"/>
        </w:rPr>
        <w:t>i locativă, valoarea de inventar) în conformitate cu dosarul de inventar </w:t>
      </w:r>
      <w:r w:rsidR="00B13B9A" w:rsidRPr="00B13B9A">
        <w:rPr>
          <w:rFonts w:asciiTheme="majorHAnsi" w:eastAsia="Times New Roman" w:hAnsiTheme="majorHAnsi" w:cstheme="majorHAnsi"/>
          <w:iCs/>
          <w:color w:val="000000"/>
          <w:sz w:val="24"/>
          <w:szCs w:val="20"/>
          <w:lang w:val="ro-MD"/>
        </w:rPr>
        <w:t>ș</w:t>
      </w:r>
      <w:r w:rsidRPr="00B13B9A">
        <w:rPr>
          <w:rFonts w:asciiTheme="majorHAnsi" w:eastAsia="Times New Roman" w:hAnsiTheme="majorHAnsi" w:cstheme="majorHAnsi"/>
          <w:iCs/>
          <w:color w:val="000000"/>
          <w:sz w:val="24"/>
          <w:szCs w:val="20"/>
          <w:lang w:val="ro-MD"/>
        </w:rPr>
        <w:t xml:space="preserve">i cu datele prezentate de organele abilitate. </w:t>
      </w:r>
      <w:r w:rsidR="00D54BEB" w:rsidRPr="00B13B9A">
        <w:rPr>
          <w:rFonts w:asciiTheme="majorHAnsi" w:eastAsia="Times New Roman" w:hAnsiTheme="majorHAnsi" w:cstheme="majorHAnsi"/>
          <w:iCs/>
          <w:color w:val="000000"/>
          <w:sz w:val="24"/>
          <w:szCs w:val="20"/>
          <w:lang w:val="ro-MD"/>
        </w:rPr>
        <w:t>Astfel se constată că entitatea nu de</w:t>
      </w:r>
      <w:r w:rsidR="00B13B9A" w:rsidRPr="00B13B9A">
        <w:rPr>
          <w:rFonts w:asciiTheme="majorHAnsi" w:eastAsia="Times New Roman" w:hAnsiTheme="majorHAnsi" w:cstheme="majorHAnsi"/>
          <w:iCs/>
          <w:color w:val="000000"/>
          <w:sz w:val="24"/>
          <w:szCs w:val="20"/>
          <w:lang w:val="ro-MD"/>
        </w:rPr>
        <w:t>ț</w:t>
      </w:r>
      <w:r w:rsidR="00D54BEB" w:rsidRPr="00B13B9A">
        <w:rPr>
          <w:rFonts w:asciiTheme="majorHAnsi" w:eastAsia="Times New Roman" w:hAnsiTheme="majorHAnsi" w:cstheme="majorHAnsi"/>
          <w:iCs/>
          <w:color w:val="000000"/>
          <w:sz w:val="24"/>
          <w:szCs w:val="20"/>
          <w:lang w:val="ro-MD"/>
        </w:rPr>
        <w:t>ine copiile contractelor de privatizare a apartamentelor din gestiune</w:t>
      </w:r>
      <w:r w:rsidR="00651651" w:rsidRPr="00B13B9A">
        <w:rPr>
          <w:rFonts w:asciiTheme="majorHAnsi" w:eastAsia="Times New Roman" w:hAnsiTheme="majorHAnsi" w:cstheme="majorHAnsi"/>
          <w:iCs/>
          <w:color w:val="000000"/>
          <w:sz w:val="24"/>
          <w:szCs w:val="20"/>
          <w:lang w:val="ro-MD"/>
        </w:rPr>
        <w:t>,</w:t>
      </w:r>
      <w:r w:rsidR="00D54BEB" w:rsidRPr="00B13B9A">
        <w:rPr>
          <w:rFonts w:asciiTheme="majorHAnsi" w:eastAsia="Times New Roman" w:hAnsiTheme="majorHAnsi" w:cstheme="majorHAnsi"/>
          <w:iCs/>
          <w:color w:val="000000"/>
          <w:sz w:val="24"/>
          <w:szCs w:val="20"/>
          <w:lang w:val="ro-MD"/>
        </w:rPr>
        <w:t xml:space="preserve"> precum </w:t>
      </w:r>
      <w:r w:rsidR="00B13B9A" w:rsidRPr="00B13B9A">
        <w:rPr>
          <w:rFonts w:asciiTheme="majorHAnsi" w:eastAsia="Times New Roman" w:hAnsiTheme="majorHAnsi" w:cstheme="majorHAnsi"/>
          <w:iCs/>
          <w:color w:val="000000"/>
          <w:sz w:val="24"/>
          <w:szCs w:val="20"/>
          <w:lang w:val="ro-MD"/>
        </w:rPr>
        <w:t>ș</w:t>
      </w:r>
      <w:r w:rsidR="00D54BEB" w:rsidRPr="00B13B9A">
        <w:rPr>
          <w:rFonts w:asciiTheme="majorHAnsi" w:eastAsia="Times New Roman" w:hAnsiTheme="majorHAnsi" w:cstheme="majorHAnsi"/>
          <w:iCs/>
          <w:color w:val="000000"/>
          <w:sz w:val="24"/>
          <w:szCs w:val="20"/>
          <w:lang w:val="ro-MD"/>
        </w:rPr>
        <w:t>i nu de</w:t>
      </w:r>
      <w:r w:rsidR="00B13B9A" w:rsidRPr="00B13B9A">
        <w:rPr>
          <w:rFonts w:asciiTheme="majorHAnsi" w:eastAsia="Times New Roman" w:hAnsiTheme="majorHAnsi" w:cstheme="majorHAnsi"/>
          <w:iCs/>
          <w:color w:val="000000"/>
          <w:sz w:val="24"/>
          <w:szCs w:val="20"/>
          <w:lang w:val="ro-MD"/>
        </w:rPr>
        <w:t>ț</w:t>
      </w:r>
      <w:r w:rsidR="00D54BEB" w:rsidRPr="00B13B9A">
        <w:rPr>
          <w:rFonts w:asciiTheme="majorHAnsi" w:eastAsia="Times New Roman" w:hAnsiTheme="majorHAnsi" w:cstheme="majorHAnsi"/>
          <w:iCs/>
          <w:color w:val="000000"/>
          <w:sz w:val="24"/>
          <w:szCs w:val="20"/>
          <w:lang w:val="ro-MD"/>
        </w:rPr>
        <w:t>ine informa</w:t>
      </w:r>
      <w:r w:rsidR="00B13B9A" w:rsidRPr="00B13B9A">
        <w:rPr>
          <w:rFonts w:asciiTheme="majorHAnsi" w:eastAsia="Times New Roman" w:hAnsiTheme="majorHAnsi" w:cstheme="majorHAnsi"/>
          <w:iCs/>
          <w:color w:val="000000"/>
          <w:sz w:val="24"/>
          <w:szCs w:val="20"/>
          <w:lang w:val="ro-MD"/>
        </w:rPr>
        <w:t>ț</w:t>
      </w:r>
      <w:r w:rsidR="00D54BEB" w:rsidRPr="00B13B9A">
        <w:rPr>
          <w:rFonts w:asciiTheme="majorHAnsi" w:eastAsia="Times New Roman" w:hAnsiTheme="majorHAnsi" w:cstheme="majorHAnsi"/>
          <w:iCs/>
          <w:color w:val="000000"/>
          <w:sz w:val="24"/>
          <w:szCs w:val="20"/>
          <w:lang w:val="ro-MD"/>
        </w:rPr>
        <w:t>ii privind numărul de apartamente privatizate.</w:t>
      </w:r>
      <w:r w:rsidR="00CC1A9A" w:rsidRPr="00B13B9A">
        <w:rPr>
          <w:rFonts w:asciiTheme="majorHAnsi" w:eastAsia="Times New Roman" w:hAnsiTheme="majorHAnsi" w:cstheme="majorHAnsi"/>
          <w:iCs/>
          <w:color w:val="000000"/>
          <w:sz w:val="24"/>
          <w:szCs w:val="24"/>
          <w:lang w:val="ro-MD"/>
        </w:rPr>
        <w:t xml:space="preserve"> </w:t>
      </w:r>
    </w:p>
    <w:p w14:paraId="3D332749" w14:textId="0D4C0B30" w:rsidR="009B3E40" w:rsidRPr="00B13B9A" w:rsidRDefault="00D54BEB" w:rsidP="009E24ED">
      <w:pPr>
        <w:shd w:val="clear" w:color="auto" w:fill="FFFFFF"/>
        <w:spacing w:after="0" w:line="276" w:lineRule="auto"/>
        <w:jc w:val="both"/>
        <w:rPr>
          <w:rFonts w:asciiTheme="majorHAnsi" w:eastAsia="Times New Roman" w:hAnsiTheme="majorHAnsi" w:cstheme="majorHAnsi"/>
          <w:iCs/>
          <w:color w:val="000000"/>
          <w:sz w:val="24"/>
          <w:szCs w:val="20"/>
          <w:lang w:val="ro-MD"/>
        </w:rPr>
      </w:pPr>
      <w:r w:rsidRPr="00B13B9A">
        <w:rPr>
          <w:rFonts w:asciiTheme="majorHAnsi" w:eastAsia="Times New Roman" w:hAnsiTheme="majorHAnsi" w:cstheme="majorHAnsi"/>
          <w:iCs/>
          <w:color w:val="000000"/>
          <w:sz w:val="24"/>
          <w:szCs w:val="24"/>
          <w:lang w:val="ro-MD"/>
        </w:rPr>
        <w:t>P</w:t>
      </w:r>
      <w:r w:rsidR="004B30A5" w:rsidRPr="00B13B9A">
        <w:rPr>
          <w:rFonts w:asciiTheme="majorHAnsi" w:eastAsia="Times New Roman" w:hAnsiTheme="majorHAnsi" w:cstheme="majorHAnsi"/>
          <w:iCs/>
          <w:color w:val="000000"/>
          <w:sz w:val="24"/>
          <w:szCs w:val="24"/>
          <w:lang w:val="ro-MD"/>
        </w:rPr>
        <w:t>otrivit reglementărilor</w:t>
      </w:r>
      <w:r w:rsidR="004B30A5" w:rsidRPr="00B13B9A">
        <w:rPr>
          <w:rStyle w:val="a9"/>
          <w:rFonts w:asciiTheme="majorHAnsi" w:eastAsia="Times New Roman" w:hAnsiTheme="majorHAnsi" w:cstheme="majorHAnsi"/>
          <w:iCs/>
          <w:color w:val="000000"/>
          <w:sz w:val="24"/>
          <w:szCs w:val="24"/>
          <w:lang w:val="ro-MD"/>
        </w:rPr>
        <w:footnoteReference w:id="22"/>
      </w:r>
      <w:r w:rsidR="004B30A5" w:rsidRPr="00B13B9A">
        <w:rPr>
          <w:rFonts w:asciiTheme="majorHAnsi" w:eastAsia="Times New Roman" w:hAnsiTheme="majorHAnsi" w:cstheme="majorHAnsi"/>
          <w:iCs/>
          <w:color w:val="000000"/>
          <w:sz w:val="24"/>
          <w:szCs w:val="24"/>
          <w:lang w:val="ro-MD"/>
        </w:rPr>
        <w:t>,</w:t>
      </w:r>
      <w:r w:rsidR="00C41F0A" w:rsidRPr="00B13B9A">
        <w:rPr>
          <w:rFonts w:asciiTheme="majorHAnsi" w:eastAsia="Times New Roman" w:hAnsiTheme="majorHAnsi" w:cstheme="majorHAnsi"/>
          <w:iCs/>
          <w:color w:val="000000"/>
          <w:sz w:val="24"/>
          <w:szCs w:val="20"/>
          <w:lang w:val="ro-MD"/>
        </w:rPr>
        <w:t xml:space="preserve">  </w:t>
      </w:r>
      <w:r w:rsidR="004B30A5" w:rsidRPr="00B13B9A">
        <w:rPr>
          <w:rFonts w:asciiTheme="majorHAnsi" w:eastAsia="Times New Roman" w:hAnsiTheme="majorHAnsi" w:cstheme="majorHAnsi"/>
          <w:iCs/>
          <w:color w:val="000000"/>
          <w:sz w:val="24"/>
          <w:szCs w:val="20"/>
          <w:lang w:val="ro-MD"/>
        </w:rPr>
        <w:t>active</w:t>
      </w:r>
      <w:r w:rsidR="00C41F0A" w:rsidRPr="00B13B9A">
        <w:rPr>
          <w:rFonts w:asciiTheme="majorHAnsi" w:eastAsia="Times New Roman" w:hAnsiTheme="majorHAnsi" w:cstheme="majorHAnsi"/>
          <w:iCs/>
          <w:color w:val="000000"/>
          <w:sz w:val="24"/>
          <w:szCs w:val="20"/>
          <w:lang w:val="ro-MD"/>
        </w:rPr>
        <w:t>le</w:t>
      </w:r>
      <w:r w:rsidR="004B30A5" w:rsidRPr="00B13B9A">
        <w:rPr>
          <w:rFonts w:asciiTheme="majorHAnsi" w:eastAsia="Times New Roman" w:hAnsiTheme="majorHAnsi" w:cstheme="majorHAnsi"/>
          <w:iCs/>
          <w:color w:val="000000"/>
          <w:sz w:val="24"/>
          <w:szCs w:val="20"/>
          <w:lang w:val="ro-MD"/>
        </w:rPr>
        <w:t xml:space="preserve"> pe termen lung neutilizate de institu</w:t>
      </w:r>
      <w:r w:rsidR="00B13B9A" w:rsidRPr="00B13B9A">
        <w:rPr>
          <w:rFonts w:asciiTheme="majorHAnsi" w:eastAsia="Times New Roman" w:hAnsiTheme="majorHAnsi" w:cstheme="majorHAnsi"/>
          <w:iCs/>
          <w:color w:val="000000"/>
          <w:sz w:val="24"/>
          <w:szCs w:val="20"/>
          <w:lang w:val="ro-MD"/>
        </w:rPr>
        <w:t>ț</w:t>
      </w:r>
      <w:r w:rsidR="004B30A5" w:rsidRPr="00B13B9A">
        <w:rPr>
          <w:rFonts w:asciiTheme="majorHAnsi" w:eastAsia="Times New Roman" w:hAnsiTheme="majorHAnsi" w:cstheme="majorHAnsi"/>
          <w:iCs/>
          <w:color w:val="000000"/>
          <w:sz w:val="24"/>
          <w:szCs w:val="20"/>
          <w:lang w:val="ro-MD"/>
        </w:rPr>
        <w:t>iile publice</w:t>
      </w:r>
      <w:r w:rsidR="00C41F0A" w:rsidRPr="00B13B9A">
        <w:rPr>
          <w:rFonts w:asciiTheme="majorHAnsi" w:eastAsia="Times New Roman" w:hAnsiTheme="majorHAnsi" w:cstheme="majorHAnsi"/>
          <w:iCs/>
          <w:color w:val="000000"/>
          <w:sz w:val="24"/>
          <w:szCs w:val="20"/>
          <w:lang w:val="ro-MD"/>
        </w:rPr>
        <w:t xml:space="preserve"> </w:t>
      </w:r>
      <w:r w:rsidR="004B30A5" w:rsidRPr="00B13B9A">
        <w:rPr>
          <w:rFonts w:asciiTheme="majorHAnsi" w:eastAsia="Times New Roman" w:hAnsiTheme="majorHAnsi" w:cstheme="majorHAnsi"/>
          <w:iCs/>
          <w:color w:val="000000"/>
          <w:sz w:val="24"/>
          <w:szCs w:val="20"/>
          <w:lang w:val="ro-MD"/>
        </w:rPr>
        <w:t>pot fi date în loca</w:t>
      </w:r>
      <w:r w:rsidR="00B13B9A" w:rsidRPr="00B13B9A">
        <w:rPr>
          <w:rFonts w:asciiTheme="majorHAnsi" w:eastAsia="Times New Roman" w:hAnsiTheme="majorHAnsi" w:cstheme="majorHAnsi"/>
          <w:iCs/>
          <w:color w:val="000000"/>
          <w:sz w:val="24"/>
          <w:szCs w:val="20"/>
          <w:lang w:val="ro-MD"/>
        </w:rPr>
        <w:t>ț</w:t>
      </w:r>
      <w:r w:rsidR="004B30A5" w:rsidRPr="00B13B9A">
        <w:rPr>
          <w:rFonts w:asciiTheme="majorHAnsi" w:eastAsia="Times New Roman" w:hAnsiTheme="majorHAnsi" w:cstheme="majorHAnsi"/>
          <w:iCs/>
          <w:color w:val="000000"/>
          <w:sz w:val="24"/>
          <w:szCs w:val="20"/>
          <w:lang w:val="ro-MD"/>
        </w:rPr>
        <w:t>iune cu acordul prealabil al autorită</w:t>
      </w:r>
      <w:r w:rsidR="00B13B9A" w:rsidRPr="00B13B9A">
        <w:rPr>
          <w:rFonts w:asciiTheme="majorHAnsi" w:eastAsia="Times New Roman" w:hAnsiTheme="majorHAnsi" w:cstheme="majorHAnsi"/>
          <w:iCs/>
          <w:color w:val="000000"/>
          <w:sz w:val="24"/>
          <w:szCs w:val="20"/>
          <w:lang w:val="ro-MD"/>
        </w:rPr>
        <w:t>ț</w:t>
      </w:r>
      <w:r w:rsidR="004B30A5" w:rsidRPr="00B13B9A">
        <w:rPr>
          <w:rFonts w:asciiTheme="majorHAnsi" w:eastAsia="Times New Roman" w:hAnsiTheme="majorHAnsi" w:cstheme="majorHAnsi"/>
          <w:iCs/>
          <w:color w:val="000000"/>
          <w:sz w:val="24"/>
          <w:szCs w:val="20"/>
          <w:lang w:val="ro-MD"/>
        </w:rPr>
        <w:t>ii administra</w:t>
      </w:r>
      <w:r w:rsidR="00B13B9A" w:rsidRPr="00B13B9A">
        <w:rPr>
          <w:rFonts w:asciiTheme="majorHAnsi" w:eastAsia="Times New Roman" w:hAnsiTheme="majorHAnsi" w:cstheme="majorHAnsi"/>
          <w:iCs/>
          <w:color w:val="000000"/>
          <w:sz w:val="24"/>
          <w:szCs w:val="20"/>
          <w:lang w:val="ro-MD"/>
        </w:rPr>
        <w:t>ț</w:t>
      </w:r>
      <w:r w:rsidR="00C41F0A" w:rsidRPr="00B13B9A">
        <w:rPr>
          <w:rFonts w:asciiTheme="majorHAnsi" w:eastAsia="Times New Roman" w:hAnsiTheme="majorHAnsi" w:cstheme="majorHAnsi"/>
          <w:iCs/>
          <w:color w:val="000000"/>
          <w:sz w:val="24"/>
          <w:szCs w:val="20"/>
          <w:lang w:val="ro-MD"/>
        </w:rPr>
        <w:t>iei publice centr</w:t>
      </w:r>
      <w:r w:rsidR="00FA3E48" w:rsidRPr="00B13B9A">
        <w:rPr>
          <w:rFonts w:asciiTheme="majorHAnsi" w:eastAsia="Times New Roman" w:hAnsiTheme="majorHAnsi" w:cstheme="majorHAnsi"/>
          <w:iCs/>
          <w:color w:val="000000"/>
          <w:sz w:val="24"/>
          <w:szCs w:val="20"/>
          <w:lang w:val="ro-MD"/>
        </w:rPr>
        <w:t>ale sau locale</w:t>
      </w:r>
      <w:r w:rsidR="006E5491">
        <w:rPr>
          <w:rFonts w:asciiTheme="majorHAnsi" w:eastAsia="Times New Roman" w:hAnsiTheme="majorHAnsi" w:cstheme="majorHAnsi"/>
          <w:iCs/>
          <w:color w:val="000000"/>
          <w:sz w:val="24"/>
          <w:szCs w:val="20"/>
          <w:lang w:val="ro-MD"/>
        </w:rPr>
        <w:t>, cu</w:t>
      </w:r>
      <w:r w:rsidR="00FA3E48" w:rsidRPr="00B13B9A">
        <w:rPr>
          <w:rFonts w:asciiTheme="majorHAnsi" w:eastAsia="Times New Roman" w:hAnsiTheme="majorHAnsi" w:cstheme="majorHAnsi"/>
          <w:iCs/>
          <w:color w:val="000000"/>
          <w:sz w:val="24"/>
          <w:szCs w:val="20"/>
          <w:lang w:val="ro-MD"/>
        </w:rPr>
        <w:t xml:space="preserve"> calcularea cu</w:t>
      </w:r>
      <w:r w:rsidR="00C41F0A" w:rsidRPr="00B13B9A">
        <w:rPr>
          <w:rFonts w:asciiTheme="majorHAnsi" w:eastAsia="Times New Roman" w:hAnsiTheme="majorHAnsi" w:cstheme="majorHAnsi"/>
          <w:iCs/>
          <w:color w:val="000000"/>
          <w:sz w:val="24"/>
          <w:szCs w:val="20"/>
          <w:lang w:val="ro-MD"/>
        </w:rPr>
        <w:t>a</w:t>
      </w:r>
      <w:r w:rsidR="00FA3E48" w:rsidRPr="00B13B9A">
        <w:rPr>
          <w:rFonts w:asciiTheme="majorHAnsi" w:eastAsia="Times New Roman" w:hAnsiTheme="majorHAnsi" w:cstheme="majorHAnsi"/>
          <w:iCs/>
          <w:color w:val="000000"/>
          <w:sz w:val="24"/>
          <w:szCs w:val="20"/>
          <w:lang w:val="ro-MD"/>
        </w:rPr>
        <w:t>n</w:t>
      </w:r>
      <w:r w:rsidR="00C41F0A" w:rsidRPr="00B13B9A">
        <w:rPr>
          <w:rFonts w:asciiTheme="majorHAnsi" w:eastAsia="Times New Roman" w:hAnsiTheme="majorHAnsi" w:cstheme="majorHAnsi"/>
          <w:iCs/>
          <w:color w:val="000000"/>
          <w:sz w:val="24"/>
          <w:szCs w:val="20"/>
          <w:lang w:val="ro-MD"/>
        </w:rPr>
        <w:t xml:space="preserve">tumului </w:t>
      </w:r>
      <w:r w:rsidR="00FA3E48" w:rsidRPr="00B13B9A">
        <w:rPr>
          <w:rFonts w:asciiTheme="majorHAnsi" w:eastAsia="Times New Roman" w:hAnsiTheme="majorHAnsi" w:cstheme="majorHAnsi"/>
          <w:iCs/>
          <w:color w:val="000000"/>
          <w:sz w:val="24"/>
          <w:szCs w:val="20"/>
          <w:lang w:val="ro-MD"/>
        </w:rPr>
        <w:t>chiriei în conformi</w:t>
      </w:r>
      <w:r w:rsidR="00C41F0A" w:rsidRPr="00B13B9A">
        <w:rPr>
          <w:rFonts w:asciiTheme="majorHAnsi" w:eastAsia="Times New Roman" w:hAnsiTheme="majorHAnsi" w:cstheme="majorHAnsi"/>
          <w:iCs/>
          <w:color w:val="000000"/>
          <w:sz w:val="24"/>
          <w:szCs w:val="20"/>
          <w:lang w:val="ro-MD"/>
        </w:rPr>
        <w:t>t</w:t>
      </w:r>
      <w:r w:rsidR="00FA3E48" w:rsidRPr="00B13B9A">
        <w:rPr>
          <w:rFonts w:asciiTheme="majorHAnsi" w:eastAsia="Times New Roman" w:hAnsiTheme="majorHAnsi" w:cstheme="majorHAnsi"/>
          <w:iCs/>
          <w:color w:val="000000"/>
          <w:sz w:val="24"/>
          <w:szCs w:val="20"/>
          <w:lang w:val="ro-MD"/>
        </w:rPr>
        <w:t>at</w:t>
      </w:r>
      <w:r w:rsidR="00C41F0A" w:rsidRPr="00B13B9A">
        <w:rPr>
          <w:rFonts w:asciiTheme="majorHAnsi" w:eastAsia="Times New Roman" w:hAnsiTheme="majorHAnsi" w:cstheme="majorHAnsi"/>
          <w:iCs/>
          <w:color w:val="000000"/>
          <w:sz w:val="24"/>
          <w:szCs w:val="20"/>
          <w:lang w:val="ro-MD"/>
        </w:rPr>
        <w:t xml:space="preserve">e cu </w:t>
      </w:r>
      <w:r w:rsidR="006E5491">
        <w:rPr>
          <w:rFonts w:asciiTheme="majorHAnsi" w:eastAsia="Times New Roman" w:hAnsiTheme="majorHAnsi" w:cstheme="majorHAnsi"/>
          <w:iCs/>
          <w:color w:val="000000"/>
          <w:sz w:val="24"/>
          <w:szCs w:val="20"/>
          <w:lang w:val="ro-MD"/>
        </w:rPr>
        <w:t xml:space="preserve">prevederile </w:t>
      </w:r>
      <w:r w:rsidR="00C41F0A" w:rsidRPr="00B13B9A">
        <w:rPr>
          <w:rFonts w:asciiTheme="majorHAnsi" w:eastAsia="Times New Roman" w:hAnsiTheme="majorHAnsi" w:cstheme="majorHAnsi"/>
          <w:iCs/>
          <w:color w:val="000000"/>
          <w:sz w:val="24"/>
          <w:szCs w:val="20"/>
          <w:lang w:val="ro-MD"/>
        </w:rPr>
        <w:t>Leg</w:t>
      </w:r>
      <w:r w:rsidR="006E5491">
        <w:rPr>
          <w:rFonts w:asciiTheme="majorHAnsi" w:eastAsia="Times New Roman" w:hAnsiTheme="majorHAnsi" w:cstheme="majorHAnsi"/>
          <w:iCs/>
          <w:color w:val="000000"/>
          <w:sz w:val="24"/>
          <w:szCs w:val="20"/>
          <w:lang w:val="ro-MD"/>
        </w:rPr>
        <w:t>ii</w:t>
      </w:r>
      <w:r w:rsidR="00C41F0A" w:rsidRPr="00B13B9A">
        <w:rPr>
          <w:rFonts w:asciiTheme="majorHAnsi" w:eastAsia="Times New Roman" w:hAnsiTheme="majorHAnsi" w:cstheme="majorHAnsi"/>
          <w:iCs/>
          <w:color w:val="000000"/>
          <w:sz w:val="24"/>
          <w:szCs w:val="20"/>
          <w:lang w:val="ro-MD"/>
        </w:rPr>
        <w:t xml:space="preserve"> bugetului de stat pe anul respectiv, </w:t>
      </w:r>
      <w:r w:rsidR="006E5491">
        <w:rPr>
          <w:rFonts w:asciiTheme="majorHAnsi" w:eastAsia="Times New Roman" w:hAnsiTheme="majorHAnsi" w:cstheme="majorHAnsi"/>
          <w:iCs/>
          <w:color w:val="000000"/>
          <w:sz w:val="24"/>
          <w:szCs w:val="20"/>
          <w:lang w:val="ro-MD"/>
        </w:rPr>
        <w:t xml:space="preserve">însă </w:t>
      </w:r>
      <w:r w:rsidR="006948F3" w:rsidRPr="00B13B9A">
        <w:rPr>
          <w:rFonts w:asciiTheme="majorHAnsi" w:eastAsia="Times New Roman" w:hAnsiTheme="majorHAnsi" w:cstheme="majorHAnsi"/>
          <w:iCs/>
          <w:color w:val="000000"/>
          <w:sz w:val="24"/>
          <w:szCs w:val="20"/>
          <w:lang w:val="ro-MD"/>
        </w:rPr>
        <w:t>IMSP nu aplică procedurile respective</w:t>
      </w:r>
      <w:r w:rsidR="009B3E40" w:rsidRPr="00B13B9A">
        <w:rPr>
          <w:rFonts w:asciiTheme="majorHAnsi" w:eastAsia="Times New Roman" w:hAnsiTheme="majorHAnsi" w:cstheme="majorHAnsi"/>
          <w:iCs/>
          <w:color w:val="000000"/>
          <w:sz w:val="24"/>
          <w:szCs w:val="20"/>
          <w:lang w:val="ro-MD"/>
        </w:rPr>
        <w:t>.</w:t>
      </w:r>
    </w:p>
    <w:p w14:paraId="6E77034B" w14:textId="6B86C15A" w:rsidR="0075369A" w:rsidRPr="00B13B9A" w:rsidRDefault="0075369A" w:rsidP="009E24ED">
      <w:pPr>
        <w:pStyle w:val="a7"/>
        <w:spacing w:after="0" w:line="276" w:lineRule="auto"/>
        <w:ind w:left="0"/>
        <w:jc w:val="both"/>
        <w:rPr>
          <w:rFonts w:asciiTheme="majorHAnsi" w:eastAsia="Times New Roman" w:hAnsiTheme="majorHAnsi" w:cstheme="majorHAnsi"/>
          <w:iCs/>
          <w:color w:val="000000"/>
          <w:sz w:val="24"/>
          <w:szCs w:val="20"/>
          <w:lang w:val="ro-MD"/>
        </w:rPr>
      </w:pPr>
      <w:r w:rsidRPr="00B13B9A">
        <w:rPr>
          <w:rFonts w:asciiTheme="majorHAnsi" w:eastAsia="Times New Roman" w:hAnsiTheme="majorHAnsi" w:cstheme="majorHAnsi"/>
          <w:iCs/>
          <w:color w:val="000000"/>
          <w:sz w:val="24"/>
          <w:szCs w:val="20"/>
          <w:lang w:val="ro-MD"/>
        </w:rPr>
        <w:t>Astfel, IMSP nu a exclus din bilan</w:t>
      </w:r>
      <w:r w:rsidR="00B13B9A" w:rsidRPr="00B13B9A">
        <w:rPr>
          <w:rFonts w:asciiTheme="majorHAnsi" w:eastAsia="Times New Roman" w:hAnsiTheme="majorHAnsi" w:cstheme="majorHAnsi"/>
          <w:iCs/>
          <w:color w:val="000000"/>
          <w:sz w:val="24"/>
          <w:szCs w:val="20"/>
          <w:lang w:val="ro-MD"/>
        </w:rPr>
        <w:t>ț</w:t>
      </w:r>
      <w:r w:rsidRPr="00B13B9A">
        <w:rPr>
          <w:rFonts w:asciiTheme="majorHAnsi" w:eastAsia="Times New Roman" w:hAnsiTheme="majorHAnsi" w:cstheme="majorHAnsi"/>
          <w:iCs/>
          <w:color w:val="000000"/>
          <w:sz w:val="24"/>
          <w:szCs w:val="20"/>
          <w:lang w:val="ro-MD"/>
        </w:rPr>
        <w:t xml:space="preserve"> valoarea apartamentelor privatizate (prin trecerea lor </w:t>
      </w:r>
      <w:r w:rsidR="00AD3370" w:rsidRPr="00B13B9A">
        <w:rPr>
          <w:rFonts w:asciiTheme="majorHAnsi" w:eastAsia="Times New Roman" w:hAnsiTheme="majorHAnsi" w:cstheme="majorHAnsi"/>
          <w:iCs/>
          <w:color w:val="000000"/>
          <w:sz w:val="24"/>
          <w:szCs w:val="20"/>
          <w:lang w:val="ro-MD"/>
        </w:rPr>
        <w:t>în</w:t>
      </w:r>
      <w:r w:rsidRPr="00B13B9A">
        <w:rPr>
          <w:rFonts w:asciiTheme="majorHAnsi" w:eastAsia="Times New Roman" w:hAnsiTheme="majorHAnsi" w:cstheme="majorHAnsi"/>
          <w:iCs/>
          <w:color w:val="000000"/>
          <w:sz w:val="24"/>
          <w:szCs w:val="20"/>
          <w:lang w:val="ro-MD"/>
        </w:rPr>
        <w:t xml:space="preserve"> eviden</w:t>
      </w:r>
      <w:r w:rsidR="00B13B9A" w:rsidRPr="00B13B9A">
        <w:rPr>
          <w:rFonts w:asciiTheme="majorHAnsi" w:eastAsia="Times New Roman" w:hAnsiTheme="majorHAnsi" w:cstheme="majorHAnsi"/>
          <w:iCs/>
          <w:color w:val="000000"/>
          <w:sz w:val="24"/>
          <w:szCs w:val="20"/>
          <w:lang w:val="ro-MD"/>
        </w:rPr>
        <w:t>ț</w:t>
      </w:r>
      <w:r w:rsidRPr="00B13B9A">
        <w:rPr>
          <w:rFonts w:asciiTheme="majorHAnsi" w:eastAsia="Times New Roman" w:hAnsiTheme="majorHAnsi" w:cstheme="majorHAnsi"/>
          <w:iCs/>
          <w:color w:val="000000"/>
          <w:sz w:val="24"/>
          <w:szCs w:val="20"/>
          <w:lang w:val="ro-MD"/>
        </w:rPr>
        <w:t>ă extrabilan</w:t>
      </w:r>
      <w:r w:rsidR="00B13B9A" w:rsidRPr="00B13B9A">
        <w:rPr>
          <w:rFonts w:asciiTheme="majorHAnsi" w:eastAsia="Times New Roman" w:hAnsiTheme="majorHAnsi" w:cstheme="majorHAnsi"/>
          <w:iCs/>
          <w:color w:val="000000"/>
          <w:sz w:val="24"/>
          <w:szCs w:val="20"/>
          <w:lang w:val="ro-MD"/>
        </w:rPr>
        <w:t>ț</w:t>
      </w:r>
      <w:r w:rsidRPr="00B13B9A">
        <w:rPr>
          <w:rFonts w:asciiTheme="majorHAnsi" w:eastAsia="Times New Roman" w:hAnsiTheme="majorHAnsi" w:cstheme="majorHAnsi"/>
          <w:iCs/>
          <w:color w:val="000000"/>
          <w:sz w:val="24"/>
          <w:szCs w:val="20"/>
          <w:lang w:val="ro-MD"/>
        </w:rPr>
        <w:t xml:space="preserve">ieră </w:t>
      </w:r>
      <w:r w:rsidR="004E1122" w:rsidRPr="00B13B9A">
        <w:rPr>
          <w:rFonts w:asciiTheme="majorHAnsi" w:eastAsia="Times New Roman" w:hAnsiTheme="majorHAnsi" w:cstheme="majorHAnsi"/>
          <w:iCs/>
          <w:color w:val="000000"/>
          <w:sz w:val="24"/>
          <w:szCs w:val="20"/>
          <w:lang w:val="ro-MD"/>
        </w:rPr>
        <w:t>până</w:t>
      </w:r>
      <w:r w:rsidRPr="00B13B9A">
        <w:rPr>
          <w:rFonts w:asciiTheme="majorHAnsi" w:eastAsia="Times New Roman" w:hAnsiTheme="majorHAnsi" w:cstheme="majorHAnsi"/>
          <w:iCs/>
          <w:color w:val="000000"/>
          <w:sz w:val="24"/>
          <w:szCs w:val="20"/>
          <w:lang w:val="ro-MD"/>
        </w:rPr>
        <w:t xml:space="preserve"> la transmiterea la balan</w:t>
      </w:r>
      <w:r w:rsidR="00B13B9A" w:rsidRPr="00B13B9A">
        <w:rPr>
          <w:rFonts w:asciiTheme="majorHAnsi" w:eastAsia="Times New Roman" w:hAnsiTheme="majorHAnsi" w:cstheme="majorHAnsi"/>
          <w:iCs/>
          <w:color w:val="000000"/>
          <w:sz w:val="24"/>
          <w:szCs w:val="20"/>
          <w:lang w:val="ro-MD"/>
        </w:rPr>
        <w:t>ț</w:t>
      </w:r>
      <w:r w:rsidRPr="00B13B9A">
        <w:rPr>
          <w:rFonts w:asciiTheme="majorHAnsi" w:eastAsia="Times New Roman" w:hAnsiTheme="majorHAnsi" w:cstheme="majorHAnsi"/>
          <w:iCs/>
          <w:color w:val="000000"/>
          <w:sz w:val="24"/>
          <w:szCs w:val="20"/>
          <w:lang w:val="ro-MD"/>
        </w:rPr>
        <w:t>a asocia</w:t>
      </w:r>
      <w:r w:rsidR="00B13B9A" w:rsidRPr="00B13B9A">
        <w:rPr>
          <w:rFonts w:asciiTheme="majorHAnsi" w:eastAsia="Times New Roman" w:hAnsiTheme="majorHAnsi" w:cstheme="majorHAnsi"/>
          <w:iCs/>
          <w:color w:val="000000"/>
          <w:sz w:val="24"/>
          <w:szCs w:val="20"/>
          <w:lang w:val="ro-MD"/>
        </w:rPr>
        <w:t>ț</w:t>
      </w:r>
      <w:r w:rsidRPr="00B13B9A">
        <w:rPr>
          <w:rFonts w:asciiTheme="majorHAnsi" w:eastAsia="Times New Roman" w:hAnsiTheme="majorHAnsi" w:cstheme="majorHAnsi"/>
          <w:iCs/>
          <w:color w:val="000000"/>
          <w:sz w:val="24"/>
          <w:szCs w:val="20"/>
          <w:lang w:val="ro-MD"/>
        </w:rPr>
        <w:t xml:space="preserve">iei </w:t>
      </w:r>
      <w:r w:rsidR="006E5491">
        <w:rPr>
          <w:rFonts w:asciiTheme="majorHAnsi" w:eastAsia="Times New Roman" w:hAnsiTheme="majorHAnsi" w:cstheme="majorHAnsi"/>
          <w:iCs/>
          <w:color w:val="000000"/>
          <w:sz w:val="24"/>
          <w:szCs w:val="20"/>
          <w:lang w:val="ro-MD"/>
        </w:rPr>
        <w:t xml:space="preserve">de proprietari </w:t>
      </w:r>
      <w:r w:rsidRPr="00B13B9A">
        <w:rPr>
          <w:rFonts w:asciiTheme="majorHAnsi" w:eastAsia="Times New Roman" w:hAnsiTheme="majorHAnsi" w:cstheme="majorHAnsi"/>
          <w:iCs/>
          <w:color w:val="000000"/>
          <w:sz w:val="24"/>
          <w:szCs w:val="20"/>
          <w:lang w:val="ro-MD"/>
        </w:rPr>
        <w:t>în condominiu)</w:t>
      </w:r>
      <w:r w:rsidR="00AD3370" w:rsidRPr="00B13B9A">
        <w:rPr>
          <w:rFonts w:asciiTheme="majorHAnsi" w:eastAsia="Times New Roman" w:hAnsiTheme="majorHAnsi" w:cstheme="majorHAnsi"/>
          <w:iCs/>
          <w:color w:val="000000"/>
          <w:sz w:val="24"/>
          <w:szCs w:val="20"/>
          <w:lang w:val="ro-MD"/>
        </w:rPr>
        <w:t>,</w:t>
      </w:r>
      <w:r w:rsidRPr="00B13B9A">
        <w:rPr>
          <w:rFonts w:asciiTheme="majorHAnsi" w:eastAsia="Times New Roman" w:hAnsiTheme="majorHAnsi" w:cstheme="majorHAnsi"/>
          <w:iCs/>
          <w:color w:val="000000"/>
          <w:sz w:val="24"/>
          <w:szCs w:val="20"/>
          <w:lang w:val="ro-MD"/>
        </w:rPr>
        <w:t xml:space="preserve"> majorând neconform valoarea patrimoniului aflat în gestiune precum </w:t>
      </w:r>
      <w:r w:rsidR="00B13B9A" w:rsidRPr="00B13B9A">
        <w:rPr>
          <w:rFonts w:asciiTheme="majorHAnsi" w:eastAsia="Times New Roman" w:hAnsiTheme="majorHAnsi" w:cstheme="majorHAnsi"/>
          <w:iCs/>
          <w:color w:val="000000"/>
          <w:sz w:val="24"/>
          <w:szCs w:val="20"/>
          <w:lang w:val="ro-MD"/>
        </w:rPr>
        <w:t>ș</w:t>
      </w:r>
      <w:r w:rsidRPr="00B13B9A">
        <w:rPr>
          <w:rFonts w:asciiTheme="majorHAnsi" w:eastAsia="Times New Roman" w:hAnsiTheme="majorHAnsi" w:cstheme="majorHAnsi"/>
          <w:iCs/>
          <w:color w:val="000000"/>
          <w:sz w:val="24"/>
          <w:szCs w:val="20"/>
          <w:lang w:val="ro-MD"/>
        </w:rPr>
        <w:t xml:space="preserve">i nici nu a asigurat încasarea mijloacelor pentru chiria apartamentelor neprivatizate. </w:t>
      </w:r>
    </w:p>
    <w:p w14:paraId="66C64409" w14:textId="77777777" w:rsidR="0075369A" w:rsidRPr="00B13B9A" w:rsidRDefault="0075369A" w:rsidP="004150CC">
      <w:pPr>
        <w:shd w:val="clear" w:color="auto" w:fill="FFFFFF"/>
        <w:spacing w:after="0" w:line="276" w:lineRule="auto"/>
        <w:jc w:val="both"/>
        <w:rPr>
          <w:rFonts w:asciiTheme="majorHAnsi" w:eastAsia="Times New Roman" w:hAnsiTheme="majorHAnsi" w:cstheme="majorHAnsi"/>
          <w:iCs/>
          <w:color w:val="000000"/>
          <w:sz w:val="24"/>
          <w:szCs w:val="20"/>
          <w:lang w:val="ro-MD"/>
        </w:rPr>
      </w:pPr>
    </w:p>
    <w:p w14:paraId="5E762C1C" w14:textId="77777777" w:rsidR="00A24FDF" w:rsidRPr="00B13B9A" w:rsidRDefault="00A24FDF" w:rsidP="00A24FDF">
      <w:pPr>
        <w:spacing w:after="0" w:line="276" w:lineRule="auto"/>
        <w:jc w:val="both"/>
        <w:rPr>
          <w:rFonts w:asciiTheme="majorHAnsi" w:hAnsiTheme="majorHAnsi" w:cstheme="majorHAnsi"/>
          <w:b/>
          <w:color w:val="000000" w:themeColor="text1"/>
          <w:sz w:val="24"/>
          <w:szCs w:val="24"/>
          <w:lang w:val="ro-MD"/>
        </w:rPr>
      </w:pPr>
    </w:p>
    <w:p w14:paraId="76871D70" w14:textId="7DA0BE2B" w:rsidR="00792BD5" w:rsidRPr="00B13B9A" w:rsidRDefault="00C063FB" w:rsidP="00241AB3">
      <w:pPr>
        <w:pStyle w:val="cn"/>
        <w:numPr>
          <w:ilvl w:val="2"/>
          <w:numId w:val="10"/>
        </w:numPr>
        <w:spacing w:line="276" w:lineRule="auto"/>
        <w:ind w:right="71"/>
        <w:jc w:val="both"/>
        <w:outlineLvl w:val="2"/>
        <w:rPr>
          <w:rFonts w:asciiTheme="majorHAnsi" w:eastAsiaTheme="minorHAnsi" w:hAnsiTheme="majorHAnsi" w:cstheme="minorHAnsi"/>
          <w:b/>
          <w:lang w:val="ro-MD" w:eastAsia="en-US"/>
        </w:rPr>
      </w:pPr>
      <w:bookmarkStart w:id="23" w:name="_Toc154562498"/>
      <w:r w:rsidRPr="00B13B9A">
        <w:rPr>
          <w:rFonts w:asciiTheme="majorHAnsi" w:eastAsiaTheme="minorHAnsi" w:hAnsiTheme="majorHAnsi" w:cstheme="minorHAnsi"/>
          <w:b/>
          <w:lang w:val="ro-MD" w:eastAsia="en-US"/>
        </w:rPr>
        <w:t>P</w:t>
      </w:r>
      <w:r w:rsidR="00792BD5" w:rsidRPr="00B13B9A">
        <w:rPr>
          <w:rFonts w:asciiTheme="majorHAnsi" w:eastAsiaTheme="minorHAnsi" w:hAnsiTheme="majorHAnsi" w:cstheme="minorHAnsi"/>
          <w:b/>
          <w:lang w:val="ro-MD" w:eastAsia="en-US"/>
        </w:rPr>
        <w:t>rocedura de transmitere a terenurilor în gestiune economică nu a fost finalizată, fapt c</w:t>
      </w:r>
      <w:r w:rsidR="00D25E60" w:rsidRPr="00B13B9A">
        <w:rPr>
          <w:rFonts w:asciiTheme="majorHAnsi" w:eastAsiaTheme="minorHAnsi" w:hAnsiTheme="majorHAnsi" w:cstheme="minorHAnsi"/>
          <w:b/>
          <w:lang w:val="ro-MD" w:eastAsia="en-US"/>
        </w:rPr>
        <w:t>e</w:t>
      </w:r>
      <w:r w:rsidR="00792BD5" w:rsidRPr="00B13B9A">
        <w:rPr>
          <w:rFonts w:asciiTheme="majorHAnsi" w:eastAsiaTheme="minorHAnsi" w:hAnsiTheme="majorHAnsi" w:cstheme="minorHAnsi"/>
          <w:b/>
          <w:lang w:val="ro-MD" w:eastAsia="en-US"/>
        </w:rPr>
        <w:t xml:space="preserve"> nu asigură eviden</w:t>
      </w:r>
      <w:r w:rsidR="00B13B9A" w:rsidRPr="00B13B9A">
        <w:rPr>
          <w:rFonts w:asciiTheme="majorHAnsi" w:eastAsiaTheme="minorHAnsi" w:hAnsiTheme="majorHAnsi" w:cstheme="minorHAnsi"/>
          <w:b/>
          <w:lang w:val="ro-MD" w:eastAsia="en-US"/>
        </w:rPr>
        <w:t>ț</w:t>
      </w:r>
      <w:r w:rsidR="00901354" w:rsidRPr="00B13B9A">
        <w:rPr>
          <w:rFonts w:asciiTheme="majorHAnsi" w:eastAsiaTheme="minorHAnsi" w:hAnsiTheme="majorHAnsi" w:cstheme="minorHAnsi"/>
          <w:b/>
          <w:lang w:val="ro-MD" w:eastAsia="en-US"/>
        </w:rPr>
        <w:t xml:space="preserve">a conformă a acestora, actualizarea valorii </w:t>
      </w:r>
      <w:r w:rsidR="00AD3370" w:rsidRPr="00B13B9A">
        <w:rPr>
          <w:rFonts w:asciiTheme="majorHAnsi" w:eastAsiaTheme="minorHAnsi" w:hAnsiTheme="majorHAnsi" w:cstheme="minorHAnsi"/>
          <w:b/>
          <w:lang w:val="ro-MD" w:eastAsia="en-US"/>
        </w:rPr>
        <w:t xml:space="preserve">acestora </w:t>
      </w:r>
      <w:r w:rsidR="00901354" w:rsidRPr="00B13B9A">
        <w:rPr>
          <w:rFonts w:asciiTheme="majorHAnsi" w:eastAsiaTheme="minorHAnsi" w:hAnsiTheme="majorHAnsi" w:cstheme="minorHAnsi"/>
          <w:b/>
          <w:lang w:val="ro-MD" w:eastAsia="en-US"/>
        </w:rPr>
        <w:t xml:space="preserve">cu cca </w:t>
      </w:r>
      <w:r w:rsidR="00D25E60" w:rsidRPr="00B13B9A">
        <w:rPr>
          <w:rFonts w:asciiTheme="majorHAnsi" w:eastAsiaTheme="minorHAnsi" w:hAnsiTheme="majorHAnsi" w:cstheme="minorHAnsi"/>
          <w:b/>
          <w:lang w:val="ro-MD" w:eastAsia="en-US"/>
        </w:rPr>
        <w:t>102 635,0</w:t>
      </w:r>
      <w:r w:rsidR="00792BD5" w:rsidRPr="00B13B9A">
        <w:rPr>
          <w:rFonts w:asciiTheme="majorHAnsi" w:eastAsiaTheme="minorHAnsi" w:hAnsiTheme="majorHAnsi" w:cstheme="minorHAnsi"/>
          <w:b/>
          <w:lang w:val="ro-MD" w:eastAsia="en-US"/>
        </w:rPr>
        <w:t xml:space="preserve"> mii lei</w:t>
      </w:r>
      <w:r w:rsidR="00814394" w:rsidRPr="00814394">
        <w:rPr>
          <w:rFonts w:asciiTheme="majorHAnsi" w:eastAsiaTheme="minorHAnsi" w:hAnsiTheme="majorHAnsi" w:cstheme="minorHAnsi"/>
          <w:b/>
          <w:lang w:val="ro-MD" w:eastAsia="en-US"/>
        </w:rPr>
        <w:t xml:space="preserve"> </w:t>
      </w:r>
      <w:r w:rsidR="00814394">
        <w:rPr>
          <w:rFonts w:asciiTheme="majorHAnsi" w:eastAsiaTheme="minorHAnsi" w:hAnsiTheme="majorHAnsi" w:cstheme="minorHAnsi"/>
          <w:b/>
          <w:lang w:val="ro-MD" w:eastAsia="en-US"/>
        </w:rPr>
        <w:t>ne</w:t>
      </w:r>
      <w:r w:rsidR="00814394" w:rsidRPr="00B13B9A">
        <w:rPr>
          <w:rFonts w:asciiTheme="majorHAnsi" w:eastAsiaTheme="minorHAnsi" w:hAnsiTheme="majorHAnsi" w:cstheme="minorHAnsi"/>
          <w:b/>
          <w:lang w:val="ro-MD" w:eastAsia="en-US"/>
        </w:rPr>
        <w:t xml:space="preserve">fiind </w:t>
      </w:r>
      <w:r w:rsidR="00814394">
        <w:rPr>
          <w:rFonts w:asciiTheme="majorHAnsi" w:eastAsiaTheme="minorHAnsi" w:hAnsiTheme="majorHAnsi" w:cstheme="minorHAnsi"/>
          <w:b/>
          <w:lang w:val="ro-MD" w:eastAsia="en-US"/>
        </w:rPr>
        <w:t>efect</w:t>
      </w:r>
      <w:r w:rsidR="00814394" w:rsidRPr="00B13B9A">
        <w:rPr>
          <w:rFonts w:asciiTheme="majorHAnsi" w:eastAsiaTheme="minorHAnsi" w:hAnsiTheme="majorHAnsi" w:cstheme="minorHAnsi"/>
          <w:b/>
          <w:lang w:val="ro-MD" w:eastAsia="en-US"/>
        </w:rPr>
        <w:t>uată</w:t>
      </w:r>
      <w:r w:rsidR="00792BD5" w:rsidRPr="00B13B9A">
        <w:rPr>
          <w:rFonts w:asciiTheme="majorHAnsi" w:eastAsiaTheme="minorHAnsi" w:hAnsiTheme="majorHAnsi" w:cstheme="minorHAnsi"/>
          <w:b/>
          <w:lang w:val="ro-MD" w:eastAsia="en-US"/>
        </w:rPr>
        <w:t>.</w:t>
      </w:r>
      <w:bookmarkEnd w:id="23"/>
    </w:p>
    <w:p w14:paraId="388147C6" w14:textId="14424D90" w:rsidR="0009703A" w:rsidRPr="00B13B9A" w:rsidRDefault="00792BD5" w:rsidP="0009703A">
      <w:pPr>
        <w:pStyle w:val="cn"/>
        <w:spacing w:line="276" w:lineRule="auto"/>
        <w:ind w:right="71"/>
        <w:jc w:val="both"/>
        <w:rPr>
          <w:rFonts w:asciiTheme="majorHAnsi" w:hAnsiTheme="majorHAnsi" w:cstheme="majorHAnsi"/>
          <w:lang w:val="ro-MD"/>
        </w:rPr>
      </w:pPr>
      <w:r w:rsidRPr="00B13B9A">
        <w:rPr>
          <w:rFonts w:asciiTheme="majorHAnsi" w:hAnsiTheme="majorHAnsi" w:cstheme="majorHAnsi"/>
          <w:lang w:val="ro-MD"/>
        </w:rPr>
        <w:t>IMSP IF</w:t>
      </w:r>
      <w:r w:rsidR="004E1122" w:rsidRPr="00B13B9A">
        <w:rPr>
          <w:rFonts w:asciiTheme="majorHAnsi" w:hAnsiTheme="majorHAnsi" w:cstheme="majorHAnsi"/>
          <w:lang w:val="ro-MD"/>
        </w:rPr>
        <w:t>P</w:t>
      </w:r>
      <w:r w:rsidRPr="00B13B9A">
        <w:rPr>
          <w:rFonts w:asciiTheme="majorHAnsi" w:hAnsiTheme="majorHAnsi" w:cstheme="majorHAnsi"/>
          <w:lang w:val="ro-MD"/>
        </w:rPr>
        <w:t xml:space="preserve"> </w:t>
      </w:r>
      <w:r w:rsidR="004E1122" w:rsidRPr="00B13B9A">
        <w:rPr>
          <w:rFonts w:asciiTheme="majorHAnsi" w:hAnsiTheme="majorHAnsi" w:cstheme="majorHAnsi"/>
          <w:lang w:val="ro-MD"/>
        </w:rPr>
        <w:t>„Chiril Draganiuc”</w:t>
      </w:r>
      <w:r w:rsidRPr="00B13B9A">
        <w:rPr>
          <w:rFonts w:asciiTheme="majorHAnsi" w:hAnsiTheme="majorHAnsi" w:cstheme="majorHAnsi"/>
          <w:lang w:val="ro-MD"/>
        </w:rPr>
        <w:t xml:space="preserve"> de</w:t>
      </w:r>
      <w:r w:rsidR="00B13B9A" w:rsidRPr="00B13B9A">
        <w:rPr>
          <w:rFonts w:asciiTheme="majorHAnsi" w:hAnsiTheme="majorHAnsi" w:cstheme="majorHAnsi"/>
          <w:lang w:val="ro-MD"/>
        </w:rPr>
        <w:t>ț</w:t>
      </w:r>
      <w:r w:rsidRPr="00B13B9A">
        <w:rPr>
          <w:rFonts w:asciiTheme="majorHAnsi" w:hAnsiTheme="majorHAnsi" w:cstheme="majorHAnsi"/>
          <w:lang w:val="ro-MD"/>
        </w:rPr>
        <w:t>ine în eviden</w:t>
      </w:r>
      <w:r w:rsidR="00B13B9A" w:rsidRPr="00B13B9A">
        <w:rPr>
          <w:rFonts w:asciiTheme="majorHAnsi" w:hAnsiTheme="majorHAnsi" w:cstheme="majorHAnsi"/>
          <w:lang w:val="ro-MD"/>
        </w:rPr>
        <w:t>ț</w:t>
      </w:r>
      <w:r w:rsidRPr="00B13B9A">
        <w:rPr>
          <w:rFonts w:asciiTheme="majorHAnsi" w:hAnsiTheme="majorHAnsi" w:cstheme="majorHAnsi"/>
          <w:lang w:val="ro-MD"/>
        </w:rPr>
        <w:t>ă 9 terenuri în valoare totală de</w:t>
      </w:r>
      <w:r w:rsidR="00730969" w:rsidRPr="00B13B9A">
        <w:rPr>
          <w:rFonts w:asciiTheme="majorHAnsi" w:hAnsiTheme="majorHAnsi" w:cstheme="majorHAnsi"/>
          <w:lang w:val="ro-MD"/>
        </w:rPr>
        <w:t xml:space="preserve"> 8 088,9 mii</w:t>
      </w:r>
      <w:r w:rsidRPr="00B13B9A">
        <w:rPr>
          <w:rFonts w:asciiTheme="majorHAnsi" w:hAnsiTheme="majorHAnsi" w:cstheme="majorHAnsi"/>
          <w:lang w:val="ro-MD"/>
        </w:rPr>
        <w:t xml:space="preserve"> lei, cu suprafa</w:t>
      </w:r>
      <w:r w:rsidR="00B13B9A" w:rsidRPr="00B13B9A">
        <w:rPr>
          <w:rFonts w:asciiTheme="majorHAnsi" w:hAnsiTheme="majorHAnsi" w:cstheme="majorHAnsi"/>
          <w:lang w:val="ro-MD"/>
        </w:rPr>
        <w:t>ț</w:t>
      </w:r>
      <w:r w:rsidRPr="00B13B9A">
        <w:rPr>
          <w:rFonts w:asciiTheme="majorHAnsi" w:hAnsiTheme="majorHAnsi" w:cstheme="majorHAnsi"/>
          <w:lang w:val="ro-MD"/>
        </w:rPr>
        <w:t xml:space="preserve">a totală de 47,68 ha, dintre care 2 terenuri agricole, 2 terenuri cu sonde arteziene </w:t>
      </w:r>
      <w:r w:rsidR="00B13B9A" w:rsidRPr="00B13B9A">
        <w:rPr>
          <w:rFonts w:asciiTheme="majorHAnsi" w:hAnsiTheme="majorHAnsi" w:cstheme="majorHAnsi"/>
          <w:lang w:val="ro-MD"/>
        </w:rPr>
        <w:t>ș</w:t>
      </w:r>
      <w:r w:rsidRPr="00B13B9A">
        <w:rPr>
          <w:rFonts w:asciiTheme="majorHAnsi" w:hAnsiTheme="majorHAnsi" w:cstheme="majorHAnsi"/>
          <w:lang w:val="ro-MD"/>
        </w:rPr>
        <w:t xml:space="preserve">i 5 terenuri </w:t>
      </w:r>
      <w:r w:rsidR="002860CE" w:rsidRPr="00B13B9A">
        <w:rPr>
          <w:rFonts w:asciiTheme="majorHAnsi" w:hAnsiTheme="majorHAnsi" w:cstheme="majorHAnsi"/>
          <w:lang w:val="ro-MD"/>
        </w:rPr>
        <w:t>pe care sunt amplasate</w:t>
      </w:r>
      <w:r w:rsidRPr="00B13B9A">
        <w:rPr>
          <w:rFonts w:asciiTheme="majorHAnsi" w:hAnsiTheme="majorHAnsi" w:cstheme="majorHAnsi"/>
          <w:lang w:val="ro-MD"/>
        </w:rPr>
        <w:t xml:space="preserve"> construc</w:t>
      </w:r>
      <w:r w:rsidR="00B13B9A" w:rsidRPr="00B13B9A">
        <w:rPr>
          <w:rFonts w:asciiTheme="majorHAnsi" w:hAnsiTheme="majorHAnsi" w:cstheme="majorHAnsi"/>
          <w:lang w:val="ro-MD"/>
        </w:rPr>
        <w:t>ț</w:t>
      </w:r>
      <w:r w:rsidRPr="00B13B9A">
        <w:rPr>
          <w:rFonts w:asciiTheme="majorHAnsi" w:hAnsiTheme="majorHAnsi" w:cstheme="majorHAnsi"/>
          <w:lang w:val="ro-MD"/>
        </w:rPr>
        <w:t xml:space="preserve">ii. </w:t>
      </w:r>
      <w:r w:rsidR="0009703A" w:rsidRPr="00B13B9A">
        <w:rPr>
          <w:rFonts w:asciiTheme="majorHAnsi" w:hAnsiTheme="majorHAnsi" w:cstheme="majorHAnsi"/>
          <w:lang w:val="ro-MD"/>
        </w:rPr>
        <w:t>În contextul delimitării proprietă</w:t>
      </w:r>
      <w:r w:rsidR="00B13B9A" w:rsidRPr="00B13B9A">
        <w:rPr>
          <w:rFonts w:asciiTheme="majorHAnsi" w:hAnsiTheme="majorHAnsi" w:cstheme="majorHAnsi"/>
          <w:lang w:val="ro-MD"/>
        </w:rPr>
        <w:t>ț</w:t>
      </w:r>
      <w:r w:rsidR="0009703A" w:rsidRPr="00B13B9A">
        <w:rPr>
          <w:rFonts w:asciiTheme="majorHAnsi" w:hAnsiTheme="majorHAnsi" w:cstheme="majorHAnsi"/>
          <w:lang w:val="ro-MD"/>
        </w:rPr>
        <w:t>ii publice, în anul 2019 a fost aprobată Hotărârea Guvernului</w:t>
      </w:r>
      <w:r w:rsidR="0009703A" w:rsidRPr="00B13B9A">
        <w:rPr>
          <w:rFonts w:asciiTheme="majorHAnsi" w:hAnsiTheme="majorHAnsi" w:cstheme="majorHAnsi"/>
          <w:sz w:val="20"/>
          <w:vertAlign w:val="superscript"/>
          <w:lang w:val="ro-MD"/>
        </w:rPr>
        <w:footnoteReference w:id="23"/>
      </w:r>
      <w:r w:rsidR="0009703A" w:rsidRPr="00B13B9A">
        <w:rPr>
          <w:rFonts w:asciiTheme="majorHAnsi" w:hAnsiTheme="majorHAnsi" w:cstheme="majorHAnsi"/>
          <w:lang w:val="ro-MD"/>
        </w:rPr>
        <w:t xml:space="preserve">  care prevede transmiterea terenurilor din administrarea institu</w:t>
      </w:r>
      <w:r w:rsidR="00B13B9A" w:rsidRPr="00B13B9A">
        <w:rPr>
          <w:rFonts w:asciiTheme="majorHAnsi" w:hAnsiTheme="majorHAnsi" w:cstheme="majorHAnsi"/>
          <w:lang w:val="ro-MD"/>
        </w:rPr>
        <w:t>ț</w:t>
      </w:r>
      <w:r w:rsidR="0009703A" w:rsidRPr="00B13B9A">
        <w:rPr>
          <w:rFonts w:asciiTheme="majorHAnsi" w:hAnsiTheme="majorHAnsi" w:cstheme="majorHAnsi"/>
          <w:lang w:val="ro-MD"/>
        </w:rPr>
        <w:t xml:space="preserve">iilor publice de stat </w:t>
      </w:r>
      <w:r w:rsidR="002860CE" w:rsidRPr="00B13B9A">
        <w:rPr>
          <w:rFonts w:asciiTheme="majorHAnsi" w:hAnsiTheme="majorHAnsi" w:cstheme="majorHAnsi"/>
          <w:lang w:val="ro-MD"/>
        </w:rPr>
        <w:t xml:space="preserve">ce </w:t>
      </w:r>
      <w:r w:rsidR="0009703A" w:rsidRPr="00B13B9A">
        <w:rPr>
          <w:rFonts w:asciiTheme="majorHAnsi" w:hAnsiTheme="majorHAnsi" w:cstheme="majorHAnsi"/>
          <w:lang w:val="ro-MD"/>
        </w:rPr>
        <w:t>administrează/gestionează terenurile proprietate publică a statului, în administrarea Agen</w:t>
      </w:r>
      <w:r w:rsidR="00B13B9A" w:rsidRPr="00B13B9A">
        <w:rPr>
          <w:rFonts w:asciiTheme="majorHAnsi" w:hAnsiTheme="majorHAnsi" w:cstheme="majorHAnsi"/>
          <w:lang w:val="ro-MD"/>
        </w:rPr>
        <w:t>ț</w:t>
      </w:r>
      <w:r w:rsidR="0009703A" w:rsidRPr="00B13B9A">
        <w:rPr>
          <w:rFonts w:asciiTheme="majorHAnsi" w:hAnsiTheme="majorHAnsi" w:cstheme="majorHAnsi"/>
          <w:lang w:val="ro-MD"/>
        </w:rPr>
        <w:t>iei Proprietă</w:t>
      </w:r>
      <w:r w:rsidR="00B13B9A" w:rsidRPr="00B13B9A">
        <w:rPr>
          <w:rFonts w:asciiTheme="majorHAnsi" w:hAnsiTheme="majorHAnsi" w:cstheme="majorHAnsi"/>
          <w:lang w:val="ro-MD"/>
        </w:rPr>
        <w:t>ț</w:t>
      </w:r>
      <w:r w:rsidR="0009703A" w:rsidRPr="00B13B9A">
        <w:rPr>
          <w:rFonts w:asciiTheme="majorHAnsi" w:hAnsiTheme="majorHAnsi" w:cstheme="majorHAnsi"/>
          <w:lang w:val="ro-MD"/>
        </w:rPr>
        <w:t>ii Publice. Astfel, din 9 terenuri, doar pentru 7 terenuri amplasate în s. Vorniceni</w:t>
      </w:r>
      <w:r w:rsidR="00814394">
        <w:rPr>
          <w:rFonts w:asciiTheme="majorHAnsi" w:hAnsiTheme="majorHAnsi" w:cstheme="majorHAnsi"/>
          <w:lang w:val="ro-MD"/>
        </w:rPr>
        <w:t>,</w:t>
      </w:r>
      <w:r w:rsidR="0009703A" w:rsidRPr="00B13B9A">
        <w:rPr>
          <w:rFonts w:asciiTheme="majorHAnsi" w:hAnsiTheme="majorHAnsi" w:cstheme="majorHAnsi"/>
          <w:lang w:val="ro-MD"/>
        </w:rPr>
        <w:t xml:space="preserve"> </w:t>
      </w:r>
      <w:r w:rsidR="00814394" w:rsidRPr="00B13B9A">
        <w:rPr>
          <w:rFonts w:asciiTheme="majorHAnsi" w:hAnsiTheme="majorHAnsi" w:cstheme="majorHAnsi"/>
          <w:lang w:val="ro-MD"/>
        </w:rPr>
        <w:t>în luna februarie 2023</w:t>
      </w:r>
      <w:r w:rsidR="00814394">
        <w:rPr>
          <w:rFonts w:asciiTheme="majorHAnsi" w:hAnsiTheme="majorHAnsi" w:cstheme="majorHAnsi"/>
          <w:lang w:val="ro-MD"/>
        </w:rPr>
        <w:t xml:space="preserve"> </w:t>
      </w:r>
      <w:r w:rsidR="0009703A" w:rsidRPr="00B13B9A">
        <w:rPr>
          <w:rFonts w:asciiTheme="majorHAnsi" w:hAnsiTheme="majorHAnsi" w:cstheme="majorHAnsi"/>
          <w:lang w:val="ro-MD"/>
        </w:rPr>
        <w:t xml:space="preserve">au fost elaborate </w:t>
      </w:r>
      <w:r w:rsidR="002860CE" w:rsidRPr="00B13B9A">
        <w:rPr>
          <w:rFonts w:asciiTheme="majorHAnsi" w:hAnsiTheme="majorHAnsi" w:cstheme="majorHAnsi"/>
          <w:lang w:val="ro-MD"/>
        </w:rPr>
        <w:t>a</w:t>
      </w:r>
      <w:r w:rsidR="0009703A" w:rsidRPr="00B13B9A">
        <w:rPr>
          <w:rFonts w:asciiTheme="majorHAnsi" w:hAnsiTheme="majorHAnsi" w:cstheme="majorHAnsi"/>
          <w:lang w:val="ro-MD"/>
        </w:rPr>
        <w:t>ctele de primire-predare către APP. Totodată,</w:t>
      </w:r>
      <w:r w:rsidR="0009703A" w:rsidRPr="00B13B9A">
        <w:rPr>
          <w:rFonts w:asciiTheme="majorHAnsi" w:hAnsiTheme="majorHAnsi" w:cstheme="majorHAnsi"/>
          <w:shd w:val="clear" w:color="auto" w:fill="FFFFFF"/>
          <w:lang w:val="ro-MD"/>
        </w:rPr>
        <w:t xml:space="preserve"> potrivit normelor, p</w:t>
      </w:r>
      <w:r w:rsidR="0009703A" w:rsidRPr="00B13B9A">
        <w:rPr>
          <w:rFonts w:asciiTheme="majorHAnsi" w:hAnsiTheme="majorHAnsi" w:cstheme="majorHAnsi"/>
          <w:color w:val="333333"/>
          <w:shd w:val="clear" w:color="auto" w:fill="FFFFFF"/>
          <w:lang w:val="ro-MD"/>
        </w:rPr>
        <w:t xml:space="preserve">rocesul de delimitare a bunurilor imobile proprietate publică se finalizează odată cu înregistrarea dreptului de proprietate asupra acestora </w:t>
      </w:r>
      <w:r w:rsidR="00B13B9A" w:rsidRPr="00B13B9A">
        <w:rPr>
          <w:rFonts w:asciiTheme="majorHAnsi" w:hAnsiTheme="majorHAnsi" w:cstheme="majorHAnsi"/>
          <w:color w:val="333333"/>
          <w:shd w:val="clear" w:color="auto" w:fill="FFFFFF"/>
          <w:lang w:val="ro-MD"/>
        </w:rPr>
        <w:t>ș</w:t>
      </w:r>
      <w:r w:rsidR="0009703A" w:rsidRPr="00B13B9A">
        <w:rPr>
          <w:rFonts w:asciiTheme="majorHAnsi" w:hAnsiTheme="majorHAnsi" w:cstheme="majorHAnsi"/>
          <w:color w:val="333333"/>
          <w:shd w:val="clear" w:color="auto" w:fill="FFFFFF"/>
          <w:lang w:val="ro-MD"/>
        </w:rPr>
        <w:t xml:space="preserve">i a domeniului respectiv în </w:t>
      </w:r>
      <w:r w:rsidR="00AD3370" w:rsidRPr="00B13B9A">
        <w:rPr>
          <w:rFonts w:asciiTheme="majorHAnsi" w:hAnsiTheme="majorHAnsi" w:cstheme="majorHAnsi"/>
          <w:color w:val="333333"/>
          <w:shd w:val="clear" w:color="auto" w:fill="FFFFFF"/>
          <w:lang w:val="ro-MD"/>
        </w:rPr>
        <w:t>R</w:t>
      </w:r>
      <w:r w:rsidR="0009703A" w:rsidRPr="00B13B9A">
        <w:rPr>
          <w:rFonts w:asciiTheme="majorHAnsi" w:hAnsiTheme="majorHAnsi" w:cstheme="majorHAnsi"/>
          <w:color w:val="333333"/>
          <w:shd w:val="clear" w:color="auto" w:fill="FFFFFF"/>
          <w:lang w:val="ro-MD"/>
        </w:rPr>
        <w:t xml:space="preserve">egistrul bunurilor imobile sau în </w:t>
      </w:r>
      <w:r w:rsidR="00AD3370" w:rsidRPr="00B13B9A">
        <w:rPr>
          <w:rFonts w:asciiTheme="majorHAnsi" w:hAnsiTheme="majorHAnsi" w:cstheme="majorHAnsi"/>
          <w:color w:val="333333"/>
          <w:shd w:val="clear" w:color="auto" w:fill="FFFFFF"/>
          <w:lang w:val="ro-MD"/>
        </w:rPr>
        <w:t>R</w:t>
      </w:r>
      <w:r w:rsidR="0009703A" w:rsidRPr="00B13B9A">
        <w:rPr>
          <w:rFonts w:asciiTheme="majorHAnsi" w:hAnsiTheme="majorHAnsi" w:cstheme="majorHAnsi"/>
          <w:color w:val="333333"/>
          <w:shd w:val="clear" w:color="auto" w:fill="FFFFFF"/>
          <w:lang w:val="ro-MD"/>
        </w:rPr>
        <w:t>egistrul obiectivelor de infrastructură tehnico-edilitară</w:t>
      </w:r>
      <w:r w:rsidR="0009703A" w:rsidRPr="00B13B9A">
        <w:rPr>
          <w:rFonts w:asciiTheme="majorHAnsi" w:hAnsiTheme="majorHAnsi" w:cstheme="majorHAnsi"/>
          <w:shd w:val="clear" w:color="auto" w:fill="FFFFFF"/>
          <w:vertAlign w:val="superscript"/>
          <w:lang w:val="ro-MD"/>
        </w:rPr>
        <w:footnoteReference w:id="24"/>
      </w:r>
      <w:r w:rsidR="0009703A" w:rsidRPr="00B13B9A">
        <w:rPr>
          <w:rFonts w:asciiTheme="majorHAnsi" w:hAnsiTheme="majorHAnsi" w:cstheme="majorHAnsi"/>
          <w:color w:val="333333"/>
          <w:shd w:val="clear" w:color="auto" w:fill="FFFFFF"/>
          <w:lang w:val="ro-MD"/>
        </w:rPr>
        <w:t xml:space="preserve">. Auditul constată că </w:t>
      </w:r>
      <w:r w:rsidR="0009703A" w:rsidRPr="00B13B9A">
        <w:rPr>
          <w:rFonts w:asciiTheme="majorHAnsi" w:hAnsiTheme="majorHAnsi" w:cstheme="majorHAnsi"/>
          <w:lang w:val="ro-MD"/>
        </w:rPr>
        <w:t>pentru terenurile transmise, APP nu a încheiat cu IMSP contracte de comodat.</w:t>
      </w:r>
    </w:p>
    <w:p w14:paraId="52AB5AF5" w14:textId="3DF67721" w:rsidR="0009703A" w:rsidRPr="00B13B9A" w:rsidRDefault="0009703A" w:rsidP="0009703A">
      <w:pPr>
        <w:spacing w:after="0" w:line="276" w:lineRule="auto"/>
        <w:ind w:right="71"/>
        <w:jc w:val="both"/>
        <w:rPr>
          <w:rFonts w:asciiTheme="majorHAnsi" w:eastAsia="Times New Roman" w:hAnsiTheme="majorHAnsi" w:cstheme="majorHAnsi"/>
          <w:sz w:val="24"/>
          <w:szCs w:val="24"/>
          <w:shd w:val="clear" w:color="auto" w:fill="FFFFFF"/>
          <w:lang w:val="ro-MD" w:eastAsia="ru-RU"/>
        </w:rPr>
      </w:pPr>
      <w:r w:rsidRPr="00B13B9A">
        <w:rPr>
          <w:rFonts w:asciiTheme="majorHAnsi" w:eastAsia="Times New Roman" w:hAnsiTheme="majorHAnsi" w:cstheme="majorHAnsi"/>
          <w:sz w:val="24"/>
          <w:szCs w:val="24"/>
          <w:shd w:val="clear" w:color="auto" w:fill="FFFFFF"/>
          <w:lang w:val="ro-MD" w:eastAsia="ru-RU"/>
        </w:rPr>
        <w:t xml:space="preserve">Pentru 2 terenuri </w:t>
      </w:r>
      <w:r w:rsidR="00814394">
        <w:rPr>
          <w:rFonts w:asciiTheme="majorHAnsi" w:eastAsia="Times New Roman" w:hAnsiTheme="majorHAnsi" w:cstheme="majorHAnsi"/>
          <w:sz w:val="24"/>
          <w:szCs w:val="24"/>
          <w:shd w:val="clear" w:color="auto" w:fill="FFFFFF"/>
          <w:lang w:val="ro-MD" w:eastAsia="ru-RU"/>
        </w:rPr>
        <w:t xml:space="preserve">amplasate în mun. Chișinău </w:t>
      </w:r>
      <w:r w:rsidRPr="00B13B9A">
        <w:rPr>
          <w:rFonts w:asciiTheme="majorHAnsi" w:eastAsia="Times New Roman" w:hAnsiTheme="majorHAnsi" w:cstheme="majorHAnsi"/>
          <w:sz w:val="24"/>
          <w:szCs w:val="24"/>
          <w:shd w:val="clear" w:color="auto" w:fill="FFFFFF"/>
          <w:lang w:val="ro-MD" w:eastAsia="ru-RU"/>
        </w:rPr>
        <w:t xml:space="preserve">în valoare totală de 7 637,3 mii lei </w:t>
      </w:r>
      <w:r w:rsidR="00B13B9A" w:rsidRPr="00B13B9A">
        <w:rPr>
          <w:rFonts w:asciiTheme="majorHAnsi" w:eastAsia="Times New Roman" w:hAnsiTheme="majorHAnsi" w:cstheme="majorHAnsi"/>
          <w:sz w:val="24"/>
          <w:szCs w:val="24"/>
          <w:shd w:val="clear" w:color="auto" w:fill="FFFFFF"/>
          <w:lang w:val="ro-MD" w:eastAsia="ru-RU"/>
        </w:rPr>
        <w:t>ș</w:t>
      </w:r>
      <w:r w:rsidRPr="00B13B9A">
        <w:rPr>
          <w:rFonts w:asciiTheme="majorHAnsi" w:eastAsia="Times New Roman" w:hAnsiTheme="majorHAnsi" w:cstheme="majorHAnsi"/>
          <w:sz w:val="24"/>
          <w:szCs w:val="24"/>
          <w:shd w:val="clear" w:color="auto" w:fill="FFFFFF"/>
          <w:lang w:val="ro-MD" w:eastAsia="ru-RU"/>
        </w:rPr>
        <w:t>i suprafa</w:t>
      </w:r>
      <w:r w:rsidR="00B13B9A" w:rsidRPr="00B13B9A">
        <w:rPr>
          <w:rFonts w:asciiTheme="majorHAnsi" w:eastAsia="Times New Roman" w:hAnsiTheme="majorHAnsi" w:cstheme="majorHAnsi"/>
          <w:sz w:val="24"/>
          <w:szCs w:val="24"/>
          <w:shd w:val="clear" w:color="auto" w:fill="FFFFFF"/>
          <w:lang w:val="ro-MD" w:eastAsia="ru-RU"/>
        </w:rPr>
        <w:t>ț</w:t>
      </w:r>
      <w:r w:rsidRPr="00B13B9A">
        <w:rPr>
          <w:rFonts w:asciiTheme="majorHAnsi" w:eastAsia="Times New Roman" w:hAnsiTheme="majorHAnsi" w:cstheme="majorHAnsi"/>
          <w:sz w:val="24"/>
          <w:szCs w:val="24"/>
          <w:shd w:val="clear" w:color="auto" w:fill="FFFFFF"/>
          <w:lang w:val="ro-MD" w:eastAsia="ru-RU"/>
        </w:rPr>
        <w:t xml:space="preserve">a de 2,79 ha nu au fost întocmite documentele necesare de transmitere </w:t>
      </w:r>
      <w:r w:rsidR="00814394">
        <w:rPr>
          <w:rFonts w:asciiTheme="majorHAnsi" w:eastAsia="Times New Roman" w:hAnsiTheme="majorHAnsi" w:cstheme="majorHAnsi"/>
          <w:sz w:val="24"/>
          <w:szCs w:val="24"/>
          <w:shd w:val="clear" w:color="auto" w:fill="FFFFFF"/>
          <w:lang w:val="ro-MD" w:eastAsia="ru-RU"/>
        </w:rPr>
        <w:t xml:space="preserve">către APP </w:t>
      </w:r>
      <w:r w:rsidR="00B13B9A" w:rsidRPr="00B13B9A">
        <w:rPr>
          <w:rFonts w:asciiTheme="majorHAnsi" w:eastAsia="Times New Roman" w:hAnsiTheme="majorHAnsi" w:cstheme="majorHAnsi"/>
          <w:sz w:val="24"/>
          <w:szCs w:val="24"/>
          <w:shd w:val="clear" w:color="auto" w:fill="FFFFFF"/>
          <w:lang w:val="ro-MD" w:eastAsia="ru-RU"/>
        </w:rPr>
        <w:t>ș</w:t>
      </w:r>
      <w:r w:rsidRPr="00B13B9A">
        <w:rPr>
          <w:rFonts w:asciiTheme="majorHAnsi" w:eastAsia="Times New Roman" w:hAnsiTheme="majorHAnsi" w:cstheme="majorHAnsi"/>
          <w:sz w:val="24"/>
          <w:szCs w:val="24"/>
          <w:shd w:val="clear" w:color="auto" w:fill="FFFFFF"/>
          <w:lang w:val="ro-MD" w:eastAsia="ru-RU"/>
        </w:rPr>
        <w:t>i înregistrare regulamentară la organele cadastrale a drepturi</w:t>
      </w:r>
      <w:r w:rsidR="002860CE" w:rsidRPr="00B13B9A">
        <w:rPr>
          <w:rFonts w:asciiTheme="majorHAnsi" w:eastAsia="Times New Roman" w:hAnsiTheme="majorHAnsi" w:cstheme="majorHAnsi"/>
          <w:sz w:val="24"/>
          <w:szCs w:val="24"/>
          <w:shd w:val="clear" w:color="auto" w:fill="FFFFFF"/>
          <w:lang w:val="ro-MD" w:eastAsia="ru-RU"/>
        </w:rPr>
        <w:t xml:space="preserve">lor de </w:t>
      </w:r>
      <w:r w:rsidR="00814394">
        <w:rPr>
          <w:rFonts w:asciiTheme="majorHAnsi" w:eastAsia="Times New Roman" w:hAnsiTheme="majorHAnsi" w:cstheme="majorHAnsi"/>
          <w:sz w:val="24"/>
          <w:szCs w:val="24"/>
          <w:shd w:val="clear" w:color="auto" w:fill="FFFFFF"/>
          <w:lang w:val="ro-MD" w:eastAsia="ru-RU"/>
        </w:rPr>
        <w:t>administrare</w:t>
      </w:r>
      <w:r w:rsidR="00814394" w:rsidRPr="00B13B9A">
        <w:rPr>
          <w:rFonts w:asciiTheme="majorHAnsi" w:eastAsia="Times New Roman" w:hAnsiTheme="majorHAnsi" w:cstheme="majorHAnsi"/>
          <w:sz w:val="24"/>
          <w:szCs w:val="24"/>
          <w:shd w:val="clear" w:color="auto" w:fill="FFFFFF"/>
          <w:lang w:val="ro-MD" w:eastAsia="ru-RU"/>
        </w:rPr>
        <w:t xml:space="preserve"> </w:t>
      </w:r>
      <w:r w:rsidR="00B13B9A" w:rsidRPr="00B13B9A">
        <w:rPr>
          <w:rFonts w:asciiTheme="majorHAnsi" w:eastAsia="Times New Roman" w:hAnsiTheme="majorHAnsi" w:cstheme="majorHAnsi"/>
          <w:sz w:val="24"/>
          <w:szCs w:val="24"/>
          <w:shd w:val="clear" w:color="auto" w:fill="FFFFFF"/>
          <w:lang w:val="ro-MD" w:eastAsia="ru-RU"/>
        </w:rPr>
        <w:t>ș</w:t>
      </w:r>
      <w:r w:rsidR="002860CE" w:rsidRPr="00B13B9A">
        <w:rPr>
          <w:rFonts w:asciiTheme="majorHAnsi" w:eastAsia="Times New Roman" w:hAnsiTheme="majorHAnsi" w:cstheme="majorHAnsi"/>
          <w:sz w:val="24"/>
          <w:szCs w:val="24"/>
          <w:shd w:val="clear" w:color="auto" w:fill="FFFFFF"/>
          <w:lang w:val="ro-MD" w:eastAsia="ru-RU"/>
        </w:rPr>
        <w:t>i gestiune.</w:t>
      </w:r>
    </w:p>
    <w:p w14:paraId="12CD55A7" w14:textId="5F551245" w:rsidR="0009703A" w:rsidRPr="00B13B9A" w:rsidRDefault="0009703A" w:rsidP="0009703A">
      <w:pPr>
        <w:spacing w:after="0" w:line="276" w:lineRule="auto"/>
        <w:ind w:right="71"/>
        <w:jc w:val="both"/>
        <w:rPr>
          <w:rFonts w:asciiTheme="majorHAnsi" w:eastAsia="Calibri" w:hAnsiTheme="majorHAnsi" w:cstheme="majorHAnsi"/>
          <w:sz w:val="24"/>
          <w:szCs w:val="24"/>
          <w:lang w:val="ro-MD" w:eastAsia="ru-RU"/>
        </w:rPr>
      </w:pPr>
      <w:r w:rsidRPr="00B13B9A">
        <w:rPr>
          <w:rFonts w:asciiTheme="majorHAnsi" w:eastAsia="Times New Roman" w:hAnsiTheme="majorHAnsi" w:cstheme="majorHAnsi"/>
          <w:sz w:val="24"/>
          <w:szCs w:val="24"/>
          <w:shd w:val="clear" w:color="auto" w:fill="FFFFFF"/>
          <w:lang w:val="ro-MD" w:eastAsia="ru-RU"/>
        </w:rPr>
        <w:t xml:space="preserve">Mai mult </w:t>
      </w:r>
      <w:r w:rsidR="00AD3370" w:rsidRPr="00B13B9A">
        <w:rPr>
          <w:rFonts w:asciiTheme="majorHAnsi" w:eastAsia="Times New Roman" w:hAnsiTheme="majorHAnsi" w:cstheme="majorHAnsi"/>
          <w:sz w:val="24"/>
          <w:szCs w:val="24"/>
          <w:shd w:val="clear" w:color="auto" w:fill="FFFFFF"/>
          <w:lang w:val="ro-MD" w:eastAsia="ru-RU"/>
        </w:rPr>
        <w:t xml:space="preserve">decât </w:t>
      </w:r>
      <w:r w:rsidRPr="00B13B9A">
        <w:rPr>
          <w:rFonts w:asciiTheme="majorHAnsi" w:eastAsia="Times New Roman" w:hAnsiTheme="majorHAnsi" w:cstheme="majorHAnsi"/>
          <w:sz w:val="24"/>
          <w:szCs w:val="24"/>
          <w:shd w:val="clear" w:color="auto" w:fill="FFFFFF"/>
          <w:lang w:val="ro-MD" w:eastAsia="ru-RU"/>
        </w:rPr>
        <w:t>atât, IMSP nu a asigurat eviden</w:t>
      </w:r>
      <w:r w:rsidR="00B13B9A" w:rsidRPr="00B13B9A">
        <w:rPr>
          <w:rFonts w:asciiTheme="majorHAnsi" w:eastAsia="Times New Roman" w:hAnsiTheme="majorHAnsi" w:cstheme="majorHAnsi"/>
          <w:sz w:val="24"/>
          <w:szCs w:val="24"/>
          <w:shd w:val="clear" w:color="auto" w:fill="FFFFFF"/>
          <w:lang w:val="ro-MD" w:eastAsia="ru-RU"/>
        </w:rPr>
        <w:t>ț</w:t>
      </w:r>
      <w:r w:rsidRPr="00B13B9A">
        <w:rPr>
          <w:rFonts w:asciiTheme="majorHAnsi" w:eastAsia="Times New Roman" w:hAnsiTheme="majorHAnsi" w:cstheme="majorHAnsi"/>
          <w:sz w:val="24"/>
          <w:szCs w:val="24"/>
          <w:shd w:val="clear" w:color="auto" w:fill="FFFFFF"/>
          <w:lang w:val="ro-MD" w:eastAsia="ru-RU"/>
        </w:rPr>
        <w:t>a contabilă conformă a datoriilor pentru terenurile primite în gestiune/folosin</w:t>
      </w:r>
      <w:r w:rsidR="00B13B9A" w:rsidRPr="00B13B9A">
        <w:rPr>
          <w:rFonts w:asciiTheme="majorHAnsi" w:eastAsia="Times New Roman" w:hAnsiTheme="majorHAnsi" w:cstheme="majorHAnsi"/>
          <w:sz w:val="24"/>
          <w:szCs w:val="24"/>
          <w:shd w:val="clear" w:color="auto" w:fill="FFFFFF"/>
          <w:lang w:val="ro-MD" w:eastAsia="ru-RU"/>
        </w:rPr>
        <w:t>ț</w:t>
      </w:r>
      <w:r w:rsidRPr="00B13B9A">
        <w:rPr>
          <w:rFonts w:asciiTheme="majorHAnsi" w:eastAsia="Times New Roman" w:hAnsiTheme="majorHAnsi" w:cstheme="majorHAnsi"/>
          <w:sz w:val="24"/>
          <w:szCs w:val="24"/>
          <w:shd w:val="clear" w:color="auto" w:fill="FFFFFF"/>
          <w:lang w:val="ro-MD" w:eastAsia="ru-RU"/>
        </w:rPr>
        <w:t xml:space="preserve">ă, acestea </w:t>
      </w:r>
      <w:r w:rsidR="00AD3370" w:rsidRPr="00B13B9A">
        <w:rPr>
          <w:rFonts w:asciiTheme="majorHAnsi" w:eastAsia="Times New Roman" w:hAnsiTheme="majorHAnsi" w:cstheme="majorHAnsi"/>
          <w:sz w:val="24"/>
          <w:szCs w:val="24"/>
          <w:shd w:val="clear" w:color="auto" w:fill="FFFFFF"/>
          <w:lang w:val="ro-MD" w:eastAsia="ru-RU"/>
        </w:rPr>
        <w:t>fiind</w:t>
      </w:r>
      <w:r w:rsidRPr="00B13B9A">
        <w:rPr>
          <w:rFonts w:asciiTheme="majorHAnsi" w:eastAsia="Times New Roman" w:hAnsiTheme="majorHAnsi" w:cstheme="majorHAnsi"/>
          <w:sz w:val="24"/>
          <w:szCs w:val="24"/>
          <w:shd w:val="clear" w:color="auto" w:fill="FFFFFF"/>
          <w:lang w:val="ro-MD" w:eastAsia="ru-RU"/>
        </w:rPr>
        <w:t xml:space="preserve"> contabilizate neconform la contul </w:t>
      </w:r>
      <w:r w:rsidR="00AD3370" w:rsidRPr="00B13B9A">
        <w:rPr>
          <w:rFonts w:asciiTheme="majorHAnsi" w:eastAsia="Times New Roman" w:hAnsiTheme="majorHAnsi" w:cstheme="majorHAnsi"/>
          <w:sz w:val="24"/>
          <w:szCs w:val="24"/>
          <w:shd w:val="clear" w:color="auto" w:fill="FFFFFF"/>
          <w:lang w:val="ro-MD" w:eastAsia="ru-RU"/>
        </w:rPr>
        <w:t>„</w:t>
      </w:r>
      <w:r w:rsidRPr="00B13B9A">
        <w:rPr>
          <w:rFonts w:asciiTheme="majorHAnsi" w:eastAsia="Calibri" w:hAnsiTheme="majorHAnsi" w:cstheme="majorHAnsi"/>
          <w:sz w:val="24"/>
          <w:szCs w:val="24"/>
          <w:lang w:val="ro-MD" w:eastAsia="ru-RU"/>
        </w:rPr>
        <w:t>Finan</w:t>
      </w:r>
      <w:r w:rsidR="00B13B9A" w:rsidRPr="00B13B9A">
        <w:rPr>
          <w:rFonts w:asciiTheme="majorHAnsi" w:eastAsia="Calibri" w:hAnsiTheme="majorHAnsi" w:cstheme="majorHAnsi"/>
          <w:sz w:val="24"/>
          <w:szCs w:val="24"/>
          <w:lang w:val="ro-MD" w:eastAsia="ru-RU"/>
        </w:rPr>
        <w:t>ț</w:t>
      </w:r>
      <w:r w:rsidRPr="00B13B9A">
        <w:rPr>
          <w:rFonts w:asciiTheme="majorHAnsi" w:eastAsia="Calibri" w:hAnsiTheme="majorHAnsi" w:cstheme="majorHAnsi"/>
          <w:sz w:val="24"/>
          <w:szCs w:val="24"/>
          <w:lang w:val="ro-MD" w:eastAsia="ru-RU"/>
        </w:rPr>
        <w:t xml:space="preserve">ări </w:t>
      </w:r>
      <w:r w:rsidR="00B13B9A" w:rsidRPr="00B13B9A">
        <w:rPr>
          <w:rFonts w:asciiTheme="majorHAnsi" w:eastAsia="Calibri" w:hAnsiTheme="majorHAnsi" w:cstheme="majorHAnsi"/>
          <w:sz w:val="24"/>
          <w:szCs w:val="24"/>
          <w:lang w:val="ro-MD" w:eastAsia="ru-RU"/>
        </w:rPr>
        <w:t>ș</w:t>
      </w:r>
      <w:r w:rsidRPr="00B13B9A">
        <w:rPr>
          <w:rFonts w:asciiTheme="majorHAnsi" w:eastAsia="Calibri" w:hAnsiTheme="majorHAnsi" w:cstheme="majorHAnsi"/>
          <w:sz w:val="24"/>
          <w:szCs w:val="24"/>
          <w:lang w:val="ro-MD" w:eastAsia="ru-RU"/>
        </w:rPr>
        <w:t>i încasări cu destina</w:t>
      </w:r>
      <w:r w:rsidR="00B13B9A" w:rsidRPr="00B13B9A">
        <w:rPr>
          <w:rFonts w:asciiTheme="majorHAnsi" w:eastAsia="Calibri" w:hAnsiTheme="majorHAnsi" w:cstheme="majorHAnsi"/>
          <w:sz w:val="24"/>
          <w:szCs w:val="24"/>
          <w:lang w:val="ro-MD" w:eastAsia="ru-RU"/>
        </w:rPr>
        <w:t>ț</w:t>
      </w:r>
      <w:r w:rsidRPr="00B13B9A">
        <w:rPr>
          <w:rFonts w:asciiTheme="majorHAnsi" w:eastAsia="Calibri" w:hAnsiTheme="majorHAnsi" w:cstheme="majorHAnsi"/>
          <w:sz w:val="24"/>
          <w:szCs w:val="24"/>
          <w:lang w:val="ro-MD" w:eastAsia="ru-RU"/>
        </w:rPr>
        <w:t>ie specială curente</w:t>
      </w:r>
      <w:r w:rsidR="00AD3370" w:rsidRPr="00B13B9A">
        <w:rPr>
          <w:rFonts w:asciiTheme="majorHAnsi" w:eastAsia="Calibri" w:hAnsiTheme="majorHAnsi" w:cstheme="majorHAnsi"/>
          <w:sz w:val="24"/>
          <w:szCs w:val="24"/>
          <w:lang w:val="ro-MD" w:eastAsia="ru-RU"/>
        </w:rPr>
        <w:t>”</w:t>
      </w:r>
      <w:r w:rsidRPr="00B13B9A">
        <w:rPr>
          <w:rFonts w:asciiTheme="majorHAnsi" w:eastAsia="Calibri" w:hAnsiTheme="majorHAnsi" w:cstheme="majorHAnsi"/>
          <w:sz w:val="24"/>
          <w:szCs w:val="24"/>
          <w:lang w:val="ro-MD" w:eastAsia="ru-RU"/>
        </w:rPr>
        <w:t xml:space="preserve"> (537), </w:t>
      </w:r>
      <w:r w:rsidR="00A04DD3" w:rsidRPr="00B13B9A">
        <w:rPr>
          <w:rFonts w:asciiTheme="majorHAnsi" w:eastAsia="Calibri" w:hAnsiTheme="majorHAnsi" w:cstheme="majorHAnsi"/>
          <w:sz w:val="24"/>
          <w:szCs w:val="24"/>
          <w:lang w:val="ro-MD" w:eastAsia="ru-RU"/>
        </w:rPr>
        <w:t xml:space="preserve">pe când urmau </w:t>
      </w:r>
      <w:r w:rsidR="00AD3370" w:rsidRPr="00B13B9A">
        <w:rPr>
          <w:rFonts w:asciiTheme="majorHAnsi" w:eastAsia="Calibri" w:hAnsiTheme="majorHAnsi" w:cstheme="majorHAnsi"/>
          <w:sz w:val="24"/>
          <w:szCs w:val="24"/>
          <w:lang w:val="ro-MD" w:eastAsia="ru-RU"/>
        </w:rPr>
        <w:t xml:space="preserve">a </w:t>
      </w:r>
      <w:r w:rsidR="00A04DD3" w:rsidRPr="00B13B9A">
        <w:rPr>
          <w:rFonts w:asciiTheme="majorHAnsi" w:eastAsia="Calibri" w:hAnsiTheme="majorHAnsi" w:cstheme="majorHAnsi"/>
          <w:sz w:val="24"/>
          <w:szCs w:val="24"/>
          <w:lang w:val="ro-MD" w:eastAsia="ru-RU"/>
        </w:rPr>
        <w:t xml:space="preserve">fi înregistrate la contul </w:t>
      </w:r>
      <w:r w:rsidR="00AD3370" w:rsidRPr="00B13B9A">
        <w:rPr>
          <w:rFonts w:asciiTheme="majorHAnsi" w:eastAsia="Calibri" w:hAnsiTheme="majorHAnsi" w:cstheme="majorHAnsi"/>
          <w:sz w:val="24"/>
          <w:szCs w:val="24"/>
          <w:lang w:val="ro-MD" w:eastAsia="ru-RU"/>
        </w:rPr>
        <w:t>„</w:t>
      </w:r>
      <w:r w:rsidR="00A04DD3" w:rsidRPr="00B13B9A">
        <w:rPr>
          <w:rFonts w:asciiTheme="majorHAnsi" w:eastAsia="Calibri" w:hAnsiTheme="majorHAnsi" w:cstheme="majorHAnsi"/>
          <w:bCs/>
          <w:sz w:val="24"/>
          <w:szCs w:val="24"/>
          <w:lang w:val="ro-MD" w:eastAsia="ru-RU"/>
        </w:rPr>
        <w:t>Datorii pe termen lung privind bunurile primite în gestiune economică</w:t>
      </w:r>
      <w:r w:rsidR="00AD3370" w:rsidRPr="00B13B9A">
        <w:rPr>
          <w:rFonts w:asciiTheme="majorHAnsi" w:eastAsia="Calibri" w:hAnsiTheme="majorHAnsi" w:cstheme="majorHAnsi"/>
          <w:bCs/>
          <w:sz w:val="24"/>
          <w:szCs w:val="24"/>
          <w:lang w:val="ro-MD" w:eastAsia="ru-RU"/>
        </w:rPr>
        <w:t>”</w:t>
      </w:r>
      <w:r w:rsidR="00A04DD3" w:rsidRPr="00B13B9A">
        <w:rPr>
          <w:rFonts w:asciiTheme="majorHAnsi" w:eastAsia="Calibri" w:hAnsiTheme="majorHAnsi" w:cstheme="majorHAnsi"/>
          <w:bCs/>
          <w:sz w:val="24"/>
          <w:szCs w:val="24"/>
          <w:lang w:val="ro-MD" w:eastAsia="ru-RU"/>
        </w:rPr>
        <w:t xml:space="preserve"> (</w:t>
      </w:r>
      <w:r w:rsidR="00A04DD3" w:rsidRPr="00B13B9A">
        <w:rPr>
          <w:rFonts w:asciiTheme="majorHAnsi" w:eastAsia="Calibri" w:hAnsiTheme="majorHAnsi" w:cstheme="majorHAnsi"/>
          <w:sz w:val="24"/>
          <w:szCs w:val="24"/>
          <w:lang w:val="ro-MD" w:eastAsia="ru-RU"/>
        </w:rPr>
        <w:t>427).</w:t>
      </w:r>
    </w:p>
    <w:p w14:paraId="6A5BA9AD" w14:textId="7F948B4A" w:rsidR="00792BD5" w:rsidRPr="00B13B9A" w:rsidRDefault="00792BD5" w:rsidP="00792BD5">
      <w:pPr>
        <w:pStyle w:val="a7"/>
        <w:spacing w:after="0" w:line="276" w:lineRule="auto"/>
        <w:ind w:left="0"/>
        <w:jc w:val="both"/>
        <w:rPr>
          <w:rFonts w:asciiTheme="majorHAnsi" w:hAnsiTheme="majorHAnsi" w:cstheme="majorHAnsi"/>
          <w:bCs/>
          <w:sz w:val="24"/>
          <w:szCs w:val="20"/>
          <w:lang w:val="ro-MD"/>
        </w:rPr>
      </w:pPr>
      <w:r w:rsidRPr="00B13B9A">
        <w:rPr>
          <w:rFonts w:asciiTheme="majorHAnsi" w:hAnsiTheme="majorHAnsi" w:cstheme="majorHAnsi"/>
          <w:bCs/>
          <w:sz w:val="24"/>
          <w:szCs w:val="20"/>
          <w:lang w:val="ro-MD"/>
        </w:rPr>
        <w:t>Subsecvent, auditul men</w:t>
      </w:r>
      <w:r w:rsidR="00B13B9A" w:rsidRPr="00B13B9A">
        <w:rPr>
          <w:rFonts w:asciiTheme="majorHAnsi" w:hAnsiTheme="majorHAnsi" w:cstheme="majorHAnsi"/>
          <w:bCs/>
          <w:sz w:val="24"/>
          <w:szCs w:val="20"/>
          <w:lang w:val="ro-MD"/>
        </w:rPr>
        <w:t>ț</w:t>
      </w:r>
      <w:r w:rsidRPr="00B13B9A">
        <w:rPr>
          <w:rFonts w:asciiTheme="majorHAnsi" w:hAnsiTheme="majorHAnsi" w:cstheme="majorHAnsi"/>
          <w:bCs/>
          <w:sz w:val="24"/>
          <w:szCs w:val="20"/>
          <w:lang w:val="ro-MD"/>
        </w:rPr>
        <w:t>ionează că valoarea terenurilor aflate în folosin</w:t>
      </w:r>
      <w:r w:rsidR="00B13B9A" w:rsidRPr="00B13B9A">
        <w:rPr>
          <w:rFonts w:asciiTheme="majorHAnsi" w:hAnsiTheme="majorHAnsi" w:cstheme="majorHAnsi"/>
          <w:bCs/>
          <w:sz w:val="24"/>
          <w:szCs w:val="20"/>
          <w:lang w:val="ro-MD"/>
        </w:rPr>
        <w:t>ț</w:t>
      </w:r>
      <w:r w:rsidRPr="00B13B9A">
        <w:rPr>
          <w:rFonts w:asciiTheme="majorHAnsi" w:hAnsiTheme="majorHAnsi" w:cstheme="majorHAnsi"/>
          <w:bCs/>
          <w:sz w:val="24"/>
          <w:szCs w:val="20"/>
          <w:lang w:val="ro-MD"/>
        </w:rPr>
        <w:t>a entită</w:t>
      </w:r>
      <w:r w:rsidR="00B13B9A" w:rsidRPr="00B13B9A">
        <w:rPr>
          <w:rFonts w:asciiTheme="majorHAnsi" w:hAnsiTheme="majorHAnsi" w:cstheme="majorHAnsi"/>
          <w:bCs/>
          <w:sz w:val="24"/>
          <w:szCs w:val="20"/>
          <w:lang w:val="ro-MD"/>
        </w:rPr>
        <w:t>ț</w:t>
      </w:r>
      <w:r w:rsidRPr="00B13B9A">
        <w:rPr>
          <w:rFonts w:asciiTheme="majorHAnsi" w:hAnsiTheme="majorHAnsi" w:cstheme="majorHAnsi"/>
          <w:bCs/>
          <w:sz w:val="24"/>
          <w:szCs w:val="20"/>
          <w:lang w:val="ro-MD"/>
        </w:rPr>
        <w:t>ii nu a fost ajustată potrivit cadrului normativ în vigoare</w:t>
      </w:r>
      <w:r w:rsidRPr="00B13B9A">
        <w:rPr>
          <w:rStyle w:val="a9"/>
          <w:rFonts w:asciiTheme="majorHAnsi" w:hAnsiTheme="majorHAnsi" w:cstheme="majorHAnsi"/>
          <w:bCs/>
          <w:sz w:val="24"/>
          <w:szCs w:val="20"/>
          <w:lang w:val="ro-MD"/>
        </w:rPr>
        <w:footnoteReference w:id="25"/>
      </w:r>
      <w:r w:rsidRPr="00B13B9A">
        <w:rPr>
          <w:rFonts w:asciiTheme="majorHAnsi" w:hAnsiTheme="majorHAnsi" w:cstheme="majorHAnsi"/>
          <w:bCs/>
          <w:sz w:val="24"/>
          <w:szCs w:val="20"/>
          <w:lang w:val="ro-MD"/>
        </w:rPr>
        <w:t xml:space="preserve"> la transmiterea lor către APP, respectiv valoarea estimată de către audit în baza valorii cadastrale/pre</w:t>
      </w:r>
      <w:r w:rsidR="00B13B9A" w:rsidRPr="00B13B9A">
        <w:rPr>
          <w:rFonts w:asciiTheme="majorHAnsi" w:hAnsiTheme="majorHAnsi" w:cstheme="majorHAnsi"/>
          <w:bCs/>
          <w:sz w:val="24"/>
          <w:szCs w:val="20"/>
          <w:lang w:val="ro-MD"/>
        </w:rPr>
        <w:t>ț</w:t>
      </w:r>
      <w:r w:rsidR="00CF0D97" w:rsidRPr="00B13B9A">
        <w:rPr>
          <w:rFonts w:asciiTheme="majorHAnsi" w:hAnsiTheme="majorHAnsi" w:cstheme="majorHAnsi"/>
          <w:bCs/>
          <w:sz w:val="24"/>
          <w:szCs w:val="20"/>
          <w:lang w:val="ro-MD"/>
        </w:rPr>
        <w:t>ului</w:t>
      </w:r>
      <w:r w:rsidRPr="00B13B9A">
        <w:rPr>
          <w:rFonts w:asciiTheme="majorHAnsi" w:hAnsiTheme="majorHAnsi" w:cstheme="majorHAnsi"/>
          <w:bCs/>
          <w:sz w:val="24"/>
          <w:szCs w:val="20"/>
          <w:lang w:val="ro-MD"/>
        </w:rPr>
        <w:t xml:space="preserve"> nor</w:t>
      </w:r>
      <w:r w:rsidR="00730969" w:rsidRPr="00B13B9A">
        <w:rPr>
          <w:rFonts w:asciiTheme="majorHAnsi" w:hAnsiTheme="majorHAnsi" w:cstheme="majorHAnsi"/>
          <w:bCs/>
          <w:sz w:val="24"/>
          <w:szCs w:val="20"/>
          <w:lang w:val="ro-MD"/>
        </w:rPr>
        <w:t>mativ al pământului este de 110 723,</w:t>
      </w:r>
      <w:r w:rsidRPr="00B13B9A">
        <w:rPr>
          <w:rFonts w:asciiTheme="majorHAnsi" w:hAnsiTheme="majorHAnsi" w:cstheme="majorHAnsi"/>
          <w:bCs/>
          <w:sz w:val="24"/>
          <w:szCs w:val="20"/>
          <w:lang w:val="ro-MD"/>
        </w:rPr>
        <w:t>9</w:t>
      </w:r>
      <w:r w:rsidR="00730969" w:rsidRPr="00B13B9A">
        <w:rPr>
          <w:rFonts w:asciiTheme="majorHAnsi" w:hAnsiTheme="majorHAnsi" w:cstheme="majorHAnsi"/>
          <w:bCs/>
          <w:sz w:val="24"/>
          <w:szCs w:val="20"/>
          <w:lang w:val="ro-MD"/>
        </w:rPr>
        <w:t xml:space="preserve"> mii</w:t>
      </w:r>
      <w:r w:rsidRPr="00B13B9A">
        <w:rPr>
          <w:rFonts w:asciiTheme="majorHAnsi" w:hAnsiTheme="majorHAnsi" w:cstheme="majorHAnsi"/>
          <w:bCs/>
          <w:sz w:val="24"/>
          <w:szCs w:val="20"/>
          <w:lang w:val="ro-MD"/>
        </w:rPr>
        <w:t xml:space="preserve"> lei, </w:t>
      </w:r>
      <w:r w:rsidR="00A04DD3" w:rsidRPr="00B13B9A">
        <w:rPr>
          <w:rFonts w:asciiTheme="majorHAnsi" w:hAnsiTheme="majorHAnsi" w:cstheme="majorHAnsi"/>
          <w:bCs/>
          <w:sz w:val="24"/>
          <w:szCs w:val="20"/>
          <w:lang w:val="ro-MD"/>
        </w:rPr>
        <w:t>sau</w:t>
      </w:r>
      <w:r w:rsidRPr="00B13B9A">
        <w:rPr>
          <w:rFonts w:asciiTheme="majorHAnsi" w:hAnsiTheme="majorHAnsi" w:cstheme="majorHAnsi"/>
          <w:bCs/>
          <w:sz w:val="24"/>
          <w:szCs w:val="20"/>
          <w:lang w:val="ro-MD"/>
        </w:rPr>
        <w:t xml:space="preserve"> cu </w:t>
      </w:r>
      <w:r w:rsidR="00A04DD3" w:rsidRPr="00B13B9A">
        <w:rPr>
          <w:rFonts w:asciiTheme="majorHAnsi" w:hAnsiTheme="majorHAnsi" w:cstheme="majorHAnsi"/>
          <w:bCs/>
          <w:sz w:val="24"/>
          <w:szCs w:val="20"/>
          <w:lang w:val="ro-MD"/>
        </w:rPr>
        <w:t>102</w:t>
      </w:r>
      <w:r w:rsidR="00CF0D97" w:rsidRPr="00B13B9A">
        <w:rPr>
          <w:rFonts w:asciiTheme="majorHAnsi" w:hAnsiTheme="majorHAnsi" w:cstheme="majorHAnsi"/>
          <w:bCs/>
          <w:sz w:val="24"/>
          <w:szCs w:val="20"/>
          <w:lang w:val="ro-MD"/>
        </w:rPr>
        <w:t xml:space="preserve"> </w:t>
      </w:r>
      <w:r w:rsidR="00D25E60" w:rsidRPr="00B13B9A">
        <w:rPr>
          <w:rFonts w:asciiTheme="majorHAnsi" w:hAnsiTheme="majorHAnsi" w:cstheme="majorHAnsi"/>
          <w:bCs/>
          <w:sz w:val="24"/>
          <w:szCs w:val="20"/>
          <w:lang w:val="ro-MD"/>
        </w:rPr>
        <w:t>635,0 mii</w:t>
      </w:r>
      <w:r w:rsidRPr="00B13B9A">
        <w:rPr>
          <w:rFonts w:asciiTheme="majorHAnsi" w:hAnsiTheme="majorHAnsi" w:cstheme="majorHAnsi"/>
          <w:bCs/>
          <w:sz w:val="24"/>
          <w:szCs w:val="20"/>
          <w:lang w:val="ro-MD"/>
        </w:rPr>
        <w:t xml:space="preserve"> lei mai mult</w:t>
      </w:r>
      <w:r w:rsidR="0009703A" w:rsidRPr="00B13B9A">
        <w:rPr>
          <w:rFonts w:asciiTheme="majorHAnsi" w:hAnsiTheme="majorHAnsi" w:cstheme="majorHAnsi"/>
          <w:bCs/>
          <w:sz w:val="24"/>
          <w:szCs w:val="20"/>
          <w:lang w:val="ro-MD"/>
        </w:rPr>
        <w:t xml:space="preserve"> fa</w:t>
      </w:r>
      <w:r w:rsidR="00B13B9A" w:rsidRPr="00B13B9A">
        <w:rPr>
          <w:rFonts w:asciiTheme="majorHAnsi" w:hAnsiTheme="majorHAnsi" w:cstheme="majorHAnsi"/>
          <w:bCs/>
          <w:sz w:val="24"/>
          <w:szCs w:val="20"/>
          <w:lang w:val="ro-MD"/>
        </w:rPr>
        <w:t>ț</w:t>
      </w:r>
      <w:r w:rsidR="0009703A" w:rsidRPr="00B13B9A">
        <w:rPr>
          <w:rFonts w:asciiTheme="majorHAnsi" w:hAnsiTheme="majorHAnsi" w:cstheme="majorHAnsi"/>
          <w:bCs/>
          <w:sz w:val="24"/>
          <w:szCs w:val="20"/>
          <w:lang w:val="ro-MD"/>
        </w:rPr>
        <w:t>ă de valoarea de bilan</w:t>
      </w:r>
      <w:r w:rsidR="00B13B9A" w:rsidRPr="00B13B9A">
        <w:rPr>
          <w:rFonts w:asciiTheme="majorHAnsi" w:hAnsiTheme="majorHAnsi" w:cstheme="majorHAnsi"/>
          <w:bCs/>
          <w:sz w:val="24"/>
          <w:szCs w:val="20"/>
          <w:lang w:val="ro-MD"/>
        </w:rPr>
        <w:t>ț</w:t>
      </w:r>
      <w:r w:rsidR="0009703A" w:rsidRPr="00B13B9A">
        <w:rPr>
          <w:rFonts w:asciiTheme="majorHAnsi" w:hAnsiTheme="majorHAnsi" w:cstheme="majorHAnsi"/>
          <w:bCs/>
          <w:sz w:val="24"/>
          <w:szCs w:val="20"/>
          <w:lang w:val="ro-MD"/>
        </w:rPr>
        <w:t xml:space="preserve"> a acesto</w:t>
      </w:r>
      <w:r w:rsidR="00A04DD3" w:rsidRPr="00B13B9A">
        <w:rPr>
          <w:rFonts w:asciiTheme="majorHAnsi" w:hAnsiTheme="majorHAnsi" w:cstheme="majorHAnsi"/>
          <w:bCs/>
          <w:sz w:val="24"/>
          <w:szCs w:val="20"/>
          <w:lang w:val="ro-MD"/>
        </w:rPr>
        <w:t>r</w:t>
      </w:r>
      <w:r w:rsidR="0009703A" w:rsidRPr="00B13B9A">
        <w:rPr>
          <w:rFonts w:asciiTheme="majorHAnsi" w:hAnsiTheme="majorHAnsi" w:cstheme="majorHAnsi"/>
          <w:bCs/>
          <w:sz w:val="24"/>
          <w:szCs w:val="20"/>
          <w:lang w:val="ro-MD"/>
        </w:rPr>
        <w:t>a</w:t>
      </w:r>
      <w:r w:rsidRPr="00B13B9A">
        <w:rPr>
          <w:rFonts w:asciiTheme="majorHAnsi" w:hAnsiTheme="majorHAnsi" w:cstheme="majorHAnsi"/>
          <w:bCs/>
          <w:sz w:val="24"/>
          <w:szCs w:val="20"/>
          <w:lang w:val="ro-MD"/>
        </w:rPr>
        <w:t>, situa</w:t>
      </w:r>
      <w:r w:rsidR="00B13B9A" w:rsidRPr="00B13B9A">
        <w:rPr>
          <w:rFonts w:asciiTheme="majorHAnsi" w:hAnsiTheme="majorHAnsi" w:cstheme="majorHAnsi"/>
          <w:bCs/>
          <w:sz w:val="24"/>
          <w:szCs w:val="20"/>
          <w:lang w:val="ro-MD"/>
        </w:rPr>
        <w:t>ț</w:t>
      </w:r>
      <w:r w:rsidRPr="00B13B9A">
        <w:rPr>
          <w:rFonts w:asciiTheme="majorHAnsi" w:hAnsiTheme="majorHAnsi" w:cstheme="majorHAnsi"/>
          <w:bCs/>
          <w:sz w:val="24"/>
          <w:szCs w:val="20"/>
          <w:lang w:val="ro-MD"/>
        </w:rPr>
        <w:t xml:space="preserve">ie redată în </w:t>
      </w:r>
      <w:r w:rsidR="0096393F" w:rsidRPr="00B13B9A">
        <w:rPr>
          <w:rFonts w:asciiTheme="majorHAnsi" w:hAnsiTheme="majorHAnsi" w:cstheme="majorHAnsi"/>
          <w:bCs/>
          <w:sz w:val="24"/>
          <w:szCs w:val="20"/>
          <w:lang w:val="ro-MD"/>
        </w:rPr>
        <w:t>Anexa nr.</w:t>
      </w:r>
      <w:r w:rsidR="000906C3" w:rsidRPr="00B13B9A">
        <w:rPr>
          <w:rFonts w:asciiTheme="majorHAnsi" w:hAnsiTheme="majorHAnsi" w:cstheme="majorHAnsi"/>
          <w:bCs/>
          <w:sz w:val="24"/>
          <w:szCs w:val="20"/>
          <w:lang w:val="ro-MD"/>
        </w:rPr>
        <w:t>1</w:t>
      </w:r>
      <w:r w:rsidR="000603F4" w:rsidRPr="00B13B9A">
        <w:rPr>
          <w:rFonts w:asciiTheme="majorHAnsi" w:hAnsiTheme="majorHAnsi" w:cstheme="majorHAnsi"/>
          <w:bCs/>
          <w:sz w:val="24"/>
          <w:szCs w:val="20"/>
          <w:lang w:val="ro-MD"/>
        </w:rPr>
        <w:t>3</w:t>
      </w:r>
      <w:r w:rsidR="00CF0D97" w:rsidRPr="00B13B9A">
        <w:rPr>
          <w:rFonts w:asciiTheme="majorHAnsi" w:hAnsiTheme="majorHAnsi" w:cstheme="majorHAnsi"/>
          <w:bCs/>
          <w:sz w:val="24"/>
          <w:szCs w:val="20"/>
          <w:lang w:val="ro-MD"/>
        </w:rPr>
        <w:t xml:space="preserve"> la prezentul Raport de audit</w:t>
      </w:r>
      <w:r w:rsidR="0096393F" w:rsidRPr="00B13B9A">
        <w:rPr>
          <w:rFonts w:asciiTheme="majorHAnsi" w:hAnsiTheme="majorHAnsi" w:cstheme="majorHAnsi"/>
          <w:bCs/>
          <w:sz w:val="24"/>
          <w:szCs w:val="20"/>
          <w:lang w:val="ro-MD"/>
        </w:rPr>
        <w:t>.</w:t>
      </w:r>
    </w:p>
    <w:p w14:paraId="59895306" w14:textId="77777777" w:rsidR="00792BD5" w:rsidRPr="00B13B9A" w:rsidRDefault="00792BD5" w:rsidP="00792BD5">
      <w:pPr>
        <w:pStyle w:val="ae"/>
        <w:shd w:val="clear" w:color="auto" w:fill="FFFFFF"/>
        <w:tabs>
          <w:tab w:val="left" w:pos="851"/>
          <w:tab w:val="left" w:pos="1134"/>
        </w:tabs>
        <w:spacing w:before="0" w:beforeAutospacing="0" w:after="0" w:afterAutospacing="0" w:line="276" w:lineRule="auto"/>
        <w:jc w:val="both"/>
        <w:rPr>
          <w:rFonts w:asciiTheme="majorHAnsi" w:hAnsiTheme="majorHAnsi" w:cstheme="majorHAnsi"/>
          <w:shd w:val="clear" w:color="auto" w:fill="FFFFFF"/>
          <w:lang w:val="ro-MD"/>
        </w:rPr>
      </w:pPr>
    </w:p>
    <w:p w14:paraId="0442ECB8" w14:textId="58B4E554" w:rsidR="00792BD5" w:rsidRPr="00B13B9A" w:rsidRDefault="00792BD5" w:rsidP="00792BD5">
      <w:pPr>
        <w:pStyle w:val="cn"/>
        <w:spacing w:line="276" w:lineRule="auto"/>
        <w:ind w:right="71"/>
        <w:jc w:val="both"/>
        <w:rPr>
          <w:rFonts w:asciiTheme="majorHAnsi" w:eastAsiaTheme="minorHAnsi" w:hAnsiTheme="majorHAnsi" w:cstheme="minorHAnsi"/>
          <w:lang w:val="ro-MD" w:eastAsia="en-US"/>
        </w:rPr>
      </w:pPr>
      <w:r w:rsidRPr="00B13B9A">
        <w:rPr>
          <w:rFonts w:asciiTheme="majorHAnsi" w:eastAsiaTheme="minorHAnsi" w:hAnsiTheme="majorHAnsi" w:cstheme="minorHAnsi"/>
          <w:lang w:val="ro-MD" w:eastAsia="en-US"/>
        </w:rPr>
        <w:t>În aceste condi</w:t>
      </w:r>
      <w:r w:rsidR="00B13B9A" w:rsidRPr="00B13B9A">
        <w:rPr>
          <w:rFonts w:asciiTheme="majorHAnsi" w:eastAsiaTheme="minorHAnsi" w:hAnsiTheme="majorHAnsi" w:cstheme="minorHAnsi"/>
          <w:lang w:val="ro-MD" w:eastAsia="en-US"/>
        </w:rPr>
        <w:t>ț</w:t>
      </w:r>
      <w:r w:rsidRPr="00B13B9A">
        <w:rPr>
          <w:rFonts w:asciiTheme="majorHAnsi" w:eastAsiaTheme="minorHAnsi" w:hAnsiTheme="majorHAnsi" w:cstheme="minorHAnsi"/>
          <w:lang w:val="ro-MD" w:eastAsia="en-US"/>
        </w:rPr>
        <w:t>ii, auditul semnalează despre necesitatea ajustării procedurilor de transmitere a bunurilor proprietate publică, în scopul delimitării proprietă</w:t>
      </w:r>
      <w:r w:rsidR="00B13B9A" w:rsidRPr="00B13B9A">
        <w:rPr>
          <w:rFonts w:asciiTheme="majorHAnsi" w:eastAsiaTheme="minorHAnsi" w:hAnsiTheme="majorHAnsi" w:cstheme="minorHAnsi"/>
          <w:lang w:val="ro-MD" w:eastAsia="en-US"/>
        </w:rPr>
        <w:t>ț</w:t>
      </w:r>
      <w:r w:rsidRPr="00B13B9A">
        <w:rPr>
          <w:rFonts w:asciiTheme="majorHAnsi" w:eastAsiaTheme="minorHAnsi" w:hAnsiTheme="majorHAnsi" w:cstheme="minorHAnsi"/>
          <w:lang w:val="ro-MD" w:eastAsia="en-US"/>
        </w:rPr>
        <w:t xml:space="preserve">ii publice </w:t>
      </w:r>
      <w:r w:rsidR="00B13B9A" w:rsidRPr="00B13B9A">
        <w:rPr>
          <w:rFonts w:asciiTheme="majorHAnsi" w:eastAsiaTheme="minorHAnsi" w:hAnsiTheme="majorHAnsi" w:cstheme="minorHAnsi"/>
          <w:lang w:val="ro-MD" w:eastAsia="en-US"/>
        </w:rPr>
        <w:t>ș</w:t>
      </w:r>
      <w:r w:rsidRPr="00B13B9A">
        <w:rPr>
          <w:rFonts w:asciiTheme="majorHAnsi" w:eastAsiaTheme="minorHAnsi" w:hAnsiTheme="majorHAnsi" w:cstheme="minorHAnsi"/>
          <w:lang w:val="ro-MD" w:eastAsia="en-US"/>
        </w:rPr>
        <w:t xml:space="preserve">i asigurării </w:t>
      </w:r>
      <w:r w:rsidR="0009703A" w:rsidRPr="00B13B9A">
        <w:rPr>
          <w:rFonts w:asciiTheme="majorHAnsi" w:eastAsiaTheme="minorHAnsi" w:hAnsiTheme="majorHAnsi" w:cstheme="minorHAnsi"/>
          <w:lang w:val="ro-MD" w:eastAsia="en-US"/>
        </w:rPr>
        <w:t xml:space="preserve">înregistrării </w:t>
      </w:r>
      <w:r w:rsidRPr="00B13B9A">
        <w:rPr>
          <w:rFonts w:asciiTheme="majorHAnsi" w:eastAsiaTheme="minorHAnsi" w:hAnsiTheme="majorHAnsi" w:cstheme="minorHAnsi"/>
          <w:lang w:val="ro-MD" w:eastAsia="en-US"/>
        </w:rPr>
        <w:t xml:space="preserve">conforme a </w:t>
      </w:r>
      <w:r w:rsidR="00A04DD3" w:rsidRPr="00B13B9A">
        <w:rPr>
          <w:rFonts w:asciiTheme="majorHAnsi" w:eastAsiaTheme="minorHAnsi" w:hAnsiTheme="majorHAnsi" w:cstheme="minorHAnsi"/>
          <w:lang w:val="ro-MD" w:eastAsia="en-US"/>
        </w:rPr>
        <w:t xml:space="preserve">valorii </w:t>
      </w:r>
      <w:r w:rsidR="00B13B9A" w:rsidRPr="00B13B9A">
        <w:rPr>
          <w:rFonts w:asciiTheme="majorHAnsi" w:eastAsiaTheme="minorHAnsi" w:hAnsiTheme="majorHAnsi" w:cstheme="minorHAnsi"/>
          <w:lang w:val="ro-MD" w:eastAsia="en-US"/>
        </w:rPr>
        <w:t>ș</w:t>
      </w:r>
      <w:r w:rsidR="00A04DD3" w:rsidRPr="00B13B9A">
        <w:rPr>
          <w:rFonts w:asciiTheme="majorHAnsi" w:eastAsiaTheme="minorHAnsi" w:hAnsiTheme="majorHAnsi" w:cstheme="minorHAnsi"/>
          <w:lang w:val="ro-MD" w:eastAsia="en-US"/>
        </w:rPr>
        <w:t xml:space="preserve">i dreptului de </w:t>
      </w:r>
      <w:r w:rsidR="00814394">
        <w:rPr>
          <w:rFonts w:asciiTheme="majorHAnsi" w:eastAsiaTheme="minorHAnsi" w:hAnsiTheme="majorHAnsi" w:cstheme="minorHAnsi"/>
          <w:lang w:val="ro-MD" w:eastAsia="en-US"/>
        </w:rPr>
        <w:t>administrare</w:t>
      </w:r>
      <w:r w:rsidR="00A04DD3" w:rsidRPr="00B13B9A">
        <w:rPr>
          <w:rFonts w:asciiTheme="majorHAnsi" w:eastAsiaTheme="minorHAnsi" w:hAnsiTheme="majorHAnsi" w:cstheme="minorHAnsi"/>
          <w:lang w:val="ro-MD" w:eastAsia="en-US"/>
        </w:rPr>
        <w:t xml:space="preserve">, precum </w:t>
      </w:r>
      <w:r w:rsidR="00B13B9A" w:rsidRPr="00B13B9A">
        <w:rPr>
          <w:rFonts w:asciiTheme="majorHAnsi" w:eastAsiaTheme="minorHAnsi" w:hAnsiTheme="majorHAnsi" w:cstheme="minorHAnsi"/>
          <w:lang w:val="ro-MD" w:eastAsia="en-US"/>
        </w:rPr>
        <w:t>ș</w:t>
      </w:r>
      <w:r w:rsidR="00A04DD3" w:rsidRPr="00B13B9A">
        <w:rPr>
          <w:rFonts w:asciiTheme="majorHAnsi" w:eastAsiaTheme="minorHAnsi" w:hAnsiTheme="majorHAnsi" w:cstheme="minorHAnsi"/>
          <w:lang w:val="ro-MD" w:eastAsia="en-US"/>
        </w:rPr>
        <w:t xml:space="preserve">i </w:t>
      </w:r>
      <w:r w:rsidRPr="00B13B9A">
        <w:rPr>
          <w:rFonts w:asciiTheme="majorHAnsi" w:eastAsiaTheme="minorHAnsi" w:hAnsiTheme="majorHAnsi" w:cstheme="minorHAnsi"/>
          <w:lang w:val="ro-MD" w:eastAsia="en-US"/>
        </w:rPr>
        <w:t>folosirii eficiente a bunurilor proprietate publică a statului.</w:t>
      </w:r>
    </w:p>
    <w:p w14:paraId="167FF2AA" w14:textId="77777777" w:rsidR="00792BD5" w:rsidRPr="00B13B9A" w:rsidRDefault="00792BD5" w:rsidP="00C063FB">
      <w:pPr>
        <w:rPr>
          <w:rFonts w:asciiTheme="majorHAnsi" w:hAnsiTheme="majorHAnsi" w:cstheme="majorHAnsi"/>
          <w:b/>
          <w:color w:val="000000" w:themeColor="text1"/>
          <w:sz w:val="24"/>
          <w:szCs w:val="24"/>
          <w:lang w:val="ro-MD"/>
        </w:rPr>
      </w:pPr>
    </w:p>
    <w:p w14:paraId="458D107D" w14:textId="1A9000F6" w:rsidR="002860CE" w:rsidRPr="00B13B9A" w:rsidRDefault="002860CE" w:rsidP="00241AB3">
      <w:pPr>
        <w:pStyle w:val="a7"/>
        <w:numPr>
          <w:ilvl w:val="2"/>
          <w:numId w:val="10"/>
        </w:numPr>
        <w:spacing w:after="0" w:line="276" w:lineRule="auto"/>
        <w:jc w:val="both"/>
        <w:outlineLvl w:val="2"/>
        <w:rPr>
          <w:rFonts w:asciiTheme="majorHAnsi" w:hAnsiTheme="majorHAnsi" w:cstheme="majorHAnsi"/>
          <w:b/>
          <w:color w:val="000000" w:themeColor="text1"/>
          <w:sz w:val="24"/>
          <w:szCs w:val="24"/>
          <w:lang w:val="ro-MD"/>
        </w:rPr>
      </w:pPr>
      <w:bookmarkStart w:id="24" w:name="_Toc154562499"/>
      <w:r w:rsidRPr="00B13B9A">
        <w:rPr>
          <w:rFonts w:asciiTheme="majorHAnsi" w:hAnsiTheme="majorHAnsi" w:cstheme="majorHAnsi"/>
          <w:b/>
          <w:color w:val="000000" w:themeColor="text1"/>
          <w:sz w:val="24"/>
          <w:szCs w:val="24"/>
          <w:lang w:val="ro-MD"/>
        </w:rPr>
        <w:t>Deciziile cu privire la schimbarea destina</w:t>
      </w:r>
      <w:r w:rsidR="00B13B9A" w:rsidRPr="00B13B9A">
        <w:rPr>
          <w:rFonts w:asciiTheme="majorHAnsi" w:hAnsiTheme="majorHAnsi" w:cstheme="majorHAnsi"/>
          <w:b/>
          <w:color w:val="000000" w:themeColor="text1"/>
          <w:sz w:val="24"/>
          <w:szCs w:val="24"/>
          <w:lang w:val="ro-MD"/>
        </w:rPr>
        <w:t>ț</w:t>
      </w:r>
      <w:r w:rsidRPr="00B13B9A">
        <w:rPr>
          <w:rFonts w:asciiTheme="majorHAnsi" w:hAnsiTheme="majorHAnsi" w:cstheme="majorHAnsi"/>
          <w:b/>
          <w:color w:val="000000" w:themeColor="text1"/>
          <w:sz w:val="24"/>
          <w:szCs w:val="24"/>
          <w:lang w:val="ro-MD"/>
        </w:rPr>
        <w:t xml:space="preserve">iei unor obiecte nu sunt realizabile </w:t>
      </w:r>
      <w:r w:rsidR="00B13B9A" w:rsidRPr="00B13B9A">
        <w:rPr>
          <w:rFonts w:asciiTheme="majorHAnsi" w:hAnsiTheme="majorHAnsi" w:cstheme="majorHAnsi"/>
          <w:b/>
          <w:color w:val="000000" w:themeColor="text1"/>
          <w:sz w:val="24"/>
          <w:szCs w:val="24"/>
          <w:lang w:val="ro-MD"/>
        </w:rPr>
        <w:t>ș</w:t>
      </w:r>
      <w:r w:rsidRPr="00B13B9A">
        <w:rPr>
          <w:rFonts w:asciiTheme="majorHAnsi" w:hAnsiTheme="majorHAnsi" w:cstheme="majorHAnsi"/>
          <w:b/>
          <w:color w:val="000000" w:themeColor="text1"/>
          <w:sz w:val="24"/>
          <w:szCs w:val="24"/>
          <w:lang w:val="ro-MD"/>
        </w:rPr>
        <w:t>i nu corespund cadrului legal.</w:t>
      </w:r>
      <w:bookmarkEnd w:id="24"/>
    </w:p>
    <w:p w14:paraId="4FBE761B" w14:textId="3B0BF741" w:rsidR="002860CE" w:rsidRPr="00B13B9A" w:rsidRDefault="00A52779" w:rsidP="002860CE">
      <w:pPr>
        <w:spacing w:after="0" w:line="276" w:lineRule="auto"/>
        <w:jc w:val="both"/>
        <w:rPr>
          <w:rFonts w:asciiTheme="majorHAnsi" w:eastAsia="Times New Roman" w:hAnsiTheme="majorHAnsi" w:cstheme="majorHAnsi"/>
          <w:iCs/>
          <w:color w:val="000000"/>
          <w:sz w:val="24"/>
          <w:szCs w:val="20"/>
          <w:lang w:val="ro-MD"/>
        </w:rPr>
      </w:pPr>
      <w:r w:rsidRPr="00B13B9A">
        <w:rPr>
          <w:rFonts w:asciiTheme="majorHAnsi" w:eastAsia="Times New Roman" w:hAnsiTheme="majorHAnsi" w:cstheme="majorHAnsi"/>
          <w:iCs/>
          <w:color w:val="000000"/>
          <w:sz w:val="24"/>
          <w:szCs w:val="20"/>
          <w:lang w:val="ro-MD"/>
        </w:rPr>
        <w:t>A</w:t>
      </w:r>
      <w:r w:rsidR="002860CE" w:rsidRPr="00B13B9A">
        <w:rPr>
          <w:rFonts w:asciiTheme="majorHAnsi" w:eastAsia="Times New Roman" w:hAnsiTheme="majorHAnsi" w:cstheme="majorHAnsi"/>
          <w:iCs/>
          <w:color w:val="000000"/>
          <w:sz w:val="24"/>
          <w:szCs w:val="20"/>
          <w:lang w:val="ro-MD"/>
        </w:rPr>
        <w:t>uditul denotă că pe teritoriul clinicii Vorniceni este amplasată o fermă de porcine care nu este func</w:t>
      </w:r>
      <w:r w:rsidR="00B13B9A" w:rsidRPr="00B13B9A">
        <w:rPr>
          <w:rFonts w:asciiTheme="majorHAnsi" w:eastAsia="Times New Roman" w:hAnsiTheme="majorHAnsi" w:cstheme="majorHAnsi"/>
          <w:iCs/>
          <w:color w:val="000000"/>
          <w:sz w:val="24"/>
          <w:szCs w:val="20"/>
          <w:lang w:val="ro-MD"/>
        </w:rPr>
        <w:t>ț</w:t>
      </w:r>
      <w:r w:rsidR="002860CE" w:rsidRPr="00B13B9A">
        <w:rPr>
          <w:rFonts w:asciiTheme="majorHAnsi" w:eastAsia="Times New Roman" w:hAnsiTheme="majorHAnsi" w:cstheme="majorHAnsi"/>
          <w:iCs/>
          <w:color w:val="000000"/>
          <w:sz w:val="24"/>
          <w:szCs w:val="20"/>
          <w:lang w:val="ro-MD"/>
        </w:rPr>
        <w:t xml:space="preserve">ională, învechită </w:t>
      </w:r>
      <w:r w:rsidR="00B13B9A" w:rsidRPr="00B13B9A">
        <w:rPr>
          <w:rFonts w:asciiTheme="majorHAnsi" w:eastAsia="Times New Roman" w:hAnsiTheme="majorHAnsi" w:cstheme="majorHAnsi"/>
          <w:iCs/>
          <w:color w:val="000000"/>
          <w:sz w:val="24"/>
          <w:szCs w:val="20"/>
          <w:lang w:val="ro-MD"/>
        </w:rPr>
        <w:t>ș</w:t>
      </w:r>
      <w:r w:rsidR="002860CE" w:rsidRPr="00B13B9A">
        <w:rPr>
          <w:rFonts w:asciiTheme="majorHAnsi" w:eastAsia="Times New Roman" w:hAnsiTheme="majorHAnsi" w:cstheme="majorHAnsi"/>
          <w:iCs/>
          <w:color w:val="000000"/>
          <w:sz w:val="24"/>
          <w:szCs w:val="20"/>
          <w:lang w:val="ro-MD"/>
        </w:rPr>
        <w:t>i în stare deplorabilă, totodată obiectul a fost inclus în lista bunurilor proprietate de stat supuse privatizării. Auditul constată că decizia aferentă obiectului care urma să fie privatizat nu este implementabilă reie</w:t>
      </w:r>
      <w:r w:rsidR="00B13B9A" w:rsidRPr="00B13B9A">
        <w:rPr>
          <w:rFonts w:asciiTheme="majorHAnsi" w:eastAsia="Times New Roman" w:hAnsiTheme="majorHAnsi" w:cstheme="majorHAnsi"/>
          <w:iCs/>
          <w:color w:val="000000"/>
          <w:sz w:val="24"/>
          <w:szCs w:val="20"/>
          <w:lang w:val="ro-MD"/>
        </w:rPr>
        <w:t>ș</w:t>
      </w:r>
      <w:r w:rsidR="002860CE" w:rsidRPr="00B13B9A">
        <w:rPr>
          <w:rFonts w:asciiTheme="majorHAnsi" w:eastAsia="Times New Roman" w:hAnsiTheme="majorHAnsi" w:cstheme="majorHAnsi"/>
          <w:iCs/>
          <w:color w:val="000000"/>
          <w:sz w:val="24"/>
          <w:szCs w:val="20"/>
          <w:lang w:val="ro-MD"/>
        </w:rPr>
        <w:t>ind din următoarele: nu există drum de acces direct către fermă, unica cale de acces este traversarea teritoriului clinicii; obiectul nu dispune de sistem de canalizare; imposibilitatea racordării la re</w:t>
      </w:r>
      <w:r w:rsidR="00B13B9A" w:rsidRPr="00B13B9A">
        <w:rPr>
          <w:rFonts w:asciiTheme="majorHAnsi" w:eastAsia="Times New Roman" w:hAnsiTheme="majorHAnsi" w:cstheme="majorHAnsi"/>
          <w:iCs/>
          <w:color w:val="000000"/>
          <w:sz w:val="24"/>
          <w:szCs w:val="20"/>
          <w:lang w:val="ro-MD"/>
        </w:rPr>
        <w:t>ț</w:t>
      </w:r>
      <w:r w:rsidR="002860CE" w:rsidRPr="00B13B9A">
        <w:rPr>
          <w:rFonts w:asciiTheme="majorHAnsi" w:eastAsia="Times New Roman" w:hAnsiTheme="majorHAnsi" w:cstheme="majorHAnsi"/>
          <w:iCs/>
          <w:color w:val="000000"/>
          <w:sz w:val="24"/>
          <w:szCs w:val="20"/>
          <w:lang w:val="ro-MD"/>
        </w:rPr>
        <w:t>eaua locală de distribu</w:t>
      </w:r>
      <w:r w:rsidR="00B13B9A" w:rsidRPr="00B13B9A">
        <w:rPr>
          <w:rFonts w:asciiTheme="majorHAnsi" w:eastAsia="Times New Roman" w:hAnsiTheme="majorHAnsi" w:cstheme="majorHAnsi"/>
          <w:iCs/>
          <w:color w:val="000000"/>
          <w:sz w:val="24"/>
          <w:szCs w:val="20"/>
          <w:lang w:val="ro-MD"/>
        </w:rPr>
        <w:t>ț</w:t>
      </w:r>
      <w:r w:rsidR="002860CE" w:rsidRPr="00B13B9A">
        <w:rPr>
          <w:rFonts w:asciiTheme="majorHAnsi" w:eastAsia="Times New Roman" w:hAnsiTheme="majorHAnsi" w:cstheme="majorHAnsi"/>
          <w:iCs/>
          <w:color w:val="000000"/>
          <w:sz w:val="24"/>
          <w:szCs w:val="20"/>
          <w:lang w:val="ro-MD"/>
        </w:rPr>
        <w:t xml:space="preserve">ie a energiei electrice. Mai mult </w:t>
      </w:r>
      <w:r w:rsidRPr="00B13B9A">
        <w:rPr>
          <w:rFonts w:asciiTheme="majorHAnsi" w:eastAsia="Times New Roman" w:hAnsiTheme="majorHAnsi" w:cstheme="majorHAnsi"/>
          <w:iCs/>
          <w:color w:val="000000"/>
          <w:sz w:val="24"/>
          <w:szCs w:val="20"/>
          <w:lang w:val="ro-MD"/>
        </w:rPr>
        <w:t xml:space="preserve">decât </w:t>
      </w:r>
      <w:r w:rsidR="002860CE" w:rsidRPr="00B13B9A">
        <w:rPr>
          <w:rFonts w:asciiTheme="majorHAnsi" w:eastAsia="Times New Roman" w:hAnsiTheme="majorHAnsi" w:cstheme="majorHAnsi"/>
          <w:iCs/>
          <w:color w:val="000000"/>
          <w:sz w:val="24"/>
          <w:szCs w:val="20"/>
          <w:lang w:val="ro-MD"/>
        </w:rPr>
        <w:t>atât, în preajma obiectului se află zona de protec</w:t>
      </w:r>
      <w:r w:rsidR="00B13B9A" w:rsidRPr="00B13B9A">
        <w:rPr>
          <w:rFonts w:asciiTheme="majorHAnsi" w:eastAsia="Times New Roman" w:hAnsiTheme="majorHAnsi" w:cstheme="majorHAnsi"/>
          <w:iCs/>
          <w:color w:val="000000"/>
          <w:sz w:val="24"/>
          <w:szCs w:val="20"/>
          <w:lang w:val="ro-MD"/>
        </w:rPr>
        <w:t>ț</w:t>
      </w:r>
      <w:r w:rsidR="002860CE" w:rsidRPr="00B13B9A">
        <w:rPr>
          <w:rFonts w:asciiTheme="majorHAnsi" w:eastAsia="Times New Roman" w:hAnsiTheme="majorHAnsi" w:cstheme="majorHAnsi"/>
          <w:iCs/>
          <w:color w:val="000000"/>
          <w:sz w:val="24"/>
          <w:szCs w:val="20"/>
          <w:lang w:val="ro-MD"/>
        </w:rPr>
        <w:t>ie sanitară cu regim sever</w:t>
      </w:r>
      <w:r w:rsidR="002860CE" w:rsidRPr="00B13B9A">
        <w:rPr>
          <w:rStyle w:val="a9"/>
          <w:rFonts w:asciiTheme="majorHAnsi" w:eastAsia="Times New Roman" w:hAnsiTheme="majorHAnsi" w:cstheme="majorHAnsi"/>
          <w:iCs/>
          <w:color w:val="000000"/>
          <w:sz w:val="24"/>
          <w:szCs w:val="24"/>
          <w:lang w:val="ro-MD"/>
        </w:rPr>
        <w:footnoteReference w:id="26"/>
      </w:r>
      <w:r w:rsidRPr="00B13B9A">
        <w:rPr>
          <w:rFonts w:asciiTheme="majorHAnsi" w:eastAsia="Times New Roman" w:hAnsiTheme="majorHAnsi" w:cstheme="majorHAnsi"/>
          <w:iCs/>
          <w:color w:val="000000"/>
          <w:sz w:val="24"/>
          <w:szCs w:val="20"/>
          <w:lang w:val="ro-MD"/>
        </w:rPr>
        <w:t>,</w:t>
      </w:r>
      <w:r w:rsidR="002860CE" w:rsidRPr="00B13B9A">
        <w:rPr>
          <w:rFonts w:asciiTheme="majorHAnsi" w:eastAsia="Times New Roman" w:hAnsiTheme="majorHAnsi" w:cstheme="majorHAnsi"/>
          <w:iCs/>
          <w:color w:val="000000"/>
          <w:sz w:val="24"/>
          <w:szCs w:val="20"/>
          <w:lang w:val="ro-MD"/>
        </w:rPr>
        <w:t xml:space="preserve"> Sond</w:t>
      </w:r>
      <w:r w:rsidRPr="00B13B9A">
        <w:rPr>
          <w:rFonts w:asciiTheme="majorHAnsi" w:eastAsia="Times New Roman" w:hAnsiTheme="majorHAnsi" w:cstheme="majorHAnsi"/>
          <w:iCs/>
          <w:color w:val="000000"/>
          <w:sz w:val="24"/>
          <w:szCs w:val="20"/>
          <w:lang w:val="ro-MD"/>
        </w:rPr>
        <w:t>a</w:t>
      </w:r>
      <w:r w:rsidR="002860CE" w:rsidRPr="00B13B9A">
        <w:rPr>
          <w:rFonts w:asciiTheme="majorHAnsi" w:eastAsia="Times New Roman" w:hAnsiTheme="majorHAnsi" w:cstheme="majorHAnsi"/>
          <w:iCs/>
          <w:color w:val="000000"/>
          <w:sz w:val="24"/>
          <w:szCs w:val="20"/>
          <w:lang w:val="ro-MD"/>
        </w:rPr>
        <w:t xml:space="preserve"> artezi</w:t>
      </w:r>
      <w:r w:rsidRPr="00B13B9A">
        <w:rPr>
          <w:rFonts w:asciiTheme="majorHAnsi" w:eastAsia="Times New Roman" w:hAnsiTheme="majorHAnsi" w:cstheme="majorHAnsi"/>
          <w:iCs/>
          <w:color w:val="000000"/>
          <w:sz w:val="24"/>
          <w:szCs w:val="20"/>
          <w:lang w:val="ro-MD"/>
        </w:rPr>
        <w:t>ană,</w:t>
      </w:r>
      <w:r w:rsidR="002860CE" w:rsidRPr="00B13B9A">
        <w:rPr>
          <w:rFonts w:asciiTheme="majorHAnsi" w:eastAsia="Times New Roman" w:hAnsiTheme="majorHAnsi" w:cstheme="majorHAnsi"/>
          <w:iCs/>
          <w:color w:val="000000"/>
          <w:sz w:val="24"/>
          <w:szCs w:val="20"/>
          <w:lang w:val="ro-MD"/>
        </w:rPr>
        <w:t xml:space="preserve"> care este unica surs</w:t>
      </w:r>
      <w:r w:rsidRPr="00B13B9A">
        <w:rPr>
          <w:rFonts w:asciiTheme="majorHAnsi" w:eastAsia="Times New Roman" w:hAnsiTheme="majorHAnsi" w:cstheme="majorHAnsi"/>
          <w:iCs/>
          <w:color w:val="000000"/>
          <w:sz w:val="24"/>
          <w:szCs w:val="20"/>
          <w:lang w:val="ro-MD"/>
        </w:rPr>
        <w:t>ă</w:t>
      </w:r>
      <w:r w:rsidR="002860CE" w:rsidRPr="00B13B9A">
        <w:rPr>
          <w:rFonts w:asciiTheme="majorHAnsi" w:eastAsia="Times New Roman" w:hAnsiTheme="majorHAnsi" w:cstheme="majorHAnsi"/>
          <w:iCs/>
          <w:color w:val="000000"/>
          <w:sz w:val="24"/>
          <w:szCs w:val="20"/>
          <w:lang w:val="ro-MD"/>
        </w:rPr>
        <w:t xml:space="preserve"> de apă potabilă, inclusiv în scop </w:t>
      </w:r>
      <w:r w:rsidR="00404539" w:rsidRPr="00B13B9A">
        <w:rPr>
          <w:rFonts w:asciiTheme="majorHAnsi" w:eastAsia="Times New Roman" w:hAnsiTheme="majorHAnsi" w:cstheme="majorHAnsi"/>
          <w:iCs/>
          <w:color w:val="000000"/>
          <w:sz w:val="24"/>
          <w:szCs w:val="20"/>
          <w:lang w:val="ro-MD"/>
        </w:rPr>
        <w:t xml:space="preserve">de stingere a </w:t>
      </w:r>
      <w:r w:rsidR="002860CE" w:rsidRPr="00B13B9A">
        <w:rPr>
          <w:rFonts w:asciiTheme="majorHAnsi" w:eastAsia="Times New Roman" w:hAnsiTheme="majorHAnsi" w:cstheme="majorHAnsi"/>
          <w:iCs/>
          <w:color w:val="000000"/>
          <w:sz w:val="24"/>
          <w:szCs w:val="20"/>
          <w:lang w:val="ro-MD"/>
        </w:rPr>
        <w:t>incendi</w:t>
      </w:r>
      <w:r w:rsidR="00404539" w:rsidRPr="00B13B9A">
        <w:rPr>
          <w:rFonts w:asciiTheme="majorHAnsi" w:eastAsia="Times New Roman" w:hAnsiTheme="majorHAnsi" w:cstheme="majorHAnsi"/>
          <w:iCs/>
          <w:color w:val="000000"/>
          <w:sz w:val="24"/>
          <w:szCs w:val="20"/>
          <w:lang w:val="ro-MD"/>
        </w:rPr>
        <w:t>ilor</w:t>
      </w:r>
      <w:r w:rsidR="002860CE" w:rsidRPr="00B13B9A">
        <w:rPr>
          <w:rFonts w:asciiTheme="majorHAnsi" w:eastAsia="Times New Roman" w:hAnsiTheme="majorHAnsi" w:cstheme="majorHAnsi"/>
          <w:iCs/>
          <w:color w:val="000000"/>
          <w:sz w:val="24"/>
          <w:szCs w:val="20"/>
          <w:lang w:val="ro-MD"/>
        </w:rPr>
        <w:t>, a clinicii din Vorniceni.</w:t>
      </w:r>
    </w:p>
    <w:p w14:paraId="58C5DCD3" w14:textId="40467A12" w:rsidR="002860CE" w:rsidRPr="00B13B9A" w:rsidRDefault="002860CE" w:rsidP="002860CE">
      <w:pPr>
        <w:spacing w:after="0" w:line="276" w:lineRule="auto"/>
        <w:jc w:val="both"/>
        <w:rPr>
          <w:rFonts w:asciiTheme="majorHAnsi" w:eastAsia="Times New Roman" w:hAnsiTheme="majorHAnsi" w:cstheme="majorHAnsi"/>
          <w:iCs/>
          <w:color w:val="000000"/>
          <w:sz w:val="24"/>
          <w:szCs w:val="20"/>
          <w:lang w:val="ro-MD"/>
        </w:rPr>
      </w:pPr>
      <w:r w:rsidRPr="00B13B9A">
        <w:rPr>
          <w:rFonts w:asciiTheme="majorHAnsi" w:eastAsia="Times New Roman" w:hAnsiTheme="majorHAnsi" w:cstheme="majorHAnsi"/>
          <w:iCs/>
          <w:color w:val="000000"/>
          <w:sz w:val="24"/>
          <w:szCs w:val="20"/>
          <w:lang w:val="ro-MD"/>
        </w:rPr>
        <w:t xml:space="preserve">În acest context, la solicitarea APP de a permite accesul </w:t>
      </w:r>
      <w:r w:rsidR="00B13B9A" w:rsidRPr="00B13B9A">
        <w:rPr>
          <w:rFonts w:asciiTheme="majorHAnsi" w:eastAsia="Times New Roman" w:hAnsiTheme="majorHAnsi" w:cstheme="majorHAnsi"/>
          <w:iCs/>
          <w:color w:val="000000"/>
          <w:sz w:val="24"/>
          <w:szCs w:val="20"/>
          <w:lang w:val="ro-MD"/>
        </w:rPr>
        <w:t>ș</w:t>
      </w:r>
      <w:r w:rsidRPr="00B13B9A">
        <w:rPr>
          <w:rFonts w:asciiTheme="majorHAnsi" w:eastAsia="Times New Roman" w:hAnsiTheme="majorHAnsi" w:cstheme="majorHAnsi"/>
          <w:iCs/>
          <w:color w:val="000000"/>
          <w:sz w:val="24"/>
          <w:szCs w:val="20"/>
          <w:lang w:val="ro-MD"/>
        </w:rPr>
        <w:t xml:space="preserve">i de a prezenta documentele </w:t>
      </w:r>
      <w:r w:rsidR="00B13B9A" w:rsidRPr="00B13B9A">
        <w:rPr>
          <w:rFonts w:asciiTheme="majorHAnsi" w:eastAsia="Times New Roman" w:hAnsiTheme="majorHAnsi" w:cstheme="majorHAnsi"/>
          <w:iCs/>
          <w:color w:val="000000"/>
          <w:sz w:val="24"/>
          <w:szCs w:val="20"/>
          <w:lang w:val="ro-MD"/>
        </w:rPr>
        <w:t>ș</w:t>
      </w:r>
      <w:r w:rsidRPr="00B13B9A">
        <w:rPr>
          <w:rFonts w:asciiTheme="majorHAnsi" w:eastAsia="Times New Roman" w:hAnsiTheme="majorHAnsi" w:cstheme="majorHAnsi"/>
          <w:iCs/>
          <w:color w:val="000000"/>
          <w:sz w:val="24"/>
          <w:szCs w:val="20"/>
          <w:lang w:val="ro-MD"/>
        </w:rPr>
        <w:t>i informa</w:t>
      </w:r>
      <w:r w:rsidR="00B13B9A" w:rsidRPr="00B13B9A">
        <w:rPr>
          <w:rFonts w:asciiTheme="majorHAnsi" w:eastAsia="Times New Roman" w:hAnsiTheme="majorHAnsi" w:cstheme="majorHAnsi"/>
          <w:iCs/>
          <w:color w:val="000000"/>
          <w:sz w:val="24"/>
          <w:szCs w:val="20"/>
          <w:lang w:val="ro-MD"/>
        </w:rPr>
        <w:t>ț</w:t>
      </w:r>
      <w:r w:rsidRPr="00B13B9A">
        <w:rPr>
          <w:rFonts w:asciiTheme="majorHAnsi" w:eastAsia="Times New Roman" w:hAnsiTheme="majorHAnsi" w:cstheme="majorHAnsi"/>
          <w:iCs/>
          <w:color w:val="000000"/>
          <w:sz w:val="24"/>
          <w:szCs w:val="20"/>
          <w:lang w:val="ro-MD"/>
        </w:rPr>
        <w:t>iile necesare evaluării construc</w:t>
      </w:r>
      <w:r w:rsidR="00B13B9A" w:rsidRPr="00B13B9A">
        <w:rPr>
          <w:rFonts w:asciiTheme="majorHAnsi" w:eastAsia="Times New Roman" w:hAnsiTheme="majorHAnsi" w:cstheme="majorHAnsi"/>
          <w:iCs/>
          <w:color w:val="000000"/>
          <w:sz w:val="24"/>
          <w:szCs w:val="20"/>
          <w:lang w:val="ro-MD"/>
        </w:rPr>
        <w:t>ț</w:t>
      </w:r>
      <w:r w:rsidRPr="00B13B9A">
        <w:rPr>
          <w:rFonts w:asciiTheme="majorHAnsi" w:eastAsia="Times New Roman" w:hAnsiTheme="majorHAnsi" w:cstheme="majorHAnsi"/>
          <w:iCs/>
          <w:color w:val="000000"/>
          <w:sz w:val="24"/>
          <w:szCs w:val="20"/>
          <w:lang w:val="ro-MD"/>
        </w:rPr>
        <w:t xml:space="preserve">iei ferma de porcine, IMSP a intervenit cu rugămintea de a exclude obiectul din Lista bunurilor proprietate de stat supuse privatizării. </w:t>
      </w:r>
    </w:p>
    <w:p w14:paraId="39B55D86" w14:textId="77777777" w:rsidR="002860CE" w:rsidRPr="00B13B9A" w:rsidRDefault="002860CE" w:rsidP="00C063FB">
      <w:pPr>
        <w:rPr>
          <w:rFonts w:asciiTheme="majorHAnsi" w:hAnsiTheme="majorHAnsi" w:cstheme="majorHAnsi"/>
          <w:b/>
          <w:color w:val="000000" w:themeColor="text1"/>
          <w:sz w:val="24"/>
          <w:szCs w:val="24"/>
          <w:lang w:val="ro-MD"/>
        </w:rPr>
      </w:pPr>
    </w:p>
    <w:p w14:paraId="7DD1B378" w14:textId="03D38696" w:rsidR="00314C6D" w:rsidRPr="00B13B9A" w:rsidRDefault="00A04DD3" w:rsidP="00241AB3">
      <w:pPr>
        <w:pStyle w:val="3"/>
        <w:numPr>
          <w:ilvl w:val="2"/>
          <w:numId w:val="10"/>
        </w:numPr>
        <w:jc w:val="both"/>
        <w:rPr>
          <w:rFonts w:cstheme="majorHAnsi"/>
          <w:color w:val="000000" w:themeColor="text1"/>
        </w:rPr>
      </w:pPr>
      <w:bookmarkStart w:id="25" w:name="_Toc154562500"/>
      <w:r w:rsidRPr="00B13B9A">
        <w:rPr>
          <w:rFonts w:cstheme="majorHAnsi"/>
          <w:b/>
          <w:color w:val="000000" w:themeColor="text1"/>
        </w:rPr>
        <w:t>Necesită</w:t>
      </w:r>
      <w:r w:rsidR="00B13B9A" w:rsidRPr="00B13B9A">
        <w:rPr>
          <w:rFonts w:cstheme="majorHAnsi"/>
          <w:b/>
          <w:color w:val="000000" w:themeColor="text1"/>
        </w:rPr>
        <w:t>ț</w:t>
      </w:r>
      <w:r w:rsidRPr="00B13B9A">
        <w:rPr>
          <w:rFonts w:cstheme="majorHAnsi"/>
          <w:b/>
          <w:color w:val="000000" w:themeColor="text1"/>
        </w:rPr>
        <w:t>ile de între</w:t>
      </w:r>
      <w:r w:rsidR="00B13B9A" w:rsidRPr="00B13B9A">
        <w:rPr>
          <w:rFonts w:cstheme="majorHAnsi"/>
          <w:b/>
          <w:color w:val="000000" w:themeColor="text1"/>
        </w:rPr>
        <w:t>ț</w:t>
      </w:r>
      <w:r w:rsidRPr="00B13B9A">
        <w:rPr>
          <w:rFonts w:cstheme="majorHAnsi"/>
          <w:b/>
          <w:color w:val="000000" w:themeColor="text1"/>
        </w:rPr>
        <w:t>inere a Clinicii amplasate în s. Vorniceni, corelat</w:t>
      </w:r>
      <w:r w:rsidR="00404539" w:rsidRPr="00B13B9A">
        <w:rPr>
          <w:rFonts w:cstheme="majorHAnsi"/>
          <w:b/>
          <w:color w:val="000000" w:themeColor="text1"/>
        </w:rPr>
        <w:t>e</w:t>
      </w:r>
      <w:r w:rsidRPr="00B13B9A">
        <w:rPr>
          <w:rFonts w:cstheme="majorHAnsi"/>
          <w:b/>
          <w:color w:val="000000" w:themeColor="text1"/>
        </w:rPr>
        <w:t xml:space="preserve"> cu </w:t>
      </w:r>
      <w:r w:rsidR="00874658" w:rsidRPr="00B13B9A">
        <w:rPr>
          <w:rFonts w:cstheme="majorHAnsi"/>
          <w:b/>
          <w:color w:val="000000" w:themeColor="text1"/>
        </w:rPr>
        <w:t xml:space="preserve">majorarea cheltuielilor </w:t>
      </w:r>
      <w:r w:rsidR="00B13B9A" w:rsidRPr="00B13B9A">
        <w:rPr>
          <w:rFonts w:cstheme="majorHAnsi"/>
          <w:b/>
          <w:color w:val="000000" w:themeColor="text1"/>
        </w:rPr>
        <w:t>ș</w:t>
      </w:r>
      <w:r w:rsidR="00874658" w:rsidRPr="00B13B9A">
        <w:rPr>
          <w:rFonts w:cstheme="majorHAnsi"/>
          <w:b/>
          <w:color w:val="000000" w:themeColor="text1"/>
        </w:rPr>
        <w:t xml:space="preserve">i </w:t>
      </w:r>
      <w:r w:rsidRPr="00B13B9A">
        <w:rPr>
          <w:rFonts w:cstheme="majorHAnsi"/>
          <w:b/>
          <w:color w:val="000000" w:themeColor="text1"/>
        </w:rPr>
        <w:t>m</w:t>
      </w:r>
      <w:r w:rsidR="00314C6D" w:rsidRPr="00B13B9A">
        <w:rPr>
          <w:rFonts w:cstheme="majorHAnsi"/>
          <w:b/>
          <w:color w:val="000000" w:themeColor="text1"/>
        </w:rPr>
        <w:t>ic</w:t>
      </w:r>
      <w:r w:rsidR="00B13B9A" w:rsidRPr="00B13B9A">
        <w:rPr>
          <w:rFonts w:cstheme="majorHAnsi"/>
          <w:b/>
          <w:color w:val="000000" w:themeColor="text1"/>
        </w:rPr>
        <w:t>ș</w:t>
      </w:r>
      <w:r w:rsidR="00314C6D" w:rsidRPr="00B13B9A">
        <w:rPr>
          <w:rFonts w:cstheme="majorHAnsi"/>
          <w:b/>
          <w:color w:val="000000" w:themeColor="text1"/>
        </w:rPr>
        <w:t>orarea numărului de pacien</w:t>
      </w:r>
      <w:r w:rsidR="00B13B9A" w:rsidRPr="00B13B9A">
        <w:rPr>
          <w:rFonts w:cstheme="majorHAnsi"/>
          <w:b/>
          <w:color w:val="000000" w:themeColor="text1"/>
        </w:rPr>
        <w:t>ț</w:t>
      </w:r>
      <w:r w:rsidR="00314C6D" w:rsidRPr="00B13B9A">
        <w:rPr>
          <w:rFonts w:cstheme="majorHAnsi"/>
          <w:b/>
          <w:color w:val="000000" w:themeColor="text1"/>
        </w:rPr>
        <w:t>i</w:t>
      </w:r>
      <w:r w:rsidR="00404539" w:rsidRPr="00B13B9A">
        <w:rPr>
          <w:rFonts w:cstheme="majorHAnsi"/>
          <w:b/>
          <w:color w:val="000000" w:themeColor="text1"/>
        </w:rPr>
        <w:t>,</w:t>
      </w:r>
      <w:r w:rsidR="00314C6D" w:rsidRPr="00B13B9A">
        <w:rPr>
          <w:rFonts w:cstheme="majorHAnsi"/>
          <w:b/>
          <w:color w:val="000000" w:themeColor="text1"/>
        </w:rPr>
        <w:t xml:space="preserve"> </w:t>
      </w:r>
      <w:r w:rsidR="00D57EB8" w:rsidRPr="00B13B9A">
        <w:rPr>
          <w:rFonts w:cstheme="majorHAnsi"/>
          <w:b/>
          <w:color w:val="000000" w:themeColor="text1"/>
        </w:rPr>
        <w:t>pune presiune</w:t>
      </w:r>
      <w:r w:rsidR="001E5470" w:rsidRPr="00B13B9A">
        <w:rPr>
          <w:rFonts w:cstheme="majorHAnsi"/>
          <w:b/>
          <w:color w:val="000000" w:themeColor="text1"/>
        </w:rPr>
        <w:t xml:space="preserve"> economică</w:t>
      </w:r>
      <w:r w:rsidR="00D57EB8" w:rsidRPr="00B13B9A">
        <w:rPr>
          <w:rFonts w:cstheme="majorHAnsi"/>
          <w:b/>
          <w:color w:val="000000" w:themeColor="text1"/>
        </w:rPr>
        <w:t xml:space="preserve"> asupra</w:t>
      </w:r>
      <w:r w:rsidR="00314C6D" w:rsidRPr="00B13B9A">
        <w:rPr>
          <w:rFonts w:cstheme="majorHAnsi"/>
          <w:b/>
          <w:color w:val="000000" w:themeColor="text1"/>
        </w:rPr>
        <w:t xml:space="preserve"> </w:t>
      </w:r>
      <w:r w:rsidRPr="00B13B9A">
        <w:rPr>
          <w:rFonts w:cstheme="majorHAnsi"/>
          <w:b/>
          <w:color w:val="000000" w:themeColor="text1"/>
        </w:rPr>
        <w:t>IMSP</w:t>
      </w:r>
      <w:r w:rsidR="00404539" w:rsidRPr="00B13B9A">
        <w:rPr>
          <w:rFonts w:cstheme="majorHAnsi"/>
          <w:b/>
          <w:color w:val="000000" w:themeColor="text1"/>
        </w:rPr>
        <w:t xml:space="preserve"> IFP.</w:t>
      </w:r>
      <w:bookmarkEnd w:id="25"/>
    </w:p>
    <w:p w14:paraId="70DF01F8" w14:textId="77777777" w:rsidR="00B66459" w:rsidRPr="00B13B9A" w:rsidRDefault="00B66459" w:rsidP="00314C6D">
      <w:pPr>
        <w:spacing w:after="0" w:line="276" w:lineRule="auto"/>
        <w:jc w:val="both"/>
        <w:rPr>
          <w:rFonts w:asciiTheme="majorHAnsi" w:hAnsiTheme="majorHAnsi" w:cstheme="majorHAnsi"/>
          <w:color w:val="000000" w:themeColor="text1"/>
          <w:sz w:val="24"/>
          <w:szCs w:val="24"/>
          <w:lang w:val="ro-MD"/>
        </w:rPr>
      </w:pPr>
    </w:p>
    <w:p w14:paraId="365B7F34" w14:textId="48DE6FC3" w:rsidR="00D226AF" w:rsidRPr="00B13B9A" w:rsidRDefault="00D226AF" w:rsidP="00D226AF">
      <w:pPr>
        <w:spacing w:after="0" w:line="276" w:lineRule="auto"/>
        <w:jc w:val="both"/>
        <w:rPr>
          <w:rFonts w:asciiTheme="majorHAnsi" w:hAnsiTheme="majorHAnsi" w:cstheme="majorHAnsi"/>
          <w:color w:val="000000" w:themeColor="text1"/>
          <w:sz w:val="24"/>
          <w:szCs w:val="24"/>
          <w:lang w:val="ro-MD"/>
        </w:rPr>
      </w:pPr>
      <w:r w:rsidRPr="00B13B9A">
        <w:rPr>
          <w:rFonts w:asciiTheme="majorHAnsi" w:hAnsiTheme="majorHAnsi" w:cstheme="majorHAnsi"/>
          <w:color w:val="000000" w:themeColor="text1"/>
          <w:sz w:val="24"/>
          <w:szCs w:val="24"/>
          <w:lang w:val="ro-MD"/>
        </w:rPr>
        <w:t xml:space="preserve">După fuzionarea IMSP IFP </w:t>
      </w:r>
      <w:r w:rsidR="004E1122" w:rsidRPr="00B13B9A">
        <w:rPr>
          <w:rFonts w:asciiTheme="majorHAnsi" w:hAnsiTheme="majorHAnsi" w:cstheme="majorHAnsi"/>
          <w:sz w:val="24"/>
          <w:szCs w:val="24"/>
          <w:lang w:val="ro-MD"/>
        </w:rPr>
        <w:t>„Chiril Draganiuc”</w:t>
      </w:r>
      <w:r w:rsidRPr="00B13B9A">
        <w:rPr>
          <w:rFonts w:asciiTheme="majorHAnsi" w:hAnsiTheme="majorHAnsi" w:cstheme="majorHAnsi"/>
          <w:color w:val="000000" w:themeColor="text1"/>
          <w:sz w:val="24"/>
          <w:szCs w:val="24"/>
          <w:lang w:val="ro-MD"/>
        </w:rPr>
        <w:t>, prin absorb</w:t>
      </w:r>
      <w:r w:rsidR="00B13B9A" w:rsidRPr="00B13B9A">
        <w:rPr>
          <w:rFonts w:asciiTheme="majorHAnsi" w:hAnsiTheme="majorHAnsi" w:cstheme="majorHAnsi"/>
          <w:color w:val="000000" w:themeColor="text1"/>
          <w:sz w:val="24"/>
          <w:szCs w:val="24"/>
          <w:lang w:val="ro-MD"/>
        </w:rPr>
        <w:t>ț</w:t>
      </w:r>
      <w:r w:rsidRPr="00B13B9A">
        <w:rPr>
          <w:rFonts w:asciiTheme="majorHAnsi" w:hAnsiTheme="majorHAnsi" w:cstheme="majorHAnsi"/>
          <w:color w:val="000000" w:themeColor="text1"/>
          <w:sz w:val="24"/>
          <w:szCs w:val="24"/>
          <w:lang w:val="ro-MD"/>
        </w:rPr>
        <w:t>ie</w:t>
      </w:r>
      <w:r w:rsidR="00404539" w:rsidRPr="00B13B9A">
        <w:rPr>
          <w:rFonts w:asciiTheme="majorHAnsi" w:hAnsiTheme="majorHAnsi" w:cstheme="majorHAnsi"/>
          <w:color w:val="000000" w:themeColor="text1"/>
          <w:sz w:val="24"/>
          <w:szCs w:val="24"/>
          <w:lang w:val="ro-MD"/>
        </w:rPr>
        <w:t>, cu</w:t>
      </w:r>
      <w:r w:rsidRPr="00B13B9A">
        <w:rPr>
          <w:rFonts w:asciiTheme="majorHAnsi" w:hAnsiTheme="majorHAnsi" w:cstheme="majorHAnsi"/>
          <w:color w:val="000000" w:themeColor="text1"/>
          <w:sz w:val="24"/>
          <w:szCs w:val="24"/>
          <w:lang w:val="ro-MD"/>
        </w:rPr>
        <w:t xml:space="preserve"> IMSP Spitalul de Boli Tuberculoase din Vorniceni, au fost aprobate 660 </w:t>
      </w:r>
      <w:r w:rsidR="00404539" w:rsidRPr="00B13B9A">
        <w:rPr>
          <w:rFonts w:asciiTheme="majorHAnsi" w:hAnsiTheme="majorHAnsi" w:cstheme="majorHAnsi"/>
          <w:color w:val="000000" w:themeColor="text1"/>
          <w:sz w:val="24"/>
          <w:szCs w:val="24"/>
          <w:lang w:val="ro-MD"/>
        </w:rPr>
        <w:t xml:space="preserve">de </w:t>
      </w:r>
      <w:r w:rsidRPr="00B13B9A">
        <w:rPr>
          <w:rFonts w:asciiTheme="majorHAnsi" w:hAnsiTheme="majorHAnsi" w:cstheme="majorHAnsi"/>
          <w:color w:val="000000" w:themeColor="text1"/>
          <w:sz w:val="24"/>
          <w:szCs w:val="24"/>
          <w:lang w:val="ro-MD"/>
        </w:rPr>
        <w:t>paturi</w:t>
      </w:r>
      <w:r w:rsidRPr="00B13B9A">
        <w:rPr>
          <w:rFonts w:asciiTheme="majorHAnsi" w:hAnsiTheme="majorHAnsi" w:cstheme="majorHAnsi"/>
          <w:color w:val="000000" w:themeColor="text1"/>
          <w:sz w:val="24"/>
          <w:szCs w:val="24"/>
          <w:vertAlign w:val="superscript"/>
          <w:lang w:val="ro-MD"/>
        </w:rPr>
        <w:footnoteReference w:id="27"/>
      </w:r>
      <w:r w:rsidRPr="00B13B9A">
        <w:rPr>
          <w:rFonts w:asciiTheme="majorHAnsi" w:hAnsiTheme="majorHAnsi" w:cstheme="majorHAnsi"/>
          <w:color w:val="000000" w:themeColor="text1"/>
          <w:sz w:val="24"/>
          <w:szCs w:val="24"/>
          <w:lang w:val="ro-MD"/>
        </w:rPr>
        <w:t>, dintre care 240 s</w:t>
      </w:r>
      <w:r w:rsidR="00E27475" w:rsidRPr="00B13B9A">
        <w:rPr>
          <w:rFonts w:asciiTheme="majorHAnsi" w:hAnsiTheme="majorHAnsi" w:cstheme="majorHAnsi"/>
          <w:color w:val="000000" w:themeColor="text1"/>
          <w:sz w:val="24"/>
          <w:szCs w:val="24"/>
          <w:lang w:val="ro-MD"/>
        </w:rPr>
        <w:t>unt nefunc</w:t>
      </w:r>
      <w:r w:rsidR="00B13B9A" w:rsidRPr="00B13B9A">
        <w:rPr>
          <w:rFonts w:asciiTheme="majorHAnsi" w:hAnsiTheme="majorHAnsi" w:cstheme="majorHAnsi"/>
          <w:color w:val="000000" w:themeColor="text1"/>
          <w:sz w:val="24"/>
          <w:szCs w:val="24"/>
          <w:lang w:val="ro-MD"/>
        </w:rPr>
        <w:t>ț</w:t>
      </w:r>
      <w:r w:rsidR="00E27475" w:rsidRPr="00B13B9A">
        <w:rPr>
          <w:rFonts w:asciiTheme="majorHAnsi" w:hAnsiTheme="majorHAnsi" w:cstheme="majorHAnsi"/>
          <w:color w:val="000000" w:themeColor="text1"/>
          <w:sz w:val="24"/>
          <w:szCs w:val="24"/>
          <w:lang w:val="ro-MD"/>
        </w:rPr>
        <w:t>ionale</w:t>
      </w:r>
      <w:r w:rsidR="00404539" w:rsidRPr="00B13B9A">
        <w:rPr>
          <w:rFonts w:asciiTheme="majorHAnsi" w:hAnsiTheme="majorHAnsi" w:cstheme="majorHAnsi"/>
          <w:color w:val="000000" w:themeColor="text1"/>
          <w:sz w:val="24"/>
          <w:szCs w:val="24"/>
          <w:lang w:val="ro-MD"/>
        </w:rPr>
        <w:t>,</w:t>
      </w:r>
      <w:r w:rsidR="00E27475" w:rsidRPr="00B13B9A">
        <w:rPr>
          <w:rFonts w:asciiTheme="majorHAnsi" w:hAnsiTheme="majorHAnsi" w:cstheme="majorHAnsi"/>
          <w:color w:val="000000" w:themeColor="text1"/>
          <w:sz w:val="24"/>
          <w:szCs w:val="24"/>
          <w:lang w:val="ro-MD"/>
        </w:rPr>
        <w:t xml:space="preserve"> urm</w:t>
      </w:r>
      <w:r w:rsidR="00404539" w:rsidRPr="00B13B9A">
        <w:rPr>
          <w:rFonts w:asciiTheme="majorHAnsi" w:hAnsiTheme="majorHAnsi" w:cstheme="majorHAnsi"/>
          <w:color w:val="000000" w:themeColor="text1"/>
          <w:sz w:val="24"/>
          <w:szCs w:val="24"/>
          <w:lang w:val="ro-MD"/>
        </w:rPr>
        <w:t>ând</w:t>
      </w:r>
      <w:r w:rsidR="00E27475" w:rsidRPr="00B13B9A">
        <w:rPr>
          <w:rFonts w:asciiTheme="majorHAnsi" w:hAnsiTheme="majorHAnsi" w:cstheme="majorHAnsi"/>
          <w:color w:val="000000" w:themeColor="text1"/>
          <w:sz w:val="24"/>
          <w:szCs w:val="24"/>
          <w:lang w:val="ro-MD"/>
        </w:rPr>
        <w:t xml:space="preserve"> a fi puse în func</w:t>
      </w:r>
      <w:r w:rsidR="00B13B9A" w:rsidRPr="00B13B9A">
        <w:rPr>
          <w:rFonts w:asciiTheme="majorHAnsi" w:hAnsiTheme="majorHAnsi" w:cstheme="majorHAnsi"/>
          <w:color w:val="000000" w:themeColor="text1"/>
          <w:sz w:val="24"/>
          <w:szCs w:val="24"/>
          <w:lang w:val="ro-MD"/>
        </w:rPr>
        <w:t>ț</w:t>
      </w:r>
      <w:r w:rsidR="00E27475" w:rsidRPr="00B13B9A">
        <w:rPr>
          <w:rFonts w:asciiTheme="majorHAnsi" w:hAnsiTheme="majorHAnsi" w:cstheme="majorHAnsi"/>
          <w:color w:val="000000" w:themeColor="text1"/>
          <w:sz w:val="24"/>
          <w:szCs w:val="24"/>
          <w:lang w:val="ro-MD"/>
        </w:rPr>
        <w:t xml:space="preserve">iune </w:t>
      </w:r>
      <w:r w:rsidR="00404539" w:rsidRPr="00B13B9A">
        <w:rPr>
          <w:rFonts w:asciiTheme="majorHAnsi" w:hAnsiTheme="majorHAnsi" w:cstheme="majorHAnsi"/>
          <w:color w:val="000000" w:themeColor="text1"/>
          <w:sz w:val="24"/>
          <w:szCs w:val="24"/>
          <w:lang w:val="ro-MD"/>
        </w:rPr>
        <w:t>după</w:t>
      </w:r>
      <w:r w:rsidR="00E27475" w:rsidRPr="00B13B9A">
        <w:rPr>
          <w:rFonts w:asciiTheme="majorHAnsi" w:hAnsiTheme="majorHAnsi" w:cstheme="majorHAnsi"/>
          <w:color w:val="000000" w:themeColor="text1"/>
          <w:sz w:val="24"/>
          <w:szCs w:val="24"/>
          <w:lang w:val="ro-MD"/>
        </w:rPr>
        <w:t xml:space="preserve"> </w:t>
      </w:r>
      <w:r w:rsidR="00404539" w:rsidRPr="00B13B9A">
        <w:rPr>
          <w:rFonts w:asciiTheme="majorHAnsi" w:hAnsiTheme="majorHAnsi" w:cstheme="majorHAnsi"/>
          <w:color w:val="000000" w:themeColor="text1"/>
          <w:sz w:val="24"/>
          <w:szCs w:val="24"/>
          <w:lang w:val="ro-MD"/>
        </w:rPr>
        <w:t>darea</w:t>
      </w:r>
      <w:r w:rsidRPr="00B13B9A">
        <w:rPr>
          <w:rFonts w:asciiTheme="majorHAnsi" w:hAnsiTheme="majorHAnsi" w:cstheme="majorHAnsi"/>
          <w:color w:val="000000" w:themeColor="text1"/>
          <w:sz w:val="24"/>
          <w:szCs w:val="24"/>
          <w:lang w:val="ro-MD"/>
        </w:rPr>
        <w:t xml:space="preserve"> în exploatare a blocului curativ nr.2. Ulterior</w:t>
      </w:r>
      <w:r w:rsidR="002A4B2D" w:rsidRPr="00B13B9A">
        <w:rPr>
          <w:rFonts w:asciiTheme="majorHAnsi" w:hAnsiTheme="majorHAnsi" w:cstheme="majorHAnsi"/>
          <w:color w:val="000000" w:themeColor="text1"/>
          <w:sz w:val="24"/>
          <w:szCs w:val="24"/>
          <w:lang w:val="ro-MD"/>
        </w:rPr>
        <w:t>,</w:t>
      </w:r>
      <w:r w:rsidRPr="00B13B9A">
        <w:rPr>
          <w:rFonts w:asciiTheme="majorHAnsi" w:hAnsiTheme="majorHAnsi" w:cstheme="majorHAnsi"/>
          <w:color w:val="000000" w:themeColor="text1"/>
          <w:sz w:val="24"/>
          <w:szCs w:val="24"/>
          <w:lang w:val="ro-MD"/>
        </w:rPr>
        <w:t xml:space="preserve"> numărul de cazuri a</w:t>
      </w:r>
      <w:r w:rsidR="002A4B2D" w:rsidRPr="00B13B9A">
        <w:rPr>
          <w:rFonts w:asciiTheme="majorHAnsi" w:hAnsiTheme="majorHAnsi" w:cstheme="majorHAnsi"/>
          <w:color w:val="000000" w:themeColor="text1"/>
          <w:sz w:val="24"/>
          <w:szCs w:val="24"/>
          <w:lang w:val="ro-MD"/>
        </w:rPr>
        <w:t>le</w:t>
      </w:r>
      <w:r w:rsidRPr="00B13B9A">
        <w:rPr>
          <w:rFonts w:asciiTheme="majorHAnsi" w:hAnsiTheme="majorHAnsi" w:cstheme="majorHAnsi"/>
          <w:color w:val="000000" w:themeColor="text1"/>
          <w:sz w:val="24"/>
          <w:szCs w:val="24"/>
          <w:lang w:val="ro-MD"/>
        </w:rPr>
        <w:t xml:space="preserve"> bolnavilor de tuberculoză a fost într-o continuă descre</w:t>
      </w:r>
      <w:r w:rsidR="00B13B9A" w:rsidRPr="00B13B9A">
        <w:rPr>
          <w:rFonts w:asciiTheme="majorHAnsi" w:hAnsiTheme="majorHAnsi" w:cstheme="majorHAnsi"/>
          <w:color w:val="000000" w:themeColor="text1"/>
          <w:sz w:val="24"/>
          <w:szCs w:val="24"/>
          <w:lang w:val="ro-MD"/>
        </w:rPr>
        <w:t>ș</w:t>
      </w:r>
      <w:r w:rsidRPr="00B13B9A">
        <w:rPr>
          <w:rFonts w:asciiTheme="majorHAnsi" w:hAnsiTheme="majorHAnsi" w:cstheme="majorHAnsi"/>
          <w:color w:val="000000" w:themeColor="text1"/>
          <w:sz w:val="24"/>
          <w:szCs w:val="24"/>
          <w:lang w:val="ro-MD"/>
        </w:rPr>
        <w:t>tere, astfel că, de la 3 770</w:t>
      </w:r>
      <w:r w:rsidR="002A4B2D" w:rsidRPr="00B13B9A">
        <w:rPr>
          <w:rFonts w:asciiTheme="majorHAnsi" w:hAnsiTheme="majorHAnsi" w:cstheme="majorHAnsi"/>
          <w:color w:val="000000" w:themeColor="text1"/>
          <w:sz w:val="24"/>
          <w:szCs w:val="24"/>
          <w:lang w:val="ro-MD"/>
        </w:rPr>
        <w:t xml:space="preserve"> de</w:t>
      </w:r>
      <w:r w:rsidRPr="00B13B9A">
        <w:rPr>
          <w:rFonts w:asciiTheme="majorHAnsi" w:hAnsiTheme="majorHAnsi" w:cstheme="majorHAnsi"/>
          <w:color w:val="000000" w:themeColor="text1"/>
          <w:sz w:val="24"/>
          <w:szCs w:val="24"/>
          <w:lang w:val="ro-MD"/>
        </w:rPr>
        <w:t xml:space="preserve"> bolnavi înregistra</w:t>
      </w:r>
      <w:r w:rsidR="00B13B9A" w:rsidRPr="00B13B9A">
        <w:rPr>
          <w:rFonts w:asciiTheme="majorHAnsi" w:hAnsiTheme="majorHAnsi" w:cstheme="majorHAnsi"/>
          <w:color w:val="000000" w:themeColor="text1"/>
          <w:sz w:val="24"/>
          <w:szCs w:val="24"/>
          <w:lang w:val="ro-MD"/>
        </w:rPr>
        <w:t>ț</w:t>
      </w:r>
      <w:r w:rsidRPr="00B13B9A">
        <w:rPr>
          <w:rFonts w:asciiTheme="majorHAnsi" w:hAnsiTheme="majorHAnsi" w:cstheme="majorHAnsi"/>
          <w:color w:val="000000" w:themeColor="text1"/>
          <w:sz w:val="24"/>
          <w:szCs w:val="24"/>
          <w:lang w:val="ro-MD"/>
        </w:rPr>
        <w:t xml:space="preserve">i în anul 2014, </w:t>
      </w:r>
      <w:r w:rsidR="00E27475" w:rsidRPr="00B13B9A">
        <w:rPr>
          <w:rFonts w:asciiTheme="majorHAnsi" w:hAnsiTheme="majorHAnsi" w:cstheme="majorHAnsi"/>
          <w:color w:val="000000" w:themeColor="text1"/>
          <w:sz w:val="24"/>
          <w:szCs w:val="24"/>
          <w:lang w:val="ro-MD"/>
        </w:rPr>
        <w:t xml:space="preserve">numărul acestora </w:t>
      </w:r>
      <w:r w:rsidRPr="00B13B9A">
        <w:rPr>
          <w:rFonts w:asciiTheme="majorHAnsi" w:hAnsiTheme="majorHAnsi" w:cstheme="majorHAnsi"/>
          <w:color w:val="000000" w:themeColor="text1"/>
          <w:sz w:val="24"/>
          <w:szCs w:val="24"/>
          <w:lang w:val="ro-MD"/>
        </w:rPr>
        <w:t>a ajuns la 1</w:t>
      </w:r>
      <w:r w:rsidR="007321FB" w:rsidRPr="00B13B9A">
        <w:rPr>
          <w:rFonts w:asciiTheme="majorHAnsi" w:hAnsiTheme="majorHAnsi" w:cstheme="majorHAnsi"/>
          <w:color w:val="000000" w:themeColor="text1"/>
          <w:sz w:val="24"/>
          <w:szCs w:val="24"/>
          <w:lang w:val="ro-MD"/>
        </w:rPr>
        <w:t xml:space="preserve"> </w:t>
      </w:r>
      <w:r w:rsidRPr="00B13B9A">
        <w:rPr>
          <w:rFonts w:asciiTheme="majorHAnsi" w:hAnsiTheme="majorHAnsi" w:cstheme="majorHAnsi"/>
          <w:color w:val="000000" w:themeColor="text1"/>
          <w:sz w:val="24"/>
          <w:szCs w:val="24"/>
          <w:lang w:val="ro-MD"/>
        </w:rPr>
        <w:t>790 în anul 2022, trendul fiind descre</w:t>
      </w:r>
      <w:r w:rsidR="00624F2F">
        <w:rPr>
          <w:rFonts w:asciiTheme="majorHAnsi" w:hAnsiTheme="majorHAnsi" w:cstheme="majorHAnsi"/>
          <w:color w:val="000000" w:themeColor="text1"/>
          <w:sz w:val="24"/>
          <w:szCs w:val="24"/>
          <w:lang w:val="ro-MD"/>
        </w:rPr>
        <w:t>scător</w:t>
      </w:r>
      <w:r w:rsidRPr="00B13B9A">
        <w:rPr>
          <w:rFonts w:asciiTheme="majorHAnsi" w:hAnsiTheme="majorHAnsi" w:cstheme="majorHAnsi"/>
          <w:color w:val="000000" w:themeColor="text1"/>
          <w:sz w:val="24"/>
          <w:szCs w:val="24"/>
          <w:lang w:val="ro-MD"/>
        </w:rPr>
        <w:t xml:space="preserve">. </w:t>
      </w:r>
    </w:p>
    <w:p w14:paraId="6F2BCE52" w14:textId="5156B6FD" w:rsidR="006D564A" w:rsidRPr="00B13B9A" w:rsidRDefault="00A26229" w:rsidP="006D564A">
      <w:pPr>
        <w:spacing w:after="0" w:line="276" w:lineRule="auto"/>
        <w:jc w:val="right"/>
        <w:rPr>
          <w:rFonts w:asciiTheme="majorHAnsi" w:hAnsiTheme="majorHAnsi" w:cstheme="majorHAnsi"/>
          <w:color w:val="000000" w:themeColor="text1"/>
          <w:sz w:val="24"/>
          <w:szCs w:val="24"/>
          <w:lang w:val="ro-MD"/>
        </w:rPr>
      </w:pPr>
      <w:r w:rsidRPr="00B13B9A">
        <w:rPr>
          <w:rFonts w:asciiTheme="majorHAnsi" w:hAnsiTheme="majorHAnsi" w:cstheme="majorHAnsi"/>
          <w:color w:val="000000" w:themeColor="text1"/>
          <w:sz w:val="24"/>
          <w:szCs w:val="24"/>
          <w:lang w:val="ro-MD"/>
        </w:rPr>
        <w:t>Fig</w:t>
      </w:r>
      <w:r w:rsidR="002A4B2D" w:rsidRPr="00B13B9A">
        <w:rPr>
          <w:rFonts w:asciiTheme="majorHAnsi" w:hAnsiTheme="majorHAnsi" w:cstheme="majorHAnsi"/>
          <w:color w:val="000000" w:themeColor="text1"/>
          <w:sz w:val="24"/>
          <w:szCs w:val="24"/>
          <w:lang w:val="ro-MD"/>
        </w:rPr>
        <w:t>ura</w:t>
      </w:r>
      <w:r w:rsidRPr="00B13B9A">
        <w:rPr>
          <w:rFonts w:asciiTheme="majorHAnsi" w:hAnsiTheme="majorHAnsi" w:cstheme="majorHAnsi"/>
          <w:color w:val="000000" w:themeColor="text1"/>
          <w:sz w:val="24"/>
          <w:szCs w:val="24"/>
          <w:lang w:val="ro-MD"/>
        </w:rPr>
        <w:t xml:space="preserve"> </w:t>
      </w:r>
      <w:r w:rsidR="002A4B2D" w:rsidRPr="00B13B9A">
        <w:rPr>
          <w:rFonts w:asciiTheme="majorHAnsi" w:hAnsiTheme="majorHAnsi" w:cstheme="majorHAnsi"/>
          <w:color w:val="000000" w:themeColor="text1"/>
          <w:sz w:val="24"/>
          <w:szCs w:val="24"/>
          <w:lang w:val="ro-MD"/>
        </w:rPr>
        <w:t>n</w:t>
      </w:r>
      <w:r w:rsidRPr="00B13B9A">
        <w:rPr>
          <w:rFonts w:asciiTheme="majorHAnsi" w:hAnsiTheme="majorHAnsi" w:cstheme="majorHAnsi"/>
          <w:color w:val="000000" w:themeColor="text1"/>
          <w:sz w:val="24"/>
          <w:szCs w:val="24"/>
          <w:lang w:val="ro-MD"/>
        </w:rPr>
        <w:t>r. 1</w:t>
      </w:r>
    </w:p>
    <w:p w14:paraId="7E971739" w14:textId="77777777" w:rsidR="0053013B" w:rsidRPr="00B13B9A" w:rsidRDefault="00470063" w:rsidP="0053013B">
      <w:pPr>
        <w:spacing w:after="0" w:line="276" w:lineRule="auto"/>
        <w:jc w:val="both"/>
        <w:rPr>
          <w:rFonts w:asciiTheme="majorHAnsi" w:hAnsiTheme="majorHAnsi" w:cstheme="majorHAnsi"/>
          <w:color w:val="000000" w:themeColor="text1"/>
          <w:sz w:val="24"/>
          <w:szCs w:val="24"/>
          <w:lang w:val="ro-MD"/>
        </w:rPr>
      </w:pPr>
      <w:r w:rsidRPr="00B13B9A">
        <w:rPr>
          <w:noProof/>
          <w:lang w:val="ru-RU" w:eastAsia="ru-RU"/>
        </w:rPr>
        <w:drawing>
          <wp:inline distT="0" distB="0" distL="0" distR="0" wp14:anchorId="390991CB" wp14:editId="755AE77C">
            <wp:extent cx="6156960" cy="2705100"/>
            <wp:effectExtent l="0" t="0" r="1524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562D43B" w14:textId="77777777" w:rsidR="00470063" w:rsidRPr="00B13B9A" w:rsidRDefault="006D564A" w:rsidP="0053013B">
      <w:pPr>
        <w:spacing w:after="0" w:line="276" w:lineRule="auto"/>
        <w:jc w:val="both"/>
        <w:rPr>
          <w:rFonts w:asciiTheme="majorHAnsi" w:hAnsiTheme="majorHAnsi" w:cstheme="majorHAnsi"/>
          <w:color w:val="000000" w:themeColor="text1"/>
          <w:sz w:val="20"/>
          <w:szCs w:val="20"/>
          <w:lang w:val="ro-MD"/>
        </w:rPr>
      </w:pPr>
      <w:r w:rsidRPr="00B13B9A">
        <w:rPr>
          <w:rFonts w:asciiTheme="majorHAnsi" w:hAnsiTheme="majorHAnsi" w:cstheme="majorHAnsi"/>
          <w:b/>
          <w:i/>
          <w:color w:val="000000" w:themeColor="text1"/>
          <w:sz w:val="20"/>
          <w:szCs w:val="20"/>
          <w:lang w:val="ro-MD"/>
        </w:rPr>
        <w:t>Sursa:</w:t>
      </w:r>
      <w:r w:rsidRPr="00B13B9A">
        <w:rPr>
          <w:rFonts w:asciiTheme="majorHAnsi" w:hAnsiTheme="majorHAnsi" w:cstheme="majorHAnsi"/>
          <w:color w:val="000000" w:themeColor="text1"/>
          <w:sz w:val="20"/>
          <w:szCs w:val="20"/>
          <w:lang w:val="ro-MD"/>
        </w:rPr>
        <w:t xml:space="preserve"> </w:t>
      </w:r>
      <w:r w:rsidR="009B1068" w:rsidRPr="00B13B9A">
        <w:rPr>
          <w:rFonts w:asciiTheme="majorHAnsi" w:hAnsiTheme="majorHAnsi" w:cstheme="majorHAnsi"/>
          <w:i/>
          <w:color w:val="000000" w:themeColor="text1"/>
          <w:sz w:val="20"/>
          <w:szCs w:val="20"/>
          <w:lang w:val="ro-MD"/>
        </w:rPr>
        <w:t>www.statistica.md</w:t>
      </w:r>
    </w:p>
    <w:p w14:paraId="3B748BEA" w14:textId="77777777" w:rsidR="00E27475" w:rsidRPr="00B13B9A" w:rsidRDefault="00E27475" w:rsidP="00E27475">
      <w:pPr>
        <w:spacing w:after="0" w:line="276" w:lineRule="auto"/>
        <w:jc w:val="both"/>
        <w:rPr>
          <w:rFonts w:asciiTheme="majorHAnsi" w:hAnsiTheme="majorHAnsi" w:cstheme="majorHAnsi"/>
          <w:color w:val="000000" w:themeColor="text1"/>
          <w:sz w:val="24"/>
          <w:szCs w:val="24"/>
          <w:lang w:val="ro-MD"/>
        </w:rPr>
      </w:pPr>
    </w:p>
    <w:p w14:paraId="0128577E" w14:textId="38225F0D" w:rsidR="00E27475" w:rsidRPr="00B13B9A" w:rsidRDefault="00E27475" w:rsidP="00E27475">
      <w:pPr>
        <w:spacing w:after="0" w:line="276" w:lineRule="auto"/>
        <w:jc w:val="both"/>
        <w:rPr>
          <w:rFonts w:asciiTheme="majorHAnsi" w:hAnsiTheme="majorHAnsi" w:cstheme="majorHAnsi"/>
          <w:color w:val="000000" w:themeColor="text1"/>
          <w:sz w:val="24"/>
          <w:szCs w:val="24"/>
          <w:lang w:val="ro-MD"/>
        </w:rPr>
      </w:pPr>
      <w:r w:rsidRPr="00B13B9A">
        <w:rPr>
          <w:rFonts w:asciiTheme="majorHAnsi" w:hAnsiTheme="majorHAnsi" w:cstheme="majorHAnsi"/>
          <w:color w:val="000000" w:themeColor="text1"/>
          <w:sz w:val="24"/>
          <w:szCs w:val="24"/>
          <w:lang w:val="ro-MD"/>
        </w:rPr>
        <w:t>O influen</w:t>
      </w:r>
      <w:r w:rsidR="00B13B9A" w:rsidRPr="00B13B9A">
        <w:rPr>
          <w:rFonts w:asciiTheme="majorHAnsi" w:hAnsiTheme="majorHAnsi" w:cstheme="majorHAnsi"/>
          <w:color w:val="000000" w:themeColor="text1"/>
          <w:sz w:val="24"/>
          <w:szCs w:val="24"/>
          <w:lang w:val="ro-MD"/>
        </w:rPr>
        <w:t>ț</w:t>
      </w:r>
      <w:r w:rsidRPr="00B13B9A">
        <w:rPr>
          <w:rFonts w:asciiTheme="majorHAnsi" w:hAnsiTheme="majorHAnsi" w:cstheme="majorHAnsi"/>
          <w:color w:val="000000" w:themeColor="text1"/>
          <w:sz w:val="24"/>
          <w:szCs w:val="24"/>
          <w:lang w:val="ro-MD"/>
        </w:rPr>
        <w:t>ă asupra reducerii morbidită</w:t>
      </w:r>
      <w:r w:rsidR="00B13B9A" w:rsidRPr="00B13B9A">
        <w:rPr>
          <w:rFonts w:asciiTheme="majorHAnsi" w:hAnsiTheme="majorHAnsi" w:cstheme="majorHAnsi"/>
          <w:color w:val="000000" w:themeColor="text1"/>
          <w:sz w:val="24"/>
          <w:szCs w:val="24"/>
          <w:lang w:val="ro-MD"/>
        </w:rPr>
        <w:t>ț</w:t>
      </w:r>
      <w:r w:rsidRPr="00B13B9A">
        <w:rPr>
          <w:rFonts w:asciiTheme="majorHAnsi" w:hAnsiTheme="majorHAnsi" w:cstheme="majorHAnsi"/>
          <w:color w:val="000000" w:themeColor="text1"/>
          <w:sz w:val="24"/>
          <w:szCs w:val="24"/>
          <w:lang w:val="ro-MD"/>
        </w:rPr>
        <w:t xml:space="preserve">ii a avut  </w:t>
      </w:r>
      <w:r w:rsidR="003739E0" w:rsidRPr="00B13B9A">
        <w:rPr>
          <w:rFonts w:asciiTheme="majorHAnsi" w:hAnsiTheme="majorHAnsi" w:cstheme="majorHAnsi"/>
          <w:color w:val="000000" w:themeColor="text1"/>
          <w:sz w:val="24"/>
          <w:szCs w:val="24"/>
          <w:lang w:val="ro-MD"/>
        </w:rPr>
        <w:t>P</w:t>
      </w:r>
      <w:r w:rsidRPr="00B13B9A">
        <w:rPr>
          <w:rFonts w:asciiTheme="majorHAnsi" w:hAnsiTheme="majorHAnsi" w:cstheme="majorHAnsi"/>
          <w:color w:val="000000" w:themeColor="text1"/>
          <w:sz w:val="24"/>
          <w:szCs w:val="24"/>
          <w:lang w:val="ro-MD"/>
        </w:rPr>
        <w:t>rogramul na</w:t>
      </w:r>
      <w:r w:rsidR="00B13B9A" w:rsidRPr="00B13B9A">
        <w:rPr>
          <w:rFonts w:asciiTheme="majorHAnsi" w:hAnsiTheme="majorHAnsi" w:cstheme="majorHAnsi"/>
          <w:color w:val="000000" w:themeColor="text1"/>
          <w:sz w:val="24"/>
          <w:szCs w:val="24"/>
          <w:lang w:val="ro-MD"/>
        </w:rPr>
        <w:t>ț</w:t>
      </w:r>
      <w:r w:rsidRPr="00B13B9A">
        <w:rPr>
          <w:rFonts w:asciiTheme="majorHAnsi" w:hAnsiTheme="majorHAnsi" w:cstheme="majorHAnsi"/>
          <w:color w:val="000000" w:themeColor="text1"/>
          <w:sz w:val="24"/>
          <w:szCs w:val="24"/>
          <w:lang w:val="ro-MD"/>
        </w:rPr>
        <w:t>ional de răspuns la tuberculoză</w:t>
      </w:r>
      <w:r w:rsidR="003739E0" w:rsidRPr="00B13B9A">
        <w:rPr>
          <w:rFonts w:asciiTheme="majorHAnsi" w:hAnsiTheme="majorHAnsi" w:cstheme="majorHAnsi"/>
          <w:color w:val="000000" w:themeColor="text1"/>
          <w:sz w:val="24"/>
          <w:szCs w:val="24"/>
          <w:lang w:val="ro-MD"/>
        </w:rPr>
        <w:t>,</w:t>
      </w:r>
      <w:r w:rsidRPr="00B13B9A">
        <w:rPr>
          <w:rFonts w:asciiTheme="majorHAnsi" w:hAnsiTheme="majorHAnsi" w:cstheme="majorHAnsi"/>
          <w:color w:val="000000" w:themeColor="text1"/>
          <w:sz w:val="24"/>
          <w:szCs w:val="24"/>
          <w:lang w:val="ro-MD"/>
        </w:rPr>
        <w:t xml:space="preserve"> </w:t>
      </w:r>
      <w:r w:rsidR="003739E0" w:rsidRPr="00B13B9A">
        <w:rPr>
          <w:rFonts w:asciiTheme="majorHAnsi" w:hAnsiTheme="majorHAnsi" w:cstheme="majorHAnsi"/>
          <w:color w:val="000000" w:themeColor="text1"/>
          <w:sz w:val="24"/>
          <w:szCs w:val="24"/>
          <w:lang w:val="ro-MD"/>
        </w:rPr>
        <w:t xml:space="preserve">prin </w:t>
      </w:r>
      <w:r w:rsidRPr="00B13B9A">
        <w:rPr>
          <w:rFonts w:asciiTheme="majorHAnsi" w:hAnsiTheme="majorHAnsi" w:cstheme="majorHAnsi"/>
          <w:color w:val="000000" w:themeColor="text1"/>
          <w:sz w:val="24"/>
          <w:szCs w:val="24"/>
          <w:lang w:val="ro-MD"/>
        </w:rPr>
        <w:t xml:space="preserve">depistarea precoce a bolnavilor, precum </w:t>
      </w:r>
      <w:r w:rsidR="00B13B9A" w:rsidRPr="00B13B9A">
        <w:rPr>
          <w:rFonts w:asciiTheme="majorHAnsi" w:hAnsiTheme="majorHAnsi" w:cstheme="majorHAnsi"/>
          <w:color w:val="000000" w:themeColor="text1"/>
          <w:sz w:val="24"/>
          <w:szCs w:val="24"/>
          <w:lang w:val="ro-MD"/>
        </w:rPr>
        <w:t>ș</w:t>
      </w:r>
      <w:r w:rsidRPr="00B13B9A">
        <w:rPr>
          <w:rFonts w:asciiTheme="majorHAnsi" w:hAnsiTheme="majorHAnsi" w:cstheme="majorHAnsi"/>
          <w:color w:val="000000" w:themeColor="text1"/>
          <w:sz w:val="24"/>
          <w:szCs w:val="24"/>
          <w:lang w:val="ro-MD"/>
        </w:rPr>
        <w:t>i realizarea măsurilor noi de tratament în condi</w:t>
      </w:r>
      <w:r w:rsidR="00B13B9A" w:rsidRPr="00B13B9A">
        <w:rPr>
          <w:rFonts w:asciiTheme="majorHAnsi" w:hAnsiTheme="majorHAnsi" w:cstheme="majorHAnsi"/>
          <w:color w:val="000000" w:themeColor="text1"/>
          <w:sz w:val="24"/>
          <w:szCs w:val="24"/>
          <w:lang w:val="ro-MD"/>
        </w:rPr>
        <w:t>ț</w:t>
      </w:r>
      <w:r w:rsidRPr="00B13B9A">
        <w:rPr>
          <w:rFonts w:asciiTheme="majorHAnsi" w:hAnsiTheme="majorHAnsi" w:cstheme="majorHAnsi"/>
          <w:color w:val="000000" w:themeColor="text1"/>
          <w:sz w:val="24"/>
          <w:szCs w:val="24"/>
          <w:lang w:val="ro-MD"/>
        </w:rPr>
        <w:t xml:space="preserve">ii de ambulator. </w:t>
      </w:r>
    </w:p>
    <w:p w14:paraId="03B13B31" w14:textId="7640551A" w:rsidR="00314C6D" w:rsidRPr="00B13B9A" w:rsidRDefault="0053013B" w:rsidP="00314C6D">
      <w:pPr>
        <w:spacing w:after="0" w:line="276" w:lineRule="auto"/>
        <w:jc w:val="both"/>
        <w:rPr>
          <w:rFonts w:asciiTheme="majorHAnsi" w:hAnsiTheme="majorHAnsi" w:cstheme="majorHAnsi"/>
          <w:color w:val="000000" w:themeColor="text1"/>
          <w:sz w:val="24"/>
          <w:szCs w:val="24"/>
          <w:lang w:val="ro-MD"/>
        </w:rPr>
      </w:pPr>
      <w:r w:rsidRPr="00B13B9A">
        <w:rPr>
          <w:rFonts w:asciiTheme="majorHAnsi" w:hAnsiTheme="majorHAnsi" w:cstheme="majorHAnsi"/>
          <w:color w:val="000000" w:themeColor="text1"/>
          <w:sz w:val="24"/>
          <w:szCs w:val="24"/>
          <w:lang w:val="ro-MD"/>
        </w:rPr>
        <w:t>Prin urmare,</w:t>
      </w:r>
      <w:r w:rsidR="00840AF1" w:rsidRPr="00B13B9A">
        <w:rPr>
          <w:rFonts w:asciiTheme="majorHAnsi" w:hAnsiTheme="majorHAnsi" w:cstheme="majorHAnsi"/>
          <w:color w:val="000000" w:themeColor="text1"/>
          <w:sz w:val="24"/>
          <w:szCs w:val="24"/>
          <w:lang w:val="ro-MD"/>
        </w:rPr>
        <w:t xml:space="preserve"> pe parcursul anilor numărul </w:t>
      </w:r>
      <w:r w:rsidR="003739E0" w:rsidRPr="00B13B9A">
        <w:rPr>
          <w:rFonts w:asciiTheme="majorHAnsi" w:hAnsiTheme="majorHAnsi" w:cstheme="majorHAnsi"/>
          <w:color w:val="000000" w:themeColor="text1"/>
          <w:sz w:val="24"/>
          <w:szCs w:val="24"/>
          <w:lang w:val="ro-MD"/>
        </w:rPr>
        <w:t xml:space="preserve">aprobat </w:t>
      </w:r>
      <w:r w:rsidR="00840AF1" w:rsidRPr="00B13B9A">
        <w:rPr>
          <w:rFonts w:asciiTheme="majorHAnsi" w:hAnsiTheme="majorHAnsi" w:cstheme="majorHAnsi"/>
          <w:color w:val="000000" w:themeColor="text1"/>
          <w:sz w:val="24"/>
          <w:szCs w:val="24"/>
          <w:lang w:val="ro-MD"/>
        </w:rPr>
        <w:t>de paturi</w:t>
      </w:r>
      <w:r w:rsidR="00E27475" w:rsidRPr="00B13B9A">
        <w:rPr>
          <w:rFonts w:asciiTheme="majorHAnsi" w:hAnsiTheme="majorHAnsi" w:cstheme="majorHAnsi"/>
          <w:color w:val="000000" w:themeColor="text1"/>
          <w:sz w:val="24"/>
          <w:szCs w:val="24"/>
          <w:lang w:val="ro-MD"/>
        </w:rPr>
        <w:t xml:space="preserve"> </w:t>
      </w:r>
      <w:r w:rsidR="003739E0" w:rsidRPr="00B13B9A">
        <w:rPr>
          <w:rFonts w:asciiTheme="majorHAnsi" w:hAnsiTheme="majorHAnsi" w:cstheme="majorHAnsi"/>
          <w:color w:val="000000" w:themeColor="text1"/>
          <w:sz w:val="24"/>
          <w:szCs w:val="24"/>
          <w:lang w:val="ro-MD"/>
        </w:rPr>
        <w:t>î</w:t>
      </w:r>
      <w:r w:rsidR="00840AF1" w:rsidRPr="00B13B9A">
        <w:rPr>
          <w:rFonts w:asciiTheme="majorHAnsi" w:hAnsiTheme="majorHAnsi" w:cstheme="majorHAnsi"/>
          <w:color w:val="000000" w:themeColor="text1"/>
          <w:sz w:val="24"/>
          <w:szCs w:val="24"/>
          <w:lang w:val="ro-MD"/>
        </w:rPr>
        <w:t xml:space="preserve">n cadrul IMSP s-a redus </w:t>
      </w:r>
      <w:r w:rsidR="00B13B9A" w:rsidRPr="00B13B9A">
        <w:rPr>
          <w:rFonts w:asciiTheme="majorHAnsi" w:hAnsiTheme="majorHAnsi" w:cstheme="majorHAnsi"/>
          <w:color w:val="000000" w:themeColor="text1"/>
          <w:sz w:val="24"/>
          <w:szCs w:val="24"/>
          <w:lang w:val="ro-MD"/>
        </w:rPr>
        <w:t>ș</w:t>
      </w:r>
      <w:r w:rsidR="00840AF1" w:rsidRPr="00B13B9A">
        <w:rPr>
          <w:rFonts w:asciiTheme="majorHAnsi" w:hAnsiTheme="majorHAnsi" w:cstheme="majorHAnsi"/>
          <w:color w:val="000000" w:themeColor="text1"/>
          <w:sz w:val="24"/>
          <w:szCs w:val="24"/>
          <w:lang w:val="ro-MD"/>
        </w:rPr>
        <w:t xml:space="preserve">i constituie 315, dintre </w:t>
      </w:r>
      <w:r w:rsidR="00E27475" w:rsidRPr="00B13B9A">
        <w:rPr>
          <w:rFonts w:asciiTheme="majorHAnsi" w:hAnsiTheme="majorHAnsi" w:cstheme="majorHAnsi"/>
          <w:color w:val="000000" w:themeColor="text1"/>
          <w:sz w:val="24"/>
          <w:szCs w:val="24"/>
          <w:lang w:val="ro-MD"/>
        </w:rPr>
        <w:t xml:space="preserve">care </w:t>
      </w:r>
      <w:r w:rsidR="002446BB" w:rsidRPr="00B13B9A">
        <w:rPr>
          <w:rFonts w:asciiTheme="majorHAnsi" w:hAnsiTheme="majorHAnsi" w:cstheme="majorHAnsi"/>
          <w:color w:val="000000" w:themeColor="text1"/>
          <w:sz w:val="24"/>
          <w:szCs w:val="24"/>
          <w:lang w:val="ro-MD"/>
        </w:rPr>
        <w:t>2</w:t>
      </w:r>
      <w:r w:rsidR="00E27475" w:rsidRPr="00B13B9A">
        <w:rPr>
          <w:rFonts w:asciiTheme="majorHAnsi" w:hAnsiTheme="majorHAnsi" w:cstheme="majorHAnsi"/>
          <w:color w:val="000000" w:themeColor="text1"/>
          <w:sz w:val="24"/>
          <w:szCs w:val="24"/>
          <w:lang w:val="ro-MD"/>
        </w:rPr>
        <w:t>3</w:t>
      </w:r>
      <w:r w:rsidR="002446BB" w:rsidRPr="00B13B9A">
        <w:rPr>
          <w:rFonts w:asciiTheme="majorHAnsi" w:hAnsiTheme="majorHAnsi" w:cstheme="majorHAnsi"/>
          <w:color w:val="000000" w:themeColor="text1"/>
          <w:sz w:val="24"/>
          <w:szCs w:val="24"/>
          <w:lang w:val="ro-MD"/>
        </w:rPr>
        <w:t xml:space="preserve">5 </w:t>
      </w:r>
      <w:r w:rsidR="00E27475" w:rsidRPr="00B13B9A">
        <w:rPr>
          <w:rFonts w:asciiTheme="majorHAnsi" w:hAnsiTheme="majorHAnsi" w:cstheme="majorHAnsi"/>
          <w:color w:val="000000" w:themeColor="text1"/>
          <w:sz w:val="24"/>
          <w:szCs w:val="24"/>
          <w:lang w:val="ro-MD"/>
        </w:rPr>
        <w:t>sunt în cadrul</w:t>
      </w:r>
      <w:r w:rsidR="002446BB" w:rsidRPr="00B13B9A">
        <w:rPr>
          <w:rFonts w:asciiTheme="majorHAnsi" w:hAnsiTheme="majorHAnsi" w:cstheme="majorHAnsi"/>
          <w:color w:val="000000" w:themeColor="text1"/>
          <w:sz w:val="24"/>
          <w:szCs w:val="24"/>
          <w:lang w:val="ro-MD"/>
        </w:rPr>
        <w:t xml:space="preserve"> clinicii Chi</w:t>
      </w:r>
      <w:r w:rsidR="00B13B9A" w:rsidRPr="00B13B9A">
        <w:rPr>
          <w:rFonts w:asciiTheme="majorHAnsi" w:hAnsiTheme="majorHAnsi" w:cstheme="majorHAnsi"/>
          <w:color w:val="000000" w:themeColor="text1"/>
          <w:sz w:val="24"/>
          <w:szCs w:val="24"/>
          <w:lang w:val="ro-MD"/>
        </w:rPr>
        <w:t>ș</w:t>
      </w:r>
      <w:r w:rsidR="002446BB" w:rsidRPr="00B13B9A">
        <w:rPr>
          <w:rFonts w:asciiTheme="majorHAnsi" w:hAnsiTheme="majorHAnsi" w:cstheme="majorHAnsi"/>
          <w:color w:val="000000" w:themeColor="text1"/>
          <w:sz w:val="24"/>
          <w:szCs w:val="24"/>
          <w:lang w:val="ro-MD"/>
        </w:rPr>
        <w:t xml:space="preserve">inău, iar </w:t>
      </w:r>
      <w:r w:rsidR="00840AF1" w:rsidRPr="00B13B9A">
        <w:rPr>
          <w:rFonts w:asciiTheme="majorHAnsi" w:hAnsiTheme="majorHAnsi" w:cstheme="majorHAnsi"/>
          <w:color w:val="000000" w:themeColor="text1"/>
          <w:sz w:val="24"/>
          <w:szCs w:val="24"/>
          <w:lang w:val="ro-MD"/>
        </w:rPr>
        <w:t xml:space="preserve">80 </w:t>
      </w:r>
      <w:r w:rsidR="003739E0" w:rsidRPr="00B13B9A">
        <w:rPr>
          <w:rFonts w:asciiTheme="majorHAnsi" w:hAnsiTheme="majorHAnsi" w:cstheme="majorHAnsi"/>
          <w:color w:val="000000" w:themeColor="text1"/>
          <w:sz w:val="24"/>
          <w:szCs w:val="24"/>
          <w:lang w:val="ro-MD"/>
        </w:rPr>
        <w:t xml:space="preserve">de </w:t>
      </w:r>
      <w:r w:rsidR="00840AF1" w:rsidRPr="00B13B9A">
        <w:rPr>
          <w:rFonts w:asciiTheme="majorHAnsi" w:hAnsiTheme="majorHAnsi" w:cstheme="majorHAnsi"/>
          <w:color w:val="000000" w:themeColor="text1"/>
          <w:sz w:val="24"/>
          <w:szCs w:val="24"/>
          <w:lang w:val="ro-MD"/>
        </w:rPr>
        <w:t>paturi fiind amplasate în cadrul clinicii Vorniceni. De men</w:t>
      </w:r>
      <w:r w:rsidR="00B13B9A" w:rsidRPr="00B13B9A">
        <w:rPr>
          <w:rFonts w:asciiTheme="majorHAnsi" w:hAnsiTheme="majorHAnsi" w:cstheme="majorHAnsi"/>
          <w:color w:val="000000" w:themeColor="text1"/>
          <w:sz w:val="24"/>
          <w:szCs w:val="24"/>
          <w:lang w:val="ro-MD"/>
        </w:rPr>
        <w:t>ț</w:t>
      </w:r>
      <w:r w:rsidR="00840AF1" w:rsidRPr="00B13B9A">
        <w:rPr>
          <w:rFonts w:asciiTheme="majorHAnsi" w:hAnsiTheme="majorHAnsi" w:cstheme="majorHAnsi"/>
          <w:color w:val="000000" w:themeColor="text1"/>
          <w:sz w:val="24"/>
          <w:szCs w:val="24"/>
          <w:lang w:val="ro-MD"/>
        </w:rPr>
        <w:t>ionat că</w:t>
      </w:r>
      <w:r w:rsidR="00E27475" w:rsidRPr="00B13B9A">
        <w:rPr>
          <w:rFonts w:asciiTheme="majorHAnsi" w:hAnsiTheme="majorHAnsi" w:cstheme="majorHAnsi"/>
          <w:color w:val="000000" w:themeColor="text1"/>
          <w:sz w:val="24"/>
          <w:szCs w:val="24"/>
          <w:lang w:val="ro-MD"/>
        </w:rPr>
        <w:t>,</w:t>
      </w:r>
      <w:r w:rsidR="00840AF1" w:rsidRPr="00B13B9A">
        <w:rPr>
          <w:rFonts w:asciiTheme="majorHAnsi" w:hAnsiTheme="majorHAnsi" w:cstheme="majorHAnsi"/>
          <w:color w:val="000000" w:themeColor="text1"/>
          <w:sz w:val="24"/>
          <w:szCs w:val="24"/>
          <w:lang w:val="ro-MD"/>
        </w:rPr>
        <w:t xml:space="preserve"> capacitatea maximă a clinicii Vorniceni este de </w:t>
      </w:r>
      <w:r w:rsidR="009B1068" w:rsidRPr="00B13B9A">
        <w:rPr>
          <w:rFonts w:asciiTheme="majorHAnsi" w:hAnsiTheme="majorHAnsi" w:cstheme="majorHAnsi"/>
          <w:color w:val="000000" w:themeColor="text1"/>
          <w:sz w:val="24"/>
          <w:szCs w:val="24"/>
          <w:lang w:val="ro-MD"/>
        </w:rPr>
        <w:t>110</w:t>
      </w:r>
      <w:r w:rsidR="00840AF1" w:rsidRPr="00B13B9A">
        <w:rPr>
          <w:rFonts w:asciiTheme="majorHAnsi" w:hAnsiTheme="majorHAnsi" w:cstheme="majorHAnsi"/>
          <w:color w:val="000000" w:themeColor="text1"/>
          <w:sz w:val="24"/>
          <w:szCs w:val="24"/>
          <w:lang w:val="ro-MD"/>
        </w:rPr>
        <w:t xml:space="preserve"> paturi, iar </w:t>
      </w:r>
      <w:r w:rsidR="009B1068" w:rsidRPr="00B13B9A">
        <w:rPr>
          <w:rFonts w:asciiTheme="majorHAnsi" w:hAnsiTheme="majorHAnsi" w:cstheme="majorHAnsi"/>
          <w:color w:val="000000" w:themeColor="text1"/>
          <w:sz w:val="24"/>
          <w:szCs w:val="24"/>
          <w:lang w:val="ro-MD"/>
        </w:rPr>
        <w:t>30</w:t>
      </w:r>
      <w:r w:rsidR="00840AF1" w:rsidRPr="00B13B9A">
        <w:rPr>
          <w:rFonts w:asciiTheme="majorHAnsi" w:hAnsiTheme="majorHAnsi" w:cstheme="majorHAnsi"/>
          <w:color w:val="000000" w:themeColor="text1"/>
          <w:sz w:val="24"/>
          <w:szCs w:val="24"/>
          <w:lang w:val="ro-MD"/>
        </w:rPr>
        <w:t xml:space="preserve"> au fost dezactivate</w:t>
      </w:r>
      <w:r w:rsidR="009B1068" w:rsidRPr="00B13B9A">
        <w:rPr>
          <w:rFonts w:asciiTheme="majorHAnsi" w:hAnsiTheme="majorHAnsi" w:cstheme="majorHAnsi"/>
          <w:color w:val="000000" w:themeColor="text1"/>
          <w:sz w:val="24"/>
          <w:szCs w:val="24"/>
          <w:lang w:val="ro-MD"/>
        </w:rPr>
        <w:t xml:space="preserve"> în perioada pandemiei</w:t>
      </w:r>
      <w:r w:rsidR="00E27475" w:rsidRPr="00B13B9A">
        <w:rPr>
          <w:rFonts w:asciiTheme="majorHAnsi" w:hAnsiTheme="majorHAnsi" w:cstheme="majorHAnsi"/>
          <w:color w:val="000000" w:themeColor="text1"/>
          <w:sz w:val="24"/>
          <w:szCs w:val="24"/>
          <w:lang w:val="ro-MD"/>
        </w:rPr>
        <w:t>,</w:t>
      </w:r>
      <w:r w:rsidR="00840AF1" w:rsidRPr="00B13B9A">
        <w:rPr>
          <w:rFonts w:asciiTheme="majorHAnsi" w:hAnsiTheme="majorHAnsi" w:cstheme="majorHAnsi"/>
          <w:color w:val="000000" w:themeColor="text1"/>
          <w:sz w:val="24"/>
          <w:szCs w:val="24"/>
          <w:lang w:val="ro-MD"/>
        </w:rPr>
        <w:t xml:space="preserve"> pentru optimizarea </w:t>
      </w:r>
      <w:r w:rsidR="00B13B9A" w:rsidRPr="00B13B9A">
        <w:rPr>
          <w:rFonts w:asciiTheme="majorHAnsi" w:hAnsiTheme="majorHAnsi" w:cstheme="majorHAnsi"/>
          <w:color w:val="000000" w:themeColor="text1"/>
          <w:sz w:val="24"/>
          <w:szCs w:val="24"/>
          <w:lang w:val="ro-MD"/>
        </w:rPr>
        <w:t>ș</w:t>
      </w:r>
      <w:r w:rsidR="00840AF1" w:rsidRPr="00B13B9A">
        <w:rPr>
          <w:rFonts w:asciiTheme="majorHAnsi" w:hAnsiTheme="majorHAnsi" w:cstheme="majorHAnsi"/>
          <w:color w:val="000000" w:themeColor="text1"/>
          <w:sz w:val="24"/>
          <w:szCs w:val="24"/>
          <w:lang w:val="ro-MD"/>
        </w:rPr>
        <w:t>i eficientizarea cheltuielilor.</w:t>
      </w:r>
    </w:p>
    <w:p w14:paraId="4138860B" w14:textId="3FC0E80B" w:rsidR="003E43AF" w:rsidRDefault="003E43AF" w:rsidP="00314C6D">
      <w:pPr>
        <w:spacing w:after="0" w:line="276" w:lineRule="auto"/>
        <w:jc w:val="both"/>
        <w:rPr>
          <w:rFonts w:asciiTheme="majorHAnsi" w:hAnsiTheme="majorHAnsi" w:cstheme="majorHAnsi"/>
          <w:color w:val="000000" w:themeColor="text1"/>
          <w:sz w:val="24"/>
          <w:szCs w:val="24"/>
          <w:lang w:val="ro-MD"/>
        </w:rPr>
      </w:pPr>
      <w:r w:rsidRPr="00B13B9A">
        <w:rPr>
          <w:rFonts w:asciiTheme="majorHAnsi" w:hAnsiTheme="majorHAnsi" w:cstheme="majorHAnsi"/>
          <w:color w:val="000000" w:themeColor="text1"/>
          <w:sz w:val="24"/>
          <w:szCs w:val="24"/>
          <w:lang w:val="ro-MD"/>
        </w:rPr>
        <w:t>Astfel, de</w:t>
      </w:r>
      <w:r w:rsidR="00B13B9A" w:rsidRPr="00B13B9A">
        <w:rPr>
          <w:rFonts w:asciiTheme="majorHAnsi" w:hAnsiTheme="majorHAnsi" w:cstheme="majorHAnsi"/>
          <w:color w:val="000000" w:themeColor="text1"/>
          <w:sz w:val="24"/>
          <w:szCs w:val="24"/>
          <w:lang w:val="ro-MD"/>
        </w:rPr>
        <w:t>ș</w:t>
      </w:r>
      <w:r w:rsidRPr="00B13B9A">
        <w:rPr>
          <w:rFonts w:asciiTheme="majorHAnsi" w:hAnsiTheme="majorHAnsi" w:cstheme="majorHAnsi"/>
          <w:color w:val="000000" w:themeColor="text1"/>
          <w:sz w:val="24"/>
          <w:szCs w:val="24"/>
          <w:lang w:val="ro-MD"/>
        </w:rPr>
        <w:t>i numărul de pacien</w:t>
      </w:r>
      <w:r w:rsidR="00B13B9A" w:rsidRPr="00B13B9A">
        <w:rPr>
          <w:rFonts w:asciiTheme="majorHAnsi" w:hAnsiTheme="majorHAnsi" w:cstheme="majorHAnsi"/>
          <w:color w:val="000000" w:themeColor="text1"/>
          <w:sz w:val="24"/>
          <w:szCs w:val="24"/>
          <w:lang w:val="ro-MD"/>
        </w:rPr>
        <w:t>ț</w:t>
      </w:r>
      <w:r w:rsidRPr="00B13B9A">
        <w:rPr>
          <w:rFonts w:asciiTheme="majorHAnsi" w:hAnsiTheme="majorHAnsi" w:cstheme="majorHAnsi"/>
          <w:color w:val="000000" w:themeColor="text1"/>
          <w:sz w:val="24"/>
          <w:szCs w:val="24"/>
          <w:lang w:val="ro-MD"/>
        </w:rPr>
        <w:t>i înregistrează un trend descrescător, care pe parcursul anilor 2021-2023 a varia</w:t>
      </w:r>
      <w:r w:rsidR="002446BB" w:rsidRPr="00B13B9A">
        <w:rPr>
          <w:rFonts w:asciiTheme="majorHAnsi" w:hAnsiTheme="majorHAnsi" w:cstheme="majorHAnsi"/>
          <w:color w:val="000000" w:themeColor="text1"/>
          <w:sz w:val="24"/>
          <w:szCs w:val="24"/>
          <w:lang w:val="ro-MD"/>
        </w:rPr>
        <w:t>t</w:t>
      </w:r>
      <w:r w:rsidRPr="00B13B9A">
        <w:rPr>
          <w:rFonts w:asciiTheme="majorHAnsi" w:hAnsiTheme="majorHAnsi" w:cstheme="majorHAnsi"/>
          <w:color w:val="000000" w:themeColor="text1"/>
          <w:sz w:val="24"/>
          <w:szCs w:val="24"/>
          <w:lang w:val="ro-MD"/>
        </w:rPr>
        <w:t xml:space="preserve"> între </w:t>
      </w:r>
      <w:r w:rsidR="00624F2F" w:rsidRPr="00B13B9A">
        <w:rPr>
          <w:rFonts w:asciiTheme="majorHAnsi" w:hAnsiTheme="majorHAnsi" w:cstheme="majorHAnsi"/>
          <w:color w:val="000000" w:themeColor="text1"/>
          <w:sz w:val="24"/>
          <w:szCs w:val="24"/>
          <w:lang w:val="ro-MD"/>
        </w:rPr>
        <w:t>78</w:t>
      </w:r>
      <w:r w:rsidR="002E12C9" w:rsidRPr="00B13B9A">
        <w:rPr>
          <w:rFonts w:asciiTheme="majorHAnsi" w:hAnsiTheme="majorHAnsi" w:cstheme="majorHAnsi"/>
          <w:color w:val="000000" w:themeColor="text1"/>
          <w:sz w:val="24"/>
          <w:szCs w:val="24"/>
          <w:lang w:val="ro-MD"/>
        </w:rPr>
        <w:t xml:space="preserve"> </w:t>
      </w:r>
      <w:r w:rsidR="00B13B9A" w:rsidRPr="00B13B9A">
        <w:rPr>
          <w:rFonts w:asciiTheme="majorHAnsi" w:hAnsiTheme="majorHAnsi" w:cstheme="majorHAnsi"/>
          <w:color w:val="000000" w:themeColor="text1"/>
          <w:sz w:val="24"/>
          <w:szCs w:val="24"/>
          <w:lang w:val="ro-MD"/>
        </w:rPr>
        <w:t>ș</w:t>
      </w:r>
      <w:r w:rsidR="002E12C9" w:rsidRPr="00B13B9A">
        <w:rPr>
          <w:rFonts w:asciiTheme="majorHAnsi" w:hAnsiTheme="majorHAnsi" w:cstheme="majorHAnsi"/>
          <w:color w:val="000000" w:themeColor="text1"/>
          <w:sz w:val="24"/>
          <w:szCs w:val="24"/>
          <w:lang w:val="ro-MD"/>
        </w:rPr>
        <w:t xml:space="preserve">i </w:t>
      </w:r>
      <w:r w:rsidR="00624F2F" w:rsidRPr="00B13B9A">
        <w:rPr>
          <w:rFonts w:asciiTheme="majorHAnsi" w:hAnsiTheme="majorHAnsi" w:cstheme="majorHAnsi"/>
          <w:color w:val="000000" w:themeColor="text1"/>
          <w:sz w:val="24"/>
          <w:szCs w:val="24"/>
          <w:lang w:val="ro-MD"/>
        </w:rPr>
        <w:t>12</w:t>
      </w:r>
      <w:r w:rsidR="00AD73D6" w:rsidRPr="00B13B9A">
        <w:rPr>
          <w:rFonts w:asciiTheme="majorHAnsi" w:hAnsiTheme="majorHAnsi" w:cstheme="majorHAnsi"/>
          <w:color w:val="000000" w:themeColor="text1"/>
          <w:sz w:val="24"/>
          <w:szCs w:val="24"/>
          <w:lang w:val="ro-MD"/>
        </w:rPr>
        <w:t xml:space="preserve"> </w:t>
      </w:r>
      <w:r w:rsidR="002E12C9" w:rsidRPr="00B13B9A">
        <w:rPr>
          <w:rFonts w:asciiTheme="majorHAnsi" w:hAnsiTheme="majorHAnsi" w:cstheme="majorHAnsi"/>
          <w:color w:val="000000" w:themeColor="text1"/>
          <w:sz w:val="24"/>
          <w:szCs w:val="24"/>
          <w:lang w:val="ro-MD"/>
        </w:rPr>
        <w:t xml:space="preserve">de </w:t>
      </w:r>
      <w:r w:rsidR="00AD73D6" w:rsidRPr="00B13B9A">
        <w:rPr>
          <w:rFonts w:asciiTheme="majorHAnsi" w:hAnsiTheme="majorHAnsi" w:cstheme="majorHAnsi"/>
          <w:color w:val="000000" w:themeColor="text1"/>
          <w:sz w:val="24"/>
          <w:szCs w:val="24"/>
          <w:lang w:val="ro-MD"/>
        </w:rPr>
        <w:t>persoane</w:t>
      </w:r>
      <w:r w:rsidR="002446BB" w:rsidRPr="00B13B9A">
        <w:rPr>
          <w:rFonts w:asciiTheme="majorHAnsi" w:hAnsiTheme="majorHAnsi" w:cstheme="majorHAnsi"/>
          <w:color w:val="000000" w:themeColor="text1"/>
          <w:sz w:val="24"/>
          <w:szCs w:val="24"/>
          <w:lang w:val="ro-MD"/>
        </w:rPr>
        <w:t xml:space="preserve"> pe zi </w:t>
      </w:r>
      <w:r w:rsidR="00E651EC" w:rsidRPr="00B13B9A">
        <w:rPr>
          <w:rFonts w:asciiTheme="majorHAnsi" w:hAnsiTheme="majorHAnsi" w:cstheme="majorHAnsi"/>
          <w:color w:val="000000" w:themeColor="text1"/>
          <w:sz w:val="24"/>
          <w:szCs w:val="24"/>
          <w:lang w:val="ro-MD"/>
        </w:rPr>
        <w:t>(vezi A</w:t>
      </w:r>
      <w:r w:rsidR="00AD73D6" w:rsidRPr="00B13B9A">
        <w:rPr>
          <w:rFonts w:asciiTheme="majorHAnsi" w:hAnsiTheme="majorHAnsi" w:cstheme="majorHAnsi"/>
          <w:color w:val="000000" w:themeColor="text1"/>
          <w:sz w:val="24"/>
          <w:szCs w:val="24"/>
          <w:lang w:val="ro-MD"/>
        </w:rPr>
        <w:t xml:space="preserve">nexa </w:t>
      </w:r>
      <w:r w:rsidR="002E12C9" w:rsidRPr="00B13B9A">
        <w:rPr>
          <w:rFonts w:asciiTheme="majorHAnsi" w:hAnsiTheme="majorHAnsi" w:cstheme="majorHAnsi"/>
          <w:color w:val="000000" w:themeColor="text1"/>
          <w:sz w:val="24"/>
          <w:szCs w:val="24"/>
          <w:lang w:val="ro-MD"/>
        </w:rPr>
        <w:t>nr.</w:t>
      </w:r>
      <w:r w:rsidR="00E651EC" w:rsidRPr="00B13B9A">
        <w:rPr>
          <w:rFonts w:asciiTheme="majorHAnsi" w:hAnsiTheme="majorHAnsi" w:cstheme="majorHAnsi"/>
          <w:color w:val="000000" w:themeColor="text1"/>
          <w:sz w:val="24"/>
          <w:szCs w:val="24"/>
          <w:lang w:val="ro-MD"/>
        </w:rPr>
        <w:t>18</w:t>
      </w:r>
      <w:r w:rsidR="002E12C9" w:rsidRPr="00B13B9A">
        <w:rPr>
          <w:rFonts w:asciiTheme="majorHAnsi" w:hAnsiTheme="majorHAnsi" w:cstheme="majorHAnsi"/>
          <w:color w:val="000000" w:themeColor="text1"/>
          <w:sz w:val="24"/>
          <w:szCs w:val="24"/>
          <w:lang w:val="ro-MD"/>
        </w:rPr>
        <w:t xml:space="preserve"> la prezentul Raport de audit</w:t>
      </w:r>
      <w:r w:rsidR="00AD73D6" w:rsidRPr="00B13B9A">
        <w:rPr>
          <w:rFonts w:asciiTheme="majorHAnsi" w:hAnsiTheme="majorHAnsi" w:cstheme="majorHAnsi"/>
          <w:color w:val="000000" w:themeColor="text1"/>
          <w:sz w:val="24"/>
          <w:szCs w:val="24"/>
          <w:lang w:val="ro-MD"/>
        </w:rPr>
        <w:t>), cheltuielile sunt în cre</w:t>
      </w:r>
      <w:r w:rsidR="00B13B9A" w:rsidRPr="00B13B9A">
        <w:rPr>
          <w:rFonts w:asciiTheme="majorHAnsi" w:hAnsiTheme="majorHAnsi" w:cstheme="majorHAnsi"/>
          <w:color w:val="000000" w:themeColor="text1"/>
          <w:sz w:val="24"/>
          <w:szCs w:val="24"/>
          <w:lang w:val="ro-MD"/>
        </w:rPr>
        <w:t>ș</w:t>
      </w:r>
      <w:r w:rsidR="00AD73D6" w:rsidRPr="00B13B9A">
        <w:rPr>
          <w:rFonts w:asciiTheme="majorHAnsi" w:hAnsiTheme="majorHAnsi" w:cstheme="majorHAnsi"/>
          <w:color w:val="000000" w:themeColor="text1"/>
          <w:sz w:val="24"/>
          <w:szCs w:val="24"/>
          <w:lang w:val="ro-MD"/>
        </w:rPr>
        <w:t>tere, care în anul 2022 au constituit 20 503,44 mii lei, situa</w:t>
      </w:r>
      <w:r w:rsidR="00B13B9A" w:rsidRPr="00B13B9A">
        <w:rPr>
          <w:rFonts w:asciiTheme="majorHAnsi" w:hAnsiTheme="majorHAnsi" w:cstheme="majorHAnsi"/>
          <w:color w:val="000000" w:themeColor="text1"/>
          <w:sz w:val="24"/>
          <w:szCs w:val="24"/>
          <w:lang w:val="ro-MD"/>
        </w:rPr>
        <w:t>ț</w:t>
      </w:r>
      <w:r w:rsidR="00AD73D6" w:rsidRPr="00B13B9A">
        <w:rPr>
          <w:rFonts w:asciiTheme="majorHAnsi" w:hAnsiTheme="majorHAnsi" w:cstheme="majorHAnsi"/>
          <w:color w:val="000000" w:themeColor="text1"/>
          <w:sz w:val="24"/>
          <w:szCs w:val="24"/>
          <w:lang w:val="ro-MD"/>
        </w:rPr>
        <w:t>ie redată în</w:t>
      </w:r>
      <w:r w:rsidR="009E24ED" w:rsidRPr="00B13B9A">
        <w:rPr>
          <w:rFonts w:asciiTheme="majorHAnsi" w:hAnsiTheme="majorHAnsi" w:cstheme="majorHAnsi"/>
          <w:color w:val="000000" w:themeColor="text1"/>
          <w:sz w:val="24"/>
          <w:szCs w:val="24"/>
          <w:lang w:val="ro-MD"/>
        </w:rPr>
        <w:t xml:space="preserve"> figura</w:t>
      </w:r>
      <w:r w:rsidR="00AD73D6" w:rsidRPr="00B13B9A">
        <w:rPr>
          <w:rFonts w:asciiTheme="majorHAnsi" w:hAnsiTheme="majorHAnsi" w:cstheme="majorHAnsi"/>
          <w:color w:val="000000" w:themeColor="text1"/>
          <w:sz w:val="24"/>
          <w:szCs w:val="24"/>
          <w:lang w:val="ro-MD"/>
        </w:rPr>
        <w:t xml:space="preserve"> </w:t>
      </w:r>
      <w:r w:rsidR="00E651EC" w:rsidRPr="00B13B9A">
        <w:rPr>
          <w:rFonts w:asciiTheme="majorHAnsi" w:hAnsiTheme="majorHAnsi" w:cstheme="majorHAnsi"/>
          <w:color w:val="000000" w:themeColor="text1"/>
          <w:sz w:val="24"/>
          <w:szCs w:val="24"/>
          <w:lang w:val="ro-MD"/>
        </w:rPr>
        <w:t>de mai jos</w:t>
      </w:r>
      <w:r w:rsidR="00AD73D6" w:rsidRPr="00B13B9A">
        <w:rPr>
          <w:rFonts w:asciiTheme="majorHAnsi" w:hAnsiTheme="majorHAnsi" w:cstheme="majorHAnsi"/>
          <w:color w:val="000000" w:themeColor="text1"/>
          <w:sz w:val="24"/>
          <w:szCs w:val="24"/>
          <w:lang w:val="ro-MD"/>
        </w:rPr>
        <w:t>.</w:t>
      </w:r>
    </w:p>
    <w:p w14:paraId="23CCFF4C" w14:textId="4C787EB2" w:rsidR="00624F2F" w:rsidRDefault="00624F2F" w:rsidP="00314C6D">
      <w:pPr>
        <w:spacing w:after="0" w:line="276" w:lineRule="auto"/>
        <w:jc w:val="both"/>
        <w:rPr>
          <w:rFonts w:asciiTheme="majorHAnsi" w:hAnsiTheme="majorHAnsi" w:cstheme="majorHAnsi"/>
          <w:color w:val="000000" w:themeColor="text1"/>
          <w:sz w:val="24"/>
          <w:szCs w:val="24"/>
          <w:lang w:val="ro-MD"/>
        </w:rPr>
      </w:pPr>
    </w:p>
    <w:p w14:paraId="45A162E8" w14:textId="668C28DB" w:rsidR="00624F2F" w:rsidRDefault="00624F2F" w:rsidP="00314C6D">
      <w:pPr>
        <w:spacing w:after="0" w:line="276" w:lineRule="auto"/>
        <w:jc w:val="both"/>
        <w:rPr>
          <w:rFonts w:asciiTheme="majorHAnsi" w:hAnsiTheme="majorHAnsi" w:cstheme="majorHAnsi"/>
          <w:color w:val="000000" w:themeColor="text1"/>
          <w:sz w:val="24"/>
          <w:szCs w:val="24"/>
          <w:lang w:val="ro-MD"/>
        </w:rPr>
      </w:pPr>
    </w:p>
    <w:p w14:paraId="2A085066" w14:textId="29C89891" w:rsidR="00624F2F" w:rsidRDefault="00624F2F" w:rsidP="00314C6D">
      <w:pPr>
        <w:spacing w:after="0" w:line="276" w:lineRule="auto"/>
        <w:jc w:val="both"/>
        <w:rPr>
          <w:rFonts w:asciiTheme="majorHAnsi" w:hAnsiTheme="majorHAnsi" w:cstheme="majorHAnsi"/>
          <w:color w:val="000000" w:themeColor="text1"/>
          <w:sz w:val="24"/>
          <w:szCs w:val="24"/>
          <w:lang w:val="ro-MD"/>
        </w:rPr>
      </w:pPr>
    </w:p>
    <w:p w14:paraId="0F91BFDB" w14:textId="310233C5" w:rsidR="00A477F5" w:rsidRDefault="00A477F5" w:rsidP="00314C6D">
      <w:pPr>
        <w:spacing w:after="0" w:line="276" w:lineRule="auto"/>
        <w:jc w:val="both"/>
        <w:rPr>
          <w:rFonts w:asciiTheme="majorHAnsi" w:hAnsiTheme="majorHAnsi" w:cstheme="majorHAnsi"/>
          <w:color w:val="000000" w:themeColor="text1"/>
          <w:sz w:val="24"/>
          <w:szCs w:val="24"/>
          <w:lang w:val="ro-MD"/>
        </w:rPr>
      </w:pPr>
    </w:p>
    <w:p w14:paraId="3C88E189" w14:textId="5D4A43EF" w:rsidR="00A477F5" w:rsidRDefault="00A477F5" w:rsidP="00314C6D">
      <w:pPr>
        <w:spacing w:after="0" w:line="276" w:lineRule="auto"/>
        <w:jc w:val="both"/>
        <w:rPr>
          <w:rFonts w:asciiTheme="majorHAnsi" w:hAnsiTheme="majorHAnsi" w:cstheme="majorHAnsi"/>
          <w:color w:val="000000" w:themeColor="text1"/>
          <w:sz w:val="24"/>
          <w:szCs w:val="24"/>
          <w:lang w:val="ro-MD"/>
        </w:rPr>
      </w:pPr>
    </w:p>
    <w:p w14:paraId="051D12FA" w14:textId="02FCAF76" w:rsidR="00A477F5" w:rsidRDefault="00A477F5" w:rsidP="00314C6D">
      <w:pPr>
        <w:spacing w:after="0" w:line="276" w:lineRule="auto"/>
        <w:jc w:val="both"/>
        <w:rPr>
          <w:rFonts w:asciiTheme="majorHAnsi" w:hAnsiTheme="majorHAnsi" w:cstheme="majorHAnsi"/>
          <w:color w:val="000000" w:themeColor="text1"/>
          <w:sz w:val="24"/>
          <w:szCs w:val="24"/>
          <w:lang w:val="ro-MD"/>
        </w:rPr>
      </w:pPr>
    </w:p>
    <w:p w14:paraId="32E40587" w14:textId="4B35994B" w:rsidR="00A477F5" w:rsidRDefault="00A477F5" w:rsidP="00314C6D">
      <w:pPr>
        <w:spacing w:after="0" w:line="276" w:lineRule="auto"/>
        <w:jc w:val="both"/>
        <w:rPr>
          <w:rFonts w:asciiTheme="majorHAnsi" w:hAnsiTheme="majorHAnsi" w:cstheme="majorHAnsi"/>
          <w:color w:val="000000" w:themeColor="text1"/>
          <w:sz w:val="24"/>
          <w:szCs w:val="24"/>
          <w:lang w:val="ro-MD"/>
        </w:rPr>
      </w:pPr>
    </w:p>
    <w:p w14:paraId="6246A484" w14:textId="1EEE024F" w:rsidR="00A477F5" w:rsidRDefault="00A477F5" w:rsidP="00314C6D">
      <w:pPr>
        <w:spacing w:after="0" w:line="276" w:lineRule="auto"/>
        <w:jc w:val="both"/>
        <w:rPr>
          <w:rFonts w:asciiTheme="majorHAnsi" w:hAnsiTheme="majorHAnsi" w:cstheme="majorHAnsi"/>
          <w:color w:val="000000" w:themeColor="text1"/>
          <w:sz w:val="24"/>
          <w:szCs w:val="24"/>
          <w:lang w:val="ro-MD"/>
        </w:rPr>
      </w:pPr>
    </w:p>
    <w:p w14:paraId="2BDB6465" w14:textId="4526D503" w:rsidR="00A477F5" w:rsidRDefault="00A477F5" w:rsidP="00314C6D">
      <w:pPr>
        <w:spacing w:after="0" w:line="276" w:lineRule="auto"/>
        <w:jc w:val="both"/>
        <w:rPr>
          <w:rFonts w:asciiTheme="majorHAnsi" w:hAnsiTheme="majorHAnsi" w:cstheme="majorHAnsi"/>
          <w:color w:val="000000" w:themeColor="text1"/>
          <w:sz w:val="24"/>
          <w:szCs w:val="24"/>
          <w:lang w:val="ro-MD"/>
        </w:rPr>
      </w:pPr>
    </w:p>
    <w:p w14:paraId="7DC6AD67" w14:textId="37F0F163" w:rsidR="00A477F5" w:rsidRDefault="00A477F5" w:rsidP="00314C6D">
      <w:pPr>
        <w:spacing w:after="0" w:line="276" w:lineRule="auto"/>
        <w:jc w:val="both"/>
        <w:rPr>
          <w:rFonts w:asciiTheme="majorHAnsi" w:hAnsiTheme="majorHAnsi" w:cstheme="majorHAnsi"/>
          <w:color w:val="000000" w:themeColor="text1"/>
          <w:sz w:val="24"/>
          <w:szCs w:val="24"/>
          <w:lang w:val="ro-MD"/>
        </w:rPr>
      </w:pPr>
    </w:p>
    <w:p w14:paraId="31692760" w14:textId="76761A87" w:rsidR="00A477F5" w:rsidRDefault="00A477F5" w:rsidP="00314C6D">
      <w:pPr>
        <w:spacing w:after="0" w:line="276" w:lineRule="auto"/>
        <w:jc w:val="both"/>
        <w:rPr>
          <w:rFonts w:asciiTheme="majorHAnsi" w:hAnsiTheme="majorHAnsi" w:cstheme="majorHAnsi"/>
          <w:color w:val="000000" w:themeColor="text1"/>
          <w:sz w:val="24"/>
          <w:szCs w:val="24"/>
          <w:lang w:val="ro-MD"/>
        </w:rPr>
      </w:pPr>
    </w:p>
    <w:p w14:paraId="2BE4A36E" w14:textId="77777777" w:rsidR="00A477F5" w:rsidRPr="00B13B9A" w:rsidRDefault="00A477F5" w:rsidP="00314C6D">
      <w:pPr>
        <w:spacing w:after="0" w:line="276" w:lineRule="auto"/>
        <w:jc w:val="both"/>
        <w:rPr>
          <w:rFonts w:asciiTheme="majorHAnsi" w:hAnsiTheme="majorHAnsi" w:cstheme="majorHAnsi"/>
          <w:color w:val="000000" w:themeColor="text1"/>
          <w:sz w:val="24"/>
          <w:szCs w:val="24"/>
          <w:lang w:val="ro-MD"/>
        </w:rPr>
      </w:pPr>
    </w:p>
    <w:p w14:paraId="307B1EA9" w14:textId="7ABCC816" w:rsidR="007619BC" w:rsidRPr="00B13B9A" w:rsidRDefault="00D37D8A" w:rsidP="00D37D8A">
      <w:pPr>
        <w:spacing w:after="0" w:line="276" w:lineRule="auto"/>
        <w:jc w:val="right"/>
        <w:rPr>
          <w:rFonts w:asciiTheme="majorHAnsi" w:hAnsiTheme="majorHAnsi" w:cstheme="majorHAnsi"/>
          <w:color w:val="000000" w:themeColor="text1"/>
          <w:sz w:val="24"/>
          <w:szCs w:val="24"/>
          <w:lang w:val="ro-MD"/>
        </w:rPr>
      </w:pPr>
      <w:r w:rsidRPr="00B13B9A">
        <w:rPr>
          <w:rFonts w:asciiTheme="majorHAnsi" w:hAnsiTheme="majorHAnsi" w:cstheme="majorHAnsi"/>
          <w:color w:val="000000" w:themeColor="text1"/>
          <w:sz w:val="24"/>
          <w:szCs w:val="24"/>
          <w:lang w:val="ro-MD"/>
        </w:rPr>
        <w:t>Fig</w:t>
      </w:r>
      <w:r w:rsidR="002E12C9" w:rsidRPr="00B13B9A">
        <w:rPr>
          <w:rFonts w:asciiTheme="majorHAnsi" w:hAnsiTheme="majorHAnsi" w:cstheme="majorHAnsi"/>
          <w:color w:val="000000" w:themeColor="text1"/>
          <w:sz w:val="24"/>
          <w:szCs w:val="24"/>
          <w:lang w:val="ro-MD"/>
        </w:rPr>
        <w:t>ura</w:t>
      </w:r>
      <w:r w:rsidRPr="00B13B9A">
        <w:rPr>
          <w:rFonts w:asciiTheme="majorHAnsi" w:hAnsiTheme="majorHAnsi" w:cstheme="majorHAnsi"/>
          <w:color w:val="000000" w:themeColor="text1"/>
          <w:sz w:val="24"/>
          <w:szCs w:val="24"/>
          <w:lang w:val="ro-MD"/>
        </w:rPr>
        <w:t xml:space="preserve"> </w:t>
      </w:r>
      <w:r w:rsidR="002E12C9" w:rsidRPr="00B13B9A">
        <w:rPr>
          <w:rFonts w:asciiTheme="majorHAnsi" w:hAnsiTheme="majorHAnsi" w:cstheme="majorHAnsi"/>
          <w:color w:val="000000" w:themeColor="text1"/>
          <w:sz w:val="24"/>
          <w:szCs w:val="24"/>
          <w:lang w:val="ro-MD"/>
        </w:rPr>
        <w:t>n</w:t>
      </w:r>
      <w:r w:rsidRPr="00B13B9A">
        <w:rPr>
          <w:rFonts w:asciiTheme="majorHAnsi" w:hAnsiTheme="majorHAnsi" w:cstheme="majorHAnsi"/>
          <w:color w:val="000000" w:themeColor="text1"/>
          <w:sz w:val="24"/>
          <w:szCs w:val="24"/>
          <w:lang w:val="ro-MD"/>
        </w:rPr>
        <w:t>r. 2</w:t>
      </w:r>
    </w:p>
    <w:p w14:paraId="7E53F8A1" w14:textId="3754F565" w:rsidR="007619BC" w:rsidRPr="00B13B9A" w:rsidRDefault="007619BC" w:rsidP="007619BC">
      <w:pPr>
        <w:spacing w:after="0" w:line="276" w:lineRule="auto"/>
        <w:jc w:val="center"/>
        <w:rPr>
          <w:rFonts w:asciiTheme="majorHAnsi" w:hAnsiTheme="majorHAnsi" w:cstheme="majorHAnsi"/>
          <w:b/>
          <w:color w:val="000000" w:themeColor="text1"/>
          <w:sz w:val="24"/>
          <w:szCs w:val="24"/>
          <w:lang w:val="ro-MD"/>
        </w:rPr>
      </w:pPr>
      <w:r w:rsidRPr="00B13B9A">
        <w:rPr>
          <w:rFonts w:asciiTheme="majorHAnsi" w:hAnsiTheme="majorHAnsi" w:cstheme="majorHAnsi"/>
          <w:b/>
          <w:color w:val="000000" w:themeColor="text1"/>
          <w:sz w:val="24"/>
          <w:szCs w:val="24"/>
          <w:lang w:val="ro-MD"/>
        </w:rPr>
        <w:t>Cheltuielile suportate în cadrul clinicii Vorniceni</w:t>
      </w:r>
      <w:r w:rsidR="002E12C9" w:rsidRPr="00B13B9A">
        <w:rPr>
          <w:rFonts w:asciiTheme="majorHAnsi" w:hAnsiTheme="majorHAnsi" w:cstheme="majorHAnsi"/>
          <w:b/>
          <w:color w:val="000000" w:themeColor="text1"/>
          <w:sz w:val="24"/>
          <w:szCs w:val="24"/>
          <w:lang w:val="ro-MD"/>
        </w:rPr>
        <w:t>,</w:t>
      </w:r>
      <w:r w:rsidRPr="00B13B9A">
        <w:rPr>
          <w:rFonts w:asciiTheme="majorHAnsi" w:hAnsiTheme="majorHAnsi" w:cstheme="majorHAnsi"/>
          <w:b/>
          <w:color w:val="000000" w:themeColor="text1"/>
          <w:sz w:val="24"/>
          <w:szCs w:val="24"/>
          <w:lang w:val="ro-MD"/>
        </w:rPr>
        <w:t xml:space="preserve"> pe tipuri</w:t>
      </w:r>
      <w:r w:rsidR="002E12C9" w:rsidRPr="00B13B9A">
        <w:rPr>
          <w:rFonts w:asciiTheme="majorHAnsi" w:hAnsiTheme="majorHAnsi" w:cstheme="majorHAnsi"/>
          <w:b/>
          <w:color w:val="000000" w:themeColor="text1"/>
          <w:sz w:val="24"/>
          <w:szCs w:val="24"/>
          <w:lang w:val="ro-MD"/>
        </w:rPr>
        <w:t>,</w:t>
      </w:r>
      <w:r w:rsidRPr="00B13B9A">
        <w:rPr>
          <w:rFonts w:asciiTheme="majorHAnsi" w:hAnsiTheme="majorHAnsi" w:cstheme="majorHAnsi"/>
          <w:b/>
          <w:color w:val="000000" w:themeColor="text1"/>
          <w:sz w:val="24"/>
          <w:szCs w:val="24"/>
          <w:lang w:val="ro-MD"/>
        </w:rPr>
        <w:t xml:space="preserve"> în perioada 2018-2023 (6 luni)</w:t>
      </w:r>
    </w:p>
    <w:p w14:paraId="76764460" w14:textId="77777777" w:rsidR="007619BC" w:rsidRPr="00B13B9A" w:rsidRDefault="009E24ED" w:rsidP="007619BC">
      <w:pPr>
        <w:jc w:val="center"/>
        <w:rPr>
          <w:lang w:val="ro-MD"/>
        </w:rPr>
      </w:pPr>
      <w:r w:rsidRPr="00B13B9A">
        <w:rPr>
          <w:noProof/>
          <w:lang w:val="ru-RU" w:eastAsia="ru-RU"/>
        </w:rPr>
        <w:drawing>
          <wp:inline distT="0" distB="0" distL="0" distR="0" wp14:anchorId="6F3BA40E" wp14:editId="5E11AB57">
            <wp:extent cx="5654040" cy="2508250"/>
            <wp:effectExtent l="0" t="0" r="3810" b="63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22A1BE0" w14:textId="22843F48" w:rsidR="00E05EF5" w:rsidRPr="00516931" w:rsidRDefault="00E63278" w:rsidP="00314C6D">
      <w:pPr>
        <w:spacing w:after="0" w:line="276" w:lineRule="auto"/>
        <w:jc w:val="both"/>
        <w:rPr>
          <w:rFonts w:asciiTheme="majorHAnsi" w:hAnsiTheme="majorHAnsi" w:cstheme="majorHAnsi"/>
          <w:color w:val="000000" w:themeColor="text1"/>
          <w:szCs w:val="24"/>
          <w:lang w:val="ro-MD"/>
        </w:rPr>
      </w:pPr>
      <w:r w:rsidRPr="00516931">
        <w:rPr>
          <w:rFonts w:asciiTheme="majorHAnsi" w:hAnsiTheme="majorHAnsi" w:cstheme="majorHAnsi"/>
          <w:b/>
          <w:i/>
          <w:color w:val="000000" w:themeColor="text1"/>
          <w:szCs w:val="24"/>
          <w:lang w:val="ro-MD"/>
        </w:rPr>
        <w:t>Sursa:</w:t>
      </w:r>
      <w:r w:rsidRPr="00516931">
        <w:rPr>
          <w:rFonts w:asciiTheme="majorHAnsi" w:hAnsiTheme="majorHAnsi" w:cstheme="majorHAnsi"/>
          <w:color w:val="000000" w:themeColor="text1"/>
          <w:szCs w:val="24"/>
          <w:lang w:val="ro-MD"/>
        </w:rPr>
        <w:t xml:space="preserve"> Eviden</w:t>
      </w:r>
      <w:r w:rsidR="00B13B9A" w:rsidRPr="00516931">
        <w:rPr>
          <w:rFonts w:asciiTheme="majorHAnsi" w:hAnsiTheme="majorHAnsi" w:cstheme="majorHAnsi"/>
          <w:color w:val="000000" w:themeColor="text1"/>
          <w:szCs w:val="24"/>
          <w:lang w:val="ro-MD"/>
        </w:rPr>
        <w:t>ț</w:t>
      </w:r>
      <w:r w:rsidRPr="00516931">
        <w:rPr>
          <w:rFonts w:asciiTheme="majorHAnsi" w:hAnsiTheme="majorHAnsi" w:cstheme="majorHAnsi"/>
          <w:color w:val="000000" w:themeColor="text1"/>
          <w:szCs w:val="24"/>
          <w:lang w:val="ro-MD"/>
        </w:rPr>
        <w:t>a contabilă a IMSP IFP</w:t>
      </w:r>
      <w:r w:rsidR="005B5F6E" w:rsidRPr="00516931">
        <w:rPr>
          <w:rFonts w:asciiTheme="majorHAnsi" w:hAnsiTheme="majorHAnsi" w:cstheme="majorHAnsi"/>
          <w:color w:val="000000" w:themeColor="text1"/>
          <w:szCs w:val="24"/>
          <w:lang w:val="ro-MD"/>
        </w:rPr>
        <w:t>.</w:t>
      </w:r>
    </w:p>
    <w:p w14:paraId="3A632F6B" w14:textId="77777777" w:rsidR="00E63278" w:rsidRPr="00B13B9A" w:rsidRDefault="00E63278" w:rsidP="00314C6D">
      <w:pPr>
        <w:spacing w:after="0" w:line="276" w:lineRule="auto"/>
        <w:jc w:val="both"/>
        <w:rPr>
          <w:rFonts w:asciiTheme="majorHAnsi" w:hAnsiTheme="majorHAnsi" w:cstheme="majorHAnsi"/>
          <w:color w:val="000000" w:themeColor="text1"/>
          <w:sz w:val="24"/>
          <w:szCs w:val="24"/>
          <w:highlight w:val="green"/>
          <w:lang w:val="ro-MD"/>
        </w:rPr>
      </w:pPr>
    </w:p>
    <w:p w14:paraId="6E2F3B90" w14:textId="778D61E4" w:rsidR="00624F2F" w:rsidRDefault="00624F2F" w:rsidP="00314C6D">
      <w:pPr>
        <w:spacing w:after="0" w:line="276" w:lineRule="auto"/>
        <w:jc w:val="both"/>
        <w:rPr>
          <w:rFonts w:asciiTheme="majorHAnsi" w:hAnsiTheme="majorHAnsi" w:cstheme="majorHAnsi"/>
          <w:color w:val="000000" w:themeColor="text1"/>
          <w:sz w:val="24"/>
          <w:szCs w:val="24"/>
          <w:lang w:val="ro-MD"/>
        </w:rPr>
      </w:pPr>
      <w:r>
        <w:rPr>
          <w:rFonts w:asciiTheme="majorHAnsi" w:hAnsiTheme="majorHAnsi" w:cstheme="majorHAnsi"/>
          <w:color w:val="000000" w:themeColor="text1"/>
          <w:sz w:val="24"/>
          <w:szCs w:val="24"/>
          <w:lang w:val="ro-MD"/>
        </w:rPr>
        <w:t>Î</w:t>
      </w:r>
      <w:r w:rsidRPr="00B13B9A">
        <w:rPr>
          <w:rFonts w:asciiTheme="majorHAnsi" w:hAnsiTheme="majorHAnsi" w:cstheme="majorHAnsi"/>
          <w:color w:val="000000" w:themeColor="text1"/>
          <w:sz w:val="24"/>
          <w:szCs w:val="24"/>
          <w:lang w:val="ro-MD"/>
        </w:rPr>
        <w:t>n anul 2022</w:t>
      </w:r>
      <w:r>
        <w:rPr>
          <w:rFonts w:asciiTheme="majorHAnsi" w:hAnsiTheme="majorHAnsi" w:cstheme="majorHAnsi"/>
          <w:color w:val="000000" w:themeColor="text1"/>
          <w:sz w:val="24"/>
          <w:szCs w:val="24"/>
          <w:lang w:val="ro-MD"/>
        </w:rPr>
        <w:t>, p</w:t>
      </w:r>
      <w:r w:rsidR="00AD73D6" w:rsidRPr="00B13B9A">
        <w:rPr>
          <w:rFonts w:asciiTheme="majorHAnsi" w:hAnsiTheme="majorHAnsi" w:cstheme="majorHAnsi"/>
          <w:color w:val="000000" w:themeColor="text1"/>
          <w:sz w:val="24"/>
          <w:szCs w:val="24"/>
          <w:lang w:val="ro-MD"/>
        </w:rPr>
        <w:t>onderea cea mai mare o constituie cheltuielile pentru retribuirea muncii</w:t>
      </w:r>
      <w:r w:rsidR="002446BB" w:rsidRPr="00B13B9A">
        <w:rPr>
          <w:rFonts w:asciiTheme="majorHAnsi" w:hAnsiTheme="majorHAnsi" w:cstheme="majorHAnsi"/>
          <w:color w:val="000000" w:themeColor="text1"/>
          <w:sz w:val="24"/>
          <w:szCs w:val="24"/>
          <w:lang w:val="ro-MD"/>
        </w:rPr>
        <w:t>, 12</w:t>
      </w:r>
      <w:r w:rsidR="004E1122" w:rsidRPr="00B13B9A">
        <w:rPr>
          <w:rFonts w:asciiTheme="majorHAnsi" w:hAnsiTheme="majorHAnsi" w:cstheme="majorHAnsi"/>
          <w:color w:val="000000" w:themeColor="text1"/>
          <w:sz w:val="24"/>
          <w:szCs w:val="24"/>
          <w:lang w:val="ro-MD"/>
        </w:rPr>
        <w:t xml:space="preserve"> </w:t>
      </w:r>
      <w:r w:rsidR="002446BB" w:rsidRPr="00B13B9A">
        <w:rPr>
          <w:rFonts w:asciiTheme="majorHAnsi" w:hAnsiTheme="majorHAnsi" w:cstheme="majorHAnsi"/>
          <w:color w:val="000000" w:themeColor="text1"/>
          <w:sz w:val="24"/>
          <w:szCs w:val="24"/>
          <w:lang w:val="ro-MD"/>
        </w:rPr>
        <w:t>386,84 mii lei</w:t>
      </w:r>
      <w:r w:rsidR="00AD73D6" w:rsidRPr="00B13B9A">
        <w:rPr>
          <w:rFonts w:asciiTheme="majorHAnsi" w:hAnsiTheme="majorHAnsi" w:cstheme="majorHAnsi"/>
          <w:color w:val="000000" w:themeColor="text1"/>
          <w:sz w:val="24"/>
          <w:szCs w:val="24"/>
          <w:lang w:val="ro-MD"/>
        </w:rPr>
        <w:t>, urmat</w:t>
      </w:r>
      <w:r w:rsidR="002E12C9" w:rsidRPr="00B13B9A">
        <w:rPr>
          <w:rFonts w:asciiTheme="majorHAnsi" w:hAnsiTheme="majorHAnsi" w:cstheme="majorHAnsi"/>
          <w:color w:val="000000" w:themeColor="text1"/>
          <w:sz w:val="24"/>
          <w:szCs w:val="24"/>
          <w:lang w:val="ro-MD"/>
        </w:rPr>
        <w:t>e</w:t>
      </w:r>
      <w:r w:rsidR="00AD73D6" w:rsidRPr="00B13B9A">
        <w:rPr>
          <w:rFonts w:asciiTheme="majorHAnsi" w:hAnsiTheme="majorHAnsi" w:cstheme="majorHAnsi"/>
          <w:color w:val="000000" w:themeColor="text1"/>
          <w:sz w:val="24"/>
          <w:szCs w:val="24"/>
          <w:lang w:val="ro-MD"/>
        </w:rPr>
        <w:t xml:space="preserve"> de cele pentru gaze</w:t>
      </w:r>
      <w:r w:rsidR="002E12C9" w:rsidRPr="00B13B9A">
        <w:rPr>
          <w:rFonts w:asciiTheme="majorHAnsi" w:hAnsiTheme="majorHAnsi" w:cstheme="majorHAnsi"/>
          <w:color w:val="000000" w:themeColor="text1"/>
          <w:sz w:val="24"/>
          <w:szCs w:val="24"/>
          <w:lang w:val="ro-MD"/>
        </w:rPr>
        <w:t>le</w:t>
      </w:r>
      <w:r w:rsidR="00AD73D6" w:rsidRPr="00B13B9A">
        <w:rPr>
          <w:rFonts w:asciiTheme="majorHAnsi" w:hAnsiTheme="majorHAnsi" w:cstheme="majorHAnsi"/>
          <w:color w:val="000000" w:themeColor="text1"/>
          <w:sz w:val="24"/>
          <w:szCs w:val="24"/>
          <w:lang w:val="ro-MD"/>
        </w:rPr>
        <w:t xml:space="preserve"> naturale</w:t>
      </w:r>
      <w:r w:rsidR="002E12C9" w:rsidRPr="00B13B9A">
        <w:rPr>
          <w:rFonts w:asciiTheme="majorHAnsi" w:hAnsiTheme="majorHAnsi" w:cstheme="majorHAnsi"/>
          <w:color w:val="000000" w:themeColor="text1"/>
          <w:sz w:val="24"/>
          <w:szCs w:val="24"/>
          <w:lang w:val="ro-MD"/>
        </w:rPr>
        <w:t>,</w:t>
      </w:r>
      <w:r w:rsidR="00AD73D6" w:rsidRPr="00B13B9A">
        <w:rPr>
          <w:rFonts w:asciiTheme="majorHAnsi" w:hAnsiTheme="majorHAnsi" w:cstheme="majorHAnsi"/>
          <w:color w:val="000000" w:themeColor="text1"/>
          <w:sz w:val="24"/>
          <w:szCs w:val="24"/>
          <w:lang w:val="ro-MD"/>
        </w:rPr>
        <w:t xml:space="preserve"> </w:t>
      </w:r>
      <w:r w:rsidR="002446BB" w:rsidRPr="00B13B9A">
        <w:rPr>
          <w:rFonts w:asciiTheme="majorHAnsi" w:hAnsiTheme="majorHAnsi" w:cstheme="majorHAnsi"/>
          <w:color w:val="000000" w:themeColor="text1"/>
          <w:sz w:val="24"/>
          <w:szCs w:val="24"/>
          <w:lang w:val="ro-MD"/>
        </w:rPr>
        <w:t>1</w:t>
      </w:r>
      <w:r w:rsidR="004E1122" w:rsidRPr="00B13B9A">
        <w:rPr>
          <w:rFonts w:asciiTheme="majorHAnsi" w:hAnsiTheme="majorHAnsi" w:cstheme="majorHAnsi"/>
          <w:color w:val="000000" w:themeColor="text1"/>
          <w:sz w:val="24"/>
          <w:szCs w:val="24"/>
          <w:lang w:val="ro-MD"/>
        </w:rPr>
        <w:t xml:space="preserve"> </w:t>
      </w:r>
      <w:r w:rsidR="002446BB" w:rsidRPr="00B13B9A">
        <w:rPr>
          <w:rFonts w:asciiTheme="majorHAnsi" w:hAnsiTheme="majorHAnsi" w:cstheme="majorHAnsi"/>
          <w:color w:val="000000" w:themeColor="text1"/>
          <w:sz w:val="24"/>
          <w:szCs w:val="24"/>
          <w:lang w:val="ro-MD"/>
        </w:rPr>
        <w:t>881,99 mii lei</w:t>
      </w:r>
      <w:r w:rsidR="002E12C9" w:rsidRPr="00B13B9A">
        <w:rPr>
          <w:rFonts w:asciiTheme="majorHAnsi" w:hAnsiTheme="majorHAnsi" w:cstheme="majorHAnsi"/>
          <w:color w:val="000000" w:themeColor="text1"/>
          <w:sz w:val="24"/>
          <w:szCs w:val="24"/>
          <w:lang w:val="ro-MD"/>
        </w:rPr>
        <w:t>,</w:t>
      </w:r>
      <w:r w:rsidR="00AD73D6" w:rsidRPr="00B13B9A">
        <w:rPr>
          <w:rFonts w:asciiTheme="majorHAnsi" w:hAnsiTheme="majorHAnsi" w:cstheme="majorHAnsi"/>
          <w:color w:val="000000" w:themeColor="text1"/>
          <w:sz w:val="24"/>
          <w:szCs w:val="24"/>
          <w:lang w:val="ro-MD"/>
        </w:rPr>
        <w:t xml:space="preserve"> </w:t>
      </w:r>
      <w:r w:rsidR="002E12C9" w:rsidRPr="00B13B9A">
        <w:rPr>
          <w:rFonts w:asciiTheme="majorHAnsi" w:hAnsiTheme="majorHAnsi" w:cstheme="majorHAnsi"/>
          <w:color w:val="000000" w:themeColor="text1"/>
          <w:sz w:val="24"/>
          <w:szCs w:val="24"/>
          <w:lang w:val="ro-MD"/>
        </w:rPr>
        <w:t>gazele</w:t>
      </w:r>
      <w:r w:rsidR="00AD73D6" w:rsidRPr="00B13B9A">
        <w:rPr>
          <w:rFonts w:asciiTheme="majorHAnsi" w:hAnsiTheme="majorHAnsi" w:cstheme="majorHAnsi"/>
          <w:color w:val="000000" w:themeColor="text1"/>
          <w:sz w:val="24"/>
          <w:szCs w:val="24"/>
          <w:lang w:val="ro-MD"/>
        </w:rPr>
        <w:t xml:space="preserve"> fiind unica sursă de încălzire. Astfel, în contextul majorării salariilor pentru personalul medical din ultimii ani (2020-2021), precum </w:t>
      </w:r>
      <w:r w:rsidR="00B13B9A" w:rsidRPr="00B13B9A">
        <w:rPr>
          <w:rFonts w:asciiTheme="majorHAnsi" w:hAnsiTheme="majorHAnsi" w:cstheme="majorHAnsi"/>
          <w:color w:val="000000" w:themeColor="text1"/>
          <w:sz w:val="24"/>
          <w:szCs w:val="24"/>
          <w:lang w:val="ro-MD"/>
        </w:rPr>
        <w:t>ș</w:t>
      </w:r>
      <w:r w:rsidR="00AD73D6" w:rsidRPr="00B13B9A">
        <w:rPr>
          <w:rFonts w:asciiTheme="majorHAnsi" w:hAnsiTheme="majorHAnsi" w:cstheme="majorHAnsi"/>
          <w:color w:val="000000" w:themeColor="text1"/>
          <w:sz w:val="24"/>
          <w:szCs w:val="24"/>
          <w:lang w:val="ro-MD"/>
        </w:rPr>
        <w:t>i în contextul crizei energetice cu care se confruntă RM, corelată cu cre</w:t>
      </w:r>
      <w:r w:rsidR="00B13B9A" w:rsidRPr="00B13B9A">
        <w:rPr>
          <w:rFonts w:asciiTheme="majorHAnsi" w:hAnsiTheme="majorHAnsi" w:cstheme="majorHAnsi"/>
          <w:color w:val="000000" w:themeColor="text1"/>
          <w:sz w:val="24"/>
          <w:szCs w:val="24"/>
          <w:lang w:val="ro-MD"/>
        </w:rPr>
        <w:t>ș</w:t>
      </w:r>
      <w:r w:rsidR="00AD73D6" w:rsidRPr="00B13B9A">
        <w:rPr>
          <w:rFonts w:asciiTheme="majorHAnsi" w:hAnsiTheme="majorHAnsi" w:cstheme="majorHAnsi"/>
          <w:color w:val="000000" w:themeColor="text1"/>
          <w:sz w:val="24"/>
          <w:szCs w:val="24"/>
          <w:lang w:val="ro-MD"/>
        </w:rPr>
        <w:t>terea pre</w:t>
      </w:r>
      <w:r w:rsidR="00B13B9A" w:rsidRPr="00B13B9A">
        <w:rPr>
          <w:rFonts w:asciiTheme="majorHAnsi" w:hAnsiTheme="majorHAnsi" w:cstheme="majorHAnsi"/>
          <w:color w:val="000000" w:themeColor="text1"/>
          <w:sz w:val="24"/>
          <w:szCs w:val="24"/>
          <w:lang w:val="ro-MD"/>
        </w:rPr>
        <w:t>ț</w:t>
      </w:r>
      <w:r w:rsidR="002B2299" w:rsidRPr="00B13B9A">
        <w:rPr>
          <w:rFonts w:asciiTheme="majorHAnsi" w:hAnsiTheme="majorHAnsi" w:cstheme="majorHAnsi"/>
          <w:color w:val="000000" w:themeColor="text1"/>
          <w:sz w:val="24"/>
          <w:szCs w:val="24"/>
          <w:lang w:val="ro-MD"/>
        </w:rPr>
        <w:t>urilor la produsele alimentare</w:t>
      </w:r>
      <w:r w:rsidR="00AD73D6" w:rsidRPr="00B13B9A">
        <w:rPr>
          <w:rFonts w:asciiTheme="majorHAnsi" w:hAnsiTheme="majorHAnsi" w:cstheme="majorHAnsi"/>
          <w:color w:val="000000" w:themeColor="text1"/>
          <w:sz w:val="24"/>
          <w:szCs w:val="24"/>
          <w:lang w:val="ro-MD"/>
        </w:rPr>
        <w:t xml:space="preserve">, presiunea asupra IMSP </w:t>
      </w:r>
      <w:r w:rsidR="002E12C9" w:rsidRPr="00B13B9A">
        <w:rPr>
          <w:rFonts w:asciiTheme="majorHAnsi" w:hAnsiTheme="majorHAnsi" w:cstheme="majorHAnsi"/>
          <w:color w:val="000000" w:themeColor="text1"/>
          <w:sz w:val="24"/>
          <w:szCs w:val="24"/>
          <w:lang w:val="ro-MD"/>
        </w:rPr>
        <w:t xml:space="preserve">IPF </w:t>
      </w:r>
      <w:r w:rsidR="00AD73D6" w:rsidRPr="00B13B9A">
        <w:rPr>
          <w:rFonts w:asciiTheme="majorHAnsi" w:hAnsiTheme="majorHAnsi" w:cstheme="majorHAnsi"/>
          <w:color w:val="000000" w:themeColor="text1"/>
          <w:sz w:val="24"/>
          <w:szCs w:val="24"/>
          <w:lang w:val="ro-MD"/>
        </w:rPr>
        <w:t>de gestionare a clinicii Vorniceni cre</w:t>
      </w:r>
      <w:r w:rsidR="00B13B9A" w:rsidRPr="00B13B9A">
        <w:rPr>
          <w:rFonts w:asciiTheme="majorHAnsi" w:hAnsiTheme="majorHAnsi" w:cstheme="majorHAnsi"/>
          <w:color w:val="000000" w:themeColor="text1"/>
          <w:sz w:val="24"/>
          <w:szCs w:val="24"/>
          <w:lang w:val="ro-MD"/>
        </w:rPr>
        <w:t>ș</w:t>
      </w:r>
      <w:r w:rsidR="00AD73D6" w:rsidRPr="00B13B9A">
        <w:rPr>
          <w:rFonts w:asciiTheme="majorHAnsi" w:hAnsiTheme="majorHAnsi" w:cstheme="majorHAnsi"/>
          <w:color w:val="000000" w:themeColor="text1"/>
          <w:sz w:val="24"/>
          <w:szCs w:val="24"/>
          <w:lang w:val="ro-MD"/>
        </w:rPr>
        <w:t xml:space="preserve">te. </w:t>
      </w:r>
    </w:p>
    <w:p w14:paraId="147C23BD" w14:textId="2A6B3724" w:rsidR="00E70406" w:rsidRPr="00B13B9A" w:rsidRDefault="00AD73D6" w:rsidP="00314C6D">
      <w:pPr>
        <w:spacing w:after="0" w:line="276" w:lineRule="auto"/>
        <w:jc w:val="both"/>
        <w:rPr>
          <w:rFonts w:asciiTheme="majorHAnsi" w:hAnsiTheme="majorHAnsi" w:cstheme="majorHAnsi"/>
          <w:color w:val="000000" w:themeColor="text1"/>
          <w:sz w:val="24"/>
          <w:szCs w:val="24"/>
          <w:lang w:val="ro-MD"/>
        </w:rPr>
      </w:pPr>
      <w:r w:rsidRPr="00B13B9A">
        <w:rPr>
          <w:rFonts w:asciiTheme="majorHAnsi" w:hAnsiTheme="majorHAnsi" w:cstheme="majorHAnsi"/>
          <w:color w:val="000000" w:themeColor="text1"/>
          <w:sz w:val="24"/>
          <w:szCs w:val="24"/>
          <w:lang w:val="ro-MD"/>
        </w:rPr>
        <w:t>To</w:t>
      </w:r>
      <w:r w:rsidR="00E70406" w:rsidRPr="00B13B9A">
        <w:rPr>
          <w:rFonts w:asciiTheme="majorHAnsi" w:hAnsiTheme="majorHAnsi" w:cstheme="majorHAnsi"/>
          <w:color w:val="000000" w:themeColor="text1"/>
          <w:sz w:val="24"/>
          <w:szCs w:val="24"/>
          <w:lang w:val="ro-MD"/>
        </w:rPr>
        <w:t>todată, costul unei zile</w:t>
      </w:r>
      <w:r w:rsidR="002E12C9" w:rsidRPr="00B13B9A">
        <w:rPr>
          <w:rFonts w:asciiTheme="majorHAnsi" w:hAnsiTheme="majorHAnsi" w:cstheme="majorHAnsi"/>
          <w:color w:val="000000" w:themeColor="text1"/>
          <w:sz w:val="24"/>
          <w:szCs w:val="24"/>
          <w:lang w:val="ro-MD"/>
        </w:rPr>
        <w:t>/</w:t>
      </w:r>
      <w:r w:rsidR="00E70406" w:rsidRPr="00B13B9A">
        <w:rPr>
          <w:rFonts w:asciiTheme="majorHAnsi" w:hAnsiTheme="majorHAnsi" w:cstheme="majorHAnsi"/>
          <w:color w:val="000000" w:themeColor="text1"/>
          <w:sz w:val="24"/>
          <w:szCs w:val="24"/>
          <w:lang w:val="ro-MD"/>
        </w:rPr>
        <w:t>pat</w:t>
      </w:r>
      <w:r w:rsidR="002E12C9" w:rsidRPr="00B13B9A">
        <w:rPr>
          <w:rFonts w:asciiTheme="majorHAnsi" w:hAnsiTheme="majorHAnsi" w:cstheme="majorHAnsi"/>
          <w:color w:val="000000" w:themeColor="text1"/>
          <w:sz w:val="24"/>
          <w:szCs w:val="24"/>
          <w:lang w:val="ro-MD"/>
        </w:rPr>
        <w:t>,</w:t>
      </w:r>
      <w:r w:rsidR="00E70406" w:rsidRPr="00B13B9A">
        <w:rPr>
          <w:rFonts w:asciiTheme="majorHAnsi" w:hAnsiTheme="majorHAnsi" w:cstheme="majorHAnsi"/>
          <w:color w:val="000000" w:themeColor="text1"/>
          <w:sz w:val="24"/>
          <w:szCs w:val="24"/>
          <w:lang w:val="ro-MD"/>
        </w:rPr>
        <w:t xml:space="preserve"> conform </w:t>
      </w:r>
      <w:r w:rsidR="002E12C9" w:rsidRPr="00B13B9A">
        <w:rPr>
          <w:rFonts w:asciiTheme="majorHAnsi" w:hAnsiTheme="majorHAnsi" w:cstheme="majorHAnsi"/>
          <w:color w:val="000000" w:themeColor="text1"/>
          <w:sz w:val="24"/>
          <w:szCs w:val="24"/>
          <w:lang w:val="ro-MD"/>
        </w:rPr>
        <w:t xml:space="preserve">indicelui </w:t>
      </w:r>
      <w:r w:rsidR="00E70406" w:rsidRPr="00B13B9A">
        <w:rPr>
          <w:rFonts w:asciiTheme="majorHAnsi" w:hAnsiTheme="majorHAnsi" w:cstheme="majorHAnsi"/>
          <w:color w:val="000000" w:themeColor="text1"/>
          <w:sz w:val="24"/>
          <w:szCs w:val="24"/>
          <w:lang w:val="ro-MD"/>
        </w:rPr>
        <w:t>de 16</w:t>
      </w:r>
      <w:r w:rsidR="005062BA" w:rsidRPr="00B13B9A">
        <w:rPr>
          <w:rFonts w:asciiTheme="majorHAnsi" w:hAnsiTheme="majorHAnsi" w:cstheme="majorHAnsi"/>
          <w:color w:val="000000" w:themeColor="text1"/>
          <w:sz w:val="24"/>
          <w:szCs w:val="24"/>
          <w:lang w:val="ro-MD"/>
        </w:rPr>
        <w:t xml:space="preserve"> </w:t>
      </w:r>
      <w:r w:rsidR="00E70406" w:rsidRPr="00B13B9A">
        <w:rPr>
          <w:rFonts w:asciiTheme="majorHAnsi" w:hAnsiTheme="majorHAnsi" w:cstheme="majorHAnsi"/>
          <w:color w:val="000000" w:themeColor="text1"/>
          <w:sz w:val="24"/>
          <w:szCs w:val="24"/>
          <w:lang w:val="ro-MD"/>
        </w:rPr>
        <w:t>133 zile/pat</w:t>
      </w:r>
      <w:r w:rsidR="005062BA" w:rsidRPr="00B13B9A">
        <w:rPr>
          <w:rFonts w:asciiTheme="majorHAnsi" w:hAnsiTheme="majorHAnsi" w:cstheme="majorHAnsi"/>
          <w:color w:val="000000" w:themeColor="text1"/>
          <w:sz w:val="24"/>
          <w:szCs w:val="24"/>
          <w:lang w:val="ro-MD"/>
        </w:rPr>
        <w:t xml:space="preserve"> în anul 2022</w:t>
      </w:r>
      <w:r w:rsidR="002E12C9" w:rsidRPr="00B13B9A">
        <w:rPr>
          <w:rFonts w:asciiTheme="majorHAnsi" w:hAnsiTheme="majorHAnsi" w:cstheme="majorHAnsi"/>
          <w:color w:val="000000" w:themeColor="text1"/>
          <w:sz w:val="24"/>
          <w:szCs w:val="24"/>
          <w:lang w:val="ro-MD"/>
        </w:rPr>
        <w:t>,</w:t>
      </w:r>
      <w:r w:rsidR="00E70406" w:rsidRPr="00B13B9A">
        <w:rPr>
          <w:rFonts w:asciiTheme="majorHAnsi" w:hAnsiTheme="majorHAnsi" w:cstheme="majorHAnsi"/>
          <w:color w:val="000000" w:themeColor="text1"/>
          <w:sz w:val="24"/>
          <w:szCs w:val="24"/>
          <w:lang w:val="ro-MD"/>
        </w:rPr>
        <w:t xml:space="preserve"> a constituit</w:t>
      </w:r>
      <w:r w:rsidR="005062BA" w:rsidRPr="00B13B9A">
        <w:rPr>
          <w:rFonts w:asciiTheme="majorHAnsi" w:hAnsiTheme="majorHAnsi" w:cstheme="majorHAnsi"/>
          <w:color w:val="000000" w:themeColor="text1"/>
          <w:sz w:val="24"/>
          <w:szCs w:val="24"/>
          <w:lang w:val="ro-MD"/>
        </w:rPr>
        <w:t xml:space="preserve"> </w:t>
      </w:r>
      <w:r w:rsidR="00E70406" w:rsidRPr="00B13B9A">
        <w:rPr>
          <w:rFonts w:asciiTheme="majorHAnsi" w:hAnsiTheme="majorHAnsi" w:cstheme="majorHAnsi"/>
          <w:color w:val="000000" w:themeColor="text1"/>
          <w:sz w:val="24"/>
          <w:szCs w:val="24"/>
          <w:lang w:val="ro-MD"/>
        </w:rPr>
        <w:t>1</w:t>
      </w:r>
      <w:r w:rsidR="005062BA" w:rsidRPr="00B13B9A">
        <w:rPr>
          <w:rFonts w:asciiTheme="majorHAnsi" w:hAnsiTheme="majorHAnsi" w:cstheme="majorHAnsi"/>
          <w:color w:val="000000" w:themeColor="text1"/>
          <w:sz w:val="24"/>
          <w:szCs w:val="24"/>
          <w:lang w:val="ro-MD"/>
        </w:rPr>
        <w:t xml:space="preserve"> </w:t>
      </w:r>
      <w:r w:rsidR="00E70406" w:rsidRPr="00B13B9A">
        <w:rPr>
          <w:rFonts w:asciiTheme="majorHAnsi" w:hAnsiTheme="majorHAnsi" w:cstheme="majorHAnsi"/>
          <w:color w:val="000000" w:themeColor="text1"/>
          <w:sz w:val="24"/>
          <w:szCs w:val="24"/>
          <w:lang w:val="ro-MD"/>
        </w:rPr>
        <w:t>628,0 lei, comparativ cu tariful aprobat de 1</w:t>
      </w:r>
      <w:r w:rsidR="005062BA" w:rsidRPr="00B13B9A">
        <w:rPr>
          <w:rFonts w:asciiTheme="majorHAnsi" w:hAnsiTheme="majorHAnsi" w:cstheme="majorHAnsi"/>
          <w:color w:val="000000" w:themeColor="text1"/>
          <w:sz w:val="24"/>
          <w:szCs w:val="24"/>
          <w:lang w:val="ro-MD"/>
        </w:rPr>
        <w:t xml:space="preserve"> </w:t>
      </w:r>
      <w:r w:rsidR="00E70406" w:rsidRPr="00B13B9A">
        <w:rPr>
          <w:rFonts w:asciiTheme="majorHAnsi" w:hAnsiTheme="majorHAnsi" w:cstheme="majorHAnsi"/>
          <w:color w:val="000000" w:themeColor="text1"/>
          <w:sz w:val="24"/>
          <w:szCs w:val="24"/>
          <w:lang w:val="ro-MD"/>
        </w:rPr>
        <w:t>130 lei pentru o zi/pat, ceea ce constituie cu 498 lei mai mult. Se remarcă că</w:t>
      </w:r>
      <w:r w:rsidR="002E12C9" w:rsidRPr="00B13B9A">
        <w:rPr>
          <w:rFonts w:asciiTheme="majorHAnsi" w:hAnsiTheme="majorHAnsi" w:cstheme="majorHAnsi"/>
          <w:color w:val="000000" w:themeColor="text1"/>
          <w:sz w:val="24"/>
          <w:szCs w:val="24"/>
          <w:lang w:val="ro-MD"/>
        </w:rPr>
        <w:t>,</w:t>
      </w:r>
      <w:r w:rsidR="00E70406" w:rsidRPr="00B13B9A">
        <w:rPr>
          <w:rFonts w:asciiTheme="majorHAnsi" w:hAnsiTheme="majorHAnsi" w:cstheme="majorHAnsi"/>
          <w:color w:val="000000" w:themeColor="text1"/>
          <w:sz w:val="24"/>
          <w:szCs w:val="24"/>
          <w:lang w:val="ro-MD"/>
        </w:rPr>
        <w:t xml:space="preserve"> în condi</w:t>
      </w:r>
      <w:r w:rsidR="00B13B9A" w:rsidRPr="00B13B9A">
        <w:rPr>
          <w:rFonts w:asciiTheme="majorHAnsi" w:hAnsiTheme="majorHAnsi" w:cstheme="majorHAnsi"/>
          <w:color w:val="000000" w:themeColor="text1"/>
          <w:sz w:val="24"/>
          <w:szCs w:val="24"/>
          <w:lang w:val="ro-MD"/>
        </w:rPr>
        <w:t>ț</w:t>
      </w:r>
      <w:r w:rsidR="00E70406" w:rsidRPr="00B13B9A">
        <w:rPr>
          <w:rFonts w:asciiTheme="majorHAnsi" w:hAnsiTheme="majorHAnsi" w:cstheme="majorHAnsi"/>
          <w:color w:val="000000" w:themeColor="text1"/>
          <w:sz w:val="24"/>
          <w:szCs w:val="24"/>
          <w:lang w:val="ro-MD"/>
        </w:rPr>
        <w:t xml:space="preserve">iile normative aprobate </w:t>
      </w:r>
      <w:r w:rsidR="002E12C9" w:rsidRPr="00B13B9A">
        <w:rPr>
          <w:rFonts w:asciiTheme="majorHAnsi" w:hAnsiTheme="majorHAnsi" w:cstheme="majorHAnsi"/>
          <w:color w:val="000000" w:themeColor="text1"/>
          <w:sz w:val="24"/>
          <w:szCs w:val="24"/>
          <w:lang w:val="ro-MD"/>
        </w:rPr>
        <w:t>privind</w:t>
      </w:r>
      <w:r w:rsidR="00E70406" w:rsidRPr="00B13B9A">
        <w:rPr>
          <w:rFonts w:asciiTheme="majorHAnsi" w:hAnsiTheme="majorHAnsi" w:cstheme="majorHAnsi"/>
          <w:color w:val="000000" w:themeColor="text1"/>
          <w:sz w:val="24"/>
          <w:szCs w:val="24"/>
          <w:lang w:val="ro-MD"/>
        </w:rPr>
        <w:t xml:space="preserve"> capacitate</w:t>
      </w:r>
      <w:r w:rsidR="002E12C9" w:rsidRPr="00B13B9A">
        <w:rPr>
          <w:rFonts w:asciiTheme="majorHAnsi" w:hAnsiTheme="majorHAnsi" w:cstheme="majorHAnsi"/>
          <w:color w:val="000000" w:themeColor="text1"/>
          <w:sz w:val="24"/>
          <w:szCs w:val="24"/>
          <w:lang w:val="ro-MD"/>
        </w:rPr>
        <w:t>a</w:t>
      </w:r>
      <w:r w:rsidR="00E70406" w:rsidRPr="00B13B9A">
        <w:rPr>
          <w:rFonts w:asciiTheme="majorHAnsi" w:hAnsiTheme="majorHAnsi" w:cstheme="majorHAnsi"/>
          <w:color w:val="000000" w:themeColor="text1"/>
          <w:sz w:val="24"/>
          <w:szCs w:val="24"/>
          <w:lang w:val="ro-MD"/>
        </w:rPr>
        <w:t xml:space="preserve"> maximă a clinicii (24</w:t>
      </w:r>
      <w:r w:rsidR="005062BA" w:rsidRPr="00B13B9A">
        <w:rPr>
          <w:rFonts w:asciiTheme="majorHAnsi" w:hAnsiTheme="majorHAnsi" w:cstheme="majorHAnsi"/>
          <w:color w:val="000000" w:themeColor="text1"/>
          <w:sz w:val="24"/>
          <w:szCs w:val="24"/>
          <w:lang w:val="ro-MD"/>
        </w:rPr>
        <w:t xml:space="preserve"> </w:t>
      </w:r>
      <w:r w:rsidR="00E70406" w:rsidRPr="00B13B9A">
        <w:rPr>
          <w:rFonts w:asciiTheme="majorHAnsi" w:hAnsiTheme="majorHAnsi" w:cstheme="majorHAnsi"/>
          <w:color w:val="000000" w:themeColor="text1"/>
          <w:sz w:val="24"/>
          <w:szCs w:val="24"/>
          <w:lang w:val="ro-MD"/>
        </w:rPr>
        <w:t>820 zile/pat)</w:t>
      </w:r>
      <w:r w:rsidR="002E12C9" w:rsidRPr="00B13B9A">
        <w:rPr>
          <w:rFonts w:asciiTheme="majorHAnsi" w:hAnsiTheme="majorHAnsi" w:cstheme="majorHAnsi"/>
          <w:color w:val="000000" w:themeColor="text1"/>
          <w:sz w:val="24"/>
          <w:szCs w:val="24"/>
          <w:lang w:val="ro-MD"/>
        </w:rPr>
        <w:t>,</w:t>
      </w:r>
      <w:r w:rsidR="00E70406" w:rsidRPr="00B13B9A">
        <w:rPr>
          <w:rFonts w:asciiTheme="majorHAnsi" w:hAnsiTheme="majorHAnsi" w:cstheme="majorHAnsi"/>
          <w:color w:val="000000" w:themeColor="text1"/>
          <w:sz w:val="24"/>
          <w:szCs w:val="24"/>
          <w:lang w:val="ro-MD"/>
        </w:rPr>
        <w:t xml:space="preserve"> costul </w:t>
      </w:r>
      <w:r w:rsidR="002E12C9" w:rsidRPr="00B13B9A">
        <w:rPr>
          <w:rFonts w:asciiTheme="majorHAnsi" w:hAnsiTheme="majorHAnsi" w:cstheme="majorHAnsi"/>
          <w:color w:val="000000" w:themeColor="text1"/>
          <w:sz w:val="24"/>
          <w:szCs w:val="24"/>
          <w:lang w:val="ro-MD"/>
        </w:rPr>
        <w:t xml:space="preserve">unei zile/pat </w:t>
      </w:r>
      <w:r w:rsidR="00E70406" w:rsidRPr="00B13B9A">
        <w:rPr>
          <w:rFonts w:asciiTheme="majorHAnsi" w:hAnsiTheme="majorHAnsi" w:cstheme="majorHAnsi"/>
          <w:color w:val="000000" w:themeColor="text1"/>
          <w:sz w:val="24"/>
          <w:szCs w:val="24"/>
          <w:lang w:val="ro-MD"/>
        </w:rPr>
        <w:t>se estimează la 1</w:t>
      </w:r>
      <w:r w:rsidR="005062BA" w:rsidRPr="00B13B9A">
        <w:rPr>
          <w:rFonts w:asciiTheme="majorHAnsi" w:hAnsiTheme="majorHAnsi" w:cstheme="majorHAnsi"/>
          <w:color w:val="000000" w:themeColor="text1"/>
          <w:sz w:val="24"/>
          <w:szCs w:val="24"/>
          <w:lang w:val="ro-MD"/>
        </w:rPr>
        <w:t xml:space="preserve"> </w:t>
      </w:r>
      <w:r w:rsidR="00E70406" w:rsidRPr="00B13B9A">
        <w:rPr>
          <w:rFonts w:asciiTheme="majorHAnsi" w:hAnsiTheme="majorHAnsi" w:cstheme="majorHAnsi"/>
          <w:color w:val="000000" w:themeColor="text1"/>
          <w:sz w:val="24"/>
          <w:szCs w:val="24"/>
          <w:lang w:val="ro-MD"/>
        </w:rPr>
        <w:t xml:space="preserve">093,0 lei, </w:t>
      </w:r>
      <w:r w:rsidR="002E12C9" w:rsidRPr="00B13B9A">
        <w:rPr>
          <w:rFonts w:asciiTheme="majorHAnsi" w:hAnsiTheme="majorHAnsi" w:cstheme="majorHAnsi"/>
          <w:color w:val="000000" w:themeColor="text1"/>
          <w:sz w:val="24"/>
          <w:szCs w:val="24"/>
          <w:lang w:val="ro-MD"/>
        </w:rPr>
        <w:t xml:space="preserve">ceea </w:t>
      </w:r>
      <w:r w:rsidR="00E70406" w:rsidRPr="00B13B9A">
        <w:rPr>
          <w:rFonts w:asciiTheme="majorHAnsi" w:hAnsiTheme="majorHAnsi" w:cstheme="majorHAnsi"/>
          <w:color w:val="000000" w:themeColor="text1"/>
          <w:sz w:val="24"/>
          <w:szCs w:val="24"/>
          <w:lang w:val="ro-MD"/>
        </w:rPr>
        <w:t>ce se încad</w:t>
      </w:r>
      <w:r w:rsidR="002B2299" w:rsidRPr="00B13B9A">
        <w:rPr>
          <w:rFonts w:asciiTheme="majorHAnsi" w:hAnsiTheme="majorHAnsi" w:cstheme="majorHAnsi"/>
          <w:color w:val="000000" w:themeColor="text1"/>
          <w:sz w:val="24"/>
          <w:szCs w:val="24"/>
          <w:lang w:val="ro-MD"/>
        </w:rPr>
        <w:t>rează în tariful serviciilor contractate.</w:t>
      </w:r>
    </w:p>
    <w:p w14:paraId="731FB9BB" w14:textId="15881B63" w:rsidR="008141DA" w:rsidRPr="00B13B9A" w:rsidRDefault="00E70406" w:rsidP="00BB3944">
      <w:pPr>
        <w:pStyle w:val="a7"/>
        <w:spacing w:after="0" w:line="276" w:lineRule="auto"/>
        <w:ind w:left="0"/>
        <w:jc w:val="both"/>
        <w:rPr>
          <w:rFonts w:asciiTheme="majorHAnsi" w:hAnsiTheme="majorHAnsi" w:cstheme="majorHAnsi"/>
          <w:color w:val="000000" w:themeColor="text1"/>
          <w:sz w:val="24"/>
          <w:szCs w:val="24"/>
          <w:lang w:val="ro-MD"/>
        </w:rPr>
      </w:pPr>
      <w:r w:rsidRPr="00B13B9A">
        <w:rPr>
          <w:rFonts w:asciiTheme="majorHAnsi" w:hAnsiTheme="majorHAnsi" w:cstheme="majorHAnsi"/>
          <w:color w:val="000000" w:themeColor="text1"/>
          <w:sz w:val="24"/>
          <w:szCs w:val="24"/>
          <w:lang w:val="ro-MD"/>
        </w:rPr>
        <w:t>Se denotă că</w:t>
      </w:r>
      <w:r w:rsidR="008141DA" w:rsidRPr="00B13B9A">
        <w:rPr>
          <w:rFonts w:asciiTheme="majorHAnsi" w:hAnsiTheme="majorHAnsi" w:cstheme="majorHAnsi"/>
          <w:color w:val="000000" w:themeColor="text1"/>
          <w:sz w:val="24"/>
          <w:szCs w:val="24"/>
          <w:lang w:val="ro-MD"/>
        </w:rPr>
        <w:t>,</w:t>
      </w:r>
      <w:r w:rsidRPr="00B13B9A">
        <w:rPr>
          <w:rFonts w:asciiTheme="majorHAnsi" w:hAnsiTheme="majorHAnsi" w:cstheme="majorHAnsi"/>
          <w:color w:val="000000" w:themeColor="text1"/>
          <w:sz w:val="24"/>
          <w:szCs w:val="24"/>
          <w:lang w:val="ro-MD"/>
        </w:rPr>
        <w:t xml:space="preserve"> în anul 2021, </w:t>
      </w:r>
      <w:r w:rsidR="00B9390C" w:rsidRPr="00B13B9A">
        <w:rPr>
          <w:rFonts w:asciiTheme="majorHAnsi" w:hAnsiTheme="majorHAnsi" w:cstheme="majorHAnsi"/>
          <w:color w:val="000000" w:themeColor="text1"/>
          <w:sz w:val="24"/>
          <w:szCs w:val="24"/>
          <w:lang w:val="ro-MD"/>
        </w:rPr>
        <w:t>IMSP IF</w:t>
      </w:r>
      <w:r w:rsidR="004E1122" w:rsidRPr="00B13B9A">
        <w:rPr>
          <w:rFonts w:asciiTheme="majorHAnsi" w:hAnsiTheme="majorHAnsi" w:cstheme="majorHAnsi"/>
          <w:color w:val="000000" w:themeColor="text1"/>
          <w:sz w:val="24"/>
          <w:szCs w:val="24"/>
          <w:lang w:val="ro-MD"/>
        </w:rPr>
        <w:t>P</w:t>
      </w:r>
      <w:r w:rsidR="00B9390C" w:rsidRPr="00B13B9A">
        <w:rPr>
          <w:rFonts w:asciiTheme="majorHAnsi" w:hAnsiTheme="majorHAnsi" w:cstheme="majorHAnsi"/>
          <w:color w:val="000000" w:themeColor="text1"/>
          <w:sz w:val="24"/>
          <w:szCs w:val="24"/>
          <w:lang w:val="ro-MD"/>
        </w:rPr>
        <w:t xml:space="preserve"> </w:t>
      </w:r>
      <w:r w:rsidR="004E1122" w:rsidRPr="00B13B9A">
        <w:rPr>
          <w:rFonts w:asciiTheme="majorHAnsi" w:hAnsiTheme="majorHAnsi" w:cstheme="majorHAnsi"/>
          <w:sz w:val="24"/>
          <w:szCs w:val="24"/>
          <w:lang w:val="ro-MD"/>
        </w:rPr>
        <w:t>„Chiril Draganiuc”</w:t>
      </w:r>
      <w:r w:rsidRPr="00B13B9A">
        <w:rPr>
          <w:rFonts w:asciiTheme="majorHAnsi" w:hAnsiTheme="majorHAnsi" w:cstheme="majorHAnsi"/>
          <w:color w:val="000000" w:themeColor="text1"/>
          <w:sz w:val="24"/>
          <w:szCs w:val="24"/>
          <w:lang w:val="ro-MD"/>
        </w:rPr>
        <w:t xml:space="preserve"> </w:t>
      </w:r>
      <w:r w:rsidR="00B9390C" w:rsidRPr="00B13B9A">
        <w:rPr>
          <w:rFonts w:asciiTheme="majorHAnsi" w:hAnsiTheme="majorHAnsi" w:cstheme="majorHAnsi"/>
          <w:color w:val="000000" w:themeColor="text1"/>
          <w:sz w:val="24"/>
          <w:szCs w:val="24"/>
          <w:lang w:val="ro-MD"/>
        </w:rPr>
        <w:t>s-a adresat către fondator cu propunerea de a reorganiza Serviciul spitalicesc specializat prin crearea unei institu</w:t>
      </w:r>
      <w:r w:rsidR="00B13B9A" w:rsidRPr="00B13B9A">
        <w:rPr>
          <w:rFonts w:asciiTheme="majorHAnsi" w:hAnsiTheme="majorHAnsi" w:cstheme="majorHAnsi"/>
          <w:color w:val="000000" w:themeColor="text1"/>
          <w:sz w:val="24"/>
          <w:szCs w:val="24"/>
          <w:lang w:val="ro-MD"/>
        </w:rPr>
        <w:t>ț</w:t>
      </w:r>
      <w:r w:rsidR="00B9390C" w:rsidRPr="00B13B9A">
        <w:rPr>
          <w:rFonts w:asciiTheme="majorHAnsi" w:hAnsiTheme="majorHAnsi" w:cstheme="majorHAnsi"/>
          <w:color w:val="000000" w:themeColor="text1"/>
          <w:sz w:val="24"/>
          <w:szCs w:val="24"/>
          <w:lang w:val="ro-MD"/>
        </w:rPr>
        <w:t>ii medicale de nivel republican</w:t>
      </w:r>
      <w:r w:rsidR="008141DA" w:rsidRPr="00B13B9A">
        <w:rPr>
          <w:rFonts w:asciiTheme="majorHAnsi" w:hAnsiTheme="majorHAnsi" w:cstheme="majorHAnsi"/>
          <w:color w:val="000000" w:themeColor="text1"/>
          <w:sz w:val="24"/>
          <w:szCs w:val="24"/>
          <w:lang w:val="ro-MD"/>
        </w:rPr>
        <w:t xml:space="preserve"> </w:t>
      </w:r>
      <w:r w:rsidR="00B13B9A" w:rsidRPr="00B13B9A">
        <w:rPr>
          <w:rFonts w:asciiTheme="majorHAnsi" w:hAnsiTheme="majorHAnsi" w:cstheme="majorHAnsi"/>
          <w:color w:val="000000" w:themeColor="text1"/>
          <w:sz w:val="24"/>
          <w:szCs w:val="24"/>
          <w:lang w:val="ro-MD"/>
        </w:rPr>
        <w:t>ș</w:t>
      </w:r>
      <w:r w:rsidR="008141DA" w:rsidRPr="00B13B9A">
        <w:rPr>
          <w:rFonts w:asciiTheme="majorHAnsi" w:hAnsiTheme="majorHAnsi" w:cstheme="majorHAnsi"/>
          <w:color w:val="000000" w:themeColor="text1"/>
          <w:sz w:val="24"/>
          <w:szCs w:val="24"/>
          <w:lang w:val="ro-MD"/>
        </w:rPr>
        <w:t>i</w:t>
      </w:r>
      <w:r w:rsidR="00B9390C" w:rsidRPr="00B13B9A">
        <w:rPr>
          <w:rFonts w:asciiTheme="majorHAnsi" w:hAnsiTheme="majorHAnsi" w:cstheme="majorHAnsi"/>
          <w:color w:val="000000" w:themeColor="text1"/>
          <w:sz w:val="24"/>
          <w:szCs w:val="24"/>
          <w:lang w:val="ro-MD"/>
        </w:rPr>
        <w:t xml:space="preserve"> instituirea unui management comun, cu optimizarea numărului de paturi, adică prin fuzionarea cu IMSP Spitalul Municipal de Ftiziopneumologie, iar clinica Vorniceni </w:t>
      </w:r>
      <w:r w:rsidR="008141DA" w:rsidRPr="00B13B9A">
        <w:rPr>
          <w:rFonts w:asciiTheme="majorHAnsi" w:hAnsiTheme="majorHAnsi" w:cstheme="majorHAnsi"/>
          <w:color w:val="000000" w:themeColor="text1"/>
          <w:sz w:val="24"/>
          <w:szCs w:val="24"/>
          <w:lang w:val="ro-MD"/>
        </w:rPr>
        <w:t xml:space="preserve">să fie </w:t>
      </w:r>
      <w:r w:rsidR="00B9390C" w:rsidRPr="00B13B9A">
        <w:rPr>
          <w:rFonts w:asciiTheme="majorHAnsi" w:hAnsiTheme="majorHAnsi" w:cstheme="majorHAnsi"/>
          <w:color w:val="000000" w:themeColor="text1"/>
          <w:sz w:val="24"/>
          <w:szCs w:val="24"/>
          <w:lang w:val="ro-MD"/>
        </w:rPr>
        <w:t>reprofilată pentru alt</w:t>
      </w:r>
      <w:r w:rsidRPr="00B13B9A">
        <w:rPr>
          <w:rFonts w:asciiTheme="majorHAnsi" w:hAnsiTheme="majorHAnsi" w:cstheme="majorHAnsi"/>
          <w:color w:val="000000" w:themeColor="text1"/>
          <w:sz w:val="24"/>
          <w:szCs w:val="24"/>
          <w:lang w:val="ro-MD"/>
        </w:rPr>
        <w:t>e necesită</w:t>
      </w:r>
      <w:r w:rsidR="00B13B9A" w:rsidRPr="00B13B9A">
        <w:rPr>
          <w:rFonts w:asciiTheme="majorHAnsi" w:hAnsiTheme="majorHAnsi" w:cstheme="majorHAnsi"/>
          <w:color w:val="000000" w:themeColor="text1"/>
          <w:sz w:val="24"/>
          <w:szCs w:val="24"/>
          <w:lang w:val="ro-MD"/>
        </w:rPr>
        <w:t>ț</w:t>
      </w:r>
      <w:r w:rsidRPr="00B13B9A">
        <w:rPr>
          <w:rFonts w:asciiTheme="majorHAnsi" w:hAnsiTheme="majorHAnsi" w:cstheme="majorHAnsi"/>
          <w:color w:val="000000" w:themeColor="text1"/>
          <w:sz w:val="24"/>
          <w:szCs w:val="24"/>
          <w:lang w:val="ro-MD"/>
        </w:rPr>
        <w:t xml:space="preserve">i ale fondatorului. </w:t>
      </w:r>
      <w:r w:rsidR="00B9390C" w:rsidRPr="00B13B9A">
        <w:rPr>
          <w:rFonts w:asciiTheme="majorHAnsi" w:hAnsiTheme="majorHAnsi" w:cstheme="majorHAnsi"/>
          <w:color w:val="000000" w:themeColor="text1"/>
          <w:sz w:val="24"/>
          <w:szCs w:val="24"/>
          <w:lang w:val="ro-MD"/>
        </w:rPr>
        <w:t>La 14.01.2022 entitatea inform</w:t>
      </w:r>
      <w:r w:rsidR="008141DA" w:rsidRPr="00B13B9A">
        <w:rPr>
          <w:rFonts w:asciiTheme="majorHAnsi" w:hAnsiTheme="majorHAnsi" w:cstheme="majorHAnsi"/>
          <w:color w:val="000000" w:themeColor="text1"/>
          <w:sz w:val="24"/>
          <w:szCs w:val="24"/>
          <w:lang w:val="ro-MD"/>
        </w:rPr>
        <w:t>ează</w:t>
      </w:r>
      <w:r w:rsidR="00B9390C" w:rsidRPr="00B13B9A">
        <w:rPr>
          <w:rFonts w:asciiTheme="majorHAnsi" w:hAnsiTheme="majorHAnsi" w:cstheme="majorHAnsi"/>
          <w:color w:val="000000" w:themeColor="text1"/>
          <w:sz w:val="24"/>
          <w:szCs w:val="24"/>
          <w:lang w:val="ro-MD"/>
        </w:rPr>
        <w:t xml:space="preserve"> MS despre sist</w:t>
      </w:r>
      <w:r w:rsidR="008141DA" w:rsidRPr="00B13B9A">
        <w:rPr>
          <w:rFonts w:asciiTheme="majorHAnsi" w:hAnsiTheme="majorHAnsi" w:cstheme="majorHAnsi"/>
          <w:color w:val="000000" w:themeColor="text1"/>
          <w:sz w:val="24"/>
          <w:szCs w:val="24"/>
          <w:lang w:val="ro-MD"/>
        </w:rPr>
        <w:t>area</w:t>
      </w:r>
      <w:r w:rsidR="00B9390C" w:rsidRPr="00B13B9A">
        <w:rPr>
          <w:rFonts w:asciiTheme="majorHAnsi" w:hAnsiTheme="majorHAnsi" w:cstheme="majorHAnsi"/>
          <w:color w:val="000000" w:themeColor="text1"/>
          <w:sz w:val="24"/>
          <w:szCs w:val="24"/>
          <w:lang w:val="ro-MD"/>
        </w:rPr>
        <w:t xml:space="preserve"> internării pacien</w:t>
      </w:r>
      <w:r w:rsidR="00B13B9A" w:rsidRPr="00B13B9A">
        <w:rPr>
          <w:rFonts w:asciiTheme="majorHAnsi" w:hAnsiTheme="majorHAnsi" w:cstheme="majorHAnsi"/>
          <w:color w:val="000000" w:themeColor="text1"/>
          <w:sz w:val="24"/>
          <w:szCs w:val="24"/>
          <w:lang w:val="ro-MD"/>
        </w:rPr>
        <w:t>ț</w:t>
      </w:r>
      <w:r w:rsidR="00B9390C" w:rsidRPr="00B13B9A">
        <w:rPr>
          <w:rFonts w:asciiTheme="majorHAnsi" w:hAnsiTheme="majorHAnsi" w:cstheme="majorHAnsi"/>
          <w:color w:val="000000" w:themeColor="text1"/>
          <w:sz w:val="24"/>
          <w:szCs w:val="24"/>
          <w:lang w:val="ro-MD"/>
        </w:rPr>
        <w:t xml:space="preserve">ilor în Clinica Vorniceni, începând cu data de 17.01.2022 </w:t>
      </w:r>
      <w:r w:rsidR="00B13B9A" w:rsidRPr="00B13B9A">
        <w:rPr>
          <w:rFonts w:asciiTheme="majorHAnsi" w:hAnsiTheme="majorHAnsi" w:cstheme="majorHAnsi"/>
          <w:color w:val="000000" w:themeColor="text1"/>
          <w:sz w:val="24"/>
          <w:szCs w:val="24"/>
          <w:lang w:val="ro-MD"/>
        </w:rPr>
        <w:t>ș</w:t>
      </w:r>
      <w:r w:rsidR="00B9390C" w:rsidRPr="00B13B9A">
        <w:rPr>
          <w:rFonts w:asciiTheme="majorHAnsi" w:hAnsiTheme="majorHAnsi" w:cstheme="majorHAnsi"/>
          <w:color w:val="000000" w:themeColor="text1"/>
          <w:sz w:val="24"/>
          <w:szCs w:val="24"/>
          <w:lang w:val="ro-MD"/>
        </w:rPr>
        <w:t>i solicită acordul fondatorului în vederea ini</w:t>
      </w:r>
      <w:r w:rsidR="00B13B9A" w:rsidRPr="00B13B9A">
        <w:rPr>
          <w:rFonts w:asciiTheme="majorHAnsi" w:hAnsiTheme="majorHAnsi" w:cstheme="majorHAnsi"/>
          <w:color w:val="000000" w:themeColor="text1"/>
          <w:sz w:val="24"/>
          <w:szCs w:val="24"/>
          <w:lang w:val="ro-MD"/>
        </w:rPr>
        <w:t>ț</w:t>
      </w:r>
      <w:r w:rsidR="00B9390C" w:rsidRPr="00B13B9A">
        <w:rPr>
          <w:rFonts w:asciiTheme="majorHAnsi" w:hAnsiTheme="majorHAnsi" w:cstheme="majorHAnsi"/>
          <w:color w:val="000000" w:themeColor="text1"/>
          <w:sz w:val="24"/>
          <w:szCs w:val="24"/>
          <w:lang w:val="ro-MD"/>
        </w:rPr>
        <w:t>ierii procesului de încetare a activită</w:t>
      </w:r>
      <w:r w:rsidR="00B13B9A" w:rsidRPr="00B13B9A">
        <w:rPr>
          <w:rFonts w:asciiTheme="majorHAnsi" w:hAnsiTheme="majorHAnsi" w:cstheme="majorHAnsi"/>
          <w:color w:val="000000" w:themeColor="text1"/>
          <w:sz w:val="24"/>
          <w:szCs w:val="24"/>
          <w:lang w:val="ro-MD"/>
        </w:rPr>
        <w:t>ț</w:t>
      </w:r>
      <w:r w:rsidR="00B9390C" w:rsidRPr="00B13B9A">
        <w:rPr>
          <w:rFonts w:asciiTheme="majorHAnsi" w:hAnsiTheme="majorHAnsi" w:cstheme="majorHAnsi"/>
          <w:color w:val="000000" w:themeColor="text1"/>
          <w:sz w:val="24"/>
          <w:szCs w:val="24"/>
          <w:lang w:val="ro-MD"/>
        </w:rPr>
        <w:t xml:space="preserve">ii clinicii </w:t>
      </w:r>
      <w:r w:rsidR="008141DA" w:rsidRPr="00B13B9A">
        <w:rPr>
          <w:rFonts w:asciiTheme="majorHAnsi" w:hAnsiTheme="majorHAnsi" w:cstheme="majorHAnsi"/>
          <w:color w:val="000000" w:themeColor="text1"/>
          <w:sz w:val="24"/>
          <w:szCs w:val="24"/>
          <w:lang w:val="ro-MD"/>
        </w:rPr>
        <w:t xml:space="preserve">din </w:t>
      </w:r>
      <w:r w:rsidR="00B9390C" w:rsidRPr="00B13B9A">
        <w:rPr>
          <w:rFonts w:asciiTheme="majorHAnsi" w:hAnsiTheme="majorHAnsi" w:cstheme="majorHAnsi"/>
          <w:color w:val="000000" w:themeColor="text1"/>
          <w:sz w:val="24"/>
          <w:szCs w:val="24"/>
          <w:lang w:val="ro-MD"/>
        </w:rPr>
        <w:t xml:space="preserve">Vorniceni. </w:t>
      </w:r>
    </w:p>
    <w:p w14:paraId="7973C872" w14:textId="53DF31F1" w:rsidR="00B9390C" w:rsidRPr="00B13B9A" w:rsidRDefault="00E70406" w:rsidP="00BB3944">
      <w:pPr>
        <w:pStyle w:val="a7"/>
        <w:spacing w:after="0" w:line="276" w:lineRule="auto"/>
        <w:ind w:left="0"/>
        <w:jc w:val="both"/>
        <w:rPr>
          <w:rFonts w:asciiTheme="majorHAnsi" w:hAnsiTheme="majorHAnsi" w:cstheme="majorHAnsi"/>
          <w:color w:val="000000" w:themeColor="text1"/>
          <w:sz w:val="24"/>
          <w:szCs w:val="24"/>
          <w:lang w:val="ro-MD"/>
        </w:rPr>
      </w:pPr>
      <w:r w:rsidRPr="00B13B9A">
        <w:rPr>
          <w:rFonts w:asciiTheme="majorHAnsi" w:hAnsiTheme="majorHAnsi" w:cstheme="majorHAnsi"/>
          <w:color w:val="000000" w:themeColor="text1"/>
          <w:sz w:val="24"/>
          <w:szCs w:val="24"/>
          <w:lang w:val="ro-MD"/>
        </w:rPr>
        <w:t xml:space="preserve">În </w:t>
      </w:r>
      <w:r w:rsidR="008141DA" w:rsidRPr="00B13B9A">
        <w:rPr>
          <w:rFonts w:asciiTheme="majorHAnsi" w:hAnsiTheme="majorHAnsi" w:cstheme="majorHAnsi"/>
          <w:color w:val="000000" w:themeColor="text1"/>
          <w:sz w:val="24"/>
          <w:szCs w:val="24"/>
          <w:lang w:val="ro-MD"/>
        </w:rPr>
        <w:t xml:space="preserve">acest </w:t>
      </w:r>
      <w:r w:rsidRPr="00B13B9A">
        <w:rPr>
          <w:rFonts w:asciiTheme="majorHAnsi" w:hAnsiTheme="majorHAnsi" w:cstheme="majorHAnsi"/>
          <w:color w:val="000000" w:themeColor="text1"/>
          <w:sz w:val="24"/>
          <w:szCs w:val="24"/>
          <w:lang w:val="ro-MD"/>
        </w:rPr>
        <w:t>context,</w:t>
      </w:r>
      <w:r w:rsidR="00B9390C" w:rsidRPr="00B13B9A">
        <w:rPr>
          <w:rFonts w:asciiTheme="majorHAnsi" w:hAnsiTheme="majorHAnsi" w:cstheme="majorHAnsi"/>
          <w:color w:val="000000" w:themeColor="text1"/>
          <w:sz w:val="24"/>
          <w:szCs w:val="24"/>
          <w:lang w:val="ro-MD"/>
        </w:rPr>
        <w:t xml:space="preserve"> Ministerul Sănătă</w:t>
      </w:r>
      <w:r w:rsidR="00B13B9A" w:rsidRPr="00B13B9A">
        <w:rPr>
          <w:rFonts w:asciiTheme="majorHAnsi" w:hAnsiTheme="majorHAnsi" w:cstheme="majorHAnsi"/>
          <w:color w:val="000000" w:themeColor="text1"/>
          <w:sz w:val="24"/>
          <w:szCs w:val="24"/>
          <w:lang w:val="ro-MD"/>
        </w:rPr>
        <w:t>ț</w:t>
      </w:r>
      <w:r w:rsidR="00B9390C" w:rsidRPr="00B13B9A">
        <w:rPr>
          <w:rFonts w:asciiTheme="majorHAnsi" w:hAnsiTheme="majorHAnsi" w:cstheme="majorHAnsi"/>
          <w:color w:val="000000" w:themeColor="text1"/>
          <w:sz w:val="24"/>
          <w:szCs w:val="24"/>
          <w:lang w:val="ro-MD"/>
        </w:rPr>
        <w:t xml:space="preserve">ii a </w:t>
      </w:r>
      <w:r w:rsidRPr="00B13B9A">
        <w:rPr>
          <w:rFonts w:asciiTheme="majorHAnsi" w:hAnsiTheme="majorHAnsi" w:cstheme="majorHAnsi"/>
          <w:color w:val="000000" w:themeColor="text1"/>
          <w:sz w:val="24"/>
          <w:szCs w:val="24"/>
          <w:lang w:val="ro-MD"/>
        </w:rPr>
        <w:t>i</w:t>
      </w:r>
      <w:r w:rsidR="00B9390C" w:rsidRPr="00B13B9A">
        <w:rPr>
          <w:rFonts w:asciiTheme="majorHAnsi" w:hAnsiTheme="majorHAnsi" w:cstheme="majorHAnsi"/>
          <w:color w:val="000000" w:themeColor="text1"/>
          <w:sz w:val="24"/>
          <w:szCs w:val="24"/>
          <w:lang w:val="ro-MD"/>
        </w:rPr>
        <w:t>nstitui</w:t>
      </w:r>
      <w:r w:rsidRPr="00B13B9A">
        <w:rPr>
          <w:rFonts w:asciiTheme="majorHAnsi" w:hAnsiTheme="majorHAnsi" w:cstheme="majorHAnsi"/>
          <w:color w:val="000000" w:themeColor="text1"/>
          <w:sz w:val="24"/>
          <w:szCs w:val="24"/>
          <w:lang w:val="ro-MD"/>
        </w:rPr>
        <w:t>t un Grup</w:t>
      </w:r>
      <w:r w:rsidR="00B9390C" w:rsidRPr="00B13B9A">
        <w:rPr>
          <w:rFonts w:asciiTheme="majorHAnsi" w:hAnsiTheme="majorHAnsi" w:cstheme="majorHAnsi"/>
          <w:color w:val="000000" w:themeColor="text1"/>
          <w:sz w:val="24"/>
          <w:szCs w:val="24"/>
          <w:lang w:val="ro-MD"/>
        </w:rPr>
        <w:t xml:space="preserve"> de lucru</w:t>
      </w:r>
      <w:r w:rsidRPr="00B13B9A">
        <w:rPr>
          <w:rStyle w:val="a9"/>
          <w:rFonts w:asciiTheme="majorHAnsi" w:hAnsiTheme="majorHAnsi" w:cstheme="majorHAnsi"/>
          <w:color w:val="000000" w:themeColor="text1"/>
          <w:sz w:val="24"/>
          <w:szCs w:val="24"/>
          <w:lang w:val="ro-MD"/>
        </w:rPr>
        <w:footnoteReference w:id="28"/>
      </w:r>
      <w:r w:rsidR="00B9390C" w:rsidRPr="00B13B9A">
        <w:rPr>
          <w:rFonts w:asciiTheme="majorHAnsi" w:hAnsiTheme="majorHAnsi" w:cstheme="majorHAnsi"/>
          <w:color w:val="000000" w:themeColor="text1"/>
          <w:sz w:val="24"/>
          <w:szCs w:val="24"/>
          <w:lang w:val="ro-MD"/>
        </w:rPr>
        <w:t xml:space="preserve"> </w:t>
      </w:r>
      <w:r w:rsidR="008141DA" w:rsidRPr="00B13B9A">
        <w:rPr>
          <w:rFonts w:asciiTheme="majorHAnsi" w:hAnsiTheme="majorHAnsi" w:cstheme="majorHAnsi"/>
          <w:color w:val="000000" w:themeColor="text1"/>
          <w:sz w:val="24"/>
          <w:szCs w:val="24"/>
          <w:lang w:val="ro-MD"/>
        </w:rPr>
        <w:t>pentru</w:t>
      </w:r>
      <w:r w:rsidR="00B9390C" w:rsidRPr="00B13B9A">
        <w:rPr>
          <w:rFonts w:asciiTheme="majorHAnsi" w:hAnsiTheme="majorHAnsi" w:cstheme="majorHAnsi"/>
          <w:color w:val="000000" w:themeColor="text1"/>
          <w:sz w:val="24"/>
          <w:szCs w:val="24"/>
          <w:lang w:val="ro-MD"/>
        </w:rPr>
        <w:t xml:space="preserve"> evalua</w:t>
      </w:r>
      <w:r w:rsidRPr="00B13B9A">
        <w:rPr>
          <w:rFonts w:asciiTheme="majorHAnsi" w:hAnsiTheme="majorHAnsi" w:cstheme="majorHAnsi"/>
          <w:color w:val="000000" w:themeColor="text1"/>
          <w:sz w:val="24"/>
          <w:szCs w:val="24"/>
          <w:lang w:val="ro-MD"/>
        </w:rPr>
        <w:t>rea</w:t>
      </w:r>
      <w:r w:rsidR="00B9390C" w:rsidRPr="00B13B9A">
        <w:rPr>
          <w:rFonts w:asciiTheme="majorHAnsi" w:hAnsiTheme="majorHAnsi" w:cstheme="majorHAnsi"/>
          <w:color w:val="000000" w:themeColor="text1"/>
          <w:sz w:val="24"/>
          <w:szCs w:val="24"/>
          <w:lang w:val="ro-MD"/>
        </w:rPr>
        <w:t xml:space="preserve"> situa</w:t>
      </w:r>
      <w:r w:rsidR="00B13B9A" w:rsidRPr="00B13B9A">
        <w:rPr>
          <w:rFonts w:asciiTheme="majorHAnsi" w:hAnsiTheme="majorHAnsi" w:cstheme="majorHAnsi"/>
          <w:color w:val="000000" w:themeColor="text1"/>
          <w:sz w:val="24"/>
          <w:szCs w:val="24"/>
          <w:lang w:val="ro-MD"/>
        </w:rPr>
        <w:t>ț</w:t>
      </w:r>
      <w:r w:rsidR="00B9390C" w:rsidRPr="00B13B9A">
        <w:rPr>
          <w:rFonts w:asciiTheme="majorHAnsi" w:hAnsiTheme="majorHAnsi" w:cstheme="majorHAnsi"/>
          <w:color w:val="000000" w:themeColor="text1"/>
          <w:sz w:val="24"/>
          <w:szCs w:val="24"/>
          <w:lang w:val="ro-MD"/>
        </w:rPr>
        <w:t>i</w:t>
      </w:r>
      <w:r w:rsidRPr="00B13B9A">
        <w:rPr>
          <w:rFonts w:asciiTheme="majorHAnsi" w:hAnsiTheme="majorHAnsi" w:cstheme="majorHAnsi"/>
          <w:color w:val="000000" w:themeColor="text1"/>
          <w:sz w:val="24"/>
          <w:szCs w:val="24"/>
          <w:lang w:val="ro-MD"/>
        </w:rPr>
        <w:t>ei</w:t>
      </w:r>
      <w:r w:rsidR="00B9390C" w:rsidRPr="00B13B9A">
        <w:rPr>
          <w:rFonts w:asciiTheme="majorHAnsi" w:hAnsiTheme="majorHAnsi" w:cstheme="majorHAnsi"/>
          <w:color w:val="000000" w:themeColor="text1"/>
          <w:sz w:val="24"/>
          <w:szCs w:val="24"/>
          <w:lang w:val="ro-MD"/>
        </w:rPr>
        <w:t xml:space="preserve"> economico-financiar</w:t>
      </w:r>
      <w:r w:rsidR="00F23026" w:rsidRPr="00B13B9A">
        <w:rPr>
          <w:rFonts w:asciiTheme="majorHAnsi" w:hAnsiTheme="majorHAnsi" w:cstheme="majorHAnsi"/>
          <w:color w:val="000000" w:themeColor="text1"/>
          <w:sz w:val="24"/>
          <w:szCs w:val="24"/>
          <w:lang w:val="ro-MD"/>
        </w:rPr>
        <w:t>e</w:t>
      </w:r>
      <w:r w:rsidR="00B9390C" w:rsidRPr="00B13B9A">
        <w:rPr>
          <w:rFonts w:asciiTheme="majorHAnsi" w:hAnsiTheme="majorHAnsi" w:cstheme="majorHAnsi"/>
          <w:color w:val="000000" w:themeColor="text1"/>
          <w:sz w:val="24"/>
          <w:szCs w:val="24"/>
          <w:lang w:val="ro-MD"/>
        </w:rPr>
        <w:t xml:space="preserve">, </w:t>
      </w:r>
      <w:r w:rsidRPr="00B13B9A">
        <w:rPr>
          <w:rFonts w:asciiTheme="majorHAnsi" w:hAnsiTheme="majorHAnsi" w:cstheme="majorHAnsi"/>
          <w:color w:val="000000" w:themeColor="text1"/>
          <w:sz w:val="24"/>
          <w:szCs w:val="24"/>
          <w:lang w:val="ro-MD"/>
        </w:rPr>
        <w:t>analiz</w:t>
      </w:r>
      <w:r w:rsidR="008141DA" w:rsidRPr="00B13B9A">
        <w:rPr>
          <w:rFonts w:asciiTheme="majorHAnsi" w:hAnsiTheme="majorHAnsi" w:cstheme="majorHAnsi"/>
          <w:color w:val="000000" w:themeColor="text1"/>
          <w:sz w:val="24"/>
          <w:szCs w:val="24"/>
          <w:lang w:val="ro-MD"/>
        </w:rPr>
        <w:t>a</w:t>
      </w:r>
      <w:r w:rsidR="00B9390C" w:rsidRPr="00B13B9A">
        <w:rPr>
          <w:rFonts w:asciiTheme="majorHAnsi" w:hAnsiTheme="majorHAnsi" w:cstheme="majorHAnsi"/>
          <w:color w:val="000000" w:themeColor="text1"/>
          <w:sz w:val="24"/>
          <w:szCs w:val="24"/>
          <w:lang w:val="ro-MD"/>
        </w:rPr>
        <w:t xml:space="preserve"> numărul</w:t>
      </w:r>
      <w:r w:rsidR="008141DA" w:rsidRPr="00B13B9A">
        <w:rPr>
          <w:rFonts w:asciiTheme="majorHAnsi" w:hAnsiTheme="majorHAnsi" w:cstheme="majorHAnsi"/>
          <w:color w:val="000000" w:themeColor="text1"/>
          <w:sz w:val="24"/>
          <w:szCs w:val="24"/>
          <w:lang w:val="ro-MD"/>
        </w:rPr>
        <w:t>ui de</w:t>
      </w:r>
      <w:r w:rsidR="00B9390C" w:rsidRPr="00B13B9A">
        <w:rPr>
          <w:rFonts w:asciiTheme="majorHAnsi" w:hAnsiTheme="majorHAnsi" w:cstheme="majorHAnsi"/>
          <w:color w:val="000000" w:themeColor="text1"/>
          <w:sz w:val="24"/>
          <w:szCs w:val="24"/>
          <w:lang w:val="ro-MD"/>
        </w:rPr>
        <w:t xml:space="preserve"> pacien</w:t>
      </w:r>
      <w:r w:rsidR="00B13B9A" w:rsidRPr="00B13B9A">
        <w:rPr>
          <w:rFonts w:asciiTheme="majorHAnsi" w:hAnsiTheme="majorHAnsi" w:cstheme="majorHAnsi"/>
          <w:color w:val="000000" w:themeColor="text1"/>
          <w:sz w:val="24"/>
          <w:szCs w:val="24"/>
          <w:lang w:val="ro-MD"/>
        </w:rPr>
        <w:t>ț</w:t>
      </w:r>
      <w:r w:rsidR="00B9390C" w:rsidRPr="00B13B9A">
        <w:rPr>
          <w:rFonts w:asciiTheme="majorHAnsi" w:hAnsiTheme="majorHAnsi" w:cstheme="majorHAnsi"/>
          <w:color w:val="000000" w:themeColor="text1"/>
          <w:sz w:val="24"/>
          <w:szCs w:val="24"/>
          <w:lang w:val="ro-MD"/>
        </w:rPr>
        <w:t>i trata</w:t>
      </w:r>
      <w:r w:rsidR="00B13B9A" w:rsidRPr="00B13B9A">
        <w:rPr>
          <w:rFonts w:asciiTheme="majorHAnsi" w:hAnsiTheme="majorHAnsi" w:cstheme="majorHAnsi"/>
          <w:color w:val="000000" w:themeColor="text1"/>
          <w:sz w:val="24"/>
          <w:szCs w:val="24"/>
          <w:lang w:val="ro-MD"/>
        </w:rPr>
        <w:t>ț</w:t>
      </w:r>
      <w:r w:rsidR="00B9390C" w:rsidRPr="00B13B9A">
        <w:rPr>
          <w:rFonts w:asciiTheme="majorHAnsi" w:hAnsiTheme="majorHAnsi" w:cstheme="majorHAnsi"/>
          <w:color w:val="000000" w:themeColor="text1"/>
          <w:sz w:val="24"/>
          <w:szCs w:val="24"/>
          <w:lang w:val="ro-MD"/>
        </w:rPr>
        <w:t>i în raport cu cheltuielile suportate în perioada 2018</w:t>
      </w:r>
      <w:r w:rsidR="005062BA" w:rsidRPr="00B13B9A">
        <w:rPr>
          <w:rFonts w:asciiTheme="majorHAnsi" w:hAnsiTheme="majorHAnsi" w:cstheme="majorHAnsi"/>
          <w:color w:val="000000" w:themeColor="text1"/>
          <w:sz w:val="24"/>
          <w:szCs w:val="24"/>
          <w:lang w:val="ro-MD"/>
        </w:rPr>
        <w:t xml:space="preserve"> </w:t>
      </w:r>
      <w:r w:rsidR="00B9390C" w:rsidRPr="00B13B9A">
        <w:rPr>
          <w:rFonts w:asciiTheme="majorHAnsi" w:hAnsiTheme="majorHAnsi" w:cstheme="majorHAnsi"/>
          <w:color w:val="000000" w:themeColor="text1"/>
          <w:sz w:val="24"/>
          <w:szCs w:val="24"/>
          <w:lang w:val="ro-MD"/>
        </w:rPr>
        <w:t>-</w:t>
      </w:r>
      <w:r w:rsidR="005062BA" w:rsidRPr="00B13B9A">
        <w:rPr>
          <w:rFonts w:asciiTheme="majorHAnsi" w:hAnsiTheme="majorHAnsi" w:cstheme="majorHAnsi"/>
          <w:color w:val="000000" w:themeColor="text1"/>
          <w:sz w:val="24"/>
          <w:szCs w:val="24"/>
          <w:lang w:val="ro-MD"/>
        </w:rPr>
        <w:t xml:space="preserve"> </w:t>
      </w:r>
      <w:r w:rsidR="00B9390C" w:rsidRPr="00B13B9A">
        <w:rPr>
          <w:rFonts w:asciiTheme="majorHAnsi" w:hAnsiTheme="majorHAnsi" w:cstheme="majorHAnsi"/>
          <w:color w:val="000000" w:themeColor="text1"/>
          <w:sz w:val="24"/>
          <w:szCs w:val="24"/>
          <w:lang w:val="ro-MD"/>
        </w:rPr>
        <w:t>2022</w:t>
      </w:r>
      <w:r w:rsidR="008141DA" w:rsidRPr="00B13B9A">
        <w:rPr>
          <w:rFonts w:asciiTheme="majorHAnsi" w:hAnsiTheme="majorHAnsi" w:cstheme="majorHAnsi"/>
          <w:color w:val="000000" w:themeColor="text1"/>
          <w:sz w:val="24"/>
          <w:szCs w:val="24"/>
          <w:lang w:val="ro-MD"/>
        </w:rPr>
        <w:t xml:space="preserve"> (4 luni)</w:t>
      </w:r>
      <w:r w:rsidR="00B9390C" w:rsidRPr="00B13B9A">
        <w:rPr>
          <w:rFonts w:asciiTheme="majorHAnsi" w:hAnsiTheme="majorHAnsi" w:cstheme="majorHAnsi"/>
          <w:color w:val="000000" w:themeColor="text1"/>
          <w:sz w:val="24"/>
          <w:szCs w:val="24"/>
          <w:lang w:val="ro-MD"/>
        </w:rPr>
        <w:t>, evalua</w:t>
      </w:r>
      <w:r w:rsidR="002B2299" w:rsidRPr="00B13B9A">
        <w:rPr>
          <w:rFonts w:asciiTheme="majorHAnsi" w:hAnsiTheme="majorHAnsi" w:cstheme="majorHAnsi"/>
          <w:color w:val="000000" w:themeColor="text1"/>
          <w:sz w:val="24"/>
          <w:szCs w:val="24"/>
          <w:lang w:val="ro-MD"/>
        </w:rPr>
        <w:t>rea bunurilor</w:t>
      </w:r>
      <w:r w:rsidRPr="00B13B9A">
        <w:rPr>
          <w:rFonts w:asciiTheme="majorHAnsi" w:hAnsiTheme="majorHAnsi" w:cstheme="majorHAnsi"/>
          <w:color w:val="000000" w:themeColor="text1"/>
          <w:sz w:val="24"/>
          <w:szCs w:val="24"/>
          <w:lang w:val="ro-MD"/>
        </w:rPr>
        <w:t xml:space="preserve"> aflate în gestiune </w:t>
      </w:r>
      <w:r w:rsidR="00B13B9A" w:rsidRPr="00B13B9A">
        <w:rPr>
          <w:rFonts w:asciiTheme="majorHAnsi" w:hAnsiTheme="majorHAnsi" w:cstheme="majorHAnsi"/>
          <w:color w:val="000000" w:themeColor="text1"/>
          <w:sz w:val="24"/>
          <w:szCs w:val="24"/>
          <w:lang w:val="ro-MD"/>
        </w:rPr>
        <w:t>ș</w:t>
      </w:r>
      <w:r w:rsidRPr="00B13B9A">
        <w:rPr>
          <w:rFonts w:asciiTheme="majorHAnsi" w:hAnsiTheme="majorHAnsi" w:cstheme="majorHAnsi"/>
          <w:color w:val="000000" w:themeColor="text1"/>
          <w:sz w:val="24"/>
          <w:szCs w:val="24"/>
          <w:lang w:val="ro-MD"/>
        </w:rPr>
        <w:t>i</w:t>
      </w:r>
      <w:r w:rsidR="00B9390C" w:rsidRPr="00B13B9A">
        <w:rPr>
          <w:rFonts w:asciiTheme="majorHAnsi" w:hAnsiTheme="majorHAnsi" w:cstheme="majorHAnsi"/>
          <w:color w:val="000000" w:themeColor="text1"/>
          <w:sz w:val="24"/>
          <w:szCs w:val="24"/>
          <w:lang w:val="ro-MD"/>
        </w:rPr>
        <w:t xml:space="preserve"> determina</w:t>
      </w:r>
      <w:r w:rsidRPr="00B13B9A">
        <w:rPr>
          <w:rFonts w:asciiTheme="majorHAnsi" w:hAnsiTheme="majorHAnsi" w:cstheme="majorHAnsi"/>
          <w:color w:val="000000" w:themeColor="text1"/>
          <w:sz w:val="24"/>
          <w:szCs w:val="24"/>
          <w:lang w:val="ro-MD"/>
        </w:rPr>
        <w:t>rea</w:t>
      </w:r>
      <w:r w:rsidR="00B9390C" w:rsidRPr="00B13B9A">
        <w:rPr>
          <w:rFonts w:asciiTheme="majorHAnsi" w:hAnsiTheme="majorHAnsi" w:cstheme="majorHAnsi"/>
          <w:color w:val="000000" w:themeColor="text1"/>
          <w:sz w:val="24"/>
          <w:szCs w:val="24"/>
          <w:lang w:val="ro-MD"/>
        </w:rPr>
        <w:t xml:space="preserve"> parcursul</w:t>
      </w:r>
      <w:r w:rsidRPr="00B13B9A">
        <w:rPr>
          <w:rFonts w:asciiTheme="majorHAnsi" w:hAnsiTheme="majorHAnsi" w:cstheme="majorHAnsi"/>
          <w:color w:val="000000" w:themeColor="text1"/>
          <w:sz w:val="24"/>
          <w:szCs w:val="24"/>
          <w:lang w:val="ro-MD"/>
        </w:rPr>
        <w:t>ui</w:t>
      </w:r>
      <w:r w:rsidR="00B9390C" w:rsidRPr="00B13B9A">
        <w:rPr>
          <w:rFonts w:asciiTheme="majorHAnsi" w:hAnsiTheme="majorHAnsi" w:cstheme="majorHAnsi"/>
          <w:color w:val="000000" w:themeColor="text1"/>
          <w:sz w:val="24"/>
          <w:szCs w:val="24"/>
          <w:lang w:val="ro-MD"/>
        </w:rPr>
        <w:t xml:space="preserve"> ulterior </w:t>
      </w:r>
      <w:r w:rsidR="002B2299" w:rsidRPr="00B13B9A">
        <w:rPr>
          <w:rFonts w:asciiTheme="majorHAnsi" w:hAnsiTheme="majorHAnsi" w:cstheme="majorHAnsi"/>
          <w:color w:val="000000" w:themeColor="text1"/>
          <w:sz w:val="24"/>
          <w:szCs w:val="24"/>
          <w:lang w:val="ro-MD"/>
        </w:rPr>
        <w:t>a</w:t>
      </w:r>
      <w:r w:rsidR="008141DA" w:rsidRPr="00B13B9A">
        <w:rPr>
          <w:rFonts w:asciiTheme="majorHAnsi" w:hAnsiTheme="majorHAnsi" w:cstheme="majorHAnsi"/>
          <w:color w:val="000000" w:themeColor="text1"/>
          <w:sz w:val="24"/>
          <w:szCs w:val="24"/>
          <w:lang w:val="ro-MD"/>
        </w:rPr>
        <w:t>l</w:t>
      </w:r>
      <w:r w:rsidR="002B2299" w:rsidRPr="00B13B9A">
        <w:rPr>
          <w:rFonts w:asciiTheme="majorHAnsi" w:hAnsiTheme="majorHAnsi" w:cstheme="majorHAnsi"/>
          <w:color w:val="000000" w:themeColor="text1"/>
          <w:sz w:val="24"/>
          <w:szCs w:val="24"/>
          <w:lang w:val="ro-MD"/>
        </w:rPr>
        <w:t xml:space="preserve"> </w:t>
      </w:r>
      <w:r w:rsidR="002B3DB6" w:rsidRPr="00B13B9A">
        <w:rPr>
          <w:rFonts w:asciiTheme="majorHAnsi" w:hAnsiTheme="majorHAnsi" w:cstheme="majorHAnsi"/>
          <w:color w:val="000000" w:themeColor="text1"/>
          <w:sz w:val="24"/>
          <w:szCs w:val="24"/>
          <w:lang w:val="ro-MD"/>
        </w:rPr>
        <w:t>c</w:t>
      </w:r>
      <w:r w:rsidR="00B9390C" w:rsidRPr="00B13B9A">
        <w:rPr>
          <w:rFonts w:asciiTheme="majorHAnsi" w:hAnsiTheme="majorHAnsi" w:cstheme="majorHAnsi"/>
          <w:color w:val="000000" w:themeColor="text1"/>
          <w:sz w:val="24"/>
          <w:szCs w:val="24"/>
          <w:lang w:val="ro-MD"/>
        </w:rPr>
        <w:t>linicii.</w:t>
      </w:r>
      <w:r w:rsidRPr="00B13B9A">
        <w:rPr>
          <w:rFonts w:asciiTheme="majorHAnsi" w:hAnsiTheme="majorHAnsi" w:cstheme="majorHAnsi"/>
          <w:color w:val="000000" w:themeColor="text1"/>
          <w:sz w:val="24"/>
          <w:szCs w:val="24"/>
          <w:lang w:val="ro-MD"/>
        </w:rPr>
        <w:t xml:space="preserve"> </w:t>
      </w:r>
      <w:r w:rsidR="002B3DB6" w:rsidRPr="00B13B9A">
        <w:rPr>
          <w:rFonts w:asciiTheme="majorHAnsi" w:hAnsiTheme="majorHAnsi" w:cstheme="majorHAnsi"/>
          <w:sz w:val="24"/>
          <w:szCs w:val="24"/>
          <w:lang w:val="ro-MD"/>
        </w:rPr>
        <w:t xml:space="preserve">De asemenea, pe parcursul anului </w:t>
      </w:r>
      <w:r w:rsidR="00696F11" w:rsidRPr="00B13B9A">
        <w:rPr>
          <w:rFonts w:asciiTheme="majorHAnsi" w:hAnsiTheme="majorHAnsi" w:cstheme="majorHAnsi"/>
          <w:sz w:val="24"/>
          <w:szCs w:val="24"/>
          <w:lang w:val="ro-MD"/>
        </w:rPr>
        <w:t>2022-</w:t>
      </w:r>
      <w:r w:rsidR="002B3DB6" w:rsidRPr="00B13B9A">
        <w:rPr>
          <w:rFonts w:asciiTheme="majorHAnsi" w:hAnsiTheme="majorHAnsi" w:cstheme="majorHAnsi"/>
          <w:sz w:val="24"/>
          <w:szCs w:val="24"/>
          <w:lang w:val="ro-MD"/>
        </w:rPr>
        <w:t xml:space="preserve">2023 MS s-a adresat </w:t>
      </w:r>
      <w:r w:rsidR="00696F11" w:rsidRPr="00B13B9A">
        <w:rPr>
          <w:rFonts w:asciiTheme="majorHAnsi" w:hAnsiTheme="majorHAnsi" w:cstheme="majorHAnsi"/>
          <w:sz w:val="24"/>
          <w:szCs w:val="24"/>
          <w:lang w:val="ro-MD"/>
        </w:rPr>
        <w:t xml:space="preserve">APP </w:t>
      </w:r>
      <w:r w:rsidR="00B13B9A" w:rsidRPr="00B13B9A">
        <w:rPr>
          <w:rFonts w:asciiTheme="majorHAnsi" w:hAnsiTheme="majorHAnsi" w:cstheme="majorHAnsi"/>
          <w:sz w:val="24"/>
          <w:szCs w:val="24"/>
          <w:lang w:val="ro-MD"/>
        </w:rPr>
        <w:t>ș</w:t>
      </w:r>
      <w:r w:rsidR="00696F11" w:rsidRPr="00B13B9A">
        <w:rPr>
          <w:rFonts w:asciiTheme="majorHAnsi" w:hAnsiTheme="majorHAnsi" w:cstheme="majorHAnsi"/>
          <w:sz w:val="24"/>
          <w:szCs w:val="24"/>
          <w:lang w:val="ro-MD"/>
        </w:rPr>
        <w:t>i Guvernului</w:t>
      </w:r>
      <w:r w:rsidR="002B3DB6" w:rsidRPr="00B13B9A">
        <w:rPr>
          <w:rFonts w:asciiTheme="majorHAnsi" w:hAnsiTheme="majorHAnsi" w:cstheme="majorHAnsi"/>
          <w:sz w:val="24"/>
          <w:szCs w:val="24"/>
          <w:lang w:val="ro-MD"/>
        </w:rPr>
        <w:t xml:space="preserve"> privind oportunitatea de transmitere a clinicii în administrarea APP</w:t>
      </w:r>
      <w:r w:rsidR="003F305E" w:rsidRPr="00B13B9A">
        <w:rPr>
          <w:rFonts w:asciiTheme="majorHAnsi" w:hAnsiTheme="majorHAnsi" w:cstheme="majorHAnsi"/>
          <w:sz w:val="24"/>
          <w:szCs w:val="24"/>
          <w:lang w:val="ro-MD"/>
        </w:rPr>
        <w:t xml:space="preserve">. </w:t>
      </w:r>
      <w:r w:rsidR="008141DA" w:rsidRPr="00B13B9A">
        <w:rPr>
          <w:rFonts w:asciiTheme="majorHAnsi" w:hAnsiTheme="majorHAnsi" w:cstheme="majorHAnsi"/>
          <w:sz w:val="24"/>
          <w:szCs w:val="24"/>
          <w:lang w:val="ro-MD"/>
        </w:rPr>
        <w:t>Î</w:t>
      </w:r>
      <w:r w:rsidR="003F305E" w:rsidRPr="00B13B9A">
        <w:rPr>
          <w:rFonts w:asciiTheme="majorHAnsi" w:hAnsiTheme="majorHAnsi" w:cstheme="majorHAnsi"/>
          <w:sz w:val="24"/>
          <w:szCs w:val="24"/>
          <w:lang w:val="ro-MD"/>
        </w:rPr>
        <w:t>n ultima scrisoare a</w:t>
      </w:r>
      <w:r w:rsidR="008141DA" w:rsidRPr="00B13B9A">
        <w:rPr>
          <w:rFonts w:asciiTheme="majorHAnsi" w:hAnsiTheme="majorHAnsi" w:cstheme="majorHAnsi"/>
          <w:sz w:val="24"/>
          <w:szCs w:val="24"/>
          <w:lang w:val="ro-MD"/>
        </w:rPr>
        <w:t>dresată</w:t>
      </w:r>
      <w:r w:rsidR="003F305E" w:rsidRPr="00B13B9A">
        <w:rPr>
          <w:rFonts w:asciiTheme="majorHAnsi" w:hAnsiTheme="majorHAnsi" w:cstheme="majorHAnsi"/>
          <w:sz w:val="24"/>
          <w:szCs w:val="24"/>
          <w:lang w:val="ro-MD"/>
        </w:rPr>
        <w:t xml:space="preserve"> APP </w:t>
      </w:r>
      <w:r w:rsidR="00833424" w:rsidRPr="00B13B9A">
        <w:rPr>
          <w:rFonts w:asciiTheme="majorHAnsi" w:hAnsiTheme="majorHAnsi" w:cstheme="majorHAnsi"/>
          <w:sz w:val="24"/>
          <w:szCs w:val="24"/>
          <w:lang w:val="ro-MD"/>
        </w:rPr>
        <w:t>s-</w:t>
      </w:r>
      <w:r w:rsidR="003F305E" w:rsidRPr="00B13B9A">
        <w:rPr>
          <w:rFonts w:asciiTheme="majorHAnsi" w:hAnsiTheme="majorHAnsi" w:cstheme="majorHAnsi"/>
          <w:sz w:val="24"/>
          <w:szCs w:val="24"/>
          <w:lang w:val="ro-MD"/>
        </w:rPr>
        <w:t xml:space="preserve">a </w:t>
      </w:r>
      <w:r w:rsidR="008141DA" w:rsidRPr="00B13B9A">
        <w:rPr>
          <w:rFonts w:asciiTheme="majorHAnsi" w:hAnsiTheme="majorHAnsi" w:cstheme="majorHAnsi"/>
          <w:sz w:val="24"/>
          <w:szCs w:val="24"/>
          <w:lang w:val="ro-MD"/>
        </w:rPr>
        <w:t>specificat</w:t>
      </w:r>
      <w:r w:rsidR="003F305E" w:rsidRPr="00B13B9A">
        <w:rPr>
          <w:rFonts w:asciiTheme="majorHAnsi" w:hAnsiTheme="majorHAnsi" w:cstheme="majorHAnsi"/>
          <w:sz w:val="24"/>
          <w:szCs w:val="24"/>
          <w:lang w:val="ro-MD"/>
        </w:rPr>
        <w:t xml:space="preserve"> despre lipsa mijloacelor financiare pentru asigurarea pazei </w:t>
      </w:r>
      <w:r w:rsidR="00B13B9A" w:rsidRPr="00B13B9A">
        <w:rPr>
          <w:rFonts w:asciiTheme="majorHAnsi" w:hAnsiTheme="majorHAnsi" w:cstheme="majorHAnsi"/>
          <w:sz w:val="24"/>
          <w:szCs w:val="24"/>
          <w:lang w:val="ro-MD"/>
        </w:rPr>
        <w:t>ș</w:t>
      </w:r>
      <w:r w:rsidR="003F305E" w:rsidRPr="00B13B9A">
        <w:rPr>
          <w:rFonts w:asciiTheme="majorHAnsi" w:hAnsiTheme="majorHAnsi" w:cstheme="majorHAnsi"/>
          <w:sz w:val="24"/>
          <w:szCs w:val="24"/>
          <w:lang w:val="ro-MD"/>
        </w:rPr>
        <w:t>i integrită</w:t>
      </w:r>
      <w:r w:rsidR="00B13B9A" w:rsidRPr="00B13B9A">
        <w:rPr>
          <w:rFonts w:asciiTheme="majorHAnsi" w:hAnsiTheme="majorHAnsi" w:cstheme="majorHAnsi"/>
          <w:sz w:val="24"/>
          <w:szCs w:val="24"/>
          <w:lang w:val="ro-MD"/>
        </w:rPr>
        <w:t>ț</w:t>
      </w:r>
      <w:r w:rsidR="003F305E" w:rsidRPr="00B13B9A">
        <w:rPr>
          <w:rFonts w:asciiTheme="majorHAnsi" w:hAnsiTheme="majorHAnsi" w:cstheme="majorHAnsi"/>
          <w:sz w:val="24"/>
          <w:szCs w:val="24"/>
          <w:lang w:val="ro-MD"/>
        </w:rPr>
        <w:t>ii bunurilor.</w:t>
      </w:r>
      <w:r w:rsidR="00833424" w:rsidRPr="00B13B9A">
        <w:rPr>
          <w:rFonts w:asciiTheme="majorHAnsi" w:hAnsiTheme="majorHAnsi" w:cstheme="majorHAnsi"/>
          <w:sz w:val="24"/>
          <w:szCs w:val="24"/>
          <w:lang w:val="ro-MD"/>
        </w:rPr>
        <w:t xml:space="preserve"> </w:t>
      </w:r>
      <w:r w:rsidR="003F305E" w:rsidRPr="00B13B9A">
        <w:rPr>
          <w:rFonts w:asciiTheme="majorHAnsi" w:hAnsiTheme="majorHAnsi" w:cstheme="majorHAnsi"/>
          <w:sz w:val="24"/>
          <w:szCs w:val="24"/>
          <w:lang w:val="ro-MD"/>
        </w:rPr>
        <w:t>Totodată, ANSP a men</w:t>
      </w:r>
      <w:r w:rsidR="00B13B9A" w:rsidRPr="00B13B9A">
        <w:rPr>
          <w:rFonts w:asciiTheme="majorHAnsi" w:hAnsiTheme="majorHAnsi" w:cstheme="majorHAnsi"/>
          <w:sz w:val="24"/>
          <w:szCs w:val="24"/>
          <w:lang w:val="ro-MD"/>
        </w:rPr>
        <w:t>ț</w:t>
      </w:r>
      <w:r w:rsidR="003F305E" w:rsidRPr="00B13B9A">
        <w:rPr>
          <w:rFonts w:asciiTheme="majorHAnsi" w:hAnsiTheme="majorHAnsi" w:cstheme="majorHAnsi"/>
          <w:sz w:val="24"/>
          <w:szCs w:val="24"/>
          <w:lang w:val="ro-MD"/>
        </w:rPr>
        <w:t>ionat</w:t>
      </w:r>
      <w:r w:rsidR="00833424" w:rsidRPr="00B13B9A">
        <w:rPr>
          <w:rFonts w:asciiTheme="majorHAnsi" w:hAnsiTheme="majorHAnsi" w:cstheme="majorHAnsi"/>
          <w:sz w:val="24"/>
          <w:szCs w:val="24"/>
          <w:lang w:val="ro-MD"/>
        </w:rPr>
        <w:t xml:space="preserve"> că în cadrul modificări</w:t>
      </w:r>
      <w:r w:rsidR="008141DA" w:rsidRPr="00B13B9A">
        <w:rPr>
          <w:rFonts w:asciiTheme="majorHAnsi" w:hAnsiTheme="majorHAnsi" w:cstheme="majorHAnsi"/>
          <w:sz w:val="24"/>
          <w:szCs w:val="24"/>
          <w:lang w:val="ro-MD"/>
        </w:rPr>
        <w:t>i</w:t>
      </w:r>
      <w:r w:rsidR="00833424" w:rsidRPr="00B13B9A">
        <w:rPr>
          <w:rFonts w:asciiTheme="majorHAnsi" w:hAnsiTheme="majorHAnsi" w:cstheme="majorHAnsi"/>
          <w:sz w:val="24"/>
          <w:szCs w:val="24"/>
          <w:lang w:val="ro-MD"/>
        </w:rPr>
        <w:t xml:space="preserve"> destina</w:t>
      </w:r>
      <w:r w:rsidR="00B13B9A" w:rsidRPr="00B13B9A">
        <w:rPr>
          <w:rFonts w:asciiTheme="majorHAnsi" w:hAnsiTheme="majorHAnsi" w:cstheme="majorHAnsi"/>
          <w:sz w:val="24"/>
          <w:szCs w:val="24"/>
          <w:lang w:val="ro-MD"/>
        </w:rPr>
        <w:t>ț</w:t>
      </w:r>
      <w:r w:rsidR="00833424" w:rsidRPr="00B13B9A">
        <w:rPr>
          <w:rFonts w:asciiTheme="majorHAnsi" w:hAnsiTheme="majorHAnsi" w:cstheme="majorHAnsi"/>
          <w:sz w:val="24"/>
          <w:szCs w:val="24"/>
          <w:lang w:val="ro-MD"/>
        </w:rPr>
        <w:t>iei complexului de bunuri imobile</w:t>
      </w:r>
      <w:r w:rsidR="008141DA" w:rsidRPr="00B13B9A">
        <w:rPr>
          <w:rFonts w:asciiTheme="majorHAnsi" w:hAnsiTheme="majorHAnsi" w:cstheme="majorHAnsi"/>
          <w:sz w:val="24"/>
          <w:szCs w:val="24"/>
          <w:lang w:val="ro-MD"/>
        </w:rPr>
        <w:t>,</w:t>
      </w:r>
      <w:r w:rsidR="00833424" w:rsidRPr="00B13B9A">
        <w:rPr>
          <w:rFonts w:asciiTheme="majorHAnsi" w:hAnsiTheme="majorHAnsi" w:cstheme="majorHAnsi"/>
          <w:sz w:val="24"/>
          <w:szCs w:val="24"/>
          <w:lang w:val="ro-MD"/>
        </w:rPr>
        <w:t xml:space="preserve"> necesită a fi efectuate un </w:t>
      </w:r>
      <w:r w:rsidR="00B13B9A" w:rsidRPr="00B13B9A">
        <w:rPr>
          <w:rFonts w:asciiTheme="majorHAnsi" w:hAnsiTheme="majorHAnsi" w:cstheme="majorHAnsi"/>
          <w:sz w:val="24"/>
          <w:szCs w:val="24"/>
          <w:lang w:val="ro-MD"/>
        </w:rPr>
        <w:t>ș</w:t>
      </w:r>
      <w:r w:rsidR="00833424" w:rsidRPr="00B13B9A">
        <w:rPr>
          <w:rFonts w:asciiTheme="majorHAnsi" w:hAnsiTheme="majorHAnsi" w:cstheme="majorHAnsi"/>
          <w:sz w:val="24"/>
          <w:szCs w:val="24"/>
          <w:lang w:val="ro-MD"/>
        </w:rPr>
        <w:t>ir de măsuri de dezinfec</w:t>
      </w:r>
      <w:r w:rsidR="00B13B9A" w:rsidRPr="00B13B9A">
        <w:rPr>
          <w:rFonts w:asciiTheme="majorHAnsi" w:hAnsiTheme="majorHAnsi" w:cstheme="majorHAnsi"/>
          <w:sz w:val="24"/>
          <w:szCs w:val="24"/>
          <w:lang w:val="ro-MD"/>
        </w:rPr>
        <w:t>ț</w:t>
      </w:r>
      <w:r w:rsidR="00833424" w:rsidRPr="00B13B9A">
        <w:rPr>
          <w:rFonts w:asciiTheme="majorHAnsi" w:hAnsiTheme="majorHAnsi" w:cstheme="majorHAnsi"/>
          <w:sz w:val="24"/>
          <w:szCs w:val="24"/>
          <w:lang w:val="ro-MD"/>
        </w:rPr>
        <w:t>ie a încăperilor func</w:t>
      </w:r>
      <w:r w:rsidR="00B13B9A" w:rsidRPr="00B13B9A">
        <w:rPr>
          <w:rFonts w:asciiTheme="majorHAnsi" w:hAnsiTheme="majorHAnsi" w:cstheme="majorHAnsi"/>
          <w:sz w:val="24"/>
          <w:szCs w:val="24"/>
          <w:lang w:val="ro-MD"/>
        </w:rPr>
        <w:t>ț</w:t>
      </w:r>
      <w:r w:rsidR="00833424" w:rsidRPr="00B13B9A">
        <w:rPr>
          <w:rFonts w:asciiTheme="majorHAnsi" w:hAnsiTheme="majorHAnsi" w:cstheme="majorHAnsi"/>
          <w:sz w:val="24"/>
          <w:szCs w:val="24"/>
          <w:lang w:val="ro-MD"/>
        </w:rPr>
        <w:t>ionale</w:t>
      </w:r>
      <w:r w:rsidR="008141DA" w:rsidRPr="00B13B9A">
        <w:rPr>
          <w:rFonts w:asciiTheme="majorHAnsi" w:hAnsiTheme="majorHAnsi" w:cstheme="majorHAnsi"/>
          <w:sz w:val="24"/>
          <w:szCs w:val="24"/>
          <w:lang w:val="ro-MD"/>
        </w:rPr>
        <w:t>,</w:t>
      </w:r>
      <w:r w:rsidR="00833424" w:rsidRPr="00B13B9A">
        <w:rPr>
          <w:rFonts w:asciiTheme="majorHAnsi" w:hAnsiTheme="majorHAnsi" w:cstheme="majorHAnsi"/>
          <w:sz w:val="24"/>
          <w:szCs w:val="24"/>
          <w:lang w:val="ro-MD"/>
        </w:rPr>
        <w:t xml:space="preserve"> inclusiv a sistemelor de ventilare</w:t>
      </w:r>
      <w:r w:rsidR="008141DA" w:rsidRPr="00B13B9A">
        <w:rPr>
          <w:rFonts w:asciiTheme="majorHAnsi" w:hAnsiTheme="majorHAnsi" w:cstheme="majorHAnsi"/>
          <w:sz w:val="24"/>
          <w:szCs w:val="24"/>
          <w:lang w:val="ro-MD"/>
        </w:rPr>
        <w:t>,</w:t>
      </w:r>
      <w:r w:rsidR="00833424" w:rsidRPr="00B13B9A">
        <w:rPr>
          <w:rFonts w:asciiTheme="majorHAnsi" w:hAnsiTheme="majorHAnsi" w:cstheme="majorHAnsi"/>
          <w:sz w:val="24"/>
          <w:szCs w:val="24"/>
          <w:lang w:val="ro-MD"/>
        </w:rPr>
        <w:t xml:space="preserve"> precum </w:t>
      </w:r>
      <w:r w:rsidR="00B13B9A" w:rsidRPr="00B13B9A">
        <w:rPr>
          <w:rFonts w:asciiTheme="majorHAnsi" w:hAnsiTheme="majorHAnsi" w:cstheme="majorHAnsi"/>
          <w:sz w:val="24"/>
          <w:szCs w:val="24"/>
          <w:lang w:val="ro-MD"/>
        </w:rPr>
        <w:t>ș</w:t>
      </w:r>
      <w:r w:rsidR="00833424" w:rsidRPr="00B13B9A">
        <w:rPr>
          <w:rFonts w:asciiTheme="majorHAnsi" w:hAnsiTheme="majorHAnsi" w:cstheme="majorHAnsi"/>
          <w:sz w:val="24"/>
          <w:szCs w:val="24"/>
          <w:lang w:val="ro-MD"/>
        </w:rPr>
        <w:t>i a teritoriului aferent.</w:t>
      </w:r>
      <w:r w:rsidR="002B3DB6" w:rsidRPr="00B13B9A">
        <w:rPr>
          <w:rFonts w:asciiTheme="majorHAnsi" w:hAnsiTheme="majorHAnsi" w:cstheme="majorHAnsi"/>
          <w:sz w:val="24"/>
          <w:szCs w:val="24"/>
          <w:lang w:val="ro-MD"/>
        </w:rPr>
        <w:t xml:space="preserve"> </w:t>
      </w:r>
      <w:r w:rsidR="00833424" w:rsidRPr="00B13B9A">
        <w:rPr>
          <w:rFonts w:asciiTheme="majorHAnsi" w:hAnsiTheme="majorHAnsi" w:cstheme="majorHAnsi"/>
          <w:sz w:val="24"/>
          <w:szCs w:val="24"/>
          <w:lang w:val="ro-MD"/>
        </w:rPr>
        <w:t>Prin urmare, p</w:t>
      </w:r>
      <w:r w:rsidR="00345AAD" w:rsidRPr="00B13B9A">
        <w:rPr>
          <w:rFonts w:asciiTheme="majorHAnsi" w:hAnsiTheme="majorHAnsi" w:cstheme="majorHAnsi"/>
          <w:color w:val="000000" w:themeColor="text1"/>
          <w:sz w:val="24"/>
          <w:szCs w:val="24"/>
          <w:lang w:val="ro-MD"/>
        </w:rPr>
        <w:t xml:space="preserve">ână </w:t>
      </w:r>
      <w:r w:rsidR="002B2299" w:rsidRPr="00B13B9A">
        <w:rPr>
          <w:rFonts w:asciiTheme="majorHAnsi" w:hAnsiTheme="majorHAnsi" w:cstheme="majorHAnsi"/>
          <w:color w:val="000000" w:themeColor="text1"/>
          <w:sz w:val="24"/>
          <w:szCs w:val="24"/>
          <w:lang w:val="ro-MD"/>
        </w:rPr>
        <w:t xml:space="preserve">la </w:t>
      </w:r>
      <w:r w:rsidR="008141DA" w:rsidRPr="00B13B9A">
        <w:rPr>
          <w:rFonts w:asciiTheme="majorHAnsi" w:hAnsiTheme="majorHAnsi" w:cstheme="majorHAnsi"/>
          <w:color w:val="000000" w:themeColor="text1"/>
          <w:sz w:val="24"/>
          <w:szCs w:val="24"/>
          <w:lang w:val="ro-MD"/>
        </w:rPr>
        <w:t>încheierea</w:t>
      </w:r>
      <w:r w:rsidR="002B2299" w:rsidRPr="00B13B9A">
        <w:rPr>
          <w:rFonts w:asciiTheme="majorHAnsi" w:hAnsiTheme="majorHAnsi" w:cstheme="majorHAnsi"/>
          <w:color w:val="000000" w:themeColor="text1"/>
          <w:sz w:val="24"/>
          <w:szCs w:val="24"/>
          <w:lang w:val="ro-MD"/>
        </w:rPr>
        <w:t xml:space="preserve"> auditului (decembrie 2023)</w:t>
      </w:r>
      <w:r w:rsidR="00833424" w:rsidRPr="00B13B9A">
        <w:rPr>
          <w:rFonts w:asciiTheme="majorHAnsi" w:hAnsiTheme="majorHAnsi" w:cstheme="majorHAnsi"/>
          <w:color w:val="000000" w:themeColor="text1"/>
          <w:sz w:val="24"/>
          <w:szCs w:val="24"/>
          <w:lang w:val="ro-MD"/>
        </w:rPr>
        <w:t xml:space="preserve"> autorită</w:t>
      </w:r>
      <w:r w:rsidR="00B13B9A" w:rsidRPr="00B13B9A">
        <w:rPr>
          <w:rFonts w:asciiTheme="majorHAnsi" w:hAnsiTheme="majorHAnsi" w:cstheme="majorHAnsi"/>
          <w:color w:val="000000" w:themeColor="text1"/>
          <w:sz w:val="24"/>
          <w:szCs w:val="24"/>
          <w:lang w:val="ro-MD"/>
        </w:rPr>
        <w:t>ț</w:t>
      </w:r>
      <w:r w:rsidR="00833424" w:rsidRPr="00B13B9A">
        <w:rPr>
          <w:rFonts w:asciiTheme="majorHAnsi" w:hAnsiTheme="majorHAnsi" w:cstheme="majorHAnsi"/>
          <w:color w:val="000000" w:themeColor="text1"/>
          <w:sz w:val="24"/>
          <w:szCs w:val="24"/>
          <w:lang w:val="ro-MD"/>
        </w:rPr>
        <w:t>ile statului</w:t>
      </w:r>
      <w:r w:rsidR="00345AAD" w:rsidRPr="00B13B9A">
        <w:rPr>
          <w:rFonts w:asciiTheme="majorHAnsi" w:hAnsiTheme="majorHAnsi" w:cstheme="majorHAnsi"/>
          <w:color w:val="000000" w:themeColor="text1"/>
          <w:sz w:val="24"/>
          <w:szCs w:val="24"/>
          <w:lang w:val="ro-MD"/>
        </w:rPr>
        <w:t xml:space="preserve"> nu a</w:t>
      </w:r>
      <w:r w:rsidR="00833424" w:rsidRPr="00B13B9A">
        <w:rPr>
          <w:rFonts w:asciiTheme="majorHAnsi" w:hAnsiTheme="majorHAnsi" w:cstheme="majorHAnsi"/>
          <w:color w:val="000000" w:themeColor="text1"/>
          <w:sz w:val="24"/>
          <w:szCs w:val="24"/>
          <w:lang w:val="ro-MD"/>
        </w:rPr>
        <w:t>u stabilit o viziune</w:t>
      </w:r>
      <w:r w:rsidR="00345AAD" w:rsidRPr="00B13B9A">
        <w:rPr>
          <w:rFonts w:asciiTheme="majorHAnsi" w:hAnsiTheme="majorHAnsi" w:cstheme="majorHAnsi"/>
          <w:color w:val="000000" w:themeColor="text1"/>
          <w:sz w:val="24"/>
          <w:szCs w:val="24"/>
          <w:lang w:val="ro-MD"/>
        </w:rPr>
        <w:t xml:space="preserve"> asupra schimbării destina</w:t>
      </w:r>
      <w:r w:rsidR="00B13B9A" w:rsidRPr="00B13B9A">
        <w:rPr>
          <w:rFonts w:asciiTheme="majorHAnsi" w:hAnsiTheme="majorHAnsi" w:cstheme="majorHAnsi"/>
          <w:color w:val="000000" w:themeColor="text1"/>
          <w:sz w:val="24"/>
          <w:szCs w:val="24"/>
          <w:lang w:val="ro-MD"/>
        </w:rPr>
        <w:t>ț</w:t>
      </w:r>
      <w:r w:rsidR="00345AAD" w:rsidRPr="00B13B9A">
        <w:rPr>
          <w:rFonts w:asciiTheme="majorHAnsi" w:hAnsiTheme="majorHAnsi" w:cstheme="majorHAnsi"/>
          <w:color w:val="000000" w:themeColor="text1"/>
          <w:sz w:val="24"/>
          <w:szCs w:val="24"/>
          <w:lang w:val="ro-MD"/>
        </w:rPr>
        <w:t xml:space="preserve">iei clinicii </w:t>
      </w:r>
      <w:r w:rsidR="00B13B9A" w:rsidRPr="00B13B9A">
        <w:rPr>
          <w:rFonts w:asciiTheme="majorHAnsi" w:hAnsiTheme="majorHAnsi" w:cstheme="majorHAnsi"/>
          <w:color w:val="000000" w:themeColor="text1"/>
          <w:sz w:val="24"/>
          <w:szCs w:val="24"/>
          <w:lang w:val="ro-MD"/>
        </w:rPr>
        <w:t>ș</w:t>
      </w:r>
      <w:r w:rsidR="00345AAD" w:rsidRPr="00B13B9A">
        <w:rPr>
          <w:rFonts w:asciiTheme="majorHAnsi" w:hAnsiTheme="majorHAnsi" w:cstheme="majorHAnsi"/>
          <w:color w:val="000000" w:themeColor="text1"/>
          <w:sz w:val="24"/>
          <w:szCs w:val="24"/>
          <w:lang w:val="ro-MD"/>
        </w:rPr>
        <w:t>i folosirii acest</w:t>
      </w:r>
      <w:r w:rsidR="00694154" w:rsidRPr="00B13B9A">
        <w:rPr>
          <w:rFonts w:asciiTheme="majorHAnsi" w:hAnsiTheme="majorHAnsi" w:cstheme="majorHAnsi"/>
          <w:color w:val="000000" w:themeColor="text1"/>
          <w:sz w:val="24"/>
          <w:szCs w:val="24"/>
          <w:lang w:val="ro-MD"/>
        </w:rPr>
        <w:t>e</w:t>
      </w:r>
      <w:r w:rsidR="00345AAD" w:rsidRPr="00B13B9A">
        <w:rPr>
          <w:rFonts w:asciiTheme="majorHAnsi" w:hAnsiTheme="majorHAnsi" w:cstheme="majorHAnsi"/>
          <w:color w:val="000000" w:themeColor="text1"/>
          <w:sz w:val="24"/>
          <w:szCs w:val="24"/>
          <w:lang w:val="ro-MD"/>
        </w:rPr>
        <w:t>ia în alte scopuri.</w:t>
      </w:r>
    </w:p>
    <w:p w14:paraId="69DDC5DB" w14:textId="187F3832" w:rsidR="00E055DF" w:rsidRPr="00B13B9A" w:rsidRDefault="00345AAD" w:rsidP="00E70406">
      <w:pPr>
        <w:spacing w:after="0" w:line="276" w:lineRule="auto"/>
        <w:jc w:val="both"/>
        <w:rPr>
          <w:rFonts w:asciiTheme="majorHAnsi" w:hAnsiTheme="majorHAnsi" w:cstheme="majorHAnsi"/>
          <w:color w:val="000000" w:themeColor="text1"/>
          <w:sz w:val="24"/>
          <w:szCs w:val="24"/>
          <w:lang w:val="ro-MD"/>
        </w:rPr>
      </w:pPr>
      <w:r w:rsidRPr="00B13B9A">
        <w:rPr>
          <w:rFonts w:asciiTheme="majorHAnsi" w:hAnsiTheme="majorHAnsi" w:cstheme="majorHAnsi"/>
          <w:color w:val="000000" w:themeColor="text1"/>
          <w:sz w:val="24"/>
          <w:szCs w:val="24"/>
          <w:lang w:val="ro-MD"/>
        </w:rPr>
        <w:t>Auditul precizează că sistarea activită</w:t>
      </w:r>
      <w:r w:rsidR="00B13B9A" w:rsidRPr="00B13B9A">
        <w:rPr>
          <w:rFonts w:asciiTheme="majorHAnsi" w:hAnsiTheme="majorHAnsi" w:cstheme="majorHAnsi"/>
          <w:color w:val="000000" w:themeColor="text1"/>
          <w:sz w:val="24"/>
          <w:szCs w:val="24"/>
          <w:lang w:val="ro-MD"/>
        </w:rPr>
        <w:t>ț</w:t>
      </w:r>
      <w:r w:rsidRPr="00B13B9A">
        <w:rPr>
          <w:rFonts w:asciiTheme="majorHAnsi" w:hAnsiTheme="majorHAnsi" w:cstheme="majorHAnsi"/>
          <w:color w:val="000000" w:themeColor="text1"/>
          <w:sz w:val="24"/>
          <w:szCs w:val="24"/>
          <w:lang w:val="ro-MD"/>
        </w:rPr>
        <w:t>ii clinicii în lipsa identificării unor solu</w:t>
      </w:r>
      <w:r w:rsidR="00B13B9A" w:rsidRPr="00B13B9A">
        <w:rPr>
          <w:rFonts w:asciiTheme="majorHAnsi" w:hAnsiTheme="majorHAnsi" w:cstheme="majorHAnsi"/>
          <w:color w:val="000000" w:themeColor="text1"/>
          <w:sz w:val="24"/>
          <w:szCs w:val="24"/>
          <w:lang w:val="ro-MD"/>
        </w:rPr>
        <w:t>ț</w:t>
      </w:r>
      <w:r w:rsidRPr="00B13B9A">
        <w:rPr>
          <w:rFonts w:asciiTheme="majorHAnsi" w:hAnsiTheme="majorHAnsi" w:cstheme="majorHAnsi"/>
          <w:color w:val="000000" w:themeColor="text1"/>
          <w:sz w:val="24"/>
          <w:szCs w:val="24"/>
          <w:lang w:val="ro-MD"/>
        </w:rPr>
        <w:t xml:space="preserve">ii de utilizare va duce la </w:t>
      </w:r>
      <w:r w:rsidR="00F23026" w:rsidRPr="00B13B9A">
        <w:rPr>
          <w:rFonts w:asciiTheme="majorHAnsi" w:hAnsiTheme="majorHAnsi" w:cstheme="majorHAnsi"/>
          <w:color w:val="000000" w:themeColor="text1"/>
          <w:sz w:val="24"/>
          <w:szCs w:val="24"/>
          <w:lang w:val="ro-MD"/>
        </w:rPr>
        <w:t>distrugerea patrimoni</w:t>
      </w:r>
      <w:r w:rsidR="00694154" w:rsidRPr="00B13B9A">
        <w:rPr>
          <w:rFonts w:asciiTheme="majorHAnsi" w:hAnsiTheme="majorHAnsi" w:cstheme="majorHAnsi"/>
          <w:color w:val="000000" w:themeColor="text1"/>
          <w:sz w:val="24"/>
          <w:szCs w:val="24"/>
          <w:lang w:val="ro-MD"/>
        </w:rPr>
        <w:t>u</w:t>
      </w:r>
      <w:r w:rsidR="00F23026" w:rsidRPr="00B13B9A">
        <w:rPr>
          <w:rFonts w:asciiTheme="majorHAnsi" w:hAnsiTheme="majorHAnsi" w:cstheme="majorHAnsi"/>
          <w:color w:val="000000" w:themeColor="text1"/>
          <w:sz w:val="24"/>
          <w:szCs w:val="24"/>
          <w:lang w:val="ro-MD"/>
        </w:rPr>
        <w:t>l</w:t>
      </w:r>
      <w:r w:rsidR="00694154" w:rsidRPr="00B13B9A">
        <w:rPr>
          <w:rFonts w:asciiTheme="majorHAnsi" w:hAnsiTheme="majorHAnsi" w:cstheme="majorHAnsi"/>
          <w:color w:val="000000" w:themeColor="text1"/>
          <w:sz w:val="24"/>
          <w:szCs w:val="24"/>
          <w:lang w:val="ro-MD"/>
        </w:rPr>
        <w:t>ui</w:t>
      </w:r>
      <w:r w:rsidR="002B2299" w:rsidRPr="00B13B9A">
        <w:rPr>
          <w:rFonts w:asciiTheme="majorHAnsi" w:hAnsiTheme="majorHAnsi" w:cstheme="majorHAnsi"/>
          <w:color w:val="000000" w:themeColor="text1"/>
          <w:sz w:val="24"/>
          <w:szCs w:val="24"/>
          <w:lang w:val="ro-MD"/>
        </w:rPr>
        <w:t xml:space="preserve"> care se află pe teritoriu</w:t>
      </w:r>
      <w:r w:rsidR="00694154" w:rsidRPr="00B13B9A">
        <w:rPr>
          <w:rFonts w:asciiTheme="majorHAnsi" w:hAnsiTheme="majorHAnsi" w:cstheme="majorHAnsi"/>
          <w:color w:val="000000" w:themeColor="text1"/>
          <w:sz w:val="24"/>
          <w:szCs w:val="24"/>
          <w:lang w:val="ro-MD"/>
        </w:rPr>
        <w:t>l acesteia</w:t>
      </w:r>
      <w:r w:rsidR="002B2299" w:rsidRPr="00B13B9A">
        <w:rPr>
          <w:rFonts w:asciiTheme="majorHAnsi" w:hAnsiTheme="majorHAnsi" w:cstheme="majorHAnsi"/>
          <w:color w:val="000000" w:themeColor="text1"/>
          <w:sz w:val="24"/>
          <w:szCs w:val="24"/>
          <w:lang w:val="ro-MD"/>
        </w:rPr>
        <w:t>.</w:t>
      </w:r>
    </w:p>
    <w:p w14:paraId="7BFC59EB" w14:textId="77777777" w:rsidR="00D90992" w:rsidRPr="00B13B9A" w:rsidRDefault="00D90992" w:rsidP="00085AB8">
      <w:pPr>
        <w:pStyle w:val="cn"/>
        <w:spacing w:line="276" w:lineRule="auto"/>
        <w:ind w:right="71"/>
        <w:jc w:val="both"/>
        <w:rPr>
          <w:rFonts w:asciiTheme="majorHAnsi" w:hAnsiTheme="majorHAnsi" w:cstheme="majorHAnsi"/>
          <w:b/>
          <w:i/>
          <w:color w:val="00B0F0"/>
          <w:lang w:val="ro-MD"/>
        </w:rPr>
      </w:pPr>
    </w:p>
    <w:p w14:paraId="1B1273C6" w14:textId="603B92EA" w:rsidR="00C811EF" w:rsidRPr="00B13B9A" w:rsidRDefault="00A05D1E" w:rsidP="00241AB3">
      <w:pPr>
        <w:pStyle w:val="cn"/>
        <w:numPr>
          <w:ilvl w:val="2"/>
          <w:numId w:val="10"/>
        </w:numPr>
        <w:spacing w:line="276" w:lineRule="auto"/>
        <w:ind w:right="71"/>
        <w:jc w:val="both"/>
        <w:outlineLvl w:val="2"/>
        <w:rPr>
          <w:rFonts w:asciiTheme="majorHAnsi" w:eastAsiaTheme="minorHAnsi" w:hAnsiTheme="majorHAnsi" w:cstheme="minorHAnsi"/>
          <w:b/>
          <w:lang w:val="ro-MD" w:eastAsia="en-US"/>
        </w:rPr>
      </w:pPr>
      <w:bookmarkStart w:id="26" w:name="_Toc154562501"/>
      <w:r w:rsidRPr="00B13B9A">
        <w:rPr>
          <w:rFonts w:asciiTheme="majorHAnsi" w:hAnsiTheme="majorHAnsi" w:cstheme="majorHAnsi"/>
          <w:b/>
          <w:lang w:val="ro-MD"/>
        </w:rPr>
        <w:t>Lipsa</w:t>
      </w:r>
      <w:r w:rsidRPr="00B13B9A">
        <w:rPr>
          <w:rFonts w:asciiTheme="majorHAnsi" w:hAnsiTheme="majorHAnsi" w:cstheme="majorHAnsi"/>
          <w:b/>
          <w:color w:val="FF0000"/>
          <w:lang w:val="ro-MD"/>
        </w:rPr>
        <w:t xml:space="preserve"> </w:t>
      </w:r>
      <w:r w:rsidRPr="00B13B9A">
        <w:rPr>
          <w:rFonts w:asciiTheme="majorHAnsi" w:hAnsiTheme="majorHAnsi" w:cstheme="majorHAnsi"/>
          <w:b/>
          <w:lang w:val="ro-MD"/>
        </w:rPr>
        <w:t>deciziilor oportune în raport cu activele corporale aflate în curs de execu</w:t>
      </w:r>
      <w:r w:rsidR="00B13B9A" w:rsidRPr="00B13B9A">
        <w:rPr>
          <w:rFonts w:asciiTheme="majorHAnsi" w:hAnsiTheme="majorHAnsi" w:cstheme="majorHAnsi"/>
          <w:b/>
          <w:lang w:val="ro-MD"/>
        </w:rPr>
        <w:t>ț</w:t>
      </w:r>
      <w:r w:rsidRPr="00B13B9A">
        <w:rPr>
          <w:rFonts w:asciiTheme="majorHAnsi" w:hAnsiTheme="majorHAnsi" w:cstheme="majorHAnsi"/>
          <w:b/>
          <w:lang w:val="ro-MD"/>
        </w:rPr>
        <w:t>ie</w:t>
      </w:r>
      <w:r w:rsidR="00F51A54" w:rsidRPr="00B13B9A">
        <w:rPr>
          <w:rFonts w:asciiTheme="majorHAnsi" w:eastAsiaTheme="minorHAnsi" w:hAnsiTheme="majorHAnsi" w:cstheme="minorHAnsi"/>
          <w:b/>
          <w:lang w:val="ro-MD" w:eastAsia="en-US"/>
        </w:rPr>
        <w:t xml:space="preserve"> (blocul 2 </w:t>
      </w:r>
      <w:r w:rsidR="007732D7" w:rsidRPr="00B13B9A">
        <w:rPr>
          <w:rFonts w:asciiTheme="majorHAnsi" w:eastAsiaTheme="minorHAnsi" w:hAnsiTheme="majorHAnsi" w:cstheme="minorHAnsi"/>
          <w:b/>
          <w:lang w:val="ro-MD" w:eastAsia="en-US"/>
        </w:rPr>
        <w:t xml:space="preserve">al </w:t>
      </w:r>
      <w:r w:rsidR="00F51A54" w:rsidRPr="00B13B9A">
        <w:rPr>
          <w:rFonts w:asciiTheme="majorHAnsi" w:eastAsiaTheme="minorHAnsi" w:hAnsiTheme="majorHAnsi" w:cstheme="minorHAnsi"/>
          <w:b/>
          <w:lang w:val="ro-MD" w:eastAsia="en-US"/>
        </w:rPr>
        <w:t>clinic</w:t>
      </w:r>
      <w:r w:rsidR="007732D7" w:rsidRPr="00B13B9A">
        <w:rPr>
          <w:rFonts w:asciiTheme="majorHAnsi" w:eastAsiaTheme="minorHAnsi" w:hAnsiTheme="majorHAnsi" w:cstheme="minorHAnsi"/>
          <w:b/>
          <w:lang w:val="ro-MD" w:eastAsia="en-US"/>
        </w:rPr>
        <w:t>ii</w:t>
      </w:r>
      <w:r w:rsidR="00F51A54" w:rsidRPr="00B13B9A">
        <w:rPr>
          <w:rFonts w:asciiTheme="majorHAnsi" w:eastAsiaTheme="minorHAnsi" w:hAnsiTheme="majorHAnsi" w:cstheme="minorHAnsi"/>
          <w:b/>
          <w:lang w:val="ro-MD" w:eastAsia="en-US"/>
        </w:rPr>
        <w:t xml:space="preserve"> Vorniceni)</w:t>
      </w:r>
      <w:r w:rsidRPr="00B13B9A">
        <w:rPr>
          <w:rFonts w:asciiTheme="majorHAnsi" w:hAnsiTheme="majorHAnsi" w:cstheme="majorHAnsi"/>
          <w:b/>
          <w:lang w:val="ro-MD"/>
        </w:rPr>
        <w:t xml:space="preserve"> o perioad</w:t>
      </w:r>
      <w:r w:rsidR="00694154" w:rsidRPr="00B13B9A">
        <w:rPr>
          <w:rFonts w:asciiTheme="majorHAnsi" w:hAnsiTheme="majorHAnsi" w:cstheme="majorHAnsi"/>
          <w:b/>
          <w:lang w:val="ro-MD"/>
        </w:rPr>
        <w:t>ă</w:t>
      </w:r>
      <w:r w:rsidRPr="00B13B9A">
        <w:rPr>
          <w:rFonts w:asciiTheme="majorHAnsi" w:hAnsiTheme="majorHAnsi" w:cstheme="majorHAnsi"/>
          <w:b/>
          <w:lang w:val="ro-MD"/>
        </w:rPr>
        <w:t xml:space="preserve"> îndelungată de timp, nu contribuie la gestionarea conformă </w:t>
      </w:r>
      <w:r w:rsidR="00B13B9A" w:rsidRPr="00B13B9A">
        <w:rPr>
          <w:rFonts w:asciiTheme="majorHAnsi" w:hAnsiTheme="majorHAnsi" w:cstheme="majorHAnsi"/>
          <w:b/>
          <w:lang w:val="ro-MD"/>
        </w:rPr>
        <w:t>ș</w:t>
      </w:r>
      <w:r w:rsidRPr="00B13B9A">
        <w:rPr>
          <w:rFonts w:asciiTheme="majorHAnsi" w:hAnsiTheme="majorHAnsi" w:cstheme="majorHAnsi"/>
          <w:b/>
          <w:lang w:val="ro-MD"/>
        </w:rPr>
        <w:t>i eficientă a patrimoniului</w:t>
      </w:r>
      <w:r w:rsidR="00694154" w:rsidRPr="00B13B9A">
        <w:rPr>
          <w:rFonts w:asciiTheme="majorHAnsi" w:hAnsiTheme="majorHAnsi" w:cstheme="majorHAnsi"/>
          <w:b/>
          <w:lang w:val="ro-MD"/>
        </w:rPr>
        <w:t>.</w:t>
      </w:r>
      <w:bookmarkEnd w:id="26"/>
      <w:r w:rsidRPr="00B13B9A">
        <w:rPr>
          <w:rFonts w:asciiTheme="majorHAnsi" w:hAnsiTheme="majorHAnsi" w:cstheme="majorHAnsi"/>
          <w:b/>
          <w:lang w:val="ro-MD"/>
        </w:rPr>
        <w:t xml:space="preserve"> </w:t>
      </w:r>
    </w:p>
    <w:p w14:paraId="2DF03FE2" w14:textId="77777777" w:rsidR="00C811EF" w:rsidRPr="00B13B9A" w:rsidRDefault="00C811EF" w:rsidP="00085AB8">
      <w:pPr>
        <w:pStyle w:val="cn"/>
        <w:spacing w:line="276" w:lineRule="auto"/>
        <w:ind w:right="71"/>
        <w:jc w:val="both"/>
        <w:rPr>
          <w:rFonts w:asciiTheme="majorHAnsi" w:eastAsiaTheme="minorHAnsi" w:hAnsiTheme="majorHAnsi" w:cstheme="minorHAnsi"/>
          <w:lang w:val="ro-MD" w:eastAsia="en-US"/>
        </w:rPr>
      </w:pPr>
    </w:p>
    <w:p w14:paraId="74CF897B" w14:textId="13C9E44D" w:rsidR="007031FD" w:rsidRPr="00B13B9A" w:rsidRDefault="00481DC8" w:rsidP="00FE74F1">
      <w:pPr>
        <w:pStyle w:val="a7"/>
        <w:spacing w:after="0" w:line="276" w:lineRule="auto"/>
        <w:ind w:left="0"/>
        <w:jc w:val="both"/>
        <w:rPr>
          <w:rFonts w:asciiTheme="majorHAnsi" w:hAnsiTheme="majorHAnsi" w:cstheme="majorHAnsi"/>
          <w:color w:val="000000" w:themeColor="text1"/>
          <w:sz w:val="24"/>
          <w:szCs w:val="24"/>
          <w:lang w:val="ro-MD"/>
        </w:rPr>
      </w:pPr>
      <w:r w:rsidRPr="00B13B9A">
        <w:rPr>
          <w:rFonts w:asciiTheme="majorHAnsi" w:hAnsiTheme="majorHAnsi" w:cstheme="majorHAnsi"/>
          <w:color w:val="000000" w:themeColor="text1"/>
          <w:sz w:val="24"/>
          <w:szCs w:val="24"/>
          <w:lang w:val="ro-MD"/>
        </w:rPr>
        <w:t>În anul 2007, reie</w:t>
      </w:r>
      <w:r w:rsidR="00B13B9A" w:rsidRPr="00B13B9A">
        <w:rPr>
          <w:rFonts w:asciiTheme="majorHAnsi" w:hAnsiTheme="majorHAnsi" w:cstheme="majorHAnsi"/>
          <w:color w:val="000000" w:themeColor="text1"/>
          <w:sz w:val="24"/>
          <w:szCs w:val="24"/>
          <w:lang w:val="ro-MD"/>
        </w:rPr>
        <w:t>ș</w:t>
      </w:r>
      <w:r w:rsidRPr="00B13B9A">
        <w:rPr>
          <w:rFonts w:asciiTheme="majorHAnsi" w:hAnsiTheme="majorHAnsi" w:cstheme="majorHAnsi"/>
          <w:color w:val="000000" w:themeColor="text1"/>
          <w:sz w:val="24"/>
          <w:szCs w:val="24"/>
          <w:lang w:val="ro-MD"/>
        </w:rPr>
        <w:t>ind din inciden</w:t>
      </w:r>
      <w:r w:rsidR="00B13B9A" w:rsidRPr="00B13B9A">
        <w:rPr>
          <w:rFonts w:asciiTheme="majorHAnsi" w:hAnsiTheme="majorHAnsi" w:cstheme="majorHAnsi"/>
          <w:color w:val="000000" w:themeColor="text1"/>
          <w:sz w:val="24"/>
          <w:szCs w:val="24"/>
          <w:lang w:val="ro-MD"/>
        </w:rPr>
        <w:t>ț</w:t>
      </w:r>
      <w:r w:rsidRPr="00B13B9A">
        <w:rPr>
          <w:rFonts w:asciiTheme="majorHAnsi" w:hAnsiTheme="majorHAnsi" w:cstheme="majorHAnsi"/>
          <w:color w:val="000000" w:themeColor="text1"/>
          <w:sz w:val="24"/>
          <w:szCs w:val="24"/>
          <w:lang w:val="ro-MD"/>
        </w:rPr>
        <w:t>a crescută a numărului de bolnavi cu tuberculoză, a fost luată decizia de reconstruc</w:t>
      </w:r>
      <w:r w:rsidR="00B13B9A" w:rsidRPr="00B13B9A">
        <w:rPr>
          <w:rFonts w:asciiTheme="majorHAnsi" w:hAnsiTheme="majorHAnsi" w:cstheme="majorHAnsi"/>
          <w:color w:val="000000" w:themeColor="text1"/>
          <w:sz w:val="24"/>
          <w:szCs w:val="24"/>
          <w:lang w:val="ro-MD"/>
        </w:rPr>
        <w:t>ț</w:t>
      </w:r>
      <w:r w:rsidRPr="00B13B9A">
        <w:rPr>
          <w:rFonts w:asciiTheme="majorHAnsi" w:hAnsiTheme="majorHAnsi" w:cstheme="majorHAnsi"/>
          <w:color w:val="000000" w:themeColor="text1"/>
          <w:sz w:val="24"/>
          <w:szCs w:val="24"/>
          <w:lang w:val="ro-MD"/>
        </w:rPr>
        <w:t xml:space="preserve">ie a </w:t>
      </w:r>
      <w:r w:rsidR="007031FD" w:rsidRPr="00B13B9A">
        <w:rPr>
          <w:rFonts w:asciiTheme="majorHAnsi" w:hAnsiTheme="majorHAnsi" w:cstheme="majorHAnsi"/>
          <w:color w:val="000000" w:themeColor="text1"/>
          <w:sz w:val="24"/>
          <w:szCs w:val="24"/>
          <w:lang w:val="ro-MD"/>
        </w:rPr>
        <w:t>blocu</w:t>
      </w:r>
      <w:r w:rsidR="005F0A30" w:rsidRPr="00B13B9A">
        <w:rPr>
          <w:rFonts w:asciiTheme="majorHAnsi" w:hAnsiTheme="majorHAnsi" w:cstheme="majorHAnsi"/>
          <w:color w:val="000000" w:themeColor="text1"/>
          <w:sz w:val="24"/>
          <w:szCs w:val="24"/>
          <w:lang w:val="ro-MD"/>
        </w:rPr>
        <w:t xml:space="preserve">lui nr.2 al Clinicii Vorniceni. </w:t>
      </w:r>
      <w:r w:rsidRPr="00B13B9A">
        <w:rPr>
          <w:rFonts w:asciiTheme="majorHAnsi" w:hAnsiTheme="majorHAnsi" w:cstheme="majorHAnsi"/>
          <w:color w:val="000000" w:themeColor="text1"/>
          <w:sz w:val="24"/>
          <w:szCs w:val="24"/>
          <w:lang w:val="ro-MD"/>
        </w:rPr>
        <w:t xml:space="preserve">Blocul a fost reconstruit în baza Certificatului de </w:t>
      </w:r>
      <w:r w:rsidR="006F7EE6" w:rsidRPr="00B13B9A">
        <w:rPr>
          <w:rFonts w:asciiTheme="majorHAnsi" w:hAnsiTheme="majorHAnsi" w:cstheme="majorHAnsi"/>
          <w:color w:val="000000" w:themeColor="text1"/>
          <w:sz w:val="24"/>
          <w:szCs w:val="24"/>
          <w:lang w:val="ro-MD"/>
        </w:rPr>
        <w:t>u</w:t>
      </w:r>
      <w:r w:rsidRPr="00B13B9A">
        <w:rPr>
          <w:rFonts w:asciiTheme="majorHAnsi" w:hAnsiTheme="majorHAnsi" w:cstheme="majorHAnsi"/>
          <w:color w:val="000000" w:themeColor="text1"/>
          <w:sz w:val="24"/>
          <w:szCs w:val="24"/>
          <w:lang w:val="ro-MD"/>
        </w:rPr>
        <w:t>rbanism</w:t>
      </w:r>
      <w:r w:rsidRPr="00B13B9A">
        <w:rPr>
          <w:rStyle w:val="a9"/>
          <w:rFonts w:asciiTheme="majorHAnsi" w:hAnsiTheme="majorHAnsi" w:cstheme="majorHAnsi"/>
          <w:color w:val="000000" w:themeColor="text1"/>
          <w:sz w:val="24"/>
          <w:szCs w:val="24"/>
          <w:lang w:val="ro-MD"/>
        </w:rPr>
        <w:footnoteReference w:id="29"/>
      </w:r>
      <w:r w:rsidRPr="00B13B9A">
        <w:rPr>
          <w:rFonts w:asciiTheme="majorHAnsi" w:hAnsiTheme="majorHAnsi" w:cstheme="majorHAnsi"/>
          <w:color w:val="000000" w:themeColor="text1"/>
          <w:sz w:val="24"/>
          <w:szCs w:val="24"/>
          <w:lang w:val="ro-MD"/>
        </w:rPr>
        <w:t>, proiectului de execu</w:t>
      </w:r>
      <w:r w:rsidR="00B13B9A" w:rsidRPr="00B13B9A">
        <w:rPr>
          <w:rFonts w:asciiTheme="majorHAnsi" w:hAnsiTheme="majorHAnsi" w:cstheme="majorHAnsi"/>
          <w:color w:val="000000" w:themeColor="text1"/>
          <w:sz w:val="24"/>
          <w:szCs w:val="24"/>
          <w:lang w:val="ro-MD"/>
        </w:rPr>
        <w:t>ț</w:t>
      </w:r>
      <w:r w:rsidRPr="00B13B9A">
        <w:rPr>
          <w:rFonts w:asciiTheme="majorHAnsi" w:hAnsiTheme="majorHAnsi" w:cstheme="majorHAnsi"/>
          <w:color w:val="000000" w:themeColor="text1"/>
          <w:sz w:val="24"/>
          <w:szCs w:val="24"/>
          <w:lang w:val="ro-MD"/>
        </w:rPr>
        <w:t>ie</w:t>
      </w:r>
      <w:r w:rsidRPr="00B13B9A">
        <w:rPr>
          <w:rStyle w:val="a9"/>
          <w:rFonts w:asciiTheme="majorHAnsi" w:hAnsiTheme="majorHAnsi" w:cstheme="majorHAnsi"/>
          <w:color w:val="000000" w:themeColor="text1"/>
          <w:sz w:val="24"/>
          <w:szCs w:val="24"/>
          <w:lang w:val="ro-MD"/>
        </w:rPr>
        <w:footnoteReference w:id="30"/>
      </w:r>
      <w:r w:rsidRPr="00B13B9A">
        <w:rPr>
          <w:rFonts w:asciiTheme="majorHAnsi" w:hAnsiTheme="majorHAnsi" w:cstheme="majorHAnsi"/>
          <w:color w:val="000000" w:themeColor="text1"/>
          <w:sz w:val="24"/>
          <w:szCs w:val="24"/>
          <w:lang w:val="ro-MD"/>
        </w:rPr>
        <w:t xml:space="preserve"> elaborat de SC </w:t>
      </w:r>
      <w:r w:rsidR="006F7EE6" w:rsidRPr="00B13B9A">
        <w:rPr>
          <w:rFonts w:asciiTheme="majorHAnsi" w:hAnsiTheme="majorHAnsi" w:cstheme="majorHAnsi"/>
          <w:color w:val="000000" w:themeColor="text1"/>
          <w:sz w:val="24"/>
          <w:szCs w:val="24"/>
          <w:lang w:val="ro-MD"/>
        </w:rPr>
        <w:t>„</w:t>
      </w:r>
      <w:r w:rsidRPr="00B13B9A">
        <w:rPr>
          <w:rFonts w:asciiTheme="majorHAnsi" w:hAnsiTheme="majorHAnsi" w:cstheme="majorHAnsi"/>
          <w:color w:val="000000" w:themeColor="text1"/>
          <w:sz w:val="24"/>
          <w:szCs w:val="24"/>
          <w:lang w:val="ro-MD"/>
        </w:rPr>
        <w:t xml:space="preserve">ROSTRAL” SRL, iar </w:t>
      </w:r>
      <w:r w:rsidR="00532F79" w:rsidRPr="00B13B9A">
        <w:rPr>
          <w:rFonts w:asciiTheme="majorHAnsi" w:hAnsiTheme="majorHAnsi" w:cstheme="majorHAnsi"/>
          <w:color w:val="000000" w:themeColor="text1"/>
          <w:sz w:val="24"/>
          <w:szCs w:val="24"/>
          <w:lang w:val="ro-MD"/>
        </w:rPr>
        <w:t>l</w:t>
      </w:r>
      <w:r w:rsidRPr="00B13B9A">
        <w:rPr>
          <w:rFonts w:asciiTheme="majorHAnsi" w:hAnsiTheme="majorHAnsi" w:cstheme="majorHAnsi"/>
          <w:color w:val="000000" w:themeColor="text1"/>
          <w:sz w:val="24"/>
          <w:szCs w:val="24"/>
          <w:lang w:val="ro-MD"/>
        </w:rPr>
        <w:t>ucrările de reconstruc</w:t>
      </w:r>
      <w:r w:rsidR="00B13B9A" w:rsidRPr="00B13B9A">
        <w:rPr>
          <w:rFonts w:asciiTheme="majorHAnsi" w:hAnsiTheme="majorHAnsi" w:cstheme="majorHAnsi"/>
          <w:color w:val="000000" w:themeColor="text1"/>
          <w:sz w:val="24"/>
          <w:szCs w:val="24"/>
          <w:lang w:val="ro-MD"/>
        </w:rPr>
        <w:t>ț</w:t>
      </w:r>
      <w:r w:rsidRPr="00B13B9A">
        <w:rPr>
          <w:rFonts w:asciiTheme="majorHAnsi" w:hAnsiTheme="majorHAnsi" w:cstheme="majorHAnsi"/>
          <w:color w:val="000000" w:themeColor="text1"/>
          <w:sz w:val="24"/>
          <w:szCs w:val="24"/>
          <w:lang w:val="ro-MD"/>
        </w:rPr>
        <w:t xml:space="preserve">ie au fost executate de compania </w:t>
      </w:r>
      <w:r w:rsidR="006F7EE6" w:rsidRPr="00B13B9A">
        <w:rPr>
          <w:rFonts w:asciiTheme="majorHAnsi" w:hAnsiTheme="majorHAnsi" w:cstheme="majorHAnsi"/>
          <w:color w:val="000000" w:themeColor="text1"/>
          <w:sz w:val="24"/>
          <w:szCs w:val="24"/>
          <w:lang w:val="ro-MD"/>
        </w:rPr>
        <w:t>„</w:t>
      </w:r>
      <w:r w:rsidRPr="00B13B9A">
        <w:rPr>
          <w:rFonts w:asciiTheme="majorHAnsi" w:hAnsiTheme="majorHAnsi" w:cstheme="majorHAnsi"/>
          <w:color w:val="000000" w:themeColor="text1"/>
          <w:sz w:val="24"/>
          <w:szCs w:val="24"/>
          <w:lang w:val="ro-MD"/>
        </w:rPr>
        <w:t>Monolit” SA</w:t>
      </w:r>
      <w:r w:rsidRPr="00B13B9A">
        <w:rPr>
          <w:rStyle w:val="a9"/>
          <w:rFonts w:asciiTheme="majorHAnsi" w:hAnsiTheme="majorHAnsi" w:cstheme="majorHAnsi"/>
          <w:color w:val="000000" w:themeColor="text1"/>
          <w:sz w:val="24"/>
          <w:szCs w:val="24"/>
          <w:lang w:val="ro-MD"/>
        </w:rPr>
        <w:footnoteReference w:id="31"/>
      </w:r>
      <w:r w:rsidRPr="00B13B9A">
        <w:rPr>
          <w:rFonts w:asciiTheme="majorHAnsi" w:hAnsiTheme="majorHAnsi" w:cstheme="majorHAnsi"/>
          <w:color w:val="000000" w:themeColor="text1"/>
          <w:sz w:val="24"/>
          <w:szCs w:val="24"/>
          <w:lang w:val="ro-MD"/>
        </w:rPr>
        <w:t xml:space="preserve">. </w:t>
      </w:r>
      <w:r w:rsidR="007031FD" w:rsidRPr="00B13B9A">
        <w:rPr>
          <w:rFonts w:asciiTheme="majorHAnsi" w:hAnsiTheme="majorHAnsi" w:cstheme="majorHAnsi"/>
          <w:color w:val="000000" w:themeColor="text1"/>
          <w:sz w:val="24"/>
          <w:szCs w:val="24"/>
          <w:lang w:val="ro-MD"/>
        </w:rPr>
        <w:t>Potrivit datelor din RBI</w:t>
      </w:r>
      <w:r w:rsidR="006F7EE6" w:rsidRPr="00B13B9A">
        <w:rPr>
          <w:rFonts w:asciiTheme="majorHAnsi" w:hAnsiTheme="majorHAnsi" w:cstheme="majorHAnsi"/>
          <w:color w:val="000000" w:themeColor="text1"/>
          <w:sz w:val="24"/>
          <w:szCs w:val="24"/>
          <w:lang w:val="ro-MD"/>
        </w:rPr>
        <w:t>,</w:t>
      </w:r>
      <w:r w:rsidR="007031FD" w:rsidRPr="00B13B9A">
        <w:rPr>
          <w:rFonts w:asciiTheme="majorHAnsi" w:hAnsiTheme="majorHAnsi" w:cstheme="majorHAnsi"/>
          <w:color w:val="000000" w:themeColor="text1"/>
          <w:sz w:val="24"/>
          <w:szCs w:val="24"/>
          <w:lang w:val="ro-MD"/>
        </w:rPr>
        <w:t xml:space="preserve"> pe teritoriul Clinicii Vorniceni sunt amplasate 2 clădiri</w:t>
      </w:r>
      <w:r w:rsidR="0022264B" w:rsidRPr="00B13B9A">
        <w:rPr>
          <w:rStyle w:val="a9"/>
          <w:rFonts w:asciiTheme="majorHAnsi" w:hAnsiTheme="majorHAnsi" w:cstheme="majorHAnsi"/>
          <w:color w:val="000000" w:themeColor="text1"/>
          <w:sz w:val="24"/>
          <w:szCs w:val="24"/>
          <w:lang w:val="ro-MD"/>
        </w:rPr>
        <w:footnoteReference w:id="32"/>
      </w:r>
      <w:r w:rsidR="00EF4B62" w:rsidRPr="00B13B9A">
        <w:rPr>
          <w:rFonts w:asciiTheme="majorHAnsi" w:hAnsiTheme="majorHAnsi" w:cstheme="majorHAnsi"/>
          <w:color w:val="000000" w:themeColor="text1"/>
          <w:sz w:val="24"/>
          <w:szCs w:val="24"/>
          <w:lang w:val="ro-MD"/>
        </w:rPr>
        <w:t>, care în urma lucrărilor au fost comasate</w:t>
      </w:r>
      <w:r w:rsidR="005F0A30" w:rsidRPr="00B13B9A">
        <w:rPr>
          <w:rFonts w:asciiTheme="majorHAnsi" w:hAnsiTheme="majorHAnsi" w:cstheme="majorHAnsi"/>
          <w:color w:val="000000" w:themeColor="text1"/>
          <w:sz w:val="24"/>
          <w:szCs w:val="24"/>
          <w:lang w:val="ro-MD"/>
        </w:rPr>
        <w:t>. De</w:t>
      </w:r>
      <w:r w:rsidR="00B13B9A" w:rsidRPr="00B13B9A">
        <w:rPr>
          <w:rFonts w:asciiTheme="majorHAnsi" w:hAnsiTheme="majorHAnsi" w:cstheme="majorHAnsi"/>
          <w:color w:val="000000" w:themeColor="text1"/>
          <w:sz w:val="24"/>
          <w:szCs w:val="24"/>
          <w:lang w:val="ro-MD"/>
        </w:rPr>
        <w:t>ș</w:t>
      </w:r>
      <w:r w:rsidR="005F0A30" w:rsidRPr="00B13B9A">
        <w:rPr>
          <w:rFonts w:asciiTheme="majorHAnsi" w:hAnsiTheme="majorHAnsi" w:cstheme="majorHAnsi"/>
          <w:color w:val="000000" w:themeColor="text1"/>
          <w:sz w:val="24"/>
          <w:szCs w:val="24"/>
          <w:lang w:val="ro-MD"/>
        </w:rPr>
        <w:t>i lucrările de reconstruc</w:t>
      </w:r>
      <w:r w:rsidR="00B13B9A" w:rsidRPr="00B13B9A">
        <w:rPr>
          <w:rFonts w:asciiTheme="majorHAnsi" w:hAnsiTheme="majorHAnsi" w:cstheme="majorHAnsi"/>
          <w:color w:val="000000" w:themeColor="text1"/>
          <w:sz w:val="24"/>
          <w:szCs w:val="24"/>
          <w:lang w:val="ro-MD"/>
        </w:rPr>
        <w:t>ț</w:t>
      </w:r>
      <w:r w:rsidR="005F0A30" w:rsidRPr="00B13B9A">
        <w:rPr>
          <w:rFonts w:asciiTheme="majorHAnsi" w:hAnsiTheme="majorHAnsi" w:cstheme="majorHAnsi"/>
          <w:color w:val="000000" w:themeColor="text1"/>
          <w:sz w:val="24"/>
          <w:szCs w:val="24"/>
          <w:lang w:val="ro-MD"/>
        </w:rPr>
        <w:t xml:space="preserve">ie au fost finalizate în anul </w:t>
      </w:r>
      <w:r w:rsidR="00742E63" w:rsidRPr="00B13B9A">
        <w:rPr>
          <w:rFonts w:asciiTheme="majorHAnsi" w:hAnsiTheme="majorHAnsi" w:cstheme="majorHAnsi"/>
          <w:color w:val="000000" w:themeColor="text1"/>
          <w:sz w:val="24"/>
          <w:szCs w:val="24"/>
          <w:lang w:val="ro-MD"/>
        </w:rPr>
        <w:t>2015</w:t>
      </w:r>
      <w:r w:rsidR="005F0A30" w:rsidRPr="00B13B9A">
        <w:rPr>
          <w:rFonts w:asciiTheme="majorHAnsi" w:hAnsiTheme="majorHAnsi" w:cstheme="majorHAnsi"/>
          <w:color w:val="000000" w:themeColor="text1"/>
          <w:sz w:val="24"/>
          <w:szCs w:val="24"/>
          <w:lang w:val="ro-MD"/>
        </w:rPr>
        <w:t xml:space="preserve">, până </w:t>
      </w:r>
      <w:r w:rsidR="006F7EE6" w:rsidRPr="00B13B9A">
        <w:rPr>
          <w:rFonts w:asciiTheme="majorHAnsi" w:hAnsiTheme="majorHAnsi" w:cstheme="majorHAnsi"/>
          <w:color w:val="000000" w:themeColor="text1"/>
          <w:sz w:val="24"/>
          <w:szCs w:val="24"/>
          <w:lang w:val="ro-MD"/>
        </w:rPr>
        <w:t>în prezent</w:t>
      </w:r>
      <w:r w:rsidR="005F0A30" w:rsidRPr="00B13B9A">
        <w:rPr>
          <w:rFonts w:asciiTheme="majorHAnsi" w:hAnsiTheme="majorHAnsi" w:cstheme="majorHAnsi"/>
          <w:color w:val="000000" w:themeColor="text1"/>
          <w:sz w:val="24"/>
          <w:szCs w:val="24"/>
          <w:lang w:val="ro-MD"/>
        </w:rPr>
        <w:t xml:space="preserve"> blocul nu este dat în exploatare, respectiv mai bine de 8 ani nu se utilizează.</w:t>
      </w:r>
    </w:p>
    <w:p w14:paraId="58DA1F5B" w14:textId="77777777" w:rsidR="00AB3CDC" w:rsidRPr="00B13B9A" w:rsidRDefault="00AB3CDC" w:rsidP="00AB3CDC">
      <w:pPr>
        <w:pStyle w:val="a7"/>
        <w:spacing w:after="0" w:line="276" w:lineRule="auto"/>
        <w:ind w:left="0"/>
        <w:jc w:val="both"/>
        <w:rPr>
          <w:rFonts w:asciiTheme="majorHAnsi" w:hAnsiTheme="majorHAnsi" w:cstheme="majorHAnsi"/>
          <w:color w:val="000000" w:themeColor="text1"/>
          <w:sz w:val="24"/>
          <w:szCs w:val="24"/>
          <w:lang w:val="ro-MD"/>
        </w:rPr>
      </w:pPr>
    </w:p>
    <w:p w14:paraId="42F1C0A6" w14:textId="3919745B" w:rsidR="007031FD" w:rsidRPr="00B13B9A" w:rsidRDefault="007031FD" w:rsidP="00AB3CDC">
      <w:pPr>
        <w:pStyle w:val="a7"/>
        <w:spacing w:after="0" w:line="276" w:lineRule="auto"/>
        <w:ind w:left="0"/>
        <w:jc w:val="both"/>
        <w:rPr>
          <w:rFonts w:asciiTheme="majorHAnsi" w:hAnsiTheme="majorHAnsi" w:cstheme="majorHAnsi"/>
          <w:i/>
          <w:color w:val="000000" w:themeColor="text1"/>
          <w:sz w:val="24"/>
          <w:szCs w:val="24"/>
          <w:lang w:val="ro-MD"/>
        </w:rPr>
      </w:pPr>
      <w:r w:rsidRPr="00B13B9A">
        <w:rPr>
          <w:rFonts w:asciiTheme="majorHAnsi" w:hAnsiTheme="majorHAnsi" w:cstheme="majorHAnsi"/>
          <w:color w:val="000000" w:themeColor="text1"/>
          <w:sz w:val="24"/>
          <w:szCs w:val="24"/>
          <w:lang w:val="ro-MD"/>
        </w:rPr>
        <w:t>De men</w:t>
      </w:r>
      <w:r w:rsidR="00B13B9A" w:rsidRPr="00B13B9A">
        <w:rPr>
          <w:rFonts w:asciiTheme="majorHAnsi" w:hAnsiTheme="majorHAnsi" w:cstheme="majorHAnsi"/>
          <w:color w:val="000000" w:themeColor="text1"/>
          <w:sz w:val="24"/>
          <w:szCs w:val="24"/>
          <w:lang w:val="ro-MD"/>
        </w:rPr>
        <w:t>ț</w:t>
      </w:r>
      <w:r w:rsidRPr="00B13B9A">
        <w:rPr>
          <w:rFonts w:asciiTheme="majorHAnsi" w:hAnsiTheme="majorHAnsi" w:cstheme="majorHAnsi"/>
          <w:color w:val="000000" w:themeColor="text1"/>
          <w:sz w:val="24"/>
          <w:szCs w:val="24"/>
          <w:lang w:val="ro-MD"/>
        </w:rPr>
        <w:t xml:space="preserve">ionat că, </w:t>
      </w:r>
      <w:r w:rsidR="005F0A30" w:rsidRPr="00B13B9A">
        <w:rPr>
          <w:rFonts w:asciiTheme="majorHAnsi" w:hAnsiTheme="majorHAnsi" w:cstheme="majorHAnsi"/>
          <w:color w:val="000000" w:themeColor="text1"/>
          <w:sz w:val="24"/>
          <w:szCs w:val="24"/>
          <w:lang w:val="ro-MD"/>
        </w:rPr>
        <w:t xml:space="preserve">la solicitarea IMSP IFP </w:t>
      </w:r>
      <w:r w:rsidR="004E1122" w:rsidRPr="00B13B9A">
        <w:rPr>
          <w:rFonts w:asciiTheme="majorHAnsi" w:hAnsiTheme="majorHAnsi" w:cstheme="majorHAnsi"/>
          <w:sz w:val="24"/>
          <w:szCs w:val="24"/>
          <w:lang w:val="ro-MD"/>
        </w:rPr>
        <w:t>„Chiril Draganiuc”</w:t>
      </w:r>
      <w:r w:rsidR="005F0A30" w:rsidRPr="00B13B9A">
        <w:rPr>
          <w:rFonts w:asciiTheme="majorHAnsi" w:hAnsiTheme="majorHAnsi" w:cstheme="majorHAnsi"/>
          <w:color w:val="000000" w:themeColor="text1"/>
          <w:sz w:val="24"/>
          <w:szCs w:val="24"/>
          <w:lang w:val="ro-MD"/>
        </w:rPr>
        <w:t>, a fost elaborat un Raport</w:t>
      </w:r>
      <w:r w:rsidRPr="00B13B9A">
        <w:rPr>
          <w:rFonts w:asciiTheme="majorHAnsi" w:hAnsiTheme="majorHAnsi" w:cstheme="majorHAnsi"/>
          <w:color w:val="000000" w:themeColor="text1"/>
          <w:sz w:val="24"/>
          <w:szCs w:val="24"/>
          <w:lang w:val="ro-MD"/>
        </w:rPr>
        <w:t xml:space="preserve"> de expertiză tehnică</w:t>
      </w:r>
      <w:r w:rsidRPr="00B13B9A">
        <w:rPr>
          <w:rStyle w:val="a9"/>
          <w:rFonts w:asciiTheme="majorHAnsi" w:hAnsiTheme="majorHAnsi" w:cstheme="majorHAnsi"/>
          <w:color w:val="000000" w:themeColor="text1"/>
          <w:sz w:val="24"/>
          <w:szCs w:val="24"/>
          <w:lang w:val="ro-MD"/>
        </w:rPr>
        <w:footnoteReference w:id="33"/>
      </w:r>
      <w:r w:rsidRPr="00B13B9A">
        <w:rPr>
          <w:rFonts w:asciiTheme="majorHAnsi" w:hAnsiTheme="majorHAnsi" w:cstheme="majorHAnsi"/>
          <w:color w:val="000000" w:themeColor="text1"/>
          <w:sz w:val="24"/>
          <w:szCs w:val="24"/>
          <w:lang w:val="ro-MD"/>
        </w:rPr>
        <w:t xml:space="preserve"> </w:t>
      </w:r>
      <w:r w:rsidR="00742E63" w:rsidRPr="00B13B9A">
        <w:rPr>
          <w:rFonts w:asciiTheme="majorHAnsi" w:hAnsiTheme="majorHAnsi" w:cstheme="majorHAnsi"/>
          <w:color w:val="000000" w:themeColor="text1"/>
          <w:sz w:val="24"/>
          <w:szCs w:val="24"/>
          <w:lang w:val="ro-MD"/>
        </w:rPr>
        <w:t>care a</w:t>
      </w:r>
      <w:r w:rsidR="006F7EE6" w:rsidRPr="00B13B9A">
        <w:rPr>
          <w:rFonts w:asciiTheme="majorHAnsi" w:hAnsiTheme="majorHAnsi" w:cstheme="majorHAnsi"/>
          <w:color w:val="000000" w:themeColor="text1"/>
          <w:sz w:val="24"/>
          <w:szCs w:val="24"/>
          <w:lang w:val="ro-MD"/>
        </w:rPr>
        <w:t>testă</w:t>
      </w:r>
      <w:r w:rsidR="00742E63" w:rsidRPr="00B13B9A">
        <w:rPr>
          <w:rFonts w:asciiTheme="majorHAnsi" w:hAnsiTheme="majorHAnsi" w:cstheme="majorHAnsi"/>
          <w:color w:val="000000" w:themeColor="text1"/>
          <w:sz w:val="24"/>
          <w:szCs w:val="24"/>
          <w:lang w:val="ro-MD"/>
        </w:rPr>
        <w:t xml:space="preserve"> mai mu</w:t>
      </w:r>
      <w:r w:rsidR="006F7EE6" w:rsidRPr="00B13B9A">
        <w:rPr>
          <w:rFonts w:asciiTheme="majorHAnsi" w:hAnsiTheme="majorHAnsi" w:cstheme="majorHAnsi"/>
          <w:color w:val="000000" w:themeColor="text1"/>
          <w:sz w:val="24"/>
          <w:szCs w:val="24"/>
          <w:lang w:val="ro-MD"/>
        </w:rPr>
        <w:t>l</w:t>
      </w:r>
      <w:r w:rsidR="00742E63" w:rsidRPr="00B13B9A">
        <w:rPr>
          <w:rFonts w:asciiTheme="majorHAnsi" w:hAnsiTheme="majorHAnsi" w:cstheme="majorHAnsi"/>
          <w:color w:val="000000" w:themeColor="text1"/>
          <w:sz w:val="24"/>
          <w:szCs w:val="24"/>
          <w:lang w:val="ro-MD"/>
        </w:rPr>
        <w:t>te probleme în executarea lucrărilor de reconstruc</w:t>
      </w:r>
      <w:r w:rsidR="00B13B9A" w:rsidRPr="00B13B9A">
        <w:rPr>
          <w:rFonts w:asciiTheme="majorHAnsi" w:hAnsiTheme="majorHAnsi" w:cstheme="majorHAnsi"/>
          <w:color w:val="000000" w:themeColor="text1"/>
          <w:sz w:val="24"/>
          <w:szCs w:val="24"/>
          <w:lang w:val="ro-MD"/>
        </w:rPr>
        <w:t>ț</w:t>
      </w:r>
      <w:r w:rsidR="00742E63" w:rsidRPr="00B13B9A">
        <w:rPr>
          <w:rFonts w:asciiTheme="majorHAnsi" w:hAnsiTheme="majorHAnsi" w:cstheme="majorHAnsi"/>
          <w:color w:val="000000" w:themeColor="text1"/>
          <w:sz w:val="24"/>
          <w:szCs w:val="24"/>
          <w:lang w:val="ro-MD"/>
        </w:rPr>
        <w:t>ie. Astfel,</w:t>
      </w:r>
      <w:r w:rsidR="00541EA0" w:rsidRPr="00B13B9A">
        <w:rPr>
          <w:rFonts w:asciiTheme="majorHAnsi" w:hAnsiTheme="majorHAnsi" w:cstheme="majorHAnsi"/>
          <w:color w:val="000000" w:themeColor="text1"/>
          <w:sz w:val="24"/>
          <w:szCs w:val="24"/>
          <w:lang w:val="ro-MD"/>
        </w:rPr>
        <w:t xml:space="preserve"> „</w:t>
      </w:r>
      <w:r w:rsidRPr="00B13B9A">
        <w:rPr>
          <w:rFonts w:asciiTheme="majorHAnsi" w:hAnsiTheme="majorHAnsi" w:cstheme="majorHAnsi"/>
          <w:i/>
          <w:color w:val="000000" w:themeColor="text1"/>
          <w:sz w:val="24"/>
          <w:szCs w:val="24"/>
          <w:lang w:val="ro-MD"/>
        </w:rPr>
        <w:t>proiectul de reconstruc</w:t>
      </w:r>
      <w:r w:rsidR="00B13B9A" w:rsidRPr="00B13B9A">
        <w:rPr>
          <w:rFonts w:asciiTheme="majorHAnsi" w:hAnsiTheme="majorHAnsi" w:cstheme="majorHAnsi"/>
          <w:i/>
          <w:color w:val="000000" w:themeColor="text1"/>
          <w:sz w:val="24"/>
          <w:szCs w:val="24"/>
          <w:lang w:val="ro-MD"/>
        </w:rPr>
        <w:t>ț</w:t>
      </w:r>
      <w:r w:rsidRPr="00B13B9A">
        <w:rPr>
          <w:rFonts w:asciiTheme="majorHAnsi" w:hAnsiTheme="majorHAnsi" w:cstheme="majorHAnsi"/>
          <w:i/>
          <w:color w:val="000000" w:themeColor="text1"/>
          <w:sz w:val="24"/>
          <w:szCs w:val="24"/>
          <w:lang w:val="ro-MD"/>
        </w:rPr>
        <w:t xml:space="preserve">ie a blocului nu a fost verificat </w:t>
      </w:r>
      <w:r w:rsidR="003E31BE" w:rsidRPr="00B13B9A">
        <w:rPr>
          <w:rFonts w:asciiTheme="majorHAnsi" w:hAnsiTheme="majorHAnsi" w:cstheme="majorHAnsi"/>
          <w:i/>
          <w:color w:val="000000" w:themeColor="text1"/>
          <w:sz w:val="24"/>
          <w:szCs w:val="24"/>
          <w:lang w:val="ro-MD"/>
        </w:rPr>
        <w:t>de</w:t>
      </w:r>
      <w:r w:rsidRPr="00B13B9A">
        <w:rPr>
          <w:rFonts w:asciiTheme="majorHAnsi" w:hAnsiTheme="majorHAnsi" w:cstheme="majorHAnsi"/>
          <w:i/>
          <w:color w:val="000000" w:themeColor="text1"/>
          <w:sz w:val="24"/>
          <w:szCs w:val="24"/>
          <w:lang w:val="ro-MD"/>
        </w:rPr>
        <w:t xml:space="preserve"> Direc</w:t>
      </w:r>
      <w:r w:rsidR="00B13B9A" w:rsidRPr="00B13B9A">
        <w:rPr>
          <w:rFonts w:asciiTheme="majorHAnsi" w:hAnsiTheme="majorHAnsi" w:cstheme="majorHAnsi"/>
          <w:i/>
          <w:color w:val="000000" w:themeColor="text1"/>
          <w:sz w:val="24"/>
          <w:szCs w:val="24"/>
          <w:lang w:val="ro-MD"/>
        </w:rPr>
        <w:t>ț</w:t>
      </w:r>
      <w:r w:rsidRPr="00B13B9A">
        <w:rPr>
          <w:rFonts w:asciiTheme="majorHAnsi" w:hAnsiTheme="majorHAnsi" w:cstheme="majorHAnsi"/>
          <w:i/>
          <w:color w:val="000000" w:themeColor="text1"/>
          <w:sz w:val="24"/>
          <w:szCs w:val="24"/>
          <w:lang w:val="ro-MD"/>
        </w:rPr>
        <w:t xml:space="preserve">ia Verificare </w:t>
      </w:r>
      <w:r w:rsidR="00B13B9A" w:rsidRPr="00B13B9A">
        <w:rPr>
          <w:rFonts w:asciiTheme="majorHAnsi" w:hAnsiTheme="majorHAnsi" w:cstheme="majorHAnsi"/>
          <w:i/>
          <w:color w:val="000000" w:themeColor="text1"/>
          <w:sz w:val="24"/>
          <w:szCs w:val="24"/>
          <w:lang w:val="ro-MD"/>
        </w:rPr>
        <w:t>ș</w:t>
      </w:r>
      <w:r w:rsidRPr="00B13B9A">
        <w:rPr>
          <w:rFonts w:asciiTheme="majorHAnsi" w:hAnsiTheme="majorHAnsi" w:cstheme="majorHAnsi"/>
          <w:i/>
          <w:color w:val="000000" w:themeColor="text1"/>
          <w:sz w:val="24"/>
          <w:szCs w:val="24"/>
          <w:lang w:val="ro-MD"/>
        </w:rPr>
        <w:t xml:space="preserve">i Expertiză </w:t>
      </w:r>
      <w:r w:rsidR="006F7EE6" w:rsidRPr="00B13B9A">
        <w:rPr>
          <w:rFonts w:asciiTheme="majorHAnsi" w:hAnsiTheme="majorHAnsi" w:cstheme="majorHAnsi"/>
          <w:i/>
          <w:color w:val="000000" w:themeColor="text1"/>
          <w:sz w:val="24"/>
          <w:szCs w:val="24"/>
          <w:lang w:val="ro-MD"/>
        </w:rPr>
        <w:t>T</w:t>
      </w:r>
      <w:r w:rsidRPr="00B13B9A">
        <w:rPr>
          <w:rFonts w:asciiTheme="majorHAnsi" w:hAnsiTheme="majorHAnsi" w:cstheme="majorHAnsi"/>
          <w:i/>
          <w:color w:val="000000" w:themeColor="text1"/>
          <w:sz w:val="24"/>
          <w:szCs w:val="24"/>
          <w:lang w:val="ro-MD"/>
        </w:rPr>
        <w:t>ehnică a clădirii existente după cum prevedea caietul de sarcini, cel pu</w:t>
      </w:r>
      <w:r w:rsidR="00B13B9A" w:rsidRPr="00B13B9A">
        <w:rPr>
          <w:rFonts w:asciiTheme="majorHAnsi" w:hAnsiTheme="majorHAnsi" w:cstheme="majorHAnsi"/>
          <w:i/>
          <w:color w:val="000000" w:themeColor="text1"/>
          <w:sz w:val="24"/>
          <w:szCs w:val="24"/>
          <w:lang w:val="ro-MD"/>
        </w:rPr>
        <w:t>ț</w:t>
      </w:r>
      <w:r w:rsidRPr="00B13B9A">
        <w:rPr>
          <w:rFonts w:asciiTheme="majorHAnsi" w:hAnsiTheme="majorHAnsi" w:cstheme="majorHAnsi"/>
          <w:i/>
          <w:color w:val="000000" w:themeColor="text1"/>
          <w:sz w:val="24"/>
          <w:szCs w:val="24"/>
          <w:lang w:val="ro-MD"/>
        </w:rPr>
        <w:t>in în documenta</w:t>
      </w:r>
      <w:r w:rsidR="00B13B9A" w:rsidRPr="00B13B9A">
        <w:rPr>
          <w:rFonts w:asciiTheme="majorHAnsi" w:hAnsiTheme="majorHAnsi" w:cstheme="majorHAnsi"/>
          <w:i/>
          <w:color w:val="000000" w:themeColor="text1"/>
          <w:sz w:val="24"/>
          <w:szCs w:val="24"/>
          <w:lang w:val="ro-MD"/>
        </w:rPr>
        <w:t>ț</w:t>
      </w:r>
      <w:r w:rsidRPr="00B13B9A">
        <w:rPr>
          <w:rFonts w:asciiTheme="majorHAnsi" w:hAnsiTheme="majorHAnsi" w:cstheme="majorHAnsi"/>
          <w:i/>
          <w:color w:val="000000" w:themeColor="text1"/>
          <w:sz w:val="24"/>
          <w:szCs w:val="24"/>
          <w:lang w:val="ro-MD"/>
        </w:rPr>
        <w:t>ia prezentată lipsesc rapoartele men</w:t>
      </w:r>
      <w:r w:rsidR="00B13B9A" w:rsidRPr="00B13B9A">
        <w:rPr>
          <w:rFonts w:asciiTheme="majorHAnsi" w:hAnsiTheme="majorHAnsi" w:cstheme="majorHAnsi"/>
          <w:i/>
          <w:color w:val="000000" w:themeColor="text1"/>
          <w:sz w:val="24"/>
          <w:szCs w:val="24"/>
          <w:lang w:val="ro-MD"/>
        </w:rPr>
        <w:t>ț</w:t>
      </w:r>
      <w:r w:rsidRPr="00B13B9A">
        <w:rPr>
          <w:rFonts w:asciiTheme="majorHAnsi" w:hAnsiTheme="majorHAnsi" w:cstheme="majorHAnsi"/>
          <w:i/>
          <w:color w:val="000000" w:themeColor="text1"/>
          <w:sz w:val="24"/>
          <w:szCs w:val="24"/>
          <w:lang w:val="ro-MD"/>
        </w:rPr>
        <w:t>ionate mai sus</w:t>
      </w:r>
      <w:r w:rsidR="00F4064A" w:rsidRPr="00B13B9A">
        <w:rPr>
          <w:rFonts w:asciiTheme="majorHAnsi" w:hAnsiTheme="majorHAnsi" w:cstheme="majorHAnsi"/>
          <w:i/>
          <w:color w:val="000000" w:themeColor="text1"/>
          <w:sz w:val="24"/>
          <w:szCs w:val="24"/>
          <w:lang w:val="ro-MD"/>
        </w:rPr>
        <w:t xml:space="preserve">. </w:t>
      </w:r>
      <w:r w:rsidR="006F7EE6" w:rsidRPr="00B13B9A">
        <w:rPr>
          <w:rFonts w:asciiTheme="majorHAnsi" w:hAnsiTheme="majorHAnsi" w:cstheme="majorHAnsi"/>
          <w:i/>
          <w:color w:val="000000" w:themeColor="text1"/>
          <w:sz w:val="24"/>
          <w:szCs w:val="24"/>
          <w:lang w:val="ro-MD"/>
        </w:rPr>
        <w:t>(</w:t>
      </w:r>
      <w:r w:rsidRPr="00B13B9A">
        <w:rPr>
          <w:rFonts w:asciiTheme="majorHAnsi" w:hAnsiTheme="majorHAnsi" w:cstheme="majorHAnsi"/>
          <w:i/>
          <w:color w:val="000000" w:themeColor="text1"/>
          <w:sz w:val="24"/>
          <w:szCs w:val="24"/>
          <w:lang w:val="ro-MD"/>
        </w:rPr>
        <w:t>.</w:t>
      </w:r>
      <w:r w:rsidR="00F4064A" w:rsidRPr="00B13B9A">
        <w:rPr>
          <w:rFonts w:asciiTheme="majorHAnsi" w:hAnsiTheme="majorHAnsi" w:cstheme="majorHAnsi"/>
          <w:i/>
          <w:color w:val="000000" w:themeColor="text1"/>
          <w:sz w:val="24"/>
          <w:szCs w:val="24"/>
          <w:lang w:val="ro-MD"/>
        </w:rPr>
        <w:t>..</w:t>
      </w:r>
      <w:r w:rsidR="006F7EE6" w:rsidRPr="00B13B9A">
        <w:rPr>
          <w:rFonts w:asciiTheme="majorHAnsi" w:hAnsiTheme="majorHAnsi" w:cstheme="majorHAnsi"/>
          <w:i/>
          <w:color w:val="000000" w:themeColor="text1"/>
          <w:sz w:val="24"/>
          <w:szCs w:val="24"/>
          <w:lang w:val="ro-MD"/>
        </w:rPr>
        <w:t xml:space="preserve">) </w:t>
      </w:r>
      <w:r w:rsidR="00F4064A" w:rsidRPr="00B13B9A">
        <w:rPr>
          <w:rFonts w:asciiTheme="majorHAnsi" w:hAnsiTheme="majorHAnsi" w:cstheme="majorHAnsi"/>
          <w:i/>
          <w:color w:val="000000" w:themeColor="text1"/>
          <w:sz w:val="24"/>
          <w:szCs w:val="24"/>
          <w:lang w:val="ro-MD"/>
        </w:rPr>
        <w:t>C</w:t>
      </w:r>
      <w:r w:rsidRPr="00B13B9A">
        <w:rPr>
          <w:rFonts w:asciiTheme="majorHAnsi" w:hAnsiTheme="majorHAnsi" w:cstheme="majorHAnsi"/>
          <w:i/>
          <w:color w:val="000000" w:themeColor="text1"/>
          <w:sz w:val="24"/>
          <w:szCs w:val="24"/>
          <w:lang w:val="ro-MD"/>
        </w:rPr>
        <w:t>onform Hăr</w:t>
      </w:r>
      <w:r w:rsidR="00B13B9A" w:rsidRPr="00B13B9A">
        <w:rPr>
          <w:rFonts w:asciiTheme="majorHAnsi" w:hAnsiTheme="majorHAnsi" w:cstheme="majorHAnsi"/>
          <w:i/>
          <w:color w:val="000000" w:themeColor="text1"/>
          <w:sz w:val="24"/>
          <w:szCs w:val="24"/>
          <w:lang w:val="ro-MD"/>
        </w:rPr>
        <w:t>ț</w:t>
      </w:r>
      <w:r w:rsidRPr="00B13B9A">
        <w:rPr>
          <w:rFonts w:asciiTheme="majorHAnsi" w:hAnsiTheme="majorHAnsi" w:cstheme="majorHAnsi"/>
          <w:i/>
          <w:color w:val="000000" w:themeColor="text1"/>
          <w:sz w:val="24"/>
          <w:szCs w:val="24"/>
          <w:lang w:val="ro-MD"/>
        </w:rPr>
        <w:t>ii de zonare seismică a teritoriului RM</w:t>
      </w:r>
      <w:r w:rsidRPr="00B13B9A">
        <w:rPr>
          <w:rStyle w:val="a9"/>
          <w:rFonts w:asciiTheme="majorHAnsi" w:hAnsiTheme="majorHAnsi" w:cstheme="majorHAnsi"/>
          <w:i/>
          <w:color w:val="000000" w:themeColor="text1"/>
          <w:sz w:val="24"/>
          <w:szCs w:val="24"/>
          <w:lang w:val="ro-MD"/>
        </w:rPr>
        <w:footnoteReference w:id="34"/>
      </w:r>
      <w:r w:rsidRPr="00B13B9A">
        <w:rPr>
          <w:rFonts w:asciiTheme="majorHAnsi" w:hAnsiTheme="majorHAnsi" w:cstheme="majorHAnsi"/>
          <w:i/>
          <w:color w:val="000000" w:themeColor="text1"/>
          <w:sz w:val="24"/>
          <w:szCs w:val="24"/>
          <w:lang w:val="ro-MD"/>
        </w:rPr>
        <w:t xml:space="preserve"> terenul pe care este amplasată clădirea examinată, are o intensitate seismică de 7 grade. După reconstruc</w:t>
      </w:r>
      <w:r w:rsidR="00B13B9A" w:rsidRPr="00B13B9A">
        <w:rPr>
          <w:rFonts w:asciiTheme="majorHAnsi" w:hAnsiTheme="majorHAnsi" w:cstheme="majorHAnsi"/>
          <w:i/>
          <w:color w:val="000000" w:themeColor="text1"/>
          <w:sz w:val="24"/>
          <w:szCs w:val="24"/>
          <w:lang w:val="ro-MD"/>
        </w:rPr>
        <w:t>ț</w:t>
      </w:r>
      <w:r w:rsidRPr="00B13B9A">
        <w:rPr>
          <w:rFonts w:asciiTheme="majorHAnsi" w:hAnsiTheme="majorHAnsi" w:cstheme="majorHAnsi"/>
          <w:i/>
          <w:color w:val="000000" w:themeColor="text1"/>
          <w:sz w:val="24"/>
          <w:szCs w:val="24"/>
          <w:lang w:val="ro-MD"/>
        </w:rPr>
        <w:t>ie Blocul curativ nr.2 nu a fost supus unor ac</w:t>
      </w:r>
      <w:r w:rsidR="00B13B9A" w:rsidRPr="00B13B9A">
        <w:rPr>
          <w:rFonts w:asciiTheme="majorHAnsi" w:hAnsiTheme="majorHAnsi" w:cstheme="majorHAnsi"/>
          <w:i/>
          <w:color w:val="000000" w:themeColor="text1"/>
          <w:sz w:val="24"/>
          <w:szCs w:val="24"/>
          <w:lang w:val="ro-MD"/>
        </w:rPr>
        <w:t>ț</w:t>
      </w:r>
      <w:r w:rsidRPr="00B13B9A">
        <w:rPr>
          <w:rFonts w:asciiTheme="majorHAnsi" w:hAnsiTheme="majorHAnsi" w:cstheme="majorHAnsi"/>
          <w:i/>
          <w:color w:val="000000" w:themeColor="text1"/>
          <w:sz w:val="24"/>
          <w:szCs w:val="24"/>
          <w:lang w:val="ro-MD"/>
        </w:rPr>
        <w:t>iuni seismice de grad înalt. Astfel, examinând documenta</w:t>
      </w:r>
      <w:r w:rsidR="00B13B9A" w:rsidRPr="00B13B9A">
        <w:rPr>
          <w:rFonts w:asciiTheme="majorHAnsi" w:hAnsiTheme="majorHAnsi" w:cstheme="majorHAnsi"/>
          <w:i/>
          <w:color w:val="000000" w:themeColor="text1"/>
          <w:sz w:val="24"/>
          <w:szCs w:val="24"/>
          <w:lang w:val="ro-MD"/>
        </w:rPr>
        <w:t>ț</w:t>
      </w:r>
      <w:r w:rsidRPr="00B13B9A">
        <w:rPr>
          <w:rFonts w:asciiTheme="majorHAnsi" w:hAnsiTheme="majorHAnsi" w:cstheme="majorHAnsi"/>
          <w:i/>
          <w:color w:val="000000" w:themeColor="text1"/>
          <w:sz w:val="24"/>
          <w:szCs w:val="24"/>
          <w:lang w:val="ro-MD"/>
        </w:rPr>
        <w:t xml:space="preserve">ia de proiect </w:t>
      </w:r>
      <w:r w:rsidR="00B13B9A" w:rsidRPr="00B13B9A">
        <w:rPr>
          <w:rFonts w:asciiTheme="majorHAnsi" w:hAnsiTheme="majorHAnsi" w:cstheme="majorHAnsi"/>
          <w:i/>
          <w:color w:val="000000" w:themeColor="text1"/>
          <w:sz w:val="24"/>
          <w:szCs w:val="24"/>
          <w:lang w:val="ro-MD"/>
        </w:rPr>
        <w:t>ș</w:t>
      </w:r>
      <w:r w:rsidRPr="00B13B9A">
        <w:rPr>
          <w:rFonts w:asciiTheme="majorHAnsi" w:hAnsiTheme="majorHAnsi" w:cstheme="majorHAnsi"/>
          <w:i/>
          <w:color w:val="000000" w:themeColor="text1"/>
          <w:sz w:val="24"/>
          <w:szCs w:val="24"/>
          <w:lang w:val="ro-MD"/>
        </w:rPr>
        <w:t>i verificarea construc</w:t>
      </w:r>
      <w:r w:rsidR="00B13B9A" w:rsidRPr="00B13B9A">
        <w:rPr>
          <w:rFonts w:asciiTheme="majorHAnsi" w:hAnsiTheme="majorHAnsi" w:cstheme="majorHAnsi"/>
          <w:i/>
          <w:color w:val="000000" w:themeColor="text1"/>
          <w:sz w:val="24"/>
          <w:szCs w:val="24"/>
          <w:lang w:val="ro-MD"/>
        </w:rPr>
        <w:t>ț</w:t>
      </w:r>
      <w:r w:rsidRPr="00B13B9A">
        <w:rPr>
          <w:rFonts w:asciiTheme="majorHAnsi" w:hAnsiTheme="majorHAnsi" w:cstheme="majorHAnsi"/>
          <w:i/>
          <w:color w:val="000000" w:themeColor="text1"/>
          <w:sz w:val="24"/>
          <w:szCs w:val="24"/>
          <w:lang w:val="ro-MD"/>
        </w:rPr>
        <w:t>iei de-facto, de către compania care efectua verificarea au fost constatate multiple modificări a acesteia, care au fost admise de către autorul de proiect. De men</w:t>
      </w:r>
      <w:r w:rsidR="00B13B9A" w:rsidRPr="00B13B9A">
        <w:rPr>
          <w:rFonts w:asciiTheme="majorHAnsi" w:hAnsiTheme="majorHAnsi" w:cstheme="majorHAnsi"/>
          <w:i/>
          <w:color w:val="000000" w:themeColor="text1"/>
          <w:sz w:val="24"/>
          <w:szCs w:val="24"/>
          <w:lang w:val="ro-MD"/>
        </w:rPr>
        <w:t>ț</w:t>
      </w:r>
      <w:r w:rsidRPr="00B13B9A">
        <w:rPr>
          <w:rFonts w:asciiTheme="majorHAnsi" w:hAnsiTheme="majorHAnsi" w:cstheme="majorHAnsi"/>
          <w:i/>
          <w:color w:val="000000" w:themeColor="text1"/>
          <w:sz w:val="24"/>
          <w:szCs w:val="24"/>
          <w:lang w:val="ro-MD"/>
        </w:rPr>
        <w:t>ionat faptul, că însu</w:t>
      </w:r>
      <w:r w:rsidR="00B13B9A" w:rsidRPr="00B13B9A">
        <w:rPr>
          <w:rFonts w:asciiTheme="majorHAnsi" w:hAnsiTheme="majorHAnsi" w:cstheme="majorHAnsi"/>
          <w:i/>
          <w:color w:val="000000" w:themeColor="text1"/>
          <w:sz w:val="24"/>
          <w:szCs w:val="24"/>
          <w:lang w:val="ro-MD"/>
        </w:rPr>
        <w:t>ș</w:t>
      </w:r>
      <w:r w:rsidRPr="00B13B9A">
        <w:rPr>
          <w:rFonts w:asciiTheme="majorHAnsi" w:hAnsiTheme="majorHAnsi" w:cstheme="majorHAnsi"/>
          <w:i/>
          <w:color w:val="000000" w:themeColor="text1"/>
          <w:sz w:val="24"/>
          <w:szCs w:val="24"/>
          <w:lang w:val="ro-MD"/>
        </w:rPr>
        <w:t xml:space="preserve">i lucrările de finisare interioare </w:t>
      </w:r>
      <w:r w:rsidR="00B13B9A" w:rsidRPr="00B13B9A">
        <w:rPr>
          <w:rFonts w:asciiTheme="majorHAnsi" w:hAnsiTheme="majorHAnsi" w:cstheme="majorHAnsi"/>
          <w:i/>
          <w:color w:val="000000" w:themeColor="text1"/>
          <w:sz w:val="24"/>
          <w:szCs w:val="24"/>
          <w:lang w:val="ro-MD"/>
        </w:rPr>
        <w:t>ș</w:t>
      </w:r>
      <w:r w:rsidRPr="00B13B9A">
        <w:rPr>
          <w:rFonts w:asciiTheme="majorHAnsi" w:hAnsiTheme="majorHAnsi" w:cstheme="majorHAnsi"/>
          <w:i/>
          <w:color w:val="000000" w:themeColor="text1"/>
          <w:sz w:val="24"/>
          <w:szCs w:val="24"/>
          <w:lang w:val="ro-MD"/>
        </w:rPr>
        <w:t>i exterioare au fost executate la nivel calitativ satisfăcător. În acela</w:t>
      </w:r>
      <w:r w:rsidR="00B13B9A" w:rsidRPr="00B13B9A">
        <w:rPr>
          <w:rFonts w:asciiTheme="majorHAnsi" w:hAnsiTheme="majorHAnsi" w:cstheme="majorHAnsi"/>
          <w:i/>
          <w:color w:val="000000" w:themeColor="text1"/>
          <w:sz w:val="24"/>
          <w:szCs w:val="24"/>
          <w:lang w:val="ro-MD"/>
        </w:rPr>
        <w:t>ș</w:t>
      </w:r>
      <w:r w:rsidRPr="00B13B9A">
        <w:rPr>
          <w:rFonts w:asciiTheme="majorHAnsi" w:hAnsiTheme="majorHAnsi" w:cstheme="majorHAnsi"/>
          <w:i/>
          <w:color w:val="000000" w:themeColor="text1"/>
          <w:sz w:val="24"/>
          <w:szCs w:val="24"/>
          <w:lang w:val="ro-MD"/>
        </w:rPr>
        <w:t>i timp la examinarea încăperilor din subsolul clădirii, unde sunt amplasate utilajele inginere</w:t>
      </w:r>
      <w:r w:rsidR="00B13B9A" w:rsidRPr="00B13B9A">
        <w:rPr>
          <w:rFonts w:asciiTheme="majorHAnsi" w:hAnsiTheme="majorHAnsi" w:cstheme="majorHAnsi"/>
          <w:i/>
          <w:color w:val="000000" w:themeColor="text1"/>
          <w:sz w:val="24"/>
          <w:szCs w:val="24"/>
          <w:lang w:val="ro-MD"/>
        </w:rPr>
        <w:t>ș</w:t>
      </w:r>
      <w:r w:rsidRPr="00B13B9A">
        <w:rPr>
          <w:rFonts w:asciiTheme="majorHAnsi" w:hAnsiTheme="majorHAnsi" w:cstheme="majorHAnsi"/>
          <w:i/>
          <w:color w:val="000000" w:themeColor="text1"/>
          <w:sz w:val="24"/>
          <w:szCs w:val="24"/>
          <w:lang w:val="ro-MD"/>
        </w:rPr>
        <w:t xml:space="preserve">ti, inclusiv </w:t>
      </w:r>
      <w:r w:rsidR="00B13B9A" w:rsidRPr="00B13B9A">
        <w:rPr>
          <w:rFonts w:asciiTheme="majorHAnsi" w:hAnsiTheme="majorHAnsi" w:cstheme="majorHAnsi"/>
          <w:i/>
          <w:color w:val="000000" w:themeColor="text1"/>
          <w:sz w:val="24"/>
          <w:szCs w:val="24"/>
          <w:lang w:val="ro-MD"/>
        </w:rPr>
        <w:t>ș</w:t>
      </w:r>
      <w:r w:rsidRPr="00B13B9A">
        <w:rPr>
          <w:rFonts w:asciiTheme="majorHAnsi" w:hAnsiTheme="majorHAnsi" w:cstheme="majorHAnsi"/>
          <w:i/>
          <w:color w:val="000000" w:themeColor="text1"/>
          <w:sz w:val="24"/>
          <w:szCs w:val="24"/>
          <w:lang w:val="ro-MD"/>
        </w:rPr>
        <w:t>i sistemul automatizat de func</w:t>
      </w:r>
      <w:r w:rsidR="00B13B9A" w:rsidRPr="00B13B9A">
        <w:rPr>
          <w:rFonts w:asciiTheme="majorHAnsi" w:hAnsiTheme="majorHAnsi" w:cstheme="majorHAnsi"/>
          <w:i/>
          <w:color w:val="000000" w:themeColor="text1"/>
          <w:sz w:val="24"/>
          <w:szCs w:val="24"/>
          <w:lang w:val="ro-MD"/>
        </w:rPr>
        <w:t>ț</w:t>
      </w:r>
      <w:r w:rsidRPr="00B13B9A">
        <w:rPr>
          <w:rFonts w:asciiTheme="majorHAnsi" w:hAnsiTheme="majorHAnsi" w:cstheme="majorHAnsi"/>
          <w:i/>
          <w:color w:val="000000" w:themeColor="text1"/>
          <w:sz w:val="24"/>
          <w:szCs w:val="24"/>
          <w:lang w:val="ro-MD"/>
        </w:rPr>
        <w:t xml:space="preserve">ionare </w:t>
      </w:r>
      <w:r w:rsidR="00B13B9A" w:rsidRPr="00B13B9A">
        <w:rPr>
          <w:rFonts w:asciiTheme="majorHAnsi" w:hAnsiTheme="majorHAnsi" w:cstheme="majorHAnsi"/>
          <w:i/>
          <w:color w:val="000000" w:themeColor="text1"/>
          <w:sz w:val="24"/>
          <w:szCs w:val="24"/>
          <w:lang w:val="ro-MD"/>
        </w:rPr>
        <w:t>ș</w:t>
      </w:r>
      <w:r w:rsidRPr="00B13B9A">
        <w:rPr>
          <w:rFonts w:asciiTheme="majorHAnsi" w:hAnsiTheme="majorHAnsi" w:cstheme="majorHAnsi"/>
          <w:i/>
          <w:color w:val="000000" w:themeColor="text1"/>
          <w:sz w:val="24"/>
          <w:szCs w:val="24"/>
          <w:lang w:val="ro-MD"/>
        </w:rPr>
        <w:t xml:space="preserve">i dirijare a acestora s-a constatat că, în încăperile date are loc pătrunderea apelor atmosferice </w:t>
      </w:r>
      <w:r w:rsidR="00B13B9A" w:rsidRPr="00B13B9A">
        <w:rPr>
          <w:rFonts w:asciiTheme="majorHAnsi" w:hAnsiTheme="majorHAnsi" w:cstheme="majorHAnsi"/>
          <w:i/>
          <w:color w:val="000000" w:themeColor="text1"/>
          <w:sz w:val="24"/>
          <w:szCs w:val="24"/>
          <w:lang w:val="ro-MD"/>
        </w:rPr>
        <w:t>ș</w:t>
      </w:r>
      <w:r w:rsidRPr="00B13B9A">
        <w:rPr>
          <w:rFonts w:asciiTheme="majorHAnsi" w:hAnsiTheme="majorHAnsi" w:cstheme="majorHAnsi"/>
          <w:i/>
          <w:color w:val="000000" w:themeColor="text1"/>
          <w:sz w:val="24"/>
          <w:szCs w:val="24"/>
          <w:lang w:val="ro-MD"/>
        </w:rPr>
        <w:t>i subterane, ceea ce pune în pericol func</w:t>
      </w:r>
      <w:r w:rsidR="00B13B9A" w:rsidRPr="00B13B9A">
        <w:rPr>
          <w:rFonts w:asciiTheme="majorHAnsi" w:hAnsiTheme="majorHAnsi" w:cstheme="majorHAnsi"/>
          <w:i/>
          <w:color w:val="000000" w:themeColor="text1"/>
          <w:sz w:val="24"/>
          <w:szCs w:val="24"/>
          <w:lang w:val="ro-MD"/>
        </w:rPr>
        <w:t>ț</w:t>
      </w:r>
      <w:r w:rsidRPr="00B13B9A">
        <w:rPr>
          <w:rFonts w:asciiTheme="majorHAnsi" w:hAnsiTheme="majorHAnsi" w:cstheme="majorHAnsi"/>
          <w:i/>
          <w:color w:val="000000" w:themeColor="text1"/>
          <w:sz w:val="24"/>
          <w:szCs w:val="24"/>
          <w:lang w:val="ro-MD"/>
        </w:rPr>
        <w:t xml:space="preserve">ionarea </w:t>
      </w:r>
      <w:r w:rsidR="00B13B9A" w:rsidRPr="00B13B9A">
        <w:rPr>
          <w:rFonts w:asciiTheme="majorHAnsi" w:hAnsiTheme="majorHAnsi" w:cstheme="majorHAnsi"/>
          <w:i/>
          <w:color w:val="000000" w:themeColor="text1"/>
          <w:sz w:val="24"/>
          <w:szCs w:val="24"/>
          <w:lang w:val="ro-MD"/>
        </w:rPr>
        <w:t>ș</w:t>
      </w:r>
      <w:r w:rsidRPr="00B13B9A">
        <w:rPr>
          <w:rFonts w:asciiTheme="majorHAnsi" w:hAnsiTheme="majorHAnsi" w:cstheme="majorHAnsi"/>
          <w:i/>
          <w:color w:val="000000" w:themeColor="text1"/>
          <w:sz w:val="24"/>
          <w:szCs w:val="24"/>
          <w:lang w:val="ro-MD"/>
        </w:rPr>
        <w:t>i dirijarea sistemelor inginere</w:t>
      </w:r>
      <w:r w:rsidR="00B13B9A" w:rsidRPr="00B13B9A">
        <w:rPr>
          <w:rFonts w:asciiTheme="majorHAnsi" w:hAnsiTheme="majorHAnsi" w:cstheme="majorHAnsi"/>
          <w:i/>
          <w:color w:val="000000" w:themeColor="text1"/>
          <w:sz w:val="24"/>
          <w:szCs w:val="24"/>
          <w:lang w:val="ro-MD"/>
        </w:rPr>
        <w:t>ș</w:t>
      </w:r>
      <w:r w:rsidRPr="00B13B9A">
        <w:rPr>
          <w:rFonts w:asciiTheme="majorHAnsi" w:hAnsiTheme="majorHAnsi" w:cstheme="majorHAnsi"/>
          <w:i/>
          <w:color w:val="000000" w:themeColor="text1"/>
          <w:sz w:val="24"/>
          <w:szCs w:val="24"/>
          <w:lang w:val="ro-MD"/>
        </w:rPr>
        <w:t>ti menite să asigure func</w:t>
      </w:r>
      <w:r w:rsidR="00B13B9A" w:rsidRPr="00B13B9A">
        <w:rPr>
          <w:rFonts w:asciiTheme="majorHAnsi" w:hAnsiTheme="majorHAnsi" w:cstheme="majorHAnsi"/>
          <w:i/>
          <w:color w:val="000000" w:themeColor="text1"/>
          <w:sz w:val="24"/>
          <w:szCs w:val="24"/>
          <w:lang w:val="ro-MD"/>
        </w:rPr>
        <w:t>ț</w:t>
      </w:r>
      <w:r w:rsidRPr="00B13B9A">
        <w:rPr>
          <w:rFonts w:asciiTheme="majorHAnsi" w:hAnsiTheme="majorHAnsi" w:cstheme="majorHAnsi"/>
          <w:i/>
          <w:color w:val="000000" w:themeColor="text1"/>
          <w:sz w:val="24"/>
          <w:szCs w:val="24"/>
          <w:lang w:val="ro-MD"/>
        </w:rPr>
        <w:t>ionalitatea blocului clinic.</w:t>
      </w:r>
    </w:p>
    <w:p w14:paraId="4F786AEF" w14:textId="2722698A" w:rsidR="007031FD" w:rsidRPr="00B13B9A" w:rsidRDefault="007031FD" w:rsidP="00AB3CDC">
      <w:pPr>
        <w:pStyle w:val="a7"/>
        <w:spacing w:after="0" w:line="276" w:lineRule="auto"/>
        <w:ind w:left="0"/>
        <w:jc w:val="both"/>
        <w:rPr>
          <w:rFonts w:asciiTheme="majorHAnsi" w:hAnsiTheme="majorHAnsi" w:cstheme="majorHAnsi"/>
          <w:color w:val="000000" w:themeColor="text1"/>
          <w:sz w:val="24"/>
          <w:szCs w:val="24"/>
          <w:lang w:val="ro-MD"/>
        </w:rPr>
      </w:pPr>
      <w:r w:rsidRPr="00B13B9A">
        <w:rPr>
          <w:rFonts w:asciiTheme="majorHAnsi" w:hAnsiTheme="majorHAnsi" w:cstheme="majorHAnsi"/>
          <w:i/>
          <w:color w:val="000000" w:themeColor="text1"/>
          <w:sz w:val="24"/>
          <w:szCs w:val="24"/>
          <w:lang w:val="ro-MD"/>
        </w:rPr>
        <w:t>Totodată, s-a constatat că sistema de evacuare a apelor pluviale de pe acoperi</w:t>
      </w:r>
      <w:r w:rsidR="00B13B9A" w:rsidRPr="00B13B9A">
        <w:rPr>
          <w:rFonts w:asciiTheme="majorHAnsi" w:hAnsiTheme="majorHAnsi" w:cstheme="majorHAnsi"/>
          <w:i/>
          <w:color w:val="000000" w:themeColor="text1"/>
          <w:sz w:val="24"/>
          <w:szCs w:val="24"/>
          <w:lang w:val="ro-MD"/>
        </w:rPr>
        <w:t>ș</w:t>
      </w:r>
      <w:r w:rsidRPr="00B13B9A">
        <w:rPr>
          <w:rFonts w:asciiTheme="majorHAnsi" w:hAnsiTheme="majorHAnsi" w:cstheme="majorHAnsi"/>
          <w:i/>
          <w:color w:val="000000" w:themeColor="text1"/>
          <w:sz w:val="24"/>
          <w:szCs w:val="24"/>
          <w:lang w:val="ro-MD"/>
        </w:rPr>
        <w:t>ul clădirii este organizată pe suprafa</w:t>
      </w:r>
      <w:r w:rsidR="00B13B9A" w:rsidRPr="00B13B9A">
        <w:rPr>
          <w:rFonts w:asciiTheme="majorHAnsi" w:hAnsiTheme="majorHAnsi" w:cstheme="majorHAnsi"/>
          <w:i/>
          <w:color w:val="000000" w:themeColor="text1"/>
          <w:sz w:val="24"/>
          <w:szCs w:val="24"/>
          <w:lang w:val="ro-MD"/>
        </w:rPr>
        <w:t>ț</w:t>
      </w:r>
      <w:r w:rsidRPr="00B13B9A">
        <w:rPr>
          <w:rFonts w:asciiTheme="majorHAnsi" w:hAnsiTheme="majorHAnsi" w:cstheme="majorHAnsi"/>
          <w:i/>
          <w:color w:val="000000" w:themeColor="text1"/>
          <w:sz w:val="24"/>
          <w:szCs w:val="24"/>
          <w:lang w:val="ro-MD"/>
        </w:rPr>
        <w:t>a terenului, care poare fi una din cauzele apari</w:t>
      </w:r>
      <w:r w:rsidR="00B13B9A" w:rsidRPr="00B13B9A">
        <w:rPr>
          <w:rFonts w:asciiTheme="majorHAnsi" w:hAnsiTheme="majorHAnsi" w:cstheme="majorHAnsi"/>
          <w:i/>
          <w:color w:val="000000" w:themeColor="text1"/>
          <w:sz w:val="24"/>
          <w:szCs w:val="24"/>
          <w:lang w:val="ro-MD"/>
        </w:rPr>
        <w:t>ț</w:t>
      </w:r>
      <w:r w:rsidRPr="00B13B9A">
        <w:rPr>
          <w:rFonts w:asciiTheme="majorHAnsi" w:hAnsiTheme="majorHAnsi" w:cstheme="majorHAnsi"/>
          <w:i/>
          <w:color w:val="000000" w:themeColor="text1"/>
          <w:sz w:val="24"/>
          <w:szCs w:val="24"/>
          <w:lang w:val="ro-MD"/>
        </w:rPr>
        <w:t>iei umidită</w:t>
      </w:r>
      <w:r w:rsidR="00B13B9A" w:rsidRPr="00B13B9A">
        <w:rPr>
          <w:rFonts w:asciiTheme="majorHAnsi" w:hAnsiTheme="majorHAnsi" w:cstheme="majorHAnsi"/>
          <w:i/>
          <w:color w:val="000000" w:themeColor="text1"/>
          <w:sz w:val="24"/>
          <w:szCs w:val="24"/>
          <w:lang w:val="ro-MD"/>
        </w:rPr>
        <w:t>ț</w:t>
      </w:r>
      <w:r w:rsidRPr="00B13B9A">
        <w:rPr>
          <w:rFonts w:asciiTheme="majorHAnsi" w:hAnsiTheme="majorHAnsi" w:cstheme="majorHAnsi"/>
          <w:i/>
          <w:color w:val="000000" w:themeColor="text1"/>
          <w:sz w:val="24"/>
          <w:szCs w:val="24"/>
          <w:lang w:val="ro-MD"/>
        </w:rPr>
        <w:t>ii în încăperile subsolului.</w:t>
      </w:r>
      <w:r w:rsidRPr="00B13B9A">
        <w:rPr>
          <w:rFonts w:asciiTheme="majorHAnsi" w:hAnsiTheme="majorHAnsi" w:cstheme="majorHAnsi"/>
          <w:color w:val="000000" w:themeColor="text1"/>
          <w:sz w:val="24"/>
          <w:szCs w:val="24"/>
          <w:lang w:val="ro-MD"/>
        </w:rPr>
        <w:t>”</w:t>
      </w:r>
      <w:r w:rsidR="00211AE7" w:rsidRPr="00B13B9A">
        <w:rPr>
          <w:rFonts w:asciiTheme="majorHAnsi" w:hAnsiTheme="majorHAnsi" w:cstheme="majorHAnsi"/>
          <w:color w:val="000000" w:themeColor="text1"/>
          <w:sz w:val="24"/>
          <w:szCs w:val="24"/>
          <w:lang w:val="ro-MD"/>
        </w:rPr>
        <w:t>.</w:t>
      </w:r>
    </w:p>
    <w:p w14:paraId="59AB295D" w14:textId="19595B05" w:rsidR="007031FD" w:rsidRPr="00B13B9A" w:rsidRDefault="007031FD" w:rsidP="00F4064A">
      <w:pPr>
        <w:pStyle w:val="a7"/>
        <w:spacing w:after="0" w:line="276" w:lineRule="auto"/>
        <w:ind w:left="0"/>
        <w:jc w:val="both"/>
        <w:rPr>
          <w:rFonts w:asciiTheme="majorHAnsi" w:hAnsiTheme="majorHAnsi" w:cstheme="majorHAnsi"/>
          <w:color w:val="000000" w:themeColor="text1"/>
          <w:sz w:val="24"/>
          <w:szCs w:val="24"/>
          <w:lang w:val="ro-MD"/>
        </w:rPr>
      </w:pPr>
      <w:r w:rsidRPr="00B13B9A">
        <w:rPr>
          <w:rFonts w:asciiTheme="majorHAnsi" w:hAnsiTheme="majorHAnsi" w:cstheme="majorHAnsi"/>
          <w:color w:val="000000" w:themeColor="text1"/>
          <w:sz w:val="24"/>
          <w:szCs w:val="24"/>
          <w:lang w:val="ro-MD"/>
        </w:rPr>
        <w:t>Prin urmare, potrivit acestui raport  se denotă faptul că Blocul curativ se afla într-o stare tehnică par</w:t>
      </w:r>
      <w:r w:rsidR="00B13B9A" w:rsidRPr="00B13B9A">
        <w:rPr>
          <w:rFonts w:asciiTheme="majorHAnsi" w:hAnsiTheme="majorHAnsi" w:cstheme="majorHAnsi"/>
          <w:color w:val="000000" w:themeColor="text1"/>
          <w:sz w:val="24"/>
          <w:szCs w:val="24"/>
          <w:lang w:val="ro-MD"/>
        </w:rPr>
        <w:t>ț</w:t>
      </w:r>
      <w:r w:rsidRPr="00B13B9A">
        <w:rPr>
          <w:rFonts w:asciiTheme="majorHAnsi" w:hAnsiTheme="majorHAnsi" w:cstheme="majorHAnsi"/>
          <w:color w:val="000000" w:themeColor="text1"/>
          <w:sz w:val="24"/>
          <w:szCs w:val="24"/>
          <w:lang w:val="ro-MD"/>
        </w:rPr>
        <w:t>ial satisfăcătoare</w:t>
      </w:r>
      <w:r w:rsidR="00CD062B" w:rsidRPr="00B13B9A">
        <w:rPr>
          <w:rFonts w:asciiTheme="majorHAnsi" w:hAnsiTheme="majorHAnsi" w:cstheme="majorHAnsi"/>
          <w:color w:val="000000" w:themeColor="text1"/>
          <w:sz w:val="24"/>
          <w:szCs w:val="24"/>
          <w:lang w:val="ro-MD"/>
        </w:rPr>
        <w:t>,</w:t>
      </w:r>
      <w:r w:rsidRPr="00B13B9A">
        <w:rPr>
          <w:rFonts w:asciiTheme="majorHAnsi" w:hAnsiTheme="majorHAnsi" w:cstheme="majorHAnsi"/>
          <w:color w:val="000000" w:themeColor="text1"/>
          <w:sz w:val="24"/>
          <w:szCs w:val="24"/>
          <w:lang w:val="ro-MD"/>
        </w:rPr>
        <w:t xml:space="preserve"> fiind necesar</w:t>
      </w:r>
      <w:r w:rsidR="00CD062B" w:rsidRPr="00B13B9A">
        <w:rPr>
          <w:rFonts w:asciiTheme="majorHAnsi" w:hAnsiTheme="majorHAnsi" w:cstheme="majorHAnsi"/>
          <w:color w:val="000000" w:themeColor="text1"/>
          <w:sz w:val="24"/>
          <w:szCs w:val="24"/>
          <w:lang w:val="ro-MD"/>
        </w:rPr>
        <w:t>ă</w:t>
      </w:r>
      <w:r w:rsidRPr="00B13B9A">
        <w:rPr>
          <w:rFonts w:asciiTheme="majorHAnsi" w:hAnsiTheme="majorHAnsi" w:cstheme="majorHAnsi"/>
          <w:color w:val="000000" w:themeColor="text1"/>
          <w:sz w:val="24"/>
          <w:szCs w:val="24"/>
          <w:lang w:val="ro-MD"/>
        </w:rPr>
        <w:t xml:space="preserve"> efectuarea unor lucrări de repara</w:t>
      </w:r>
      <w:r w:rsidR="00B13B9A" w:rsidRPr="00B13B9A">
        <w:rPr>
          <w:rFonts w:asciiTheme="majorHAnsi" w:hAnsiTheme="majorHAnsi" w:cstheme="majorHAnsi"/>
          <w:color w:val="000000" w:themeColor="text1"/>
          <w:sz w:val="24"/>
          <w:szCs w:val="24"/>
          <w:lang w:val="ro-MD"/>
        </w:rPr>
        <w:t>ț</w:t>
      </w:r>
      <w:r w:rsidRPr="00B13B9A">
        <w:rPr>
          <w:rFonts w:asciiTheme="majorHAnsi" w:hAnsiTheme="majorHAnsi" w:cstheme="majorHAnsi"/>
          <w:color w:val="000000" w:themeColor="text1"/>
          <w:sz w:val="24"/>
          <w:szCs w:val="24"/>
          <w:lang w:val="ro-MD"/>
        </w:rPr>
        <w:t xml:space="preserve">ii curente. În starea constatată </w:t>
      </w:r>
      <w:r w:rsidR="00B13B9A" w:rsidRPr="00B13B9A">
        <w:rPr>
          <w:rFonts w:asciiTheme="majorHAnsi" w:hAnsiTheme="majorHAnsi" w:cstheme="majorHAnsi"/>
          <w:color w:val="000000" w:themeColor="text1"/>
          <w:sz w:val="24"/>
          <w:szCs w:val="24"/>
          <w:lang w:val="ro-MD"/>
        </w:rPr>
        <w:t>ș</w:t>
      </w:r>
      <w:r w:rsidRPr="00B13B9A">
        <w:rPr>
          <w:rFonts w:asciiTheme="majorHAnsi" w:hAnsiTheme="majorHAnsi" w:cstheme="majorHAnsi"/>
          <w:color w:val="000000" w:themeColor="text1"/>
          <w:sz w:val="24"/>
          <w:szCs w:val="24"/>
          <w:lang w:val="ro-MD"/>
        </w:rPr>
        <w:t>i descrisă în Raportul de expertiză</w:t>
      </w:r>
      <w:r w:rsidR="00CD062B" w:rsidRPr="00B13B9A">
        <w:rPr>
          <w:rFonts w:asciiTheme="majorHAnsi" w:hAnsiTheme="majorHAnsi" w:cstheme="majorHAnsi"/>
          <w:color w:val="000000" w:themeColor="text1"/>
          <w:sz w:val="24"/>
          <w:szCs w:val="24"/>
          <w:lang w:val="ro-MD"/>
        </w:rPr>
        <w:t>,</w:t>
      </w:r>
      <w:r w:rsidRPr="00B13B9A">
        <w:rPr>
          <w:rFonts w:asciiTheme="majorHAnsi" w:hAnsiTheme="majorHAnsi" w:cstheme="majorHAnsi"/>
          <w:color w:val="000000" w:themeColor="text1"/>
          <w:sz w:val="24"/>
          <w:szCs w:val="24"/>
          <w:lang w:val="ro-MD"/>
        </w:rPr>
        <w:t xml:space="preserve"> recep</w:t>
      </w:r>
      <w:r w:rsidR="00B13B9A" w:rsidRPr="00B13B9A">
        <w:rPr>
          <w:rFonts w:asciiTheme="majorHAnsi" w:hAnsiTheme="majorHAnsi" w:cstheme="majorHAnsi"/>
          <w:color w:val="000000" w:themeColor="text1"/>
          <w:sz w:val="24"/>
          <w:szCs w:val="24"/>
          <w:lang w:val="ro-MD"/>
        </w:rPr>
        <w:t>ț</w:t>
      </w:r>
      <w:r w:rsidRPr="00B13B9A">
        <w:rPr>
          <w:rFonts w:asciiTheme="majorHAnsi" w:hAnsiTheme="majorHAnsi" w:cstheme="majorHAnsi"/>
          <w:color w:val="000000" w:themeColor="text1"/>
          <w:sz w:val="24"/>
          <w:szCs w:val="24"/>
          <w:lang w:val="ro-MD"/>
        </w:rPr>
        <w:t xml:space="preserve">ionarea </w:t>
      </w:r>
      <w:r w:rsidR="00B13B9A" w:rsidRPr="00B13B9A">
        <w:rPr>
          <w:rFonts w:asciiTheme="majorHAnsi" w:hAnsiTheme="majorHAnsi" w:cstheme="majorHAnsi"/>
          <w:color w:val="000000" w:themeColor="text1"/>
          <w:sz w:val="24"/>
          <w:szCs w:val="24"/>
          <w:lang w:val="ro-MD"/>
        </w:rPr>
        <w:t>ș</w:t>
      </w:r>
      <w:r w:rsidRPr="00B13B9A">
        <w:rPr>
          <w:rFonts w:asciiTheme="majorHAnsi" w:hAnsiTheme="majorHAnsi" w:cstheme="majorHAnsi"/>
          <w:color w:val="000000" w:themeColor="text1"/>
          <w:sz w:val="24"/>
          <w:szCs w:val="24"/>
          <w:lang w:val="ro-MD"/>
        </w:rPr>
        <w:t>i punerea în func</w:t>
      </w:r>
      <w:r w:rsidR="00B13B9A" w:rsidRPr="00B13B9A">
        <w:rPr>
          <w:rFonts w:asciiTheme="majorHAnsi" w:hAnsiTheme="majorHAnsi" w:cstheme="majorHAnsi"/>
          <w:color w:val="000000" w:themeColor="text1"/>
          <w:sz w:val="24"/>
          <w:szCs w:val="24"/>
          <w:lang w:val="ro-MD"/>
        </w:rPr>
        <w:t>ț</w:t>
      </w:r>
      <w:r w:rsidRPr="00B13B9A">
        <w:rPr>
          <w:rFonts w:asciiTheme="majorHAnsi" w:hAnsiTheme="majorHAnsi" w:cstheme="majorHAnsi"/>
          <w:color w:val="000000" w:themeColor="text1"/>
          <w:sz w:val="24"/>
          <w:szCs w:val="24"/>
          <w:lang w:val="ro-MD"/>
        </w:rPr>
        <w:t>iune a blocului curativ nr.2 al clinicii Vorniceni nu este posibilă.</w:t>
      </w:r>
    </w:p>
    <w:p w14:paraId="165ECD1F" w14:textId="77777777" w:rsidR="00F4064A" w:rsidRPr="00B13B9A" w:rsidRDefault="00F4064A" w:rsidP="00F4064A">
      <w:pPr>
        <w:pStyle w:val="a7"/>
        <w:spacing w:after="0" w:line="276" w:lineRule="auto"/>
        <w:ind w:left="0"/>
        <w:jc w:val="both"/>
        <w:rPr>
          <w:rFonts w:asciiTheme="majorHAnsi" w:hAnsiTheme="majorHAnsi" w:cstheme="majorHAnsi"/>
          <w:color w:val="000000" w:themeColor="text1"/>
          <w:sz w:val="24"/>
          <w:szCs w:val="24"/>
          <w:lang w:val="ro-MD"/>
        </w:rPr>
      </w:pPr>
    </w:p>
    <w:p w14:paraId="4DEFED29" w14:textId="61026EB1" w:rsidR="00481DC8" w:rsidRPr="00B13B9A" w:rsidRDefault="00CD062B" w:rsidP="00481DC8">
      <w:pPr>
        <w:pStyle w:val="a7"/>
        <w:spacing w:after="0" w:line="276" w:lineRule="auto"/>
        <w:ind w:left="0"/>
        <w:jc w:val="both"/>
        <w:rPr>
          <w:rFonts w:asciiTheme="majorHAnsi" w:hAnsiTheme="majorHAnsi" w:cstheme="majorHAnsi"/>
          <w:color w:val="000000" w:themeColor="text1"/>
          <w:sz w:val="24"/>
          <w:szCs w:val="24"/>
          <w:lang w:val="ro-MD"/>
        </w:rPr>
      </w:pPr>
      <w:r w:rsidRPr="00B13B9A">
        <w:rPr>
          <w:rFonts w:asciiTheme="majorHAnsi" w:hAnsiTheme="majorHAnsi" w:cstheme="majorHAnsi"/>
          <w:color w:val="000000" w:themeColor="text1"/>
          <w:sz w:val="24"/>
          <w:szCs w:val="24"/>
          <w:lang w:val="ro-MD"/>
        </w:rPr>
        <w:t>Pe</w:t>
      </w:r>
      <w:r w:rsidR="00F4064A" w:rsidRPr="00B13B9A">
        <w:rPr>
          <w:rFonts w:asciiTheme="majorHAnsi" w:hAnsiTheme="majorHAnsi" w:cstheme="majorHAnsi"/>
          <w:color w:val="000000" w:themeColor="text1"/>
          <w:sz w:val="24"/>
          <w:szCs w:val="24"/>
          <w:lang w:val="ro-MD"/>
        </w:rPr>
        <w:t>ntru clarificarea posibilită</w:t>
      </w:r>
      <w:r w:rsidR="00B13B9A" w:rsidRPr="00B13B9A">
        <w:rPr>
          <w:rFonts w:asciiTheme="majorHAnsi" w:hAnsiTheme="majorHAnsi" w:cstheme="majorHAnsi"/>
          <w:color w:val="000000" w:themeColor="text1"/>
          <w:sz w:val="24"/>
          <w:szCs w:val="24"/>
          <w:lang w:val="ro-MD"/>
        </w:rPr>
        <w:t>ț</w:t>
      </w:r>
      <w:r w:rsidR="00F4064A" w:rsidRPr="00B13B9A">
        <w:rPr>
          <w:rFonts w:asciiTheme="majorHAnsi" w:hAnsiTheme="majorHAnsi" w:cstheme="majorHAnsi"/>
          <w:color w:val="000000" w:themeColor="text1"/>
          <w:sz w:val="24"/>
          <w:szCs w:val="24"/>
          <w:lang w:val="ro-MD"/>
        </w:rPr>
        <w:t xml:space="preserve">ii </w:t>
      </w:r>
      <w:r w:rsidRPr="00B13B9A">
        <w:rPr>
          <w:rFonts w:asciiTheme="majorHAnsi" w:hAnsiTheme="majorHAnsi" w:cstheme="majorHAnsi"/>
          <w:color w:val="000000" w:themeColor="text1"/>
          <w:sz w:val="24"/>
          <w:szCs w:val="24"/>
          <w:lang w:val="ro-MD"/>
        </w:rPr>
        <w:t xml:space="preserve">de </w:t>
      </w:r>
      <w:r w:rsidR="00F4064A" w:rsidRPr="00B13B9A">
        <w:rPr>
          <w:rFonts w:asciiTheme="majorHAnsi" w:hAnsiTheme="majorHAnsi" w:cstheme="majorHAnsi"/>
          <w:color w:val="000000" w:themeColor="text1"/>
          <w:sz w:val="24"/>
          <w:szCs w:val="24"/>
          <w:lang w:val="ro-MD"/>
        </w:rPr>
        <w:t>folosir</w:t>
      </w:r>
      <w:r w:rsidRPr="00B13B9A">
        <w:rPr>
          <w:rFonts w:asciiTheme="majorHAnsi" w:hAnsiTheme="majorHAnsi" w:cstheme="majorHAnsi"/>
          <w:color w:val="000000" w:themeColor="text1"/>
          <w:sz w:val="24"/>
          <w:szCs w:val="24"/>
          <w:lang w:val="ro-MD"/>
        </w:rPr>
        <w:t>e a</w:t>
      </w:r>
      <w:r w:rsidR="00F4064A" w:rsidRPr="00B13B9A">
        <w:rPr>
          <w:rFonts w:asciiTheme="majorHAnsi" w:hAnsiTheme="majorHAnsi" w:cstheme="majorHAnsi"/>
          <w:color w:val="000000" w:themeColor="text1"/>
          <w:sz w:val="24"/>
          <w:szCs w:val="24"/>
          <w:lang w:val="ro-MD"/>
        </w:rPr>
        <w:t xml:space="preserve"> blocului curativ nr.2, </w:t>
      </w:r>
      <w:r w:rsidR="00B9390C" w:rsidRPr="00B13B9A">
        <w:rPr>
          <w:rFonts w:asciiTheme="majorHAnsi" w:hAnsiTheme="majorHAnsi" w:cstheme="majorHAnsi"/>
          <w:color w:val="000000" w:themeColor="text1"/>
          <w:sz w:val="24"/>
          <w:szCs w:val="24"/>
          <w:lang w:val="ro-MD"/>
        </w:rPr>
        <w:t xml:space="preserve">MS a solicitat </w:t>
      </w:r>
      <w:r w:rsidR="00F4064A" w:rsidRPr="00B13B9A">
        <w:rPr>
          <w:rFonts w:asciiTheme="majorHAnsi" w:hAnsiTheme="majorHAnsi" w:cstheme="majorHAnsi"/>
          <w:color w:val="000000" w:themeColor="text1"/>
          <w:sz w:val="24"/>
          <w:szCs w:val="24"/>
          <w:lang w:val="ro-MD"/>
        </w:rPr>
        <w:t xml:space="preserve">în anul 2021 </w:t>
      </w:r>
      <w:r w:rsidR="00B9390C" w:rsidRPr="00B13B9A">
        <w:rPr>
          <w:rFonts w:asciiTheme="majorHAnsi" w:hAnsiTheme="majorHAnsi" w:cstheme="majorHAnsi"/>
          <w:color w:val="000000" w:themeColor="text1"/>
          <w:sz w:val="24"/>
          <w:szCs w:val="24"/>
          <w:lang w:val="ro-MD"/>
        </w:rPr>
        <w:t>de la MIDR examinarea situa</w:t>
      </w:r>
      <w:r w:rsidR="00B13B9A" w:rsidRPr="00B13B9A">
        <w:rPr>
          <w:rFonts w:asciiTheme="majorHAnsi" w:hAnsiTheme="majorHAnsi" w:cstheme="majorHAnsi"/>
          <w:color w:val="000000" w:themeColor="text1"/>
          <w:sz w:val="24"/>
          <w:szCs w:val="24"/>
          <w:lang w:val="ro-MD"/>
        </w:rPr>
        <w:t>ț</w:t>
      </w:r>
      <w:r w:rsidR="00B9390C" w:rsidRPr="00B13B9A">
        <w:rPr>
          <w:rFonts w:asciiTheme="majorHAnsi" w:hAnsiTheme="majorHAnsi" w:cstheme="majorHAnsi"/>
          <w:color w:val="000000" w:themeColor="text1"/>
          <w:sz w:val="24"/>
          <w:szCs w:val="24"/>
          <w:lang w:val="ro-MD"/>
        </w:rPr>
        <w:t>ie</w:t>
      </w:r>
      <w:r w:rsidRPr="00B13B9A">
        <w:rPr>
          <w:rFonts w:asciiTheme="majorHAnsi" w:hAnsiTheme="majorHAnsi" w:cstheme="majorHAnsi"/>
          <w:color w:val="000000" w:themeColor="text1"/>
          <w:sz w:val="24"/>
          <w:szCs w:val="24"/>
          <w:lang w:val="ro-MD"/>
        </w:rPr>
        <w:t>i</w:t>
      </w:r>
      <w:r w:rsidR="00B9390C" w:rsidRPr="00B13B9A">
        <w:rPr>
          <w:rFonts w:asciiTheme="majorHAnsi" w:hAnsiTheme="majorHAnsi" w:cstheme="majorHAnsi"/>
          <w:color w:val="000000" w:themeColor="text1"/>
          <w:sz w:val="24"/>
          <w:szCs w:val="24"/>
          <w:lang w:val="ro-MD"/>
        </w:rPr>
        <w:t xml:space="preserve"> </w:t>
      </w:r>
      <w:r w:rsidR="00B13B9A" w:rsidRPr="00B13B9A">
        <w:rPr>
          <w:rFonts w:asciiTheme="majorHAnsi" w:hAnsiTheme="majorHAnsi" w:cstheme="majorHAnsi"/>
          <w:color w:val="000000" w:themeColor="text1"/>
          <w:sz w:val="24"/>
          <w:szCs w:val="24"/>
          <w:lang w:val="ro-MD"/>
        </w:rPr>
        <w:t>ș</w:t>
      </w:r>
      <w:r w:rsidR="00B9390C" w:rsidRPr="00B13B9A">
        <w:rPr>
          <w:rFonts w:asciiTheme="majorHAnsi" w:hAnsiTheme="majorHAnsi" w:cstheme="majorHAnsi"/>
          <w:color w:val="000000" w:themeColor="text1"/>
          <w:sz w:val="24"/>
          <w:szCs w:val="24"/>
          <w:lang w:val="ro-MD"/>
        </w:rPr>
        <w:t>i oferirea suportului</w:t>
      </w:r>
      <w:r w:rsidR="00F4064A" w:rsidRPr="00B13B9A">
        <w:rPr>
          <w:rFonts w:asciiTheme="majorHAnsi" w:hAnsiTheme="majorHAnsi" w:cstheme="majorHAnsi"/>
          <w:color w:val="000000" w:themeColor="text1"/>
          <w:sz w:val="24"/>
          <w:szCs w:val="24"/>
          <w:lang w:val="ro-MD"/>
        </w:rPr>
        <w:t xml:space="preserve"> pentru identificarea </w:t>
      </w:r>
      <w:r w:rsidR="00F4064A" w:rsidRPr="000B206B">
        <w:rPr>
          <w:rFonts w:asciiTheme="majorHAnsi" w:hAnsiTheme="majorHAnsi" w:cstheme="majorHAnsi"/>
          <w:color w:val="000000" w:themeColor="text1"/>
          <w:sz w:val="24"/>
          <w:szCs w:val="24"/>
          <w:lang w:val="ro-MD"/>
        </w:rPr>
        <w:t>solu</w:t>
      </w:r>
      <w:r w:rsidR="00B13B9A" w:rsidRPr="000B206B">
        <w:rPr>
          <w:rFonts w:asciiTheme="majorHAnsi" w:hAnsiTheme="majorHAnsi" w:cstheme="majorHAnsi"/>
          <w:color w:val="000000" w:themeColor="text1"/>
          <w:sz w:val="24"/>
          <w:szCs w:val="24"/>
          <w:lang w:val="ro-MD"/>
        </w:rPr>
        <w:t>ț</w:t>
      </w:r>
      <w:r w:rsidR="00F4064A" w:rsidRPr="000B206B">
        <w:rPr>
          <w:rFonts w:asciiTheme="majorHAnsi" w:hAnsiTheme="majorHAnsi" w:cstheme="majorHAnsi"/>
          <w:color w:val="000000" w:themeColor="text1"/>
          <w:sz w:val="24"/>
          <w:szCs w:val="24"/>
          <w:lang w:val="ro-MD"/>
        </w:rPr>
        <w:t>iilor.</w:t>
      </w:r>
      <w:r w:rsidR="00B9390C" w:rsidRPr="000B206B">
        <w:rPr>
          <w:rFonts w:asciiTheme="majorHAnsi" w:hAnsiTheme="majorHAnsi" w:cstheme="majorHAnsi"/>
          <w:color w:val="000000" w:themeColor="text1"/>
          <w:sz w:val="24"/>
          <w:szCs w:val="24"/>
          <w:lang w:val="ro-MD"/>
        </w:rPr>
        <w:t xml:space="preserve"> Prin urmare,</w:t>
      </w:r>
      <w:r w:rsidR="00B652B1" w:rsidRPr="000B206B">
        <w:rPr>
          <w:rFonts w:asciiTheme="majorHAnsi" w:hAnsiTheme="majorHAnsi" w:cstheme="majorHAnsi"/>
          <w:color w:val="000000" w:themeColor="text1"/>
          <w:sz w:val="24"/>
          <w:szCs w:val="24"/>
          <w:lang w:val="ro-MD"/>
        </w:rPr>
        <w:t xml:space="preserve"> în anul 2022 s-a aten</w:t>
      </w:r>
      <w:r w:rsidR="00B13B9A" w:rsidRPr="000B206B">
        <w:rPr>
          <w:rFonts w:asciiTheme="majorHAnsi" w:hAnsiTheme="majorHAnsi" w:cstheme="majorHAnsi"/>
          <w:color w:val="000000" w:themeColor="text1"/>
          <w:sz w:val="24"/>
          <w:szCs w:val="24"/>
          <w:lang w:val="ro-MD"/>
        </w:rPr>
        <w:t>ț</w:t>
      </w:r>
      <w:r w:rsidR="00B652B1" w:rsidRPr="000B206B">
        <w:rPr>
          <w:rFonts w:asciiTheme="majorHAnsi" w:hAnsiTheme="majorHAnsi" w:cstheme="majorHAnsi"/>
          <w:color w:val="000000" w:themeColor="text1"/>
          <w:sz w:val="24"/>
          <w:szCs w:val="24"/>
          <w:lang w:val="ro-MD"/>
        </w:rPr>
        <w:t xml:space="preserve">ionat despre conformitatea elaborării Raportului de expertiză </w:t>
      </w:r>
      <w:r w:rsidR="00B13B9A" w:rsidRPr="000B206B">
        <w:rPr>
          <w:rFonts w:asciiTheme="majorHAnsi" w:hAnsiTheme="majorHAnsi" w:cstheme="majorHAnsi"/>
          <w:color w:val="000000" w:themeColor="text1"/>
          <w:sz w:val="24"/>
          <w:szCs w:val="24"/>
          <w:lang w:val="ro-MD"/>
        </w:rPr>
        <w:t>ș</w:t>
      </w:r>
      <w:r w:rsidR="00B652B1" w:rsidRPr="000B206B">
        <w:rPr>
          <w:rFonts w:asciiTheme="majorHAnsi" w:hAnsiTheme="majorHAnsi" w:cstheme="majorHAnsi"/>
          <w:color w:val="000000" w:themeColor="text1"/>
          <w:sz w:val="24"/>
          <w:szCs w:val="24"/>
          <w:lang w:val="ro-MD"/>
        </w:rPr>
        <w:t>i</w:t>
      </w:r>
      <w:r w:rsidR="00B9390C" w:rsidRPr="00B13B9A">
        <w:rPr>
          <w:rFonts w:asciiTheme="majorHAnsi" w:hAnsiTheme="majorHAnsi" w:cstheme="majorHAnsi"/>
          <w:color w:val="000000" w:themeColor="text1"/>
          <w:sz w:val="24"/>
          <w:szCs w:val="24"/>
          <w:lang w:val="ro-MD"/>
        </w:rPr>
        <w:t xml:space="preserve"> s-a propus </w:t>
      </w:r>
      <w:r w:rsidR="00B652B1" w:rsidRPr="00B13B9A">
        <w:rPr>
          <w:rFonts w:asciiTheme="majorHAnsi" w:hAnsiTheme="majorHAnsi" w:cstheme="majorHAnsi"/>
          <w:color w:val="000000" w:themeColor="text1"/>
          <w:sz w:val="24"/>
          <w:szCs w:val="24"/>
          <w:lang w:val="ro-MD"/>
        </w:rPr>
        <w:t>efectuarea</w:t>
      </w:r>
      <w:r w:rsidR="00B9390C" w:rsidRPr="00B13B9A">
        <w:rPr>
          <w:rFonts w:asciiTheme="majorHAnsi" w:hAnsiTheme="majorHAnsi" w:cstheme="majorHAnsi"/>
          <w:color w:val="000000" w:themeColor="text1"/>
          <w:sz w:val="24"/>
          <w:szCs w:val="24"/>
          <w:lang w:val="ro-MD"/>
        </w:rPr>
        <w:t xml:space="preserve"> calculel</w:t>
      </w:r>
      <w:r w:rsidR="00B652B1" w:rsidRPr="00B13B9A">
        <w:rPr>
          <w:rFonts w:asciiTheme="majorHAnsi" w:hAnsiTheme="majorHAnsi" w:cstheme="majorHAnsi"/>
          <w:color w:val="000000" w:themeColor="text1"/>
          <w:sz w:val="24"/>
          <w:szCs w:val="24"/>
          <w:lang w:val="ro-MD"/>
        </w:rPr>
        <w:t>or</w:t>
      </w:r>
      <w:r w:rsidR="00B9390C" w:rsidRPr="00B13B9A">
        <w:rPr>
          <w:rFonts w:asciiTheme="majorHAnsi" w:hAnsiTheme="majorHAnsi" w:cstheme="majorHAnsi"/>
          <w:color w:val="000000" w:themeColor="text1"/>
          <w:sz w:val="24"/>
          <w:szCs w:val="24"/>
          <w:lang w:val="ro-MD"/>
        </w:rPr>
        <w:t xml:space="preserve"> necesare pentru </w:t>
      </w:r>
      <w:r w:rsidR="00FA6174" w:rsidRPr="00B13B9A">
        <w:rPr>
          <w:rFonts w:asciiTheme="majorHAnsi" w:hAnsiTheme="majorHAnsi" w:cstheme="majorHAnsi"/>
          <w:color w:val="000000" w:themeColor="text1"/>
          <w:sz w:val="24"/>
          <w:szCs w:val="24"/>
          <w:lang w:val="ro-MD"/>
        </w:rPr>
        <w:t xml:space="preserve">determinarea </w:t>
      </w:r>
      <w:r w:rsidR="00B9390C" w:rsidRPr="00B13B9A">
        <w:rPr>
          <w:rFonts w:asciiTheme="majorHAnsi" w:hAnsiTheme="majorHAnsi" w:cstheme="majorHAnsi"/>
          <w:color w:val="000000" w:themeColor="text1"/>
          <w:sz w:val="24"/>
          <w:szCs w:val="24"/>
          <w:lang w:val="ro-MD"/>
        </w:rPr>
        <w:t>gradului de seismicitate a clădirii de către proiectan</w:t>
      </w:r>
      <w:r w:rsidR="00B13B9A" w:rsidRPr="00B13B9A">
        <w:rPr>
          <w:rFonts w:asciiTheme="majorHAnsi" w:hAnsiTheme="majorHAnsi" w:cstheme="majorHAnsi"/>
          <w:color w:val="000000" w:themeColor="text1"/>
          <w:sz w:val="24"/>
          <w:szCs w:val="24"/>
          <w:lang w:val="ro-MD"/>
        </w:rPr>
        <w:t>ț</w:t>
      </w:r>
      <w:r w:rsidR="00B9390C" w:rsidRPr="00B13B9A">
        <w:rPr>
          <w:rFonts w:asciiTheme="majorHAnsi" w:hAnsiTheme="majorHAnsi" w:cstheme="majorHAnsi"/>
          <w:color w:val="000000" w:themeColor="text1"/>
          <w:sz w:val="24"/>
          <w:szCs w:val="24"/>
          <w:lang w:val="ro-MD"/>
        </w:rPr>
        <w:t>i atesta</w:t>
      </w:r>
      <w:r w:rsidR="00B13B9A" w:rsidRPr="00B13B9A">
        <w:rPr>
          <w:rFonts w:asciiTheme="majorHAnsi" w:hAnsiTheme="majorHAnsi" w:cstheme="majorHAnsi"/>
          <w:color w:val="000000" w:themeColor="text1"/>
          <w:sz w:val="24"/>
          <w:szCs w:val="24"/>
          <w:lang w:val="ro-MD"/>
        </w:rPr>
        <w:t>ț</w:t>
      </w:r>
      <w:r w:rsidR="00B9390C" w:rsidRPr="00B13B9A">
        <w:rPr>
          <w:rFonts w:asciiTheme="majorHAnsi" w:hAnsiTheme="majorHAnsi" w:cstheme="majorHAnsi"/>
          <w:color w:val="000000" w:themeColor="text1"/>
          <w:sz w:val="24"/>
          <w:szCs w:val="24"/>
          <w:lang w:val="ro-MD"/>
        </w:rPr>
        <w:t xml:space="preserve">i, prin care să fie </w:t>
      </w:r>
      <w:r w:rsidR="00FA6174" w:rsidRPr="00B13B9A">
        <w:rPr>
          <w:rFonts w:asciiTheme="majorHAnsi" w:hAnsiTheme="majorHAnsi" w:cstheme="majorHAnsi"/>
          <w:color w:val="000000" w:themeColor="text1"/>
          <w:sz w:val="24"/>
          <w:szCs w:val="24"/>
          <w:lang w:val="ro-MD"/>
        </w:rPr>
        <w:t>stabilit</w:t>
      </w:r>
      <w:r w:rsidR="00B9390C" w:rsidRPr="00B13B9A">
        <w:rPr>
          <w:rFonts w:asciiTheme="majorHAnsi" w:hAnsiTheme="majorHAnsi" w:cstheme="majorHAnsi"/>
          <w:color w:val="000000" w:themeColor="text1"/>
          <w:sz w:val="24"/>
          <w:szCs w:val="24"/>
          <w:lang w:val="ro-MD"/>
        </w:rPr>
        <w:t xml:space="preserve"> dacă obiectivul</w:t>
      </w:r>
      <w:r w:rsidR="000C2354" w:rsidRPr="00B13B9A">
        <w:rPr>
          <w:rFonts w:asciiTheme="majorHAnsi" w:hAnsiTheme="majorHAnsi" w:cstheme="majorHAnsi"/>
          <w:color w:val="000000" w:themeColor="text1"/>
          <w:sz w:val="24"/>
          <w:szCs w:val="24"/>
          <w:lang w:val="ro-MD"/>
        </w:rPr>
        <w:t xml:space="preserve"> are</w:t>
      </w:r>
      <w:r w:rsidR="00B9390C" w:rsidRPr="00B13B9A">
        <w:rPr>
          <w:rFonts w:asciiTheme="majorHAnsi" w:hAnsiTheme="majorHAnsi" w:cstheme="majorHAnsi"/>
          <w:color w:val="000000" w:themeColor="text1"/>
          <w:sz w:val="24"/>
          <w:szCs w:val="24"/>
          <w:lang w:val="ro-MD"/>
        </w:rPr>
        <w:t xml:space="preserve"> rezisten</w:t>
      </w:r>
      <w:r w:rsidR="00B13B9A" w:rsidRPr="00B13B9A">
        <w:rPr>
          <w:rFonts w:asciiTheme="majorHAnsi" w:hAnsiTheme="majorHAnsi" w:cstheme="majorHAnsi"/>
          <w:color w:val="000000" w:themeColor="text1"/>
          <w:sz w:val="24"/>
          <w:szCs w:val="24"/>
          <w:lang w:val="ro-MD"/>
        </w:rPr>
        <w:t>ț</w:t>
      </w:r>
      <w:r w:rsidR="00B9390C" w:rsidRPr="00B13B9A">
        <w:rPr>
          <w:rFonts w:asciiTheme="majorHAnsi" w:hAnsiTheme="majorHAnsi" w:cstheme="majorHAnsi"/>
          <w:color w:val="000000" w:themeColor="text1"/>
          <w:sz w:val="24"/>
          <w:szCs w:val="24"/>
          <w:lang w:val="ro-MD"/>
        </w:rPr>
        <w:t>a seismică de 8 grade, dat fiind faptul că pentru obiectele de importan</w:t>
      </w:r>
      <w:r w:rsidR="00B13B9A" w:rsidRPr="00B13B9A">
        <w:rPr>
          <w:rFonts w:asciiTheme="majorHAnsi" w:hAnsiTheme="majorHAnsi" w:cstheme="majorHAnsi"/>
          <w:color w:val="000000" w:themeColor="text1"/>
          <w:sz w:val="24"/>
          <w:szCs w:val="24"/>
          <w:lang w:val="ro-MD"/>
        </w:rPr>
        <w:t>ț</w:t>
      </w:r>
      <w:r w:rsidR="00B9390C" w:rsidRPr="00B13B9A">
        <w:rPr>
          <w:rFonts w:asciiTheme="majorHAnsi" w:hAnsiTheme="majorHAnsi" w:cstheme="majorHAnsi"/>
          <w:color w:val="000000" w:themeColor="text1"/>
          <w:sz w:val="24"/>
          <w:szCs w:val="24"/>
          <w:lang w:val="ro-MD"/>
        </w:rPr>
        <w:t>ă deosebită seismicitatea de calcul se majorează cu un grad.</w:t>
      </w:r>
      <w:r w:rsidR="00B652B1" w:rsidRPr="00B13B9A">
        <w:rPr>
          <w:rFonts w:asciiTheme="majorHAnsi" w:hAnsiTheme="majorHAnsi" w:cstheme="majorHAnsi"/>
          <w:color w:val="000000" w:themeColor="text1"/>
          <w:sz w:val="24"/>
          <w:szCs w:val="24"/>
          <w:lang w:val="ro-MD"/>
        </w:rPr>
        <w:t xml:space="preserve"> Ulterior, alte ac</w:t>
      </w:r>
      <w:r w:rsidR="00B13B9A" w:rsidRPr="00B13B9A">
        <w:rPr>
          <w:rFonts w:asciiTheme="majorHAnsi" w:hAnsiTheme="majorHAnsi" w:cstheme="majorHAnsi"/>
          <w:color w:val="000000" w:themeColor="text1"/>
          <w:sz w:val="24"/>
          <w:szCs w:val="24"/>
          <w:lang w:val="ro-MD"/>
        </w:rPr>
        <w:t>ț</w:t>
      </w:r>
      <w:r w:rsidR="00B652B1" w:rsidRPr="00B13B9A">
        <w:rPr>
          <w:rFonts w:asciiTheme="majorHAnsi" w:hAnsiTheme="majorHAnsi" w:cstheme="majorHAnsi"/>
          <w:color w:val="000000" w:themeColor="text1"/>
          <w:sz w:val="24"/>
          <w:szCs w:val="24"/>
          <w:lang w:val="ro-MD"/>
        </w:rPr>
        <w:t>iuni concrete nu au fost întreprinse.</w:t>
      </w:r>
    </w:p>
    <w:p w14:paraId="086A2201" w14:textId="714F3D3A" w:rsidR="00ED0107" w:rsidRPr="00B13B9A" w:rsidRDefault="00B9390C" w:rsidP="00481DC8">
      <w:pPr>
        <w:pStyle w:val="a7"/>
        <w:spacing w:after="0" w:line="276" w:lineRule="auto"/>
        <w:ind w:left="0"/>
        <w:jc w:val="both"/>
        <w:rPr>
          <w:rFonts w:asciiTheme="majorHAnsi" w:hAnsiTheme="majorHAnsi" w:cstheme="majorHAnsi"/>
          <w:color w:val="000000" w:themeColor="text1"/>
          <w:sz w:val="24"/>
          <w:szCs w:val="24"/>
          <w:lang w:val="ro-MD"/>
        </w:rPr>
      </w:pPr>
      <w:r w:rsidRPr="00B13B9A">
        <w:rPr>
          <w:rFonts w:asciiTheme="majorHAnsi" w:hAnsiTheme="majorHAnsi" w:cstheme="majorHAnsi"/>
          <w:color w:val="000000" w:themeColor="text1"/>
          <w:sz w:val="24"/>
          <w:szCs w:val="24"/>
          <w:lang w:val="ro-MD"/>
        </w:rPr>
        <w:t>De men</w:t>
      </w:r>
      <w:r w:rsidR="00B13B9A" w:rsidRPr="00B13B9A">
        <w:rPr>
          <w:rFonts w:asciiTheme="majorHAnsi" w:hAnsiTheme="majorHAnsi" w:cstheme="majorHAnsi"/>
          <w:color w:val="000000" w:themeColor="text1"/>
          <w:sz w:val="24"/>
          <w:szCs w:val="24"/>
          <w:lang w:val="ro-MD"/>
        </w:rPr>
        <w:t>ț</w:t>
      </w:r>
      <w:r w:rsidRPr="00B13B9A">
        <w:rPr>
          <w:rFonts w:asciiTheme="majorHAnsi" w:hAnsiTheme="majorHAnsi" w:cstheme="majorHAnsi"/>
          <w:color w:val="000000" w:themeColor="text1"/>
          <w:sz w:val="24"/>
          <w:szCs w:val="24"/>
          <w:lang w:val="ro-MD"/>
        </w:rPr>
        <w:t>ionat că în luna august 2023 IMSP IF</w:t>
      </w:r>
      <w:r w:rsidR="00F31425" w:rsidRPr="00B13B9A">
        <w:rPr>
          <w:rFonts w:asciiTheme="majorHAnsi" w:hAnsiTheme="majorHAnsi" w:cstheme="majorHAnsi"/>
          <w:color w:val="000000" w:themeColor="text1"/>
          <w:sz w:val="24"/>
          <w:szCs w:val="24"/>
          <w:lang w:val="ro-MD"/>
        </w:rPr>
        <w:t>P</w:t>
      </w:r>
      <w:r w:rsidRPr="00B13B9A">
        <w:rPr>
          <w:rFonts w:asciiTheme="majorHAnsi" w:hAnsiTheme="majorHAnsi" w:cstheme="majorHAnsi"/>
          <w:color w:val="000000" w:themeColor="text1"/>
          <w:sz w:val="24"/>
          <w:szCs w:val="24"/>
          <w:lang w:val="ro-MD"/>
        </w:rPr>
        <w:t xml:space="preserve"> </w:t>
      </w:r>
      <w:r w:rsidR="00F31425" w:rsidRPr="00B13B9A">
        <w:rPr>
          <w:rFonts w:asciiTheme="majorHAnsi" w:hAnsiTheme="majorHAnsi" w:cstheme="majorHAnsi"/>
          <w:sz w:val="24"/>
          <w:szCs w:val="24"/>
          <w:lang w:val="ro-MD"/>
        </w:rPr>
        <w:t>„Chiril Draganiuc”</w:t>
      </w:r>
      <w:r w:rsidRPr="00B13B9A">
        <w:rPr>
          <w:rFonts w:asciiTheme="majorHAnsi" w:hAnsiTheme="majorHAnsi" w:cstheme="majorHAnsi"/>
          <w:color w:val="000000" w:themeColor="text1"/>
          <w:sz w:val="24"/>
          <w:szCs w:val="24"/>
          <w:lang w:val="ro-MD"/>
        </w:rPr>
        <w:t xml:space="preserve"> a transmis toate documentele primare </w:t>
      </w:r>
      <w:r w:rsidR="00B13B9A" w:rsidRPr="00B13B9A">
        <w:rPr>
          <w:rFonts w:asciiTheme="majorHAnsi" w:hAnsiTheme="majorHAnsi" w:cstheme="majorHAnsi"/>
          <w:color w:val="000000" w:themeColor="text1"/>
          <w:sz w:val="24"/>
          <w:szCs w:val="24"/>
          <w:lang w:val="ro-MD"/>
        </w:rPr>
        <w:t>ș</w:t>
      </w:r>
      <w:r w:rsidRPr="00B13B9A">
        <w:rPr>
          <w:rFonts w:asciiTheme="majorHAnsi" w:hAnsiTheme="majorHAnsi" w:cstheme="majorHAnsi"/>
          <w:color w:val="000000" w:themeColor="text1"/>
          <w:sz w:val="24"/>
          <w:szCs w:val="24"/>
          <w:lang w:val="ro-MD"/>
        </w:rPr>
        <w:t>i justificative privind proiectul de reconstruc</w:t>
      </w:r>
      <w:r w:rsidR="00B13B9A" w:rsidRPr="00B13B9A">
        <w:rPr>
          <w:rFonts w:asciiTheme="majorHAnsi" w:hAnsiTheme="majorHAnsi" w:cstheme="majorHAnsi"/>
          <w:color w:val="000000" w:themeColor="text1"/>
          <w:sz w:val="24"/>
          <w:szCs w:val="24"/>
          <w:lang w:val="ro-MD"/>
        </w:rPr>
        <w:t>ț</w:t>
      </w:r>
      <w:r w:rsidRPr="00B13B9A">
        <w:rPr>
          <w:rFonts w:asciiTheme="majorHAnsi" w:hAnsiTheme="majorHAnsi" w:cstheme="majorHAnsi"/>
          <w:color w:val="000000" w:themeColor="text1"/>
          <w:sz w:val="24"/>
          <w:szCs w:val="24"/>
          <w:lang w:val="ro-MD"/>
        </w:rPr>
        <w:t>ie a Blocului curativ nr.2 clinica Vorniceni la Centrul Na</w:t>
      </w:r>
      <w:r w:rsidR="00B13B9A" w:rsidRPr="00B13B9A">
        <w:rPr>
          <w:rFonts w:asciiTheme="majorHAnsi" w:hAnsiTheme="majorHAnsi" w:cstheme="majorHAnsi"/>
          <w:color w:val="000000" w:themeColor="text1"/>
          <w:sz w:val="24"/>
          <w:szCs w:val="24"/>
          <w:lang w:val="ro-MD"/>
        </w:rPr>
        <w:t>ț</w:t>
      </w:r>
      <w:r w:rsidRPr="00B13B9A">
        <w:rPr>
          <w:rFonts w:asciiTheme="majorHAnsi" w:hAnsiTheme="majorHAnsi" w:cstheme="majorHAnsi"/>
          <w:color w:val="000000" w:themeColor="text1"/>
          <w:sz w:val="24"/>
          <w:szCs w:val="24"/>
          <w:lang w:val="ro-MD"/>
        </w:rPr>
        <w:t>ional Anticorup</w:t>
      </w:r>
      <w:r w:rsidR="00B13B9A" w:rsidRPr="00B13B9A">
        <w:rPr>
          <w:rFonts w:asciiTheme="majorHAnsi" w:hAnsiTheme="majorHAnsi" w:cstheme="majorHAnsi"/>
          <w:color w:val="000000" w:themeColor="text1"/>
          <w:sz w:val="24"/>
          <w:szCs w:val="24"/>
          <w:lang w:val="ro-MD"/>
        </w:rPr>
        <w:t>ț</w:t>
      </w:r>
      <w:r w:rsidRPr="00B13B9A">
        <w:rPr>
          <w:rFonts w:asciiTheme="majorHAnsi" w:hAnsiTheme="majorHAnsi" w:cstheme="majorHAnsi"/>
          <w:color w:val="000000" w:themeColor="text1"/>
          <w:sz w:val="24"/>
          <w:szCs w:val="24"/>
          <w:lang w:val="ro-MD"/>
        </w:rPr>
        <w:t>ie</w:t>
      </w:r>
      <w:r w:rsidR="00756901" w:rsidRPr="00B13B9A">
        <w:rPr>
          <w:rFonts w:asciiTheme="majorHAnsi" w:hAnsiTheme="majorHAnsi" w:cstheme="majorHAnsi"/>
          <w:color w:val="000000" w:themeColor="text1"/>
          <w:sz w:val="24"/>
          <w:szCs w:val="24"/>
          <w:lang w:val="ro-MD"/>
        </w:rPr>
        <w:t>,</w:t>
      </w:r>
      <w:r w:rsidRPr="00B13B9A">
        <w:rPr>
          <w:rFonts w:asciiTheme="majorHAnsi" w:hAnsiTheme="majorHAnsi" w:cstheme="majorHAnsi"/>
          <w:color w:val="000000" w:themeColor="text1"/>
          <w:sz w:val="24"/>
          <w:szCs w:val="24"/>
          <w:lang w:val="ro-MD"/>
        </w:rPr>
        <w:t xml:space="preserve"> pentru a </w:t>
      </w:r>
      <w:r w:rsidR="00756901" w:rsidRPr="00B13B9A">
        <w:rPr>
          <w:rFonts w:asciiTheme="majorHAnsi" w:hAnsiTheme="majorHAnsi" w:cstheme="majorHAnsi"/>
          <w:color w:val="000000" w:themeColor="text1"/>
          <w:sz w:val="24"/>
          <w:szCs w:val="24"/>
          <w:lang w:val="ro-MD"/>
        </w:rPr>
        <w:t xml:space="preserve">fi </w:t>
      </w:r>
      <w:r w:rsidRPr="00B13B9A">
        <w:rPr>
          <w:rFonts w:asciiTheme="majorHAnsi" w:hAnsiTheme="majorHAnsi" w:cstheme="majorHAnsi"/>
          <w:color w:val="000000" w:themeColor="text1"/>
          <w:sz w:val="24"/>
          <w:szCs w:val="24"/>
          <w:lang w:val="ro-MD"/>
        </w:rPr>
        <w:t>examina</w:t>
      </w:r>
      <w:r w:rsidR="00756901" w:rsidRPr="00B13B9A">
        <w:rPr>
          <w:rFonts w:asciiTheme="majorHAnsi" w:hAnsiTheme="majorHAnsi" w:cstheme="majorHAnsi"/>
          <w:color w:val="000000" w:themeColor="text1"/>
          <w:sz w:val="24"/>
          <w:szCs w:val="24"/>
          <w:lang w:val="ro-MD"/>
        </w:rPr>
        <w:t>te</w:t>
      </w:r>
      <w:r w:rsidRPr="00B13B9A">
        <w:rPr>
          <w:rFonts w:asciiTheme="majorHAnsi" w:hAnsiTheme="majorHAnsi" w:cstheme="majorHAnsi"/>
          <w:color w:val="000000" w:themeColor="text1"/>
          <w:sz w:val="24"/>
          <w:szCs w:val="24"/>
          <w:lang w:val="ro-MD"/>
        </w:rPr>
        <w:t xml:space="preserve"> pretinsele ac</w:t>
      </w:r>
      <w:r w:rsidR="00B13B9A" w:rsidRPr="00B13B9A">
        <w:rPr>
          <w:rFonts w:asciiTheme="majorHAnsi" w:hAnsiTheme="majorHAnsi" w:cstheme="majorHAnsi"/>
          <w:color w:val="000000" w:themeColor="text1"/>
          <w:sz w:val="24"/>
          <w:szCs w:val="24"/>
          <w:lang w:val="ro-MD"/>
        </w:rPr>
        <w:t>ț</w:t>
      </w:r>
      <w:r w:rsidRPr="00B13B9A">
        <w:rPr>
          <w:rFonts w:asciiTheme="majorHAnsi" w:hAnsiTheme="majorHAnsi" w:cstheme="majorHAnsi"/>
          <w:color w:val="000000" w:themeColor="text1"/>
          <w:sz w:val="24"/>
          <w:szCs w:val="24"/>
          <w:lang w:val="ro-MD"/>
        </w:rPr>
        <w:t>iuni ilicite a</w:t>
      </w:r>
      <w:r w:rsidR="00756901" w:rsidRPr="00B13B9A">
        <w:rPr>
          <w:rFonts w:asciiTheme="majorHAnsi" w:hAnsiTheme="majorHAnsi" w:cstheme="majorHAnsi"/>
          <w:color w:val="000000" w:themeColor="text1"/>
          <w:sz w:val="24"/>
          <w:szCs w:val="24"/>
          <w:lang w:val="ro-MD"/>
        </w:rPr>
        <w:t>le</w:t>
      </w:r>
      <w:r w:rsidRPr="00B13B9A">
        <w:rPr>
          <w:rFonts w:asciiTheme="majorHAnsi" w:hAnsiTheme="majorHAnsi" w:cstheme="majorHAnsi"/>
          <w:color w:val="000000" w:themeColor="text1"/>
          <w:sz w:val="24"/>
          <w:szCs w:val="24"/>
          <w:lang w:val="ro-MD"/>
        </w:rPr>
        <w:t xml:space="preserve"> factorilor de decizie din cadrul Ministerului Sănătă</w:t>
      </w:r>
      <w:r w:rsidR="00B13B9A" w:rsidRPr="00B13B9A">
        <w:rPr>
          <w:rFonts w:asciiTheme="majorHAnsi" w:hAnsiTheme="majorHAnsi" w:cstheme="majorHAnsi"/>
          <w:color w:val="000000" w:themeColor="text1"/>
          <w:sz w:val="24"/>
          <w:szCs w:val="24"/>
          <w:lang w:val="ro-MD"/>
        </w:rPr>
        <w:t>ț</w:t>
      </w:r>
      <w:r w:rsidRPr="00B13B9A">
        <w:rPr>
          <w:rFonts w:asciiTheme="majorHAnsi" w:hAnsiTheme="majorHAnsi" w:cstheme="majorHAnsi"/>
          <w:color w:val="000000" w:themeColor="text1"/>
          <w:sz w:val="24"/>
          <w:szCs w:val="24"/>
          <w:lang w:val="ro-MD"/>
        </w:rPr>
        <w:t xml:space="preserve">ii, precum </w:t>
      </w:r>
      <w:r w:rsidR="00B13B9A" w:rsidRPr="00B13B9A">
        <w:rPr>
          <w:rFonts w:asciiTheme="majorHAnsi" w:hAnsiTheme="majorHAnsi" w:cstheme="majorHAnsi"/>
          <w:color w:val="000000" w:themeColor="text1"/>
          <w:sz w:val="24"/>
          <w:szCs w:val="24"/>
          <w:lang w:val="ro-MD"/>
        </w:rPr>
        <w:t>ș</w:t>
      </w:r>
      <w:r w:rsidRPr="00B13B9A">
        <w:rPr>
          <w:rFonts w:asciiTheme="majorHAnsi" w:hAnsiTheme="majorHAnsi" w:cstheme="majorHAnsi"/>
          <w:color w:val="000000" w:themeColor="text1"/>
          <w:sz w:val="24"/>
          <w:szCs w:val="24"/>
          <w:lang w:val="ro-MD"/>
        </w:rPr>
        <w:t xml:space="preserve">i din cadrul SA </w:t>
      </w:r>
      <w:r w:rsidR="00756901" w:rsidRPr="00B13B9A">
        <w:rPr>
          <w:rFonts w:asciiTheme="majorHAnsi" w:hAnsiTheme="majorHAnsi" w:cstheme="majorHAnsi"/>
          <w:color w:val="000000" w:themeColor="text1"/>
          <w:sz w:val="24"/>
          <w:szCs w:val="24"/>
          <w:lang w:val="ro-MD"/>
        </w:rPr>
        <w:t>„</w:t>
      </w:r>
      <w:r w:rsidRPr="00B13B9A">
        <w:rPr>
          <w:rFonts w:asciiTheme="majorHAnsi" w:hAnsiTheme="majorHAnsi" w:cstheme="majorHAnsi"/>
          <w:color w:val="000000" w:themeColor="text1"/>
          <w:sz w:val="24"/>
          <w:szCs w:val="24"/>
          <w:lang w:val="ro-MD"/>
        </w:rPr>
        <w:t>Monolit</w:t>
      </w:r>
      <w:r w:rsidR="00756901" w:rsidRPr="00B13B9A">
        <w:rPr>
          <w:rFonts w:asciiTheme="majorHAnsi" w:hAnsiTheme="majorHAnsi" w:cstheme="majorHAnsi"/>
          <w:color w:val="000000" w:themeColor="text1"/>
          <w:sz w:val="24"/>
          <w:szCs w:val="24"/>
          <w:lang w:val="ro-MD"/>
        </w:rPr>
        <w:t>”,</w:t>
      </w:r>
      <w:r w:rsidRPr="00B13B9A">
        <w:rPr>
          <w:rFonts w:asciiTheme="majorHAnsi" w:hAnsiTheme="majorHAnsi" w:cstheme="majorHAnsi"/>
          <w:color w:val="000000" w:themeColor="text1"/>
          <w:sz w:val="24"/>
          <w:szCs w:val="24"/>
          <w:lang w:val="ro-MD"/>
        </w:rPr>
        <w:t xml:space="preserve"> manifestate prin executarea necalitativă a lucrărilor de construc</w:t>
      </w:r>
      <w:r w:rsidR="00B13B9A" w:rsidRPr="00B13B9A">
        <w:rPr>
          <w:rFonts w:asciiTheme="majorHAnsi" w:hAnsiTheme="majorHAnsi" w:cstheme="majorHAnsi"/>
          <w:color w:val="000000" w:themeColor="text1"/>
          <w:sz w:val="24"/>
          <w:szCs w:val="24"/>
          <w:lang w:val="ro-MD"/>
        </w:rPr>
        <w:t>ț</w:t>
      </w:r>
      <w:r w:rsidRPr="00B13B9A">
        <w:rPr>
          <w:rFonts w:asciiTheme="majorHAnsi" w:hAnsiTheme="majorHAnsi" w:cstheme="majorHAnsi"/>
          <w:color w:val="000000" w:themeColor="text1"/>
          <w:sz w:val="24"/>
          <w:szCs w:val="24"/>
          <w:lang w:val="ro-MD"/>
        </w:rPr>
        <w:t>ie a blocului curativ nr.2.</w:t>
      </w:r>
      <w:r w:rsidR="00E44391" w:rsidRPr="00B13B9A">
        <w:rPr>
          <w:rFonts w:asciiTheme="majorHAnsi" w:hAnsiTheme="majorHAnsi" w:cstheme="majorHAnsi"/>
          <w:color w:val="000000" w:themeColor="text1"/>
          <w:sz w:val="24"/>
          <w:szCs w:val="24"/>
          <w:lang w:val="ro-MD"/>
        </w:rPr>
        <w:t xml:space="preserve"> </w:t>
      </w:r>
      <w:r w:rsidR="00ED0107" w:rsidRPr="00B13B9A">
        <w:rPr>
          <w:rFonts w:asciiTheme="majorHAnsi" w:hAnsiTheme="majorHAnsi" w:cstheme="majorHAnsi"/>
          <w:color w:val="000000" w:themeColor="text1"/>
          <w:sz w:val="24"/>
          <w:szCs w:val="24"/>
          <w:lang w:val="ro-MD"/>
        </w:rPr>
        <w:t xml:space="preserve">Din </w:t>
      </w:r>
      <w:r w:rsidR="00756901" w:rsidRPr="00B13B9A">
        <w:rPr>
          <w:rFonts w:asciiTheme="majorHAnsi" w:hAnsiTheme="majorHAnsi" w:cstheme="majorHAnsi"/>
          <w:color w:val="000000" w:themeColor="text1"/>
          <w:sz w:val="24"/>
          <w:szCs w:val="24"/>
          <w:lang w:val="ro-MD"/>
        </w:rPr>
        <w:t>data</w:t>
      </w:r>
      <w:r w:rsidR="00ED0107" w:rsidRPr="00B13B9A">
        <w:rPr>
          <w:rFonts w:asciiTheme="majorHAnsi" w:hAnsiTheme="majorHAnsi" w:cstheme="majorHAnsi"/>
          <w:color w:val="000000" w:themeColor="text1"/>
          <w:sz w:val="24"/>
          <w:szCs w:val="24"/>
          <w:lang w:val="ro-MD"/>
        </w:rPr>
        <w:t xml:space="preserve"> fin</w:t>
      </w:r>
      <w:r w:rsidR="00756901" w:rsidRPr="00B13B9A">
        <w:rPr>
          <w:rFonts w:asciiTheme="majorHAnsi" w:hAnsiTheme="majorHAnsi" w:cstheme="majorHAnsi"/>
          <w:color w:val="000000" w:themeColor="text1"/>
          <w:sz w:val="24"/>
          <w:szCs w:val="24"/>
          <w:lang w:val="ro-MD"/>
        </w:rPr>
        <w:t>al</w:t>
      </w:r>
      <w:r w:rsidR="00ED0107" w:rsidRPr="00B13B9A">
        <w:rPr>
          <w:rFonts w:asciiTheme="majorHAnsi" w:hAnsiTheme="majorHAnsi" w:cstheme="majorHAnsi"/>
          <w:color w:val="000000" w:themeColor="text1"/>
          <w:sz w:val="24"/>
          <w:szCs w:val="24"/>
          <w:lang w:val="ro-MD"/>
        </w:rPr>
        <w:t>i</w:t>
      </w:r>
      <w:r w:rsidR="00756901" w:rsidRPr="00B13B9A">
        <w:rPr>
          <w:rFonts w:asciiTheme="majorHAnsi" w:hAnsiTheme="majorHAnsi" w:cstheme="majorHAnsi"/>
          <w:color w:val="000000" w:themeColor="text1"/>
          <w:sz w:val="24"/>
          <w:szCs w:val="24"/>
          <w:lang w:val="ro-MD"/>
        </w:rPr>
        <w:t>z</w:t>
      </w:r>
      <w:r w:rsidR="00ED0107" w:rsidRPr="00B13B9A">
        <w:rPr>
          <w:rFonts w:asciiTheme="majorHAnsi" w:hAnsiTheme="majorHAnsi" w:cstheme="majorHAnsi"/>
          <w:color w:val="000000" w:themeColor="text1"/>
          <w:sz w:val="24"/>
          <w:szCs w:val="24"/>
          <w:lang w:val="ro-MD"/>
        </w:rPr>
        <w:t>ări</w:t>
      </w:r>
      <w:r w:rsidR="00756901" w:rsidRPr="00B13B9A">
        <w:rPr>
          <w:rFonts w:asciiTheme="majorHAnsi" w:hAnsiTheme="majorHAnsi" w:cstheme="majorHAnsi"/>
          <w:color w:val="000000" w:themeColor="text1"/>
          <w:sz w:val="24"/>
          <w:szCs w:val="24"/>
          <w:lang w:val="ro-MD"/>
        </w:rPr>
        <w:t>i</w:t>
      </w:r>
      <w:r w:rsidR="00ED0107" w:rsidRPr="00B13B9A">
        <w:rPr>
          <w:rFonts w:asciiTheme="majorHAnsi" w:hAnsiTheme="majorHAnsi" w:cstheme="majorHAnsi"/>
          <w:color w:val="000000" w:themeColor="text1"/>
          <w:sz w:val="24"/>
          <w:szCs w:val="24"/>
          <w:lang w:val="ro-MD"/>
        </w:rPr>
        <w:t xml:space="preserve"> </w:t>
      </w:r>
      <w:r w:rsidR="00756901" w:rsidRPr="00B13B9A">
        <w:rPr>
          <w:rFonts w:asciiTheme="majorHAnsi" w:hAnsiTheme="majorHAnsi" w:cstheme="majorHAnsi"/>
          <w:color w:val="000000" w:themeColor="text1"/>
          <w:sz w:val="24"/>
          <w:szCs w:val="24"/>
          <w:lang w:val="ro-MD"/>
        </w:rPr>
        <w:t xml:space="preserve">lucrărilor de </w:t>
      </w:r>
      <w:r w:rsidR="00ED0107" w:rsidRPr="00B13B9A">
        <w:rPr>
          <w:rFonts w:asciiTheme="majorHAnsi" w:hAnsiTheme="majorHAnsi" w:cstheme="majorHAnsi"/>
          <w:color w:val="000000" w:themeColor="text1"/>
          <w:sz w:val="24"/>
          <w:szCs w:val="24"/>
          <w:lang w:val="ro-MD"/>
        </w:rPr>
        <w:t>reconstruc</w:t>
      </w:r>
      <w:r w:rsidR="00B13B9A" w:rsidRPr="00B13B9A">
        <w:rPr>
          <w:rFonts w:asciiTheme="majorHAnsi" w:hAnsiTheme="majorHAnsi" w:cstheme="majorHAnsi"/>
          <w:color w:val="000000" w:themeColor="text1"/>
          <w:sz w:val="24"/>
          <w:szCs w:val="24"/>
          <w:lang w:val="ro-MD"/>
        </w:rPr>
        <w:t>ț</w:t>
      </w:r>
      <w:r w:rsidR="00ED0107" w:rsidRPr="00B13B9A">
        <w:rPr>
          <w:rFonts w:asciiTheme="majorHAnsi" w:hAnsiTheme="majorHAnsi" w:cstheme="majorHAnsi"/>
          <w:color w:val="000000" w:themeColor="text1"/>
          <w:sz w:val="24"/>
          <w:szCs w:val="24"/>
          <w:lang w:val="ro-MD"/>
        </w:rPr>
        <w:t>i</w:t>
      </w:r>
      <w:r w:rsidR="00756901" w:rsidRPr="00B13B9A">
        <w:rPr>
          <w:rFonts w:asciiTheme="majorHAnsi" w:hAnsiTheme="majorHAnsi" w:cstheme="majorHAnsi"/>
          <w:color w:val="000000" w:themeColor="text1"/>
          <w:sz w:val="24"/>
          <w:szCs w:val="24"/>
          <w:lang w:val="ro-MD"/>
        </w:rPr>
        <w:t>e</w:t>
      </w:r>
      <w:r w:rsidR="00ED0107" w:rsidRPr="00B13B9A">
        <w:rPr>
          <w:rFonts w:asciiTheme="majorHAnsi" w:hAnsiTheme="majorHAnsi" w:cstheme="majorHAnsi"/>
          <w:color w:val="000000" w:themeColor="text1"/>
          <w:sz w:val="24"/>
          <w:szCs w:val="24"/>
          <w:lang w:val="ro-MD"/>
        </w:rPr>
        <w:t xml:space="preserve"> în anul 2014, nu a fost luată nicio decizie cu privire la darea în exploatare a bunului imobil</w:t>
      </w:r>
      <w:r w:rsidR="00ED0107" w:rsidRPr="00B13B9A">
        <w:rPr>
          <w:rFonts w:ascii="Segoe UI" w:hAnsi="Segoe UI" w:cs="Segoe UI"/>
          <w:color w:val="212121"/>
          <w:sz w:val="20"/>
          <w:szCs w:val="20"/>
          <w:shd w:val="clear" w:color="auto" w:fill="FFFFFF"/>
          <w:lang w:val="ro-MD"/>
        </w:rPr>
        <w:t xml:space="preserve">. </w:t>
      </w:r>
    </w:p>
    <w:p w14:paraId="6AA72740" w14:textId="2E73046C" w:rsidR="00B9390C" w:rsidRPr="00B13B9A" w:rsidRDefault="00B9390C" w:rsidP="00F51A54">
      <w:pPr>
        <w:pStyle w:val="a7"/>
        <w:spacing w:after="0" w:line="276" w:lineRule="auto"/>
        <w:ind w:left="0"/>
        <w:jc w:val="both"/>
        <w:rPr>
          <w:rFonts w:asciiTheme="majorHAnsi" w:hAnsiTheme="majorHAnsi" w:cstheme="majorHAnsi"/>
          <w:color w:val="000000" w:themeColor="text1"/>
          <w:sz w:val="24"/>
          <w:szCs w:val="24"/>
          <w:lang w:val="ro-MD"/>
        </w:rPr>
      </w:pPr>
      <w:r w:rsidRPr="00B13B9A">
        <w:rPr>
          <w:rFonts w:asciiTheme="majorHAnsi" w:hAnsiTheme="majorHAnsi" w:cstheme="majorHAnsi"/>
          <w:color w:val="000000" w:themeColor="text1"/>
          <w:sz w:val="24"/>
          <w:szCs w:val="24"/>
          <w:lang w:val="ro-MD"/>
        </w:rPr>
        <w:t>Totodată, se relevă că începând cu anul 2018 Curtea de Conturi a elucidat aspectul privind managementul defectuos al investi</w:t>
      </w:r>
      <w:r w:rsidR="00B13B9A" w:rsidRPr="00B13B9A">
        <w:rPr>
          <w:rFonts w:asciiTheme="majorHAnsi" w:hAnsiTheme="majorHAnsi" w:cstheme="majorHAnsi"/>
          <w:color w:val="000000" w:themeColor="text1"/>
          <w:sz w:val="24"/>
          <w:szCs w:val="24"/>
          <w:lang w:val="ro-MD"/>
        </w:rPr>
        <w:t>ț</w:t>
      </w:r>
      <w:r w:rsidRPr="00B13B9A">
        <w:rPr>
          <w:rFonts w:asciiTheme="majorHAnsi" w:hAnsiTheme="majorHAnsi" w:cstheme="majorHAnsi"/>
          <w:color w:val="000000" w:themeColor="text1"/>
          <w:sz w:val="24"/>
          <w:szCs w:val="24"/>
          <w:lang w:val="ro-MD"/>
        </w:rPr>
        <w:t>iilor în blocul curativ nr.2 al IMSP I</w:t>
      </w:r>
      <w:r w:rsidR="002B2299" w:rsidRPr="00B13B9A">
        <w:rPr>
          <w:rFonts w:asciiTheme="majorHAnsi" w:hAnsiTheme="majorHAnsi" w:cstheme="majorHAnsi"/>
          <w:color w:val="000000" w:themeColor="text1"/>
          <w:sz w:val="24"/>
          <w:szCs w:val="24"/>
          <w:lang w:val="ro-MD"/>
        </w:rPr>
        <w:t>F</w:t>
      </w:r>
      <w:r w:rsidR="00F31425" w:rsidRPr="00B13B9A">
        <w:rPr>
          <w:rFonts w:asciiTheme="majorHAnsi" w:hAnsiTheme="majorHAnsi" w:cstheme="majorHAnsi"/>
          <w:color w:val="000000" w:themeColor="text1"/>
          <w:sz w:val="24"/>
          <w:szCs w:val="24"/>
          <w:lang w:val="ro-MD"/>
        </w:rPr>
        <w:t>P</w:t>
      </w:r>
      <w:r w:rsidR="002B2299" w:rsidRPr="00B13B9A">
        <w:rPr>
          <w:rFonts w:asciiTheme="majorHAnsi" w:hAnsiTheme="majorHAnsi" w:cstheme="majorHAnsi"/>
          <w:color w:val="000000" w:themeColor="text1"/>
          <w:sz w:val="24"/>
          <w:szCs w:val="24"/>
          <w:lang w:val="ro-MD"/>
        </w:rPr>
        <w:t xml:space="preserve"> </w:t>
      </w:r>
      <w:r w:rsidR="00F31425" w:rsidRPr="00B13B9A">
        <w:rPr>
          <w:rFonts w:asciiTheme="majorHAnsi" w:hAnsiTheme="majorHAnsi" w:cstheme="majorHAnsi"/>
          <w:sz w:val="24"/>
          <w:szCs w:val="24"/>
          <w:lang w:val="ro-MD"/>
        </w:rPr>
        <w:t>„Chiril Draganiuc”</w:t>
      </w:r>
      <w:r w:rsidR="002B2299" w:rsidRPr="00B13B9A">
        <w:rPr>
          <w:rFonts w:asciiTheme="majorHAnsi" w:hAnsiTheme="majorHAnsi" w:cstheme="majorHAnsi"/>
          <w:color w:val="000000" w:themeColor="text1"/>
          <w:sz w:val="24"/>
          <w:szCs w:val="24"/>
          <w:lang w:val="ro-MD"/>
        </w:rPr>
        <w:t>. Astfel,</w:t>
      </w:r>
      <w:r w:rsidR="00F51A54" w:rsidRPr="00B13B9A">
        <w:rPr>
          <w:rFonts w:asciiTheme="majorHAnsi" w:hAnsiTheme="majorHAnsi" w:cstheme="majorHAnsi"/>
          <w:color w:val="000000" w:themeColor="text1"/>
          <w:sz w:val="24"/>
          <w:szCs w:val="24"/>
          <w:lang w:val="ro-MD"/>
        </w:rPr>
        <w:t xml:space="preserve"> prin hotărârile Cur</w:t>
      </w:r>
      <w:r w:rsidR="00B13B9A" w:rsidRPr="00B13B9A">
        <w:rPr>
          <w:rFonts w:asciiTheme="majorHAnsi" w:hAnsiTheme="majorHAnsi" w:cstheme="majorHAnsi"/>
          <w:color w:val="000000" w:themeColor="text1"/>
          <w:sz w:val="24"/>
          <w:szCs w:val="24"/>
          <w:lang w:val="ro-MD"/>
        </w:rPr>
        <w:t>ț</w:t>
      </w:r>
      <w:r w:rsidR="00F51A54" w:rsidRPr="00B13B9A">
        <w:rPr>
          <w:rFonts w:asciiTheme="majorHAnsi" w:hAnsiTheme="majorHAnsi" w:cstheme="majorHAnsi"/>
          <w:color w:val="000000" w:themeColor="text1"/>
          <w:sz w:val="24"/>
          <w:szCs w:val="24"/>
          <w:lang w:val="ro-MD"/>
        </w:rPr>
        <w:t xml:space="preserve">ii de Conturi, anual </w:t>
      </w:r>
      <w:r w:rsidRPr="00B13B9A">
        <w:rPr>
          <w:rFonts w:asciiTheme="majorHAnsi" w:hAnsiTheme="majorHAnsi" w:cstheme="majorHAnsi"/>
          <w:color w:val="000000" w:themeColor="text1"/>
          <w:sz w:val="24"/>
          <w:szCs w:val="24"/>
          <w:lang w:val="ro-MD"/>
        </w:rPr>
        <w:t>s-au emis recomandări de a întreprinde măsuri în vederea clarificării situa</w:t>
      </w:r>
      <w:r w:rsidR="00B13B9A" w:rsidRPr="00B13B9A">
        <w:rPr>
          <w:rFonts w:asciiTheme="majorHAnsi" w:hAnsiTheme="majorHAnsi" w:cstheme="majorHAnsi"/>
          <w:color w:val="000000" w:themeColor="text1"/>
          <w:sz w:val="24"/>
          <w:szCs w:val="24"/>
          <w:lang w:val="ro-MD"/>
        </w:rPr>
        <w:t>ț</w:t>
      </w:r>
      <w:r w:rsidRPr="00B13B9A">
        <w:rPr>
          <w:rFonts w:asciiTheme="majorHAnsi" w:hAnsiTheme="majorHAnsi" w:cstheme="majorHAnsi"/>
          <w:color w:val="000000" w:themeColor="text1"/>
          <w:sz w:val="24"/>
          <w:szCs w:val="24"/>
          <w:lang w:val="ro-MD"/>
        </w:rPr>
        <w:t xml:space="preserve">iei privind Blocul curativ nr.2 </w:t>
      </w:r>
      <w:r w:rsidR="00B13B9A" w:rsidRPr="00B13B9A">
        <w:rPr>
          <w:rFonts w:asciiTheme="majorHAnsi" w:hAnsiTheme="majorHAnsi" w:cstheme="majorHAnsi"/>
          <w:color w:val="000000" w:themeColor="text1"/>
          <w:sz w:val="24"/>
          <w:szCs w:val="24"/>
          <w:lang w:val="ro-MD"/>
        </w:rPr>
        <w:t>ș</w:t>
      </w:r>
      <w:r w:rsidRPr="00B13B9A">
        <w:rPr>
          <w:rFonts w:asciiTheme="majorHAnsi" w:hAnsiTheme="majorHAnsi" w:cstheme="majorHAnsi"/>
          <w:color w:val="000000" w:themeColor="text1"/>
          <w:sz w:val="24"/>
          <w:szCs w:val="24"/>
          <w:lang w:val="ro-MD"/>
        </w:rPr>
        <w:t>i identificării solu</w:t>
      </w:r>
      <w:r w:rsidR="00B13B9A" w:rsidRPr="00B13B9A">
        <w:rPr>
          <w:rFonts w:asciiTheme="majorHAnsi" w:hAnsiTheme="majorHAnsi" w:cstheme="majorHAnsi"/>
          <w:color w:val="000000" w:themeColor="text1"/>
          <w:sz w:val="24"/>
          <w:szCs w:val="24"/>
          <w:lang w:val="ro-MD"/>
        </w:rPr>
        <w:t>ț</w:t>
      </w:r>
      <w:r w:rsidRPr="00B13B9A">
        <w:rPr>
          <w:rFonts w:asciiTheme="majorHAnsi" w:hAnsiTheme="majorHAnsi" w:cstheme="majorHAnsi"/>
          <w:color w:val="000000" w:themeColor="text1"/>
          <w:sz w:val="24"/>
          <w:szCs w:val="24"/>
          <w:lang w:val="ro-MD"/>
        </w:rPr>
        <w:t>iilor optime, care până în prezent nu au fost executate</w:t>
      </w:r>
      <w:r w:rsidR="00F51A54" w:rsidRPr="00B13B9A">
        <w:rPr>
          <w:rStyle w:val="a9"/>
          <w:rFonts w:asciiTheme="majorHAnsi" w:hAnsiTheme="majorHAnsi" w:cstheme="majorHAnsi"/>
          <w:color w:val="000000" w:themeColor="text1"/>
          <w:sz w:val="24"/>
          <w:szCs w:val="24"/>
          <w:lang w:val="ro-MD"/>
        </w:rPr>
        <w:footnoteReference w:id="35"/>
      </w:r>
      <w:r w:rsidRPr="00B13B9A">
        <w:rPr>
          <w:rFonts w:asciiTheme="majorHAnsi" w:hAnsiTheme="majorHAnsi" w:cstheme="majorHAnsi"/>
          <w:color w:val="000000" w:themeColor="text1"/>
          <w:sz w:val="24"/>
          <w:szCs w:val="24"/>
          <w:lang w:val="ro-MD"/>
        </w:rPr>
        <w:t>.</w:t>
      </w:r>
    </w:p>
    <w:p w14:paraId="2999A681" w14:textId="08679126" w:rsidR="00C811EF" w:rsidRPr="00B13B9A" w:rsidRDefault="00F51A54" w:rsidP="00B9390C">
      <w:pPr>
        <w:pStyle w:val="cn"/>
        <w:spacing w:line="276" w:lineRule="auto"/>
        <w:ind w:right="71"/>
        <w:jc w:val="both"/>
        <w:rPr>
          <w:rFonts w:asciiTheme="majorHAnsi" w:eastAsiaTheme="minorHAnsi" w:hAnsiTheme="majorHAnsi" w:cstheme="minorHAnsi"/>
          <w:lang w:val="ro-MD" w:eastAsia="en-US"/>
        </w:rPr>
      </w:pPr>
      <w:r w:rsidRPr="00B13B9A">
        <w:rPr>
          <w:rFonts w:asciiTheme="majorHAnsi" w:eastAsiaTheme="minorHAnsi" w:hAnsiTheme="majorHAnsi" w:cstheme="minorHAnsi"/>
          <w:lang w:val="ro-MD" w:eastAsia="en-US"/>
        </w:rPr>
        <w:t>În acest sens, auditul men</w:t>
      </w:r>
      <w:r w:rsidR="00B13B9A" w:rsidRPr="00B13B9A">
        <w:rPr>
          <w:rFonts w:asciiTheme="majorHAnsi" w:eastAsiaTheme="minorHAnsi" w:hAnsiTheme="majorHAnsi" w:cstheme="minorHAnsi"/>
          <w:lang w:val="ro-MD" w:eastAsia="en-US"/>
        </w:rPr>
        <w:t>ț</w:t>
      </w:r>
      <w:r w:rsidRPr="00B13B9A">
        <w:rPr>
          <w:rFonts w:asciiTheme="majorHAnsi" w:eastAsiaTheme="minorHAnsi" w:hAnsiTheme="majorHAnsi" w:cstheme="minorHAnsi"/>
          <w:lang w:val="ro-MD" w:eastAsia="en-US"/>
        </w:rPr>
        <w:t>ionează că</w:t>
      </w:r>
      <w:r w:rsidR="00756901" w:rsidRPr="00B13B9A">
        <w:rPr>
          <w:rFonts w:asciiTheme="majorHAnsi" w:eastAsiaTheme="minorHAnsi" w:hAnsiTheme="majorHAnsi" w:cstheme="minorHAnsi"/>
          <w:lang w:val="ro-MD" w:eastAsia="en-US"/>
        </w:rPr>
        <w:t>,</w:t>
      </w:r>
      <w:r w:rsidRPr="00B13B9A">
        <w:rPr>
          <w:rFonts w:asciiTheme="majorHAnsi" w:eastAsiaTheme="minorHAnsi" w:hAnsiTheme="majorHAnsi" w:cstheme="minorHAnsi"/>
          <w:lang w:val="ro-MD" w:eastAsia="en-US"/>
        </w:rPr>
        <w:t xml:space="preserve"> odată cu trecerea timpului, obiectele neutilizate se de</w:t>
      </w:r>
      <w:r w:rsidR="003E31BE" w:rsidRPr="00B13B9A">
        <w:rPr>
          <w:rFonts w:asciiTheme="majorHAnsi" w:eastAsiaTheme="minorHAnsi" w:hAnsiTheme="majorHAnsi" w:cstheme="minorHAnsi"/>
          <w:lang w:val="ro-MD" w:eastAsia="en-US"/>
        </w:rPr>
        <w:t>gradează</w:t>
      </w:r>
      <w:r w:rsidRPr="00B13B9A">
        <w:rPr>
          <w:rFonts w:asciiTheme="majorHAnsi" w:eastAsiaTheme="minorHAnsi" w:hAnsiTheme="majorHAnsi" w:cstheme="minorHAnsi"/>
          <w:lang w:val="ro-MD" w:eastAsia="en-US"/>
        </w:rPr>
        <w:t xml:space="preserve"> </w:t>
      </w:r>
      <w:r w:rsidR="00B13B9A" w:rsidRPr="00B13B9A">
        <w:rPr>
          <w:rFonts w:asciiTheme="majorHAnsi" w:eastAsiaTheme="minorHAnsi" w:hAnsiTheme="majorHAnsi" w:cstheme="minorHAnsi"/>
          <w:lang w:val="ro-MD" w:eastAsia="en-US"/>
        </w:rPr>
        <w:t>ș</w:t>
      </w:r>
      <w:r w:rsidRPr="00B13B9A">
        <w:rPr>
          <w:rFonts w:asciiTheme="majorHAnsi" w:eastAsiaTheme="minorHAnsi" w:hAnsiTheme="majorHAnsi" w:cstheme="minorHAnsi"/>
          <w:lang w:val="ro-MD" w:eastAsia="en-US"/>
        </w:rPr>
        <w:t>i sunt supuse r</w:t>
      </w:r>
      <w:r w:rsidR="003E31BE" w:rsidRPr="00B13B9A">
        <w:rPr>
          <w:rFonts w:asciiTheme="majorHAnsi" w:eastAsiaTheme="minorHAnsi" w:hAnsiTheme="majorHAnsi" w:cstheme="minorHAnsi"/>
          <w:lang w:val="ro-MD" w:eastAsia="en-US"/>
        </w:rPr>
        <w:t>iscului de uzură morală sau de pierdere a acestora</w:t>
      </w:r>
      <w:r w:rsidR="00ED795E">
        <w:rPr>
          <w:rFonts w:asciiTheme="majorHAnsi" w:eastAsiaTheme="minorHAnsi" w:hAnsiTheme="majorHAnsi" w:cstheme="minorHAnsi"/>
          <w:lang w:val="ro-MD" w:eastAsia="en-US"/>
        </w:rPr>
        <w:t>. Astfel</w:t>
      </w:r>
      <w:r w:rsidRPr="00B13B9A">
        <w:rPr>
          <w:rFonts w:asciiTheme="majorHAnsi" w:eastAsiaTheme="minorHAnsi" w:hAnsiTheme="majorHAnsi" w:cstheme="minorHAnsi"/>
          <w:lang w:val="ro-MD" w:eastAsia="en-US"/>
        </w:rPr>
        <w:t xml:space="preserve">, anterior </w:t>
      </w:r>
      <w:r w:rsidR="00ED795E">
        <w:rPr>
          <w:rFonts w:asciiTheme="majorHAnsi" w:eastAsiaTheme="minorHAnsi" w:hAnsiTheme="majorHAnsi" w:cstheme="minorHAnsi"/>
          <w:lang w:val="ro-MD" w:eastAsia="en-US"/>
        </w:rPr>
        <w:t xml:space="preserve">au </w:t>
      </w:r>
      <w:r w:rsidRPr="00B13B9A">
        <w:rPr>
          <w:rFonts w:asciiTheme="majorHAnsi" w:eastAsiaTheme="minorHAnsi" w:hAnsiTheme="majorHAnsi" w:cstheme="minorHAnsi"/>
          <w:lang w:val="ro-MD" w:eastAsia="en-US"/>
        </w:rPr>
        <w:t>f</w:t>
      </w:r>
      <w:r w:rsidR="00ED795E">
        <w:rPr>
          <w:rFonts w:asciiTheme="majorHAnsi" w:eastAsiaTheme="minorHAnsi" w:hAnsiTheme="majorHAnsi" w:cstheme="minorHAnsi"/>
          <w:lang w:val="ro-MD" w:eastAsia="en-US"/>
        </w:rPr>
        <w:t>ost</w:t>
      </w:r>
      <w:r w:rsidRPr="00B13B9A">
        <w:rPr>
          <w:rFonts w:asciiTheme="majorHAnsi" w:eastAsiaTheme="minorHAnsi" w:hAnsiTheme="majorHAnsi" w:cstheme="minorHAnsi"/>
          <w:lang w:val="ro-MD" w:eastAsia="en-US"/>
        </w:rPr>
        <w:t xml:space="preserve"> comise 2 furturi </w:t>
      </w:r>
      <w:r w:rsidR="003E31BE" w:rsidRPr="00B13B9A">
        <w:rPr>
          <w:rFonts w:asciiTheme="majorHAnsi" w:eastAsiaTheme="minorHAnsi" w:hAnsiTheme="majorHAnsi" w:cstheme="minorHAnsi"/>
          <w:lang w:val="ro-MD" w:eastAsia="en-US"/>
        </w:rPr>
        <w:t xml:space="preserve">de bunuri din încăperile în cauză </w:t>
      </w:r>
      <w:r w:rsidRPr="00B13B9A">
        <w:rPr>
          <w:rFonts w:asciiTheme="majorHAnsi" w:eastAsiaTheme="minorHAnsi" w:hAnsiTheme="majorHAnsi" w:cstheme="minorHAnsi"/>
          <w:lang w:val="ro-MD" w:eastAsia="en-US"/>
        </w:rPr>
        <w:t xml:space="preserve">în valoare de </w:t>
      </w:r>
      <w:r w:rsidR="00AB3CDC" w:rsidRPr="00B13B9A">
        <w:rPr>
          <w:rFonts w:asciiTheme="majorHAnsi" w:eastAsiaTheme="minorHAnsi" w:hAnsiTheme="majorHAnsi" w:cstheme="minorHAnsi"/>
          <w:lang w:val="ro-MD" w:eastAsia="en-US"/>
        </w:rPr>
        <w:t xml:space="preserve">160,3 mii </w:t>
      </w:r>
      <w:r w:rsidRPr="00B13B9A">
        <w:rPr>
          <w:rFonts w:asciiTheme="majorHAnsi" w:eastAsiaTheme="minorHAnsi" w:hAnsiTheme="majorHAnsi" w:cstheme="minorHAnsi"/>
          <w:lang w:val="ro-MD" w:eastAsia="en-US"/>
        </w:rPr>
        <w:t>lei.</w:t>
      </w:r>
      <w:r w:rsidR="0092679F" w:rsidRPr="00B13B9A">
        <w:rPr>
          <w:rFonts w:asciiTheme="majorHAnsi" w:eastAsiaTheme="minorHAnsi" w:hAnsiTheme="majorHAnsi" w:cstheme="minorHAnsi"/>
          <w:lang w:val="ro-MD" w:eastAsia="en-US"/>
        </w:rPr>
        <w:t xml:space="preserve"> Curtea de Conturi men</w:t>
      </w:r>
      <w:r w:rsidR="00B13B9A" w:rsidRPr="00B13B9A">
        <w:rPr>
          <w:rFonts w:asciiTheme="majorHAnsi" w:eastAsiaTheme="minorHAnsi" w:hAnsiTheme="majorHAnsi" w:cstheme="minorHAnsi"/>
          <w:lang w:val="ro-MD" w:eastAsia="en-US"/>
        </w:rPr>
        <w:t>ț</w:t>
      </w:r>
      <w:r w:rsidR="0092679F" w:rsidRPr="00B13B9A">
        <w:rPr>
          <w:rFonts w:asciiTheme="majorHAnsi" w:eastAsiaTheme="minorHAnsi" w:hAnsiTheme="majorHAnsi" w:cstheme="minorHAnsi"/>
          <w:lang w:val="ro-MD" w:eastAsia="en-US"/>
        </w:rPr>
        <w:t>ine recomandările înaintate anterior</w:t>
      </w:r>
      <w:r w:rsidR="00756901" w:rsidRPr="00B13B9A">
        <w:rPr>
          <w:rFonts w:asciiTheme="majorHAnsi" w:eastAsiaTheme="minorHAnsi" w:hAnsiTheme="majorHAnsi" w:cstheme="minorHAnsi"/>
          <w:lang w:val="ro-MD" w:eastAsia="en-US"/>
        </w:rPr>
        <w:t>, pentru</w:t>
      </w:r>
      <w:r w:rsidR="0092679F" w:rsidRPr="00B13B9A">
        <w:rPr>
          <w:rFonts w:asciiTheme="majorHAnsi" w:eastAsiaTheme="minorHAnsi" w:hAnsiTheme="majorHAnsi" w:cstheme="minorHAnsi"/>
          <w:lang w:val="ro-MD" w:eastAsia="en-US"/>
        </w:rPr>
        <w:t xml:space="preserve"> asigur</w:t>
      </w:r>
      <w:r w:rsidR="00756901" w:rsidRPr="00B13B9A">
        <w:rPr>
          <w:rFonts w:asciiTheme="majorHAnsi" w:eastAsiaTheme="minorHAnsi" w:hAnsiTheme="majorHAnsi" w:cstheme="minorHAnsi"/>
          <w:lang w:val="ro-MD" w:eastAsia="en-US"/>
        </w:rPr>
        <w:t>ar</w:t>
      </w:r>
      <w:r w:rsidR="0092679F" w:rsidRPr="00B13B9A">
        <w:rPr>
          <w:rFonts w:asciiTheme="majorHAnsi" w:eastAsiaTheme="minorHAnsi" w:hAnsiTheme="majorHAnsi" w:cstheme="minorHAnsi"/>
          <w:lang w:val="ro-MD" w:eastAsia="en-US"/>
        </w:rPr>
        <w:t>e</w:t>
      </w:r>
      <w:r w:rsidR="00756901" w:rsidRPr="00B13B9A">
        <w:rPr>
          <w:rFonts w:asciiTheme="majorHAnsi" w:eastAsiaTheme="minorHAnsi" w:hAnsiTheme="majorHAnsi" w:cstheme="minorHAnsi"/>
          <w:lang w:val="ro-MD" w:eastAsia="en-US"/>
        </w:rPr>
        <w:t>a</w:t>
      </w:r>
      <w:r w:rsidR="0092679F" w:rsidRPr="00B13B9A">
        <w:rPr>
          <w:rFonts w:asciiTheme="majorHAnsi" w:eastAsiaTheme="minorHAnsi" w:hAnsiTheme="majorHAnsi" w:cstheme="minorHAnsi"/>
          <w:lang w:val="ro-MD" w:eastAsia="en-US"/>
        </w:rPr>
        <w:t xml:space="preserve"> eficien</w:t>
      </w:r>
      <w:r w:rsidR="00B13B9A" w:rsidRPr="00B13B9A">
        <w:rPr>
          <w:rFonts w:asciiTheme="majorHAnsi" w:eastAsiaTheme="minorHAnsi" w:hAnsiTheme="majorHAnsi" w:cstheme="minorHAnsi"/>
          <w:lang w:val="ro-MD" w:eastAsia="en-US"/>
        </w:rPr>
        <w:t>ț</w:t>
      </w:r>
      <w:r w:rsidR="00067991" w:rsidRPr="00B13B9A">
        <w:rPr>
          <w:rFonts w:asciiTheme="majorHAnsi" w:eastAsiaTheme="minorHAnsi" w:hAnsiTheme="majorHAnsi" w:cstheme="minorHAnsi"/>
          <w:lang w:val="ro-MD" w:eastAsia="en-US"/>
        </w:rPr>
        <w:t>ei de</w:t>
      </w:r>
      <w:r w:rsidR="0092679F" w:rsidRPr="00B13B9A">
        <w:rPr>
          <w:rFonts w:asciiTheme="majorHAnsi" w:eastAsiaTheme="minorHAnsi" w:hAnsiTheme="majorHAnsi" w:cstheme="minorHAnsi"/>
          <w:lang w:val="ro-MD" w:eastAsia="en-US"/>
        </w:rPr>
        <w:t xml:space="preserve"> utiliz</w:t>
      </w:r>
      <w:r w:rsidR="00067991" w:rsidRPr="00B13B9A">
        <w:rPr>
          <w:rFonts w:asciiTheme="majorHAnsi" w:eastAsiaTheme="minorHAnsi" w:hAnsiTheme="majorHAnsi" w:cstheme="minorHAnsi"/>
          <w:lang w:val="ro-MD" w:eastAsia="en-US"/>
        </w:rPr>
        <w:t>are a</w:t>
      </w:r>
      <w:r w:rsidR="0092679F" w:rsidRPr="00B13B9A">
        <w:rPr>
          <w:rFonts w:asciiTheme="majorHAnsi" w:eastAsiaTheme="minorHAnsi" w:hAnsiTheme="majorHAnsi" w:cstheme="minorHAnsi"/>
          <w:lang w:val="ro-MD" w:eastAsia="en-US"/>
        </w:rPr>
        <w:t xml:space="preserve"> patrimoniului gestionat.</w:t>
      </w:r>
    </w:p>
    <w:p w14:paraId="06957E0E" w14:textId="77777777" w:rsidR="007419F0" w:rsidRPr="00B13B9A" w:rsidRDefault="007419F0" w:rsidP="00E70C07">
      <w:pPr>
        <w:rPr>
          <w:rFonts w:asciiTheme="majorHAnsi" w:hAnsiTheme="majorHAnsi" w:cstheme="majorHAnsi"/>
          <w:b/>
          <w:i/>
          <w:color w:val="2E74B5" w:themeColor="accent1" w:themeShade="BF"/>
          <w:sz w:val="24"/>
          <w:u w:val="single"/>
          <w:lang w:val="ro-MD"/>
        </w:rPr>
      </w:pPr>
    </w:p>
    <w:p w14:paraId="301194BC" w14:textId="0166D1CD" w:rsidR="00C063FB" w:rsidRPr="00B13B9A" w:rsidRDefault="00C063FB" w:rsidP="00241AB3">
      <w:pPr>
        <w:pStyle w:val="a7"/>
        <w:numPr>
          <w:ilvl w:val="2"/>
          <w:numId w:val="10"/>
        </w:numPr>
        <w:tabs>
          <w:tab w:val="left" w:pos="851"/>
          <w:tab w:val="left" w:pos="993"/>
        </w:tabs>
        <w:snapToGrid w:val="0"/>
        <w:spacing w:after="0" w:line="276" w:lineRule="auto"/>
        <w:jc w:val="both"/>
        <w:outlineLvl w:val="2"/>
        <w:rPr>
          <w:rFonts w:asciiTheme="majorHAnsi" w:hAnsiTheme="majorHAnsi"/>
          <w:b/>
          <w:sz w:val="24"/>
          <w:lang w:val="ro-MD"/>
        </w:rPr>
      </w:pPr>
      <w:bookmarkStart w:id="27" w:name="_Toc154562502"/>
      <w:r w:rsidRPr="00B13B9A">
        <w:rPr>
          <w:rFonts w:asciiTheme="majorHAnsi" w:hAnsiTheme="majorHAnsi"/>
          <w:b/>
          <w:sz w:val="24"/>
          <w:lang w:val="ro-MD"/>
        </w:rPr>
        <w:t xml:space="preserve">Datoriile aferente patrimoniului primit în gestiune economică </w:t>
      </w:r>
      <w:r w:rsidR="00B13B9A" w:rsidRPr="00B13B9A">
        <w:rPr>
          <w:rFonts w:asciiTheme="majorHAnsi" w:hAnsiTheme="majorHAnsi"/>
          <w:b/>
          <w:sz w:val="24"/>
          <w:lang w:val="ro-MD"/>
        </w:rPr>
        <w:t>ș</w:t>
      </w:r>
      <w:r w:rsidRPr="00B13B9A">
        <w:rPr>
          <w:rFonts w:asciiTheme="majorHAnsi" w:hAnsiTheme="majorHAnsi"/>
          <w:b/>
          <w:sz w:val="24"/>
          <w:lang w:val="ro-MD"/>
        </w:rPr>
        <w:t>i, respectiv, aferente patrimoniului primit de la stat cu drept de proprietate sunt reflectate neconform</w:t>
      </w:r>
      <w:r w:rsidR="00067991" w:rsidRPr="00B13B9A">
        <w:rPr>
          <w:rFonts w:asciiTheme="majorHAnsi" w:hAnsiTheme="majorHAnsi"/>
          <w:b/>
          <w:sz w:val="24"/>
          <w:lang w:val="ro-MD"/>
        </w:rPr>
        <w:t>.</w:t>
      </w:r>
      <w:bookmarkEnd w:id="27"/>
      <w:r w:rsidRPr="00B13B9A">
        <w:rPr>
          <w:rFonts w:asciiTheme="majorHAnsi" w:hAnsiTheme="majorHAnsi"/>
          <w:b/>
          <w:sz w:val="24"/>
          <w:lang w:val="ro-MD"/>
        </w:rPr>
        <w:t xml:space="preserve"> </w:t>
      </w:r>
    </w:p>
    <w:p w14:paraId="2D83CC3C" w14:textId="4B06054D" w:rsidR="00651BC8" w:rsidRPr="00B13B9A" w:rsidRDefault="002B2299" w:rsidP="00A9607D">
      <w:pPr>
        <w:spacing w:after="0" w:line="276" w:lineRule="auto"/>
        <w:jc w:val="both"/>
        <w:rPr>
          <w:rFonts w:asciiTheme="majorHAnsi" w:hAnsiTheme="majorHAnsi"/>
          <w:sz w:val="24"/>
          <w:lang w:val="ro-MD"/>
        </w:rPr>
      </w:pPr>
      <w:r w:rsidRPr="00B13B9A">
        <w:rPr>
          <w:rFonts w:asciiTheme="majorHAnsi" w:hAnsiTheme="majorHAnsi"/>
          <w:sz w:val="24"/>
          <w:lang w:val="ro-MD"/>
        </w:rPr>
        <w:t xml:space="preserve">Odată cu fondarea </w:t>
      </w:r>
      <w:r w:rsidR="003E31BE" w:rsidRPr="00B13B9A">
        <w:rPr>
          <w:rFonts w:asciiTheme="majorHAnsi" w:hAnsiTheme="majorHAnsi"/>
          <w:sz w:val="24"/>
          <w:lang w:val="ro-MD"/>
        </w:rPr>
        <w:t>Institu</w:t>
      </w:r>
      <w:r w:rsidR="00B13B9A" w:rsidRPr="00B13B9A">
        <w:rPr>
          <w:rFonts w:asciiTheme="majorHAnsi" w:hAnsiTheme="majorHAnsi"/>
          <w:sz w:val="24"/>
          <w:lang w:val="ro-MD"/>
        </w:rPr>
        <w:t>ț</w:t>
      </w:r>
      <w:r w:rsidR="003E31BE" w:rsidRPr="00B13B9A">
        <w:rPr>
          <w:rFonts w:asciiTheme="majorHAnsi" w:hAnsiTheme="majorHAnsi"/>
          <w:sz w:val="24"/>
          <w:lang w:val="ro-MD"/>
        </w:rPr>
        <w:t>i</w:t>
      </w:r>
      <w:r w:rsidRPr="00B13B9A">
        <w:rPr>
          <w:rFonts w:asciiTheme="majorHAnsi" w:hAnsiTheme="majorHAnsi"/>
          <w:sz w:val="24"/>
          <w:lang w:val="ro-MD"/>
        </w:rPr>
        <w:t>ei</w:t>
      </w:r>
      <w:r w:rsidR="003E31BE" w:rsidRPr="00B13B9A">
        <w:rPr>
          <w:rFonts w:asciiTheme="majorHAnsi" w:hAnsiTheme="majorHAnsi"/>
          <w:sz w:val="24"/>
          <w:lang w:val="ro-MD"/>
        </w:rPr>
        <w:t xml:space="preserve"> medico-</w:t>
      </w:r>
      <w:r w:rsidR="00ED795E" w:rsidRPr="00B13B9A">
        <w:rPr>
          <w:rFonts w:asciiTheme="majorHAnsi" w:hAnsiTheme="majorHAnsi"/>
          <w:sz w:val="24"/>
          <w:lang w:val="ro-MD"/>
        </w:rPr>
        <w:t>sanitar</w:t>
      </w:r>
      <w:r w:rsidR="00ED795E">
        <w:rPr>
          <w:rFonts w:asciiTheme="majorHAnsi" w:hAnsiTheme="majorHAnsi"/>
          <w:sz w:val="24"/>
          <w:lang w:val="ro-MD"/>
        </w:rPr>
        <w:t>e</w:t>
      </w:r>
      <w:r w:rsidR="00ED795E" w:rsidRPr="00B13B9A">
        <w:rPr>
          <w:rFonts w:asciiTheme="majorHAnsi" w:hAnsiTheme="majorHAnsi"/>
          <w:sz w:val="24"/>
          <w:lang w:val="ro-MD"/>
        </w:rPr>
        <w:t xml:space="preserve"> </w:t>
      </w:r>
      <w:r w:rsidR="003E31BE" w:rsidRPr="00B13B9A">
        <w:rPr>
          <w:rFonts w:asciiTheme="majorHAnsi" w:hAnsiTheme="majorHAnsi"/>
          <w:sz w:val="24"/>
          <w:lang w:val="ro-MD"/>
        </w:rPr>
        <w:t>public</w:t>
      </w:r>
      <w:r w:rsidRPr="00B13B9A">
        <w:rPr>
          <w:rFonts w:asciiTheme="majorHAnsi" w:hAnsiTheme="majorHAnsi"/>
          <w:sz w:val="24"/>
          <w:lang w:val="ro-MD"/>
        </w:rPr>
        <w:t>e</w:t>
      </w:r>
      <w:r w:rsidR="003E31BE" w:rsidRPr="00B13B9A">
        <w:rPr>
          <w:rFonts w:asciiTheme="majorHAnsi" w:hAnsiTheme="majorHAnsi"/>
          <w:sz w:val="24"/>
          <w:lang w:val="ro-MD"/>
        </w:rPr>
        <w:t xml:space="preserve"> Institutul de Ftiziopneumologie</w:t>
      </w:r>
      <w:r w:rsidR="00ED795E">
        <w:rPr>
          <w:rFonts w:asciiTheme="majorHAnsi" w:hAnsiTheme="majorHAnsi"/>
          <w:sz w:val="24"/>
          <w:lang w:val="ro-MD"/>
        </w:rPr>
        <w:t>,</w:t>
      </w:r>
      <w:r w:rsidR="003E31BE" w:rsidRPr="00B13B9A">
        <w:rPr>
          <w:rFonts w:asciiTheme="majorHAnsi" w:hAnsiTheme="majorHAnsi"/>
          <w:sz w:val="24"/>
          <w:lang w:val="ro-MD"/>
        </w:rPr>
        <w:t xml:space="preserve"> care activează pe principiul de</w:t>
      </w:r>
      <w:r w:rsidRPr="00B13B9A">
        <w:rPr>
          <w:rFonts w:asciiTheme="majorHAnsi" w:hAnsiTheme="majorHAnsi"/>
          <w:sz w:val="24"/>
          <w:lang w:val="ro-MD"/>
        </w:rPr>
        <w:t xml:space="preserve"> autofinan</w:t>
      </w:r>
      <w:r w:rsidR="00B13B9A" w:rsidRPr="00B13B9A">
        <w:rPr>
          <w:rFonts w:asciiTheme="majorHAnsi" w:hAnsiTheme="majorHAnsi"/>
          <w:sz w:val="24"/>
          <w:lang w:val="ro-MD"/>
        </w:rPr>
        <w:t>ț</w:t>
      </w:r>
      <w:r w:rsidRPr="00B13B9A">
        <w:rPr>
          <w:rFonts w:asciiTheme="majorHAnsi" w:hAnsiTheme="majorHAnsi"/>
          <w:sz w:val="24"/>
          <w:lang w:val="ro-MD"/>
        </w:rPr>
        <w:t>are</w:t>
      </w:r>
      <w:r w:rsidR="00067991" w:rsidRPr="00B13B9A">
        <w:rPr>
          <w:rFonts w:asciiTheme="majorHAnsi" w:hAnsiTheme="majorHAnsi"/>
          <w:sz w:val="24"/>
          <w:lang w:val="ro-MD"/>
        </w:rPr>
        <w:t xml:space="preserve"> </w:t>
      </w:r>
      <w:r w:rsidR="00B13B9A" w:rsidRPr="00B13B9A">
        <w:rPr>
          <w:rFonts w:asciiTheme="majorHAnsi" w:hAnsiTheme="majorHAnsi"/>
          <w:sz w:val="24"/>
          <w:lang w:val="ro-MD"/>
        </w:rPr>
        <w:t>ș</w:t>
      </w:r>
      <w:r w:rsidR="00067991" w:rsidRPr="00B13B9A">
        <w:rPr>
          <w:rFonts w:asciiTheme="majorHAnsi" w:hAnsiTheme="majorHAnsi"/>
          <w:sz w:val="24"/>
          <w:lang w:val="ro-MD"/>
        </w:rPr>
        <w:t>i</w:t>
      </w:r>
      <w:r w:rsidRPr="00B13B9A">
        <w:rPr>
          <w:rFonts w:asciiTheme="majorHAnsi" w:hAnsiTheme="majorHAnsi"/>
          <w:sz w:val="24"/>
          <w:lang w:val="ro-MD"/>
        </w:rPr>
        <w:t xml:space="preserve"> de non-profit, </w:t>
      </w:r>
      <w:r w:rsidR="003E31BE" w:rsidRPr="00B13B9A">
        <w:rPr>
          <w:rFonts w:asciiTheme="majorHAnsi" w:hAnsiTheme="majorHAnsi"/>
          <w:sz w:val="24"/>
          <w:lang w:val="ro-MD"/>
        </w:rPr>
        <w:t xml:space="preserve">au fost elaborate nenumărate </w:t>
      </w:r>
      <w:r w:rsidR="00067991" w:rsidRPr="00B13B9A">
        <w:rPr>
          <w:rFonts w:asciiTheme="majorHAnsi" w:hAnsiTheme="majorHAnsi"/>
          <w:sz w:val="24"/>
          <w:lang w:val="ro-MD"/>
        </w:rPr>
        <w:t>s</w:t>
      </w:r>
      <w:r w:rsidR="003E31BE" w:rsidRPr="00B13B9A">
        <w:rPr>
          <w:rFonts w:asciiTheme="majorHAnsi" w:hAnsiTheme="majorHAnsi"/>
          <w:sz w:val="24"/>
          <w:lang w:val="ro-MD"/>
        </w:rPr>
        <w:t xml:space="preserve">tatute </w:t>
      </w:r>
      <w:r w:rsidR="00B13B9A" w:rsidRPr="00B13B9A">
        <w:rPr>
          <w:rFonts w:asciiTheme="majorHAnsi" w:hAnsiTheme="majorHAnsi"/>
          <w:sz w:val="24"/>
          <w:lang w:val="ro-MD"/>
        </w:rPr>
        <w:t>ș</w:t>
      </w:r>
      <w:r w:rsidR="003E31BE" w:rsidRPr="00B13B9A">
        <w:rPr>
          <w:rFonts w:asciiTheme="majorHAnsi" w:hAnsiTheme="majorHAnsi"/>
          <w:sz w:val="24"/>
          <w:lang w:val="ro-MD"/>
        </w:rPr>
        <w:t xml:space="preserve">i </w:t>
      </w:r>
      <w:r w:rsidR="00067991" w:rsidRPr="00B13B9A">
        <w:rPr>
          <w:rFonts w:asciiTheme="majorHAnsi" w:hAnsiTheme="majorHAnsi"/>
          <w:sz w:val="24"/>
          <w:lang w:val="ro-MD"/>
        </w:rPr>
        <w:t>r</w:t>
      </w:r>
      <w:r w:rsidR="003E31BE" w:rsidRPr="00B13B9A">
        <w:rPr>
          <w:rFonts w:asciiTheme="majorHAnsi" w:hAnsiTheme="majorHAnsi"/>
          <w:sz w:val="24"/>
          <w:lang w:val="ro-MD"/>
        </w:rPr>
        <w:t xml:space="preserve">egulamente, iar cel mai </w:t>
      </w:r>
      <w:r w:rsidR="00ED795E">
        <w:rPr>
          <w:rFonts w:asciiTheme="majorHAnsi" w:hAnsiTheme="majorHAnsi"/>
          <w:sz w:val="24"/>
          <w:lang w:val="ro-MD"/>
        </w:rPr>
        <w:t>recent</w:t>
      </w:r>
      <w:r w:rsidR="00ED795E" w:rsidRPr="00B13B9A">
        <w:rPr>
          <w:rFonts w:asciiTheme="majorHAnsi" w:hAnsiTheme="majorHAnsi"/>
          <w:sz w:val="24"/>
          <w:lang w:val="ro-MD"/>
        </w:rPr>
        <w:t xml:space="preserve"> </w:t>
      </w:r>
      <w:r w:rsidR="00067991" w:rsidRPr="00B13B9A">
        <w:rPr>
          <w:rFonts w:asciiTheme="majorHAnsi" w:hAnsiTheme="majorHAnsi"/>
          <w:sz w:val="24"/>
          <w:lang w:val="ro-MD"/>
        </w:rPr>
        <w:t>r</w:t>
      </w:r>
      <w:r w:rsidR="003E31BE" w:rsidRPr="00B13B9A">
        <w:rPr>
          <w:rFonts w:asciiTheme="majorHAnsi" w:hAnsiTheme="majorHAnsi"/>
          <w:sz w:val="24"/>
          <w:lang w:val="ro-MD"/>
        </w:rPr>
        <w:t xml:space="preserve">egulament de organizare </w:t>
      </w:r>
      <w:r w:rsidR="00B13B9A" w:rsidRPr="00B13B9A">
        <w:rPr>
          <w:rFonts w:asciiTheme="majorHAnsi" w:hAnsiTheme="majorHAnsi"/>
          <w:sz w:val="24"/>
          <w:lang w:val="ro-MD"/>
        </w:rPr>
        <w:t>ș</w:t>
      </w:r>
      <w:r w:rsidR="003E31BE" w:rsidRPr="00B13B9A">
        <w:rPr>
          <w:rFonts w:asciiTheme="majorHAnsi" w:hAnsiTheme="majorHAnsi"/>
          <w:sz w:val="24"/>
          <w:lang w:val="ro-MD"/>
        </w:rPr>
        <w:t>i func</w:t>
      </w:r>
      <w:r w:rsidR="00B13B9A" w:rsidRPr="00B13B9A">
        <w:rPr>
          <w:rFonts w:asciiTheme="majorHAnsi" w:hAnsiTheme="majorHAnsi"/>
          <w:sz w:val="24"/>
          <w:lang w:val="ro-MD"/>
        </w:rPr>
        <w:t>ț</w:t>
      </w:r>
      <w:r w:rsidR="003E31BE" w:rsidRPr="00B13B9A">
        <w:rPr>
          <w:rFonts w:asciiTheme="majorHAnsi" w:hAnsiTheme="majorHAnsi"/>
          <w:sz w:val="24"/>
          <w:lang w:val="ro-MD"/>
        </w:rPr>
        <w:t>ionare a fost elaborat în anul 2023. Astfel, în con</w:t>
      </w:r>
      <w:r w:rsidRPr="00B13B9A">
        <w:rPr>
          <w:rFonts w:asciiTheme="majorHAnsi" w:hAnsiTheme="majorHAnsi"/>
          <w:sz w:val="24"/>
          <w:lang w:val="ro-MD"/>
        </w:rPr>
        <w:t>formitate cu acest regulament, f</w:t>
      </w:r>
      <w:r w:rsidR="003E31BE" w:rsidRPr="00B13B9A">
        <w:rPr>
          <w:rFonts w:asciiTheme="majorHAnsi" w:hAnsiTheme="majorHAnsi"/>
          <w:sz w:val="24"/>
          <w:lang w:val="ro-MD"/>
        </w:rPr>
        <w:t>ondator al IMSP Institutul de Ftiziopneumologie „Chiril Draganiuc” este Ministerul Sănătă</w:t>
      </w:r>
      <w:r w:rsidR="00B13B9A" w:rsidRPr="00B13B9A">
        <w:rPr>
          <w:rFonts w:asciiTheme="majorHAnsi" w:hAnsiTheme="majorHAnsi"/>
          <w:sz w:val="24"/>
          <w:lang w:val="ro-MD"/>
        </w:rPr>
        <w:t>ț</w:t>
      </w:r>
      <w:r w:rsidR="003E31BE" w:rsidRPr="00B13B9A">
        <w:rPr>
          <w:rFonts w:asciiTheme="majorHAnsi" w:hAnsiTheme="majorHAnsi"/>
          <w:sz w:val="24"/>
          <w:lang w:val="ro-MD"/>
        </w:rPr>
        <w:t>ii</w:t>
      </w:r>
      <w:r w:rsidR="00067991" w:rsidRPr="00B13B9A">
        <w:rPr>
          <w:rFonts w:asciiTheme="majorHAnsi" w:hAnsiTheme="majorHAnsi"/>
          <w:sz w:val="24"/>
          <w:lang w:val="ro-MD"/>
        </w:rPr>
        <w:t>,</w:t>
      </w:r>
      <w:r w:rsidR="003E31BE" w:rsidRPr="00B13B9A">
        <w:rPr>
          <w:rFonts w:asciiTheme="majorHAnsi" w:hAnsiTheme="majorHAnsi"/>
          <w:sz w:val="24"/>
          <w:lang w:val="ro-MD"/>
        </w:rPr>
        <w:t xml:space="preserve"> iar acesta din urmă are dreptul de a transmite bunuri din administrarea sa</w:t>
      </w:r>
      <w:r w:rsidR="00067991" w:rsidRPr="00B13B9A">
        <w:rPr>
          <w:rFonts w:asciiTheme="majorHAnsi" w:hAnsiTheme="majorHAnsi"/>
          <w:sz w:val="24"/>
          <w:lang w:val="ro-MD"/>
        </w:rPr>
        <w:t xml:space="preserve"> </w:t>
      </w:r>
      <w:r w:rsidR="003E31BE" w:rsidRPr="00B13B9A">
        <w:rPr>
          <w:rFonts w:asciiTheme="majorHAnsi" w:hAnsiTheme="majorHAnsi"/>
          <w:sz w:val="24"/>
          <w:lang w:val="ro-MD"/>
        </w:rPr>
        <w:t>în gestiunea economică a institu</w:t>
      </w:r>
      <w:r w:rsidR="00B13B9A" w:rsidRPr="00B13B9A">
        <w:rPr>
          <w:rFonts w:asciiTheme="majorHAnsi" w:hAnsiTheme="majorHAnsi"/>
          <w:sz w:val="24"/>
          <w:lang w:val="ro-MD"/>
        </w:rPr>
        <w:t>ț</w:t>
      </w:r>
      <w:r w:rsidR="003E31BE" w:rsidRPr="00B13B9A">
        <w:rPr>
          <w:rFonts w:asciiTheme="majorHAnsi" w:hAnsiTheme="majorHAnsi"/>
          <w:sz w:val="24"/>
          <w:lang w:val="ro-MD"/>
        </w:rPr>
        <w:t>iei, în baza contractului de comodat.</w:t>
      </w:r>
    </w:p>
    <w:p w14:paraId="343EEEC4" w14:textId="61D87ADA" w:rsidR="003E31BE" w:rsidRPr="00B13B9A" w:rsidRDefault="00A9607D" w:rsidP="009708AE">
      <w:pPr>
        <w:spacing w:line="276" w:lineRule="auto"/>
        <w:jc w:val="both"/>
        <w:rPr>
          <w:rFonts w:asciiTheme="majorHAnsi" w:hAnsiTheme="majorHAnsi"/>
          <w:sz w:val="24"/>
          <w:lang w:val="ro-MD"/>
        </w:rPr>
      </w:pPr>
      <w:r w:rsidRPr="00B13B9A">
        <w:rPr>
          <w:rFonts w:asciiTheme="majorHAnsi" w:hAnsiTheme="majorHAnsi"/>
          <w:bCs/>
          <w:sz w:val="24"/>
          <w:lang w:val="ro-MD"/>
        </w:rPr>
        <w:t xml:space="preserve">Totodată, potrivit </w:t>
      </w:r>
      <w:r w:rsidR="00067991" w:rsidRPr="00B13B9A">
        <w:rPr>
          <w:rFonts w:asciiTheme="majorHAnsi" w:hAnsiTheme="majorHAnsi"/>
          <w:bCs/>
          <w:sz w:val="24"/>
          <w:lang w:val="ro-MD"/>
        </w:rPr>
        <w:t>L</w:t>
      </w:r>
      <w:r w:rsidRPr="00B13B9A">
        <w:rPr>
          <w:rFonts w:asciiTheme="majorHAnsi" w:hAnsiTheme="majorHAnsi"/>
          <w:bCs/>
          <w:sz w:val="24"/>
          <w:lang w:val="ro-MD"/>
        </w:rPr>
        <w:t>egii</w:t>
      </w:r>
      <w:r w:rsidR="003E31BE" w:rsidRPr="00B13B9A">
        <w:rPr>
          <w:rFonts w:asciiTheme="majorHAnsi" w:hAnsiTheme="majorHAnsi"/>
          <w:sz w:val="24"/>
          <w:lang w:val="ro-MD"/>
        </w:rPr>
        <w:t xml:space="preserve"> privind delimitarea proprietă</w:t>
      </w:r>
      <w:r w:rsidR="00B13B9A" w:rsidRPr="00B13B9A">
        <w:rPr>
          <w:rFonts w:asciiTheme="majorHAnsi" w:hAnsiTheme="majorHAnsi"/>
          <w:sz w:val="24"/>
          <w:lang w:val="ro-MD"/>
        </w:rPr>
        <w:t>ț</w:t>
      </w:r>
      <w:r w:rsidR="003E31BE" w:rsidRPr="00B13B9A">
        <w:rPr>
          <w:rFonts w:asciiTheme="majorHAnsi" w:hAnsiTheme="majorHAnsi"/>
          <w:sz w:val="24"/>
          <w:lang w:val="ro-MD"/>
        </w:rPr>
        <w:t>ii publice</w:t>
      </w:r>
      <w:r w:rsidRPr="00B13B9A">
        <w:rPr>
          <w:rFonts w:asciiTheme="majorHAnsi" w:hAnsiTheme="majorHAnsi"/>
          <w:sz w:val="24"/>
          <w:vertAlign w:val="superscript"/>
          <w:lang w:val="ro-MD"/>
        </w:rPr>
        <w:footnoteReference w:id="36"/>
      </w:r>
      <w:r w:rsidRPr="00B13B9A">
        <w:rPr>
          <w:rFonts w:asciiTheme="majorHAnsi" w:hAnsiTheme="majorHAnsi"/>
          <w:sz w:val="24"/>
          <w:lang w:val="ro-MD"/>
        </w:rPr>
        <w:t>, d</w:t>
      </w:r>
      <w:r w:rsidR="003E31BE" w:rsidRPr="00B13B9A">
        <w:rPr>
          <w:rFonts w:asciiTheme="majorHAnsi" w:hAnsiTheme="majorHAnsi"/>
          <w:sz w:val="24"/>
          <w:lang w:val="ro-MD"/>
        </w:rPr>
        <w:t xml:space="preserve">e </w:t>
      </w:r>
      <w:r w:rsidRPr="00B13B9A">
        <w:rPr>
          <w:rFonts w:asciiTheme="majorHAnsi" w:hAnsiTheme="majorHAnsi"/>
          <w:sz w:val="24"/>
          <w:lang w:val="ro-MD"/>
        </w:rPr>
        <w:t xml:space="preserve">domeniul public al statului </w:t>
      </w:r>
      <w:r w:rsidR="00B13B9A" w:rsidRPr="00B13B9A">
        <w:rPr>
          <w:rFonts w:asciiTheme="majorHAnsi" w:hAnsiTheme="majorHAnsi"/>
          <w:sz w:val="24"/>
          <w:lang w:val="ro-MD"/>
        </w:rPr>
        <w:t>ț</w:t>
      </w:r>
      <w:r w:rsidRPr="00B13B9A">
        <w:rPr>
          <w:rFonts w:asciiTheme="majorHAnsi" w:hAnsiTheme="majorHAnsi"/>
          <w:sz w:val="24"/>
          <w:lang w:val="ro-MD"/>
        </w:rPr>
        <w:t xml:space="preserve">in </w:t>
      </w:r>
      <w:r w:rsidR="003E31BE" w:rsidRPr="00B13B9A">
        <w:rPr>
          <w:rFonts w:asciiTheme="majorHAnsi" w:hAnsiTheme="majorHAnsi"/>
          <w:sz w:val="24"/>
          <w:lang w:val="ro-MD"/>
        </w:rPr>
        <w:t xml:space="preserve">clădirile, inclusiv încăperile izolate </w:t>
      </w:r>
      <w:r w:rsidR="00B13B9A" w:rsidRPr="00B13B9A">
        <w:rPr>
          <w:rFonts w:asciiTheme="majorHAnsi" w:hAnsiTheme="majorHAnsi"/>
          <w:sz w:val="24"/>
          <w:lang w:val="ro-MD"/>
        </w:rPr>
        <w:t>ș</w:t>
      </w:r>
      <w:r w:rsidR="003E31BE" w:rsidRPr="00B13B9A">
        <w:rPr>
          <w:rFonts w:asciiTheme="majorHAnsi" w:hAnsiTheme="majorHAnsi"/>
          <w:sz w:val="24"/>
          <w:lang w:val="ro-MD"/>
        </w:rPr>
        <w:t>i terenurile proprietate publică de stat în/pe care î</w:t>
      </w:r>
      <w:r w:rsidR="00B13B9A" w:rsidRPr="00B13B9A">
        <w:rPr>
          <w:rFonts w:asciiTheme="majorHAnsi" w:hAnsiTheme="majorHAnsi"/>
          <w:sz w:val="24"/>
          <w:lang w:val="ro-MD"/>
        </w:rPr>
        <w:t>ș</w:t>
      </w:r>
      <w:r w:rsidR="003E31BE" w:rsidRPr="00B13B9A">
        <w:rPr>
          <w:rFonts w:asciiTheme="majorHAnsi" w:hAnsiTheme="majorHAnsi"/>
          <w:sz w:val="24"/>
          <w:lang w:val="ro-MD"/>
        </w:rPr>
        <w:t>i desfă</w:t>
      </w:r>
      <w:r w:rsidR="00B13B9A" w:rsidRPr="00B13B9A">
        <w:rPr>
          <w:rFonts w:asciiTheme="majorHAnsi" w:hAnsiTheme="majorHAnsi"/>
          <w:sz w:val="24"/>
          <w:lang w:val="ro-MD"/>
        </w:rPr>
        <w:t>ș</w:t>
      </w:r>
      <w:r w:rsidR="003E31BE" w:rsidRPr="00B13B9A">
        <w:rPr>
          <w:rFonts w:asciiTheme="majorHAnsi" w:hAnsiTheme="majorHAnsi"/>
          <w:sz w:val="24"/>
          <w:lang w:val="ro-MD"/>
        </w:rPr>
        <w:t>oară activitatea institu</w:t>
      </w:r>
      <w:r w:rsidR="00B13B9A" w:rsidRPr="00B13B9A">
        <w:rPr>
          <w:rFonts w:asciiTheme="majorHAnsi" w:hAnsiTheme="majorHAnsi"/>
          <w:sz w:val="24"/>
          <w:lang w:val="ro-MD"/>
        </w:rPr>
        <w:t>ț</w:t>
      </w:r>
      <w:r w:rsidR="003E31BE" w:rsidRPr="00B13B9A">
        <w:rPr>
          <w:rFonts w:asciiTheme="majorHAnsi" w:hAnsiTheme="majorHAnsi"/>
          <w:sz w:val="24"/>
          <w:lang w:val="ro-MD"/>
        </w:rPr>
        <w:t xml:space="preserve">iile publice cu autogestiune subordonate </w:t>
      </w:r>
      <w:r w:rsidRPr="00B13B9A">
        <w:rPr>
          <w:rFonts w:asciiTheme="majorHAnsi" w:hAnsiTheme="majorHAnsi"/>
          <w:sz w:val="24"/>
          <w:lang w:val="ro-MD"/>
        </w:rPr>
        <w:t xml:space="preserve">ministerelor, iar aceste bunuri </w:t>
      </w:r>
      <w:r w:rsidR="003E31BE" w:rsidRPr="00B13B9A">
        <w:rPr>
          <w:rFonts w:asciiTheme="majorHAnsi" w:hAnsiTheme="majorHAnsi"/>
          <w:sz w:val="24"/>
          <w:lang w:val="ro-MD"/>
        </w:rPr>
        <w:t>s</w:t>
      </w:r>
      <w:r w:rsidR="00067991" w:rsidRPr="00B13B9A">
        <w:rPr>
          <w:rFonts w:asciiTheme="majorHAnsi" w:hAnsiTheme="majorHAnsi"/>
          <w:sz w:val="24"/>
          <w:lang w:val="ro-MD"/>
        </w:rPr>
        <w:t>u</w:t>
      </w:r>
      <w:r w:rsidR="003E31BE" w:rsidRPr="00B13B9A">
        <w:rPr>
          <w:rFonts w:asciiTheme="majorHAnsi" w:hAnsiTheme="majorHAnsi"/>
          <w:sz w:val="24"/>
          <w:lang w:val="ro-MD"/>
        </w:rPr>
        <w:t xml:space="preserve">nt inalienabile, insesizabile </w:t>
      </w:r>
      <w:r w:rsidR="00B13B9A" w:rsidRPr="00B13B9A">
        <w:rPr>
          <w:rFonts w:asciiTheme="majorHAnsi" w:hAnsiTheme="majorHAnsi"/>
          <w:sz w:val="24"/>
          <w:lang w:val="ro-MD"/>
        </w:rPr>
        <w:t>ș</w:t>
      </w:r>
      <w:r w:rsidR="003E31BE" w:rsidRPr="00B13B9A">
        <w:rPr>
          <w:rFonts w:asciiTheme="majorHAnsi" w:hAnsiTheme="majorHAnsi"/>
          <w:sz w:val="24"/>
          <w:lang w:val="ro-MD"/>
        </w:rPr>
        <w:t>i imprescriptibile, circuitul civil al acestora fiind limitat</w:t>
      </w:r>
      <w:r w:rsidRPr="00B13B9A">
        <w:rPr>
          <w:rFonts w:asciiTheme="majorHAnsi" w:hAnsiTheme="majorHAnsi"/>
          <w:sz w:val="24"/>
          <w:vertAlign w:val="superscript"/>
          <w:lang w:val="ro-MD"/>
        </w:rPr>
        <w:footnoteReference w:id="37"/>
      </w:r>
      <w:r w:rsidRPr="00B13B9A">
        <w:rPr>
          <w:rFonts w:asciiTheme="majorHAnsi" w:hAnsiTheme="majorHAnsi"/>
          <w:sz w:val="24"/>
          <w:lang w:val="ro-MD"/>
        </w:rPr>
        <w:t>.</w:t>
      </w:r>
    </w:p>
    <w:p w14:paraId="6D5AAE4A" w14:textId="0BD2AEDD" w:rsidR="004477EB" w:rsidRPr="00B13B9A" w:rsidRDefault="009708AE" w:rsidP="004477EB">
      <w:pPr>
        <w:spacing w:after="0" w:line="276" w:lineRule="auto"/>
        <w:jc w:val="both"/>
        <w:rPr>
          <w:rFonts w:asciiTheme="majorHAnsi" w:hAnsiTheme="majorHAnsi"/>
          <w:sz w:val="24"/>
          <w:lang w:val="ro-MD"/>
        </w:rPr>
      </w:pPr>
      <w:r w:rsidRPr="00B13B9A">
        <w:rPr>
          <w:rFonts w:asciiTheme="majorHAnsi" w:hAnsiTheme="majorHAnsi"/>
          <w:sz w:val="24"/>
          <w:lang w:val="ro-MD"/>
        </w:rPr>
        <w:t>Astfel, s</w:t>
      </w:r>
      <w:r w:rsidR="004477EB" w:rsidRPr="00B13B9A">
        <w:rPr>
          <w:rFonts w:asciiTheme="majorHAnsi" w:hAnsiTheme="majorHAnsi"/>
          <w:sz w:val="24"/>
          <w:lang w:val="ro-MD"/>
        </w:rPr>
        <w:t xml:space="preserve">e atestă că, pe parcursul a 20 de ani, datoriile aferente patrimoniului primit în gestiune economică </w:t>
      </w:r>
      <w:r w:rsidR="00B13B9A" w:rsidRPr="00B13B9A">
        <w:rPr>
          <w:rFonts w:asciiTheme="majorHAnsi" w:hAnsiTheme="majorHAnsi"/>
          <w:sz w:val="24"/>
          <w:lang w:val="ro-MD"/>
        </w:rPr>
        <w:t>ș</w:t>
      </w:r>
      <w:r w:rsidR="004477EB" w:rsidRPr="00B13B9A">
        <w:rPr>
          <w:rFonts w:asciiTheme="majorHAnsi" w:hAnsiTheme="majorHAnsi"/>
          <w:sz w:val="24"/>
          <w:lang w:val="ro-MD"/>
        </w:rPr>
        <w:t xml:space="preserve">i, respectiv, aferente patrimoniului primit de la stat cu drept de proprietate au fost reflectate </w:t>
      </w:r>
      <w:r w:rsidR="002B2299" w:rsidRPr="00B13B9A">
        <w:rPr>
          <w:rFonts w:asciiTheme="majorHAnsi" w:hAnsiTheme="majorHAnsi"/>
          <w:sz w:val="24"/>
          <w:lang w:val="ro-MD"/>
        </w:rPr>
        <w:t xml:space="preserve">de către IMSP </w:t>
      </w:r>
      <w:r w:rsidR="004477EB" w:rsidRPr="00B13B9A">
        <w:rPr>
          <w:rFonts w:asciiTheme="majorHAnsi" w:hAnsiTheme="majorHAnsi"/>
          <w:sz w:val="24"/>
          <w:lang w:val="ro-MD"/>
        </w:rPr>
        <w:t>neconform la conturile: Capital social (</w:t>
      </w:r>
      <w:r w:rsidR="004477EB" w:rsidRPr="00B13B9A">
        <w:rPr>
          <w:rFonts w:asciiTheme="majorHAnsi" w:hAnsiTheme="majorHAnsi" w:cstheme="majorHAnsi"/>
          <w:sz w:val="24"/>
          <w:szCs w:val="24"/>
          <w:lang w:val="ro-MD"/>
        </w:rPr>
        <w:t>patrimoniul transmis de fondator</w:t>
      </w:r>
      <w:r w:rsidR="001002B3" w:rsidRPr="00B13B9A">
        <w:rPr>
          <w:rFonts w:asciiTheme="majorHAnsi" w:hAnsiTheme="majorHAnsi"/>
          <w:sz w:val="24"/>
          <w:lang w:val="ro-MD"/>
        </w:rPr>
        <w:t>)</w:t>
      </w:r>
      <w:r w:rsidR="004477EB" w:rsidRPr="00B13B9A">
        <w:rPr>
          <w:rFonts w:asciiTheme="majorHAnsi" w:hAnsiTheme="majorHAnsi"/>
          <w:sz w:val="24"/>
          <w:lang w:val="ro-MD"/>
        </w:rPr>
        <w:t>; Subven</w:t>
      </w:r>
      <w:r w:rsidR="00B13B9A" w:rsidRPr="00B13B9A">
        <w:rPr>
          <w:rFonts w:asciiTheme="majorHAnsi" w:hAnsiTheme="majorHAnsi"/>
          <w:sz w:val="24"/>
          <w:lang w:val="ro-MD"/>
        </w:rPr>
        <w:t>ț</w:t>
      </w:r>
      <w:r w:rsidR="004477EB" w:rsidRPr="00B13B9A">
        <w:rPr>
          <w:rFonts w:asciiTheme="majorHAnsi" w:hAnsiTheme="majorHAnsi"/>
          <w:sz w:val="24"/>
          <w:lang w:val="ro-MD"/>
        </w:rPr>
        <w:t>ii aferente activelor entită</w:t>
      </w:r>
      <w:r w:rsidR="00B13B9A" w:rsidRPr="00B13B9A">
        <w:rPr>
          <w:rFonts w:asciiTheme="majorHAnsi" w:hAnsiTheme="majorHAnsi"/>
          <w:sz w:val="24"/>
          <w:lang w:val="ro-MD"/>
        </w:rPr>
        <w:t>ț</w:t>
      </w:r>
      <w:r w:rsidR="004477EB" w:rsidRPr="00B13B9A">
        <w:rPr>
          <w:rFonts w:asciiTheme="majorHAnsi" w:hAnsiTheme="majorHAnsi"/>
          <w:sz w:val="24"/>
          <w:lang w:val="ro-MD"/>
        </w:rPr>
        <w:t>ilor cu proprietate publică (valoarea activelor pe termen lung primite cu titlu gratuit, dona</w:t>
      </w:r>
      <w:r w:rsidR="00B13B9A" w:rsidRPr="00B13B9A">
        <w:rPr>
          <w:rFonts w:asciiTheme="majorHAnsi" w:hAnsiTheme="majorHAnsi"/>
          <w:sz w:val="24"/>
          <w:lang w:val="ro-MD"/>
        </w:rPr>
        <w:t>ț</w:t>
      </w:r>
      <w:r w:rsidR="004477EB" w:rsidRPr="00B13B9A">
        <w:rPr>
          <w:rFonts w:asciiTheme="majorHAnsi" w:hAnsiTheme="majorHAnsi"/>
          <w:sz w:val="24"/>
          <w:lang w:val="ro-MD"/>
        </w:rPr>
        <w:t>ii</w:t>
      </w:r>
      <w:r w:rsidR="001002B3" w:rsidRPr="00B13B9A">
        <w:rPr>
          <w:rFonts w:asciiTheme="majorHAnsi" w:hAnsiTheme="majorHAnsi"/>
          <w:sz w:val="24"/>
          <w:lang w:val="ro-MD"/>
        </w:rPr>
        <w:t>);</w:t>
      </w:r>
      <w:r w:rsidR="004477EB" w:rsidRPr="00B13B9A">
        <w:rPr>
          <w:rFonts w:asciiTheme="majorHAnsi" w:hAnsiTheme="majorHAnsi"/>
          <w:sz w:val="24"/>
          <w:lang w:val="ro-MD"/>
        </w:rPr>
        <w:t xml:space="preserve"> Alte elemente de capital propriu (mijloace </w:t>
      </w:r>
      <w:r w:rsidR="004477EB" w:rsidRPr="00B13B9A">
        <w:rPr>
          <w:rFonts w:asciiTheme="majorHAnsi" w:hAnsiTheme="majorHAnsi" w:cstheme="majorHAnsi"/>
          <w:sz w:val="24"/>
          <w:szCs w:val="24"/>
          <w:lang w:val="ro-MD"/>
        </w:rPr>
        <w:t>transferate de fondator pentru executarea lucrărilor la imobilizări corporale în curs de execu</w:t>
      </w:r>
      <w:r w:rsidR="00B13B9A" w:rsidRPr="00B13B9A">
        <w:rPr>
          <w:rFonts w:asciiTheme="majorHAnsi" w:hAnsiTheme="majorHAnsi" w:cstheme="majorHAnsi"/>
          <w:sz w:val="24"/>
          <w:szCs w:val="24"/>
          <w:lang w:val="ro-MD"/>
        </w:rPr>
        <w:t>ț</w:t>
      </w:r>
      <w:r w:rsidR="004477EB" w:rsidRPr="00B13B9A">
        <w:rPr>
          <w:rFonts w:asciiTheme="majorHAnsi" w:hAnsiTheme="majorHAnsi" w:cstheme="majorHAnsi"/>
          <w:sz w:val="24"/>
          <w:szCs w:val="24"/>
          <w:lang w:val="ro-MD"/>
        </w:rPr>
        <w:t xml:space="preserve">ie </w:t>
      </w:r>
      <w:r w:rsidR="00B13B9A" w:rsidRPr="00B13B9A">
        <w:rPr>
          <w:rFonts w:asciiTheme="majorHAnsi" w:hAnsiTheme="majorHAnsi" w:cstheme="majorHAnsi"/>
          <w:sz w:val="24"/>
          <w:szCs w:val="24"/>
          <w:lang w:val="ro-MD"/>
        </w:rPr>
        <w:t>ș</w:t>
      </w:r>
      <w:r w:rsidR="004477EB" w:rsidRPr="00B13B9A">
        <w:rPr>
          <w:rFonts w:asciiTheme="majorHAnsi" w:hAnsiTheme="majorHAnsi" w:cstheme="majorHAnsi"/>
          <w:sz w:val="24"/>
          <w:szCs w:val="24"/>
          <w:lang w:val="ro-MD"/>
        </w:rPr>
        <w:t>i pentru sus</w:t>
      </w:r>
      <w:r w:rsidR="00B13B9A" w:rsidRPr="00B13B9A">
        <w:rPr>
          <w:rFonts w:asciiTheme="majorHAnsi" w:hAnsiTheme="majorHAnsi" w:cstheme="majorHAnsi"/>
          <w:sz w:val="24"/>
          <w:szCs w:val="24"/>
          <w:lang w:val="ro-MD"/>
        </w:rPr>
        <w:t>ț</w:t>
      </w:r>
      <w:r w:rsidR="004477EB" w:rsidRPr="00B13B9A">
        <w:rPr>
          <w:rFonts w:asciiTheme="majorHAnsi" w:hAnsiTheme="majorHAnsi" w:cstheme="majorHAnsi"/>
          <w:sz w:val="24"/>
          <w:szCs w:val="24"/>
          <w:lang w:val="ro-MD"/>
        </w:rPr>
        <w:t>inerea bazei tehnico-materiale)</w:t>
      </w:r>
      <w:r w:rsidR="001002B3" w:rsidRPr="00B13B9A">
        <w:rPr>
          <w:rFonts w:asciiTheme="majorHAnsi" w:hAnsiTheme="majorHAnsi"/>
          <w:sz w:val="24"/>
          <w:lang w:val="ro-MD"/>
        </w:rPr>
        <w:t>;</w:t>
      </w:r>
      <w:r w:rsidR="004477EB" w:rsidRPr="00B13B9A">
        <w:rPr>
          <w:rFonts w:asciiTheme="majorHAnsi" w:hAnsiTheme="majorHAnsi"/>
          <w:sz w:val="24"/>
          <w:lang w:val="ro-MD"/>
        </w:rPr>
        <w:t xml:space="preserve"> Finan</w:t>
      </w:r>
      <w:r w:rsidR="00B13B9A" w:rsidRPr="00B13B9A">
        <w:rPr>
          <w:rFonts w:asciiTheme="majorHAnsi" w:hAnsiTheme="majorHAnsi"/>
          <w:sz w:val="24"/>
          <w:lang w:val="ro-MD"/>
        </w:rPr>
        <w:t>ț</w:t>
      </w:r>
      <w:r w:rsidR="004477EB" w:rsidRPr="00B13B9A">
        <w:rPr>
          <w:rFonts w:asciiTheme="majorHAnsi" w:hAnsiTheme="majorHAnsi"/>
          <w:sz w:val="24"/>
          <w:lang w:val="ro-MD"/>
        </w:rPr>
        <w:t xml:space="preserve">ări </w:t>
      </w:r>
      <w:r w:rsidR="00B13B9A" w:rsidRPr="00B13B9A">
        <w:rPr>
          <w:rFonts w:asciiTheme="majorHAnsi" w:hAnsiTheme="majorHAnsi"/>
          <w:sz w:val="24"/>
          <w:lang w:val="ro-MD"/>
        </w:rPr>
        <w:t>ș</w:t>
      </w:r>
      <w:r w:rsidR="004477EB" w:rsidRPr="00B13B9A">
        <w:rPr>
          <w:rFonts w:asciiTheme="majorHAnsi" w:hAnsiTheme="majorHAnsi"/>
          <w:sz w:val="24"/>
          <w:lang w:val="ro-MD"/>
        </w:rPr>
        <w:t>i încasări cu destina</w:t>
      </w:r>
      <w:r w:rsidR="00B13B9A" w:rsidRPr="00B13B9A">
        <w:rPr>
          <w:rFonts w:asciiTheme="majorHAnsi" w:hAnsiTheme="majorHAnsi"/>
          <w:sz w:val="24"/>
          <w:lang w:val="ro-MD"/>
        </w:rPr>
        <w:t>ț</w:t>
      </w:r>
      <w:r w:rsidR="004477EB" w:rsidRPr="00B13B9A">
        <w:rPr>
          <w:rFonts w:asciiTheme="majorHAnsi" w:hAnsiTheme="majorHAnsi"/>
          <w:sz w:val="24"/>
          <w:lang w:val="ro-MD"/>
        </w:rPr>
        <w:t>ie specia</w:t>
      </w:r>
      <w:r w:rsidR="001002B3" w:rsidRPr="00B13B9A">
        <w:rPr>
          <w:rFonts w:asciiTheme="majorHAnsi" w:hAnsiTheme="majorHAnsi"/>
          <w:sz w:val="24"/>
          <w:lang w:val="ro-MD"/>
        </w:rPr>
        <w:t xml:space="preserve">lă pe termen lung; </w:t>
      </w:r>
      <w:r w:rsidR="004477EB" w:rsidRPr="00B13B9A">
        <w:rPr>
          <w:rFonts w:asciiTheme="majorHAnsi" w:hAnsiTheme="majorHAnsi"/>
          <w:sz w:val="24"/>
          <w:lang w:val="ro-MD"/>
        </w:rPr>
        <w:t>Finan</w:t>
      </w:r>
      <w:r w:rsidR="00B13B9A" w:rsidRPr="00B13B9A">
        <w:rPr>
          <w:rFonts w:asciiTheme="majorHAnsi" w:hAnsiTheme="majorHAnsi"/>
          <w:sz w:val="24"/>
          <w:lang w:val="ro-MD"/>
        </w:rPr>
        <w:t>ț</w:t>
      </w:r>
      <w:r w:rsidR="004477EB" w:rsidRPr="00B13B9A">
        <w:rPr>
          <w:rFonts w:asciiTheme="majorHAnsi" w:hAnsiTheme="majorHAnsi"/>
          <w:sz w:val="24"/>
          <w:lang w:val="ro-MD"/>
        </w:rPr>
        <w:t xml:space="preserve">ări </w:t>
      </w:r>
      <w:r w:rsidR="00B13B9A" w:rsidRPr="00B13B9A">
        <w:rPr>
          <w:rFonts w:asciiTheme="majorHAnsi" w:hAnsiTheme="majorHAnsi"/>
          <w:sz w:val="24"/>
          <w:lang w:val="ro-MD"/>
        </w:rPr>
        <w:t>ș</w:t>
      </w:r>
      <w:r w:rsidR="004477EB" w:rsidRPr="00B13B9A">
        <w:rPr>
          <w:rFonts w:asciiTheme="majorHAnsi" w:hAnsiTheme="majorHAnsi"/>
          <w:sz w:val="24"/>
          <w:lang w:val="ro-MD"/>
        </w:rPr>
        <w:t>i încasări cu destina</w:t>
      </w:r>
      <w:r w:rsidR="00B13B9A" w:rsidRPr="00B13B9A">
        <w:rPr>
          <w:rFonts w:asciiTheme="majorHAnsi" w:hAnsiTheme="majorHAnsi"/>
          <w:sz w:val="24"/>
          <w:lang w:val="ro-MD"/>
        </w:rPr>
        <w:t>ț</w:t>
      </w:r>
      <w:r w:rsidR="004477EB" w:rsidRPr="00B13B9A">
        <w:rPr>
          <w:rFonts w:asciiTheme="majorHAnsi" w:hAnsiTheme="majorHAnsi"/>
          <w:sz w:val="24"/>
          <w:lang w:val="ro-MD"/>
        </w:rPr>
        <w:t>ie specială curente, valoare</w:t>
      </w:r>
      <w:r w:rsidR="00067991" w:rsidRPr="00B13B9A">
        <w:rPr>
          <w:rFonts w:asciiTheme="majorHAnsi" w:hAnsiTheme="majorHAnsi"/>
          <w:sz w:val="24"/>
          <w:lang w:val="ro-MD"/>
        </w:rPr>
        <w:t>a</w:t>
      </w:r>
      <w:r w:rsidR="004477EB" w:rsidRPr="00B13B9A">
        <w:rPr>
          <w:rFonts w:asciiTheme="majorHAnsi" w:hAnsiTheme="majorHAnsi"/>
          <w:sz w:val="24"/>
          <w:lang w:val="ro-MD"/>
        </w:rPr>
        <w:t xml:space="preserve"> acestora la 30.06.2023 fiind redată în tabelul de mai jos. </w:t>
      </w:r>
    </w:p>
    <w:p w14:paraId="4ADD4BF6" w14:textId="77777777" w:rsidR="00290F4E" w:rsidRPr="00B13B9A" w:rsidRDefault="00D37D8A" w:rsidP="00A178F1">
      <w:pPr>
        <w:spacing w:after="0" w:line="276" w:lineRule="auto"/>
        <w:jc w:val="right"/>
        <w:rPr>
          <w:rFonts w:asciiTheme="majorHAnsi" w:hAnsiTheme="majorHAnsi"/>
          <w:sz w:val="24"/>
          <w:lang w:val="ro-MD"/>
        </w:rPr>
      </w:pPr>
      <w:r w:rsidRPr="00B13B9A">
        <w:rPr>
          <w:rFonts w:asciiTheme="majorHAnsi" w:hAnsiTheme="majorHAnsi"/>
          <w:sz w:val="24"/>
          <w:lang w:val="ro-MD"/>
        </w:rPr>
        <w:t>Tabel nr. 1</w:t>
      </w:r>
    </w:p>
    <w:p w14:paraId="26B7F89B" w14:textId="6FF17043" w:rsidR="00A178F1" w:rsidRPr="00B13B9A" w:rsidRDefault="00AB3CDC" w:rsidP="00A178F1">
      <w:pPr>
        <w:spacing w:after="0" w:line="276" w:lineRule="auto"/>
        <w:jc w:val="center"/>
        <w:rPr>
          <w:rFonts w:asciiTheme="majorHAnsi" w:hAnsiTheme="majorHAnsi"/>
          <w:b/>
          <w:sz w:val="24"/>
          <w:lang w:val="ro-MD"/>
        </w:rPr>
      </w:pPr>
      <w:r w:rsidRPr="00B13B9A">
        <w:rPr>
          <w:rFonts w:asciiTheme="majorHAnsi" w:hAnsiTheme="majorHAnsi"/>
          <w:b/>
          <w:sz w:val="24"/>
          <w:lang w:val="ro-MD"/>
        </w:rPr>
        <w:t>Extras din bilan</w:t>
      </w:r>
      <w:r w:rsidR="00B13B9A" w:rsidRPr="00B13B9A">
        <w:rPr>
          <w:rFonts w:asciiTheme="majorHAnsi" w:hAnsiTheme="majorHAnsi"/>
          <w:b/>
          <w:sz w:val="24"/>
          <w:lang w:val="ro-MD"/>
        </w:rPr>
        <w:t>ț</w:t>
      </w:r>
      <w:r w:rsidRPr="00B13B9A">
        <w:rPr>
          <w:rFonts w:asciiTheme="majorHAnsi" w:hAnsiTheme="majorHAnsi"/>
          <w:b/>
          <w:sz w:val="24"/>
          <w:lang w:val="ro-MD"/>
        </w:rPr>
        <w:t xml:space="preserve">ul contabil al IMSP IFP </w:t>
      </w:r>
      <w:r w:rsidR="00F31425" w:rsidRPr="00B13B9A">
        <w:rPr>
          <w:rFonts w:asciiTheme="majorHAnsi" w:hAnsiTheme="majorHAnsi" w:cstheme="majorHAnsi"/>
          <w:b/>
          <w:sz w:val="24"/>
          <w:szCs w:val="24"/>
          <w:lang w:val="ro-MD"/>
        </w:rPr>
        <w:t>„Chiril Draganiuc”</w:t>
      </w:r>
      <w:r w:rsidR="0044054B" w:rsidRPr="00B13B9A">
        <w:rPr>
          <w:rFonts w:asciiTheme="majorHAnsi" w:hAnsiTheme="majorHAnsi" w:cstheme="majorHAnsi"/>
          <w:b/>
          <w:sz w:val="24"/>
          <w:szCs w:val="24"/>
          <w:lang w:val="ro-MD"/>
        </w:rPr>
        <w:t xml:space="preserve"> la 30.06.2023</w:t>
      </w:r>
    </w:p>
    <w:tbl>
      <w:tblPr>
        <w:tblW w:w="865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6163"/>
        <w:gridCol w:w="1732"/>
      </w:tblGrid>
      <w:tr w:rsidR="00651BC8" w:rsidRPr="00B13B9A" w14:paraId="6DD16EA5" w14:textId="77777777" w:rsidTr="00290F4E">
        <w:trPr>
          <w:trHeight w:val="170"/>
        </w:trPr>
        <w:tc>
          <w:tcPr>
            <w:tcW w:w="762" w:type="dxa"/>
            <w:shd w:val="clear" w:color="auto" w:fill="auto"/>
            <w:vAlign w:val="center"/>
          </w:tcPr>
          <w:p w14:paraId="7AC91CC9" w14:textId="77777777" w:rsidR="00651BC8" w:rsidRPr="00B13B9A" w:rsidRDefault="00651BC8" w:rsidP="001F0EA2">
            <w:pPr>
              <w:spacing w:after="0" w:line="276" w:lineRule="auto"/>
              <w:jc w:val="center"/>
              <w:rPr>
                <w:rFonts w:asciiTheme="majorHAnsi" w:eastAsia="Calibri" w:hAnsiTheme="majorHAnsi" w:cstheme="majorHAnsi"/>
                <w:sz w:val="20"/>
                <w:szCs w:val="20"/>
                <w:lang w:val="ro-MD"/>
              </w:rPr>
            </w:pPr>
            <w:r w:rsidRPr="00B13B9A">
              <w:rPr>
                <w:rFonts w:asciiTheme="majorHAnsi" w:eastAsia="Calibri" w:hAnsiTheme="majorHAnsi" w:cstheme="majorHAnsi"/>
                <w:sz w:val="20"/>
                <w:szCs w:val="20"/>
                <w:lang w:val="ro-MD"/>
              </w:rPr>
              <w:t>Cont</w:t>
            </w:r>
          </w:p>
        </w:tc>
        <w:tc>
          <w:tcPr>
            <w:tcW w:w="6163" w:type="dxa"/>
            <w:shd w:val="clear" w:color="auto" w:fill="auto"/>
            <w:vAlign w:val="center"/>
          </w:tcPr>
          <w:p w14:paraId="106239FE" w14:textId="77777777" w:rsidR="00651BC8" w:rsidRPr="00B13B9A" w:rsidRDefault="00651BC8" w:rsidP="001F0EA2">
            <w:pPr>
              <w:spacing w:after="0" w:line="276" w:lineRule="auto"/>
              <w:jc w:val="center"/>
              <w:rPr>
                <w:rFonts w:asciiTheme="majorHAnsi" w:eastAsia="Calibri" w:hAnsiTheme="majorHAnsi" w:cstheme="majorHAnsi"/>
                <w:b/>
                <w:sz w:val="20"/>
                <w:szCs w:val="20"/>
                <w:lang w:val="ro-MD"/>
              </w:rPr>
            </w:pPr>
            <w:r w:rsidRPr="00B13B9A">
              <w:rPr>
                <w:rFonts w:asciiTheme="majorHAnsi" w:eastAsia="Calibri" w:hAnsiTheme="majorHAnsi" w:cstheme="majorHAnsi"/>
                <w:b/>
                <w:sz w:val="20"/>
                <w:szCs w:val="20"/>
                <w:lang w:val="ro-MD"/>
              </w:rPr>
              <w:t>Denumirea contului</w:t>
            </w:r>
          </w:p>
        </w:tc>
        <w:tc>
          <w:tcPr>
            <w:tcW w:w="1732" w:type="dxa"/>
            <w:shd w:val="clear" w:color="auto" w:fill="auto"/>
            <w:vAlign w:val="center"/>
          </w:tcPr>
          <w:p w14:paraId="23577933" w14:textId="77777777" w:rsidR="00651BC8" w:rsidRPr="00B13B9A" w:rsidRDefault="00A178F1" w:rsidP="00A178F1">
            <w:pPr>
              <w:spacing w:after="0" w:line="276" w:lineRule="auto"/>
              <w:jc w:val="center"/>
              <w:rPr>
                <w:rFonts w:asciiTheme="majorHAnsi" w:eastAsia="Calibri" w:hAnsiTheme="majorHAnsi" w:cstheme="majorHAnsi"/>
                <w:b/>
                <w:sz w:val="20"/>
                <w:szCs w:val="20"/>
                <w:lang w:val="ro-MD"/>
              </w:rPr>
            </w:pPr>
            <w:r w:rsidRPr="00B13B9A">
              <w:rPr>
                <w:rFonts w:asciiTheme="majorHAnsi" w:eastAsia="Calibri" w:hAnsiTheme="majorHAnsi" w:cstheme="majorHAnsi"/>
                <w:b/>
                <w:sz w:val="20"/>
                <w:szCs w:val="20"/>
                <w:lang w:val="ro-MD"/>
              </w:rPr>
              <w:t>mii l</w:t>
            </w:r>
            <w:r w:rsidR="00651BC8" w:rsidRPr="00B13B9A">
              <w:rPr>
                <w:rFonts w:asciiTheme="majorHAnsi" w:eastAsia="Calibri" w:hAnsiTheme="majorHAnsi" w:cstheme="majorHAnsi"/>
                <w:b/>
                <w:sz w:val="20"/>
                <w:szCs w:val="20"/>
                <w:lang w:val="ro-MD"/>
              </w:rPr>
              <w:t>ei</w:t>
            </w:r>
          </w:p>
        </w:tc>
      </w:tr>
      <w:tr w:rsidR="00651BC8" w:rsidRPr="00B13B9A" w14:paraId="452FBA3C" w14:textId="77777777" w:rsidTr="00290F4E">
        <w:trPr>
          <w:trHeight w:val="170"/>
        </w:trPr>
        <w:tc>
          <w:tcPr>
            <w:tcW w:w="762" w:type="dxa"/>
            <w:shd w:val="clear" w:color="auto" w:fill="auto"/>
          </w:tcPr>
          <w:p w14:paraId="168E96F8" w14:textId="77777777" w:rsidR="00651BC8" w:rsidRPr="00B13B9A" w:rsidRDefault="00651BC8" w:rsidP="001F0EA2">
            <w:pPr>
              <w:spacing w:after="0" w:line="276" w:lineRule="auto"/>
              <w:rPr>
                <w:rFonts w:asciiTheme="majorHAnsi" w:eastAsia="Calibri" w:hAnsiTheme="majorHAnsi" w:cstheme="majorHAnsi"/>
                <w:sz w:val="20"/>
                <w:szCs w:val="20"/>
                <w:lang w:val="ro-MD"/>
              </w:rPr>
            </w:pPr>
            <w:r w:rsidRPr="00B13B9A">
              <w:rPr>
                <w:rFonts w:asciiTheme="majorHAnsi" w:eastAsia="Calibri" w:hAnsiTheme="majorHAnsi" w:cstheme="majorHAnsi"/>
                <w:sz w:val="20"/>
                <w:szCs w:val="20"/>
                <w:lang w:val="ro-MD"/>
              </w:rPr>
              <w:t>121.1</w:t>
            </w:r>
          </w:p>
        </w:tc>
        <w:tc>
          <w:tcPr>
            <w:tcW w:w="6163" w:type="dxa"/>
            <w:shd w:val="clear" w:color="auto" w:fill="auto"/>
          </w:tcPr>
          <w:p w14:paraId="774278A3" w14:textId="5EA1077A" w:rsidR="00651BC8" w:rsidRPr="00B13B9A" w:rsidRDefault="00557279" w:rsidP="001F0EA2">
            <w:pPr>
              <w:spacing w:after="0" w:line="276" w:lineRule="auto"/>
              <w:rPr>
                <w:rFonts w:asciiTheme="majorHAnsi" w:eastAsia="Calibri" w:hAnsiTheme="majorHAnsi" w:cstheme="majorHAnsi"/>
                <w:sz w:val="20"/>
                <w:szCs w:val="20"/>
                <w:lang w:val="ro-MD"/>
              </w:rPr>
            </w:pPr>
            <w:r w:rsidRPr="00B13B9A">
              <w:rPr>
                <w:rFonts w:asciiTheme="majorHAnsi" w:eastAsia="Calibri" w:hAnsiTheme="majorHAnsi" w:cstheme="majorHAnsi"/>
                <w:sz w:val="20"/>
                <w:szCs w:val="20"/>
                <w:lang w:val="ro-MD"/>
              </w:rPr>
              <w:t>Construc</w:t>
            </w:r>
            <w:r w:rsidR="00B13B9A" w:rsidRPr="00B13B9A">
              <w:rPr>
                <w:rFonts w:asciiTheme="majorHAnsi" w:eastAsia="Calibri" w:hAnsiTheme="majorHAnsi" w:cstheme="majorHAnsi"/>
                <w:sz w:val="20"/>
                <w:szCs w:val="20"/>
                <w:lang w:val="ro-MD"/>
              </w:rPr>
              <w:t>ț</w:t>
            </w:r>
            <w:r w:rsidRPr="00B13B9A">
              <w:rPr>
                <w:rFonts w:asciiTheme="majorHAnsi" w:eastAsia="Calibri" w:hAnsiTheme="majorHAnsi" w:cstheme="majorHAnsi"/>
                <w:sz w:val="20"/>
                <w:szCs w:val="20"/>
                <w:lang w:val="ro-MD"/>
              </w:rPr>
              <w:t>ii</w:t>
            </w:r>
            <w:r w:rsidR="00651BC8" w:rsidRPr="00B13B9A">
              <w:rPr>
                <w:rFonts w:asciiTheme="majorHAnsi" w:eastAsia="Calibri" w:hAnsiTheme="majorHAnsi" w:cstheme="majorHAnsi"/>
                <w:sz w:val="20"/>
                <w:szCs w:val="20"/>
                <w:lang w:val="ro-MD"/>
              </w:rPr>
              <w:t xml:space="preserve"> în curs de </w:t>
            </w:r>
            <w:r w:rsidRPr="00B13B9A">
              <w:rPr>
                <w:rFonts w:asciiTheme="majorHAnsi" w:eastAsia="Calibri" w:hAnsiTheme="majorHAnsi" w:cstheme="majorHAnsi"/>
                <w:sz w:val="20"/>
                <w:szCs w:val="20"/>
                <w:lang w:val="ro-MD"/>
              </w:rPr>
              <w:t>execu</w:t>
            </w:r>
            <w:r w:rsidR="00B13B9A" w:rsidRPr="00B13B9A">
              <w:rPr>
                <w:rFonts w:asciiTheme="majorHAnsi" w:eastAsia="Calibri" w:hAnsiTheme="majorHAnsi" w:cstheme="majorHAnsi"/>
                <w:sz w:val="20"/>
                <w:szCs w:val="20"/>
                <w:lang w:val="ro-MD"/>
              </w:rPr>
              <w:t>ț</w:t>
            </w:r>
            <w:r w:rsidRPr="00B13B9A">
              <w:rPr>
                <w:rFonts w:asciiTheme="majorHAnsi" w:eastAsia="Calibri" w:hAnsiTheme="majorHAnsi" w:cstheme="majorHAnsi"/>
                <w:sz w:val="20"/>
                <w:szCs w:val="20"/>
                <w:lang w:val="ro-MD"/>
              </w:rPr>
              <w:t>ie</w:t>
            </w:r>
            <w:r w:rsidR="00651BC8" w:rsidRPr="00B13B9A">
              <w:rPr>
                <w:rFonts w:asciiTheme="majorHAnsi" w:eastAsia="Calibri" w:hAnsiTheme="majorHAnsi" w:cstheme="majorHAnsi"/>
                <w:sz w:val="20"/>
                <w:szCs w:val="20"/>
                <w:lang w:val="ro-MD"/>
              </w:rPr>
              <w:t xml:space="preserve"> (clădiri)</w:t>
            </w:r>
          </w:p>
        </w:tc>
        <w:tc>
          <w:tcPr>
            <w:tcW w:w="1732" w:type="dxa"/>
            <w:shd w:val="clear" w:color="auto" w:fill="auto"/>
          </w:tcPr>
          <w:p w14:paraId="4C1B0F88" w14:textId="77777777" w:rsidR="00651BC8" w:rsidRPr="00B13B9A" w:rsidRDefault="00A178F1" w:rsidP="00A178F1">
            <w:pPr>
              <w:spacing w:after="0" w:line="276" w:lineRule="auto"/>
              <w:jc w:val="right"/>
              <w:rPr>
                <w:rFonts w:asciiTheme="majorHAnsi" w:eastAsia="Calibri" w:hAnsiTheme="majorHAnsi" w:cstheme="majorHAnsi"/>
                <w:sz w:val="20"/>
                <w:szCs w:val="20"/>
                <w:lang w:val="ro-MD"/>
              </w:rPr>
            </w:pPr>
            <w:r w:rsidRPr="00B13B9A">
              <w:rPr>
                <w:rFonts w:asciiTheme="majorHAnsi" w:eastAsia="Calibri" w:hAnsiTheme="majorHAnsi" w:cstheme="majorHAnsi"/>
                <w:sz w:val="20"/>
                <w:szCs w:val="20"/>
                <w:lang w:val="ro-MD"/>
              </w:rPr>
              <w:t>74 277,6</w:t>
            </w:r>
          </w:p>
        </w:tc>
      </w:tr>
      <w:tr w:rsidR="00651BC8" w:rsidRPr="00B13B9A" w14:paraId="3F43842C" w14:textId="77777777" w:rsidTr="00290F4E">
        <w:trPr>
          <w:trHeight w:val="170"/>
        </w:trPr>
        <w:tc>
          <w:tcPr>
            <w:tcW w:w="762" w:type="dxa"/>
            <w:shd w:val="clear" w:color="auto" w:fill="auto"/>
          </w:tcPr>
          <w:p w14:paraId="530863DE" w14:textId="77777777" w:rsidR="00651BC8" w:rsidRPr="00B13B9A" w:rsidRDefault="00651BC8" w:rsidP="001F0EA2">
            <w:pPr>
              <w:spacing w:after="0" w:line="276" w:lineRule="auto"/>
              <w:rPr>
                <w:rFonts w:asciiTheme="majorHAnsi" w:eastAsia="Times New Roman" w:hAnsiTheme="majorHAnsi" w:cstheme="majorHAnsi"/>
                <w:sz w:val="20"/>
                <w:szCs w:val="20"/>
                <w:lang w:val="ro-MD"/>
              </w:rPr>
            </w:pPr>
            <w:r w:rsidRPr="00B13B9A">
              <w:rPr>
                <w:rFonts w:asciiTheme="majorHAnsi" w:eastAsia="Calibri" w:hAnsiTheme="majorHAnsi" w:cstheme="majorHAnsi"/>
                <w:sz w:val="20"/>
                <w:szCs w:val="20"/>
                <w:lang w:val="ro-MD"/>
              </w:rPr>
              <w:t>122</w:t>
            </w:r>
          </w:p>
        </w:tc>
        <w:tc>
          <w:tcPr>
            <w:tcW w:w="6163" w:type="dxa"/>
            <w:shd w:val="clear" w:color="auto" w:fill="auto"/>
          </w:tcPr>
          <w:p w14:paraId="03EC0DD9" w14:textId="77777777" w:rsidR="00651BC8" w:rsidRPr="00B13B9A" w:rsidRDefault="00651BC8" w:rsidP="001F0EA2">
            <w:pPr>
              <w:spacing w:after="0" w:line="276" w:lineRule="auto"/>
              <w:rPr>
                <w:rFonts w:asciiTheme="majorHAnsi" w:eastAsia="Times New Roman" w:hAnsiTheme="majorHAnsi" w:cstheme="majorHAnsi"/>
                <w:sz w:val="20"/>
                <w:szCs w:val="20"/>
                <w:lang w:val="ro-MD"/>
              </w:rPr>
            </w:pPr>
            <w:r w:rsidRPr="00B13B9A">
              <w:rPr>
                <w:rFonts w:asciiTheme="majorHAnsi" w:eastAsia="Calibri" w:hAnsiTheme="majorHAnsi" w:cstheme="majorHAnsi"/>
                <w:sz w:val="20"/>
                <w:szCs w:val="20"/>
                <w:lang w:val="ro-MD"/>
              </w:rPr>
              <w:t>Terenuri</w:t>
            </w:r>
          </w:p>
        </w:tc>
        <w:tc>
          <w:tcPr>
            <w:tcW w:w="1732" w:type="dxa"/>
            <w:shd w:val="clear" w:color="auto" w:fill="auto"/>
          </w:tcPr>
          <w:p w14:paraId="11DBFB47" w14:textId="77777777" w:rsidR="00651BC8" w:rsidRPr="00B13B9A" w:rsidRDefault="00A178F1" w:rsidP="00A178F1">
            <w:pPr>
              <w:spacing w:after="0" w:line="276" w:lineRule="auto"/>
              <w:jc w:val="right"/>
              <w:rPr>
                <w:rFonts w:asciiTheme="majorHAnsi" w:eastAsia="Times New Roman" w:hAnsiTheme="majorHAnsi" w:cstheme="majorHAnsi"/>
                <w:sz w:val="20"/>
                <w:szCs w:val="20"/>
                <w:lang w:val="ro-MD"/>
              </w:rPr>
            </w:pPr>
            <w:r w:rsidRPr="00B13B9A">
              <w:rPr>
                <w:rFonts w:asciiTheme="majorHAnsi" w:eastAsia="Calibri" w:hAnsiTheme="majorHAnsi" w:cstheme="majorHAnsi"/>
                <w:sz w:val="20"/>
                <w:szCs w:val="20"/>
                <w:lang w:val="ro-MD"/>
              </w:rPr>
              <w:t>8 088,9</w:t>
            </w:r>
          </w:p>
        </w:tc>
      </w:tr>
      <w:tr w:rsidR="00651BC8" w:rsidRPr="00B13B9A" w14:paraId="1B0321B3" w14:textId="77777777" w:rsidTr="00290F4E">
        <w:trPr>
          <w:trHeight w:val="170"/>
        </w:trPr>
        <w:tc>
          <w:tcPr>
            <w:tcW w:w="762" w:type="dxa"/>
            <w:shd w:val="clear" w:color="auto" w:fill="auto"/>
          </w:tcPr>
          <w:p w14:paraId="1C325A5D" w14:textId="77777777" w:rsidR="00651BC8" w:rsidRPr="00B13B9A" w:rsidRDefault="00651BC8" w:rsidP="001F0EA2">
            <w:pPr>
              <w:spacing w:after="0" w:line="276" w:lineRule="auto"/>
              <w:rPr>
                <w:rFonts w:asciiTheme="majorHAnsi" w:eastAsia="Times New Roman" w:hAnsiTheme="majorHAnsi" w:cstheme="majorHAnsi"/>
                <w:sz w:val="20"/>
                <w:szCs w:val="20"/>
                <w:lang w:val="ro-MD"/>
              </w:rPr>
            </w:pPr>
            <w:r w:rsidRPr="00B13B9A">
              <w:rPr>
                <w:rFonts w:asciiTheme="majorHAnsi" w:eastAsia="Calibri" w:hAnsiTheme="majorHAnsi" w:cstheme="majorHAnsi"/>
                <w:sz w:val="20"/>
                <w:szCs w:val="20"/>
                <w:lang w:val="ro-MD"/>
              </w:rPr>
              <w:t>123.1</w:t>
            </w:r>
          </w:p>
        </w:tc>
        <w:tc>
          <w:tcPr>
            <w:tcW w:w="6163" w:type="dxa"/>
            <w:shd w:val="clear" w:color="auto" w:fill="auto"/>
          </w:tcPr>
          <w:p w14:paraId="52C1551C" w14:textId="77777777" w:rsidR="00651BC8" w:rsidRPr="00B13B9A" w:rsidRDefault="00651BC8" w:rsidP="001F0EA2">
            <w:pPr>
              <w:spacing w:after="0" w:line="276" w:lineRule="auto"/>
              <w:rPr>
                <w:rFonts w:asciiTheme="majorHAnsi" w:eastAsia="Times New Roman" w:hAnsiTheme="majorHAnsi" w:cstheme="majorHAnsi"/>
                <w:sz w:val="20"/>
                <w:szCs w:val="20"/>
                <w:lang w:val="ro-MD"/>
              </w:rPr>
            </w:pPr>
            <w:r w:rsidRPr="00B13B9A">
              <w:rPr>
                <w:rFonts w:asciiTheme="majorHAnsi" w:eastAsia="Calibri" w:hAnsiTheme="majorHAnsi" w:cstheme="majorHAnsi"/>
                <w:sz w:val="20"/>
                <w:szCs w:val="20"/>
                <w:lang w:val="ro-MD"/>
              </w:rPr>
              <w:t>Clădiri</w:t>
            </w:r>
          </w:p>
        </w:tc>
        <w:tc>
          <w:tcPr>
            <w:tcW w:w="1732" w:type="dxa"/>
            <w:shd w:val="clear" w:color="auto" w:fill="auto"/>
          </w:tcPr>
          <w:p w14:paraId="5DEAFD45" w14:textId="77777777" w:rsidR="00651BC8" w:rsidRPr="00B13B9A" w:rsidRDefault="00A178F1" w:rsidP="00A178F1">
            <w:pPr>
              <w:spacing w:after="0" w:line="276" w:lineRule="auto"/>
              <w:jc w:val="right"/>
              <w:rPr>
                <w:rFonts w:asciiTheme="majorHAnsi" w:eastAsia="Calibri" w:hAnsiTheme="majorHAnsi" w:cstheme="majorHAnsi"/>
                <w:sz w:val="20"/>
                <w:szCs w:val="20"/>
                <w:lang w:val="ro-MD"/>
              </w:rPr>
            </w:pPr>
            <w:r w:rsidRPr="00B13B9A">
              <w:rPr>
                <w:rFonts w:asciiTheme="majorHAnsi" w:eastAsia="Calibri" w:hAnsiTheme="majorHAnsi" w:cstheme="majorHAnsi"/>
                <w:sz w:val="20"/>
                <w:szCs w:val="20"/>
                <w:lang w:val="ro-MD"/>
              </w:rPr>
              <w:t>169 016,0</w:t>
            </w:r>
          </w:p>
        </w:tc>
      </w:tr>
      <w:tr w:rsidR="00651BC8" w:rsidRPr="00B13B9A" w14:paraId="0FA04B7C" w14:textId="77777777" w:rsidTr="00290F4E">
        <w:trPr>
          <w:trHeight w:val="170"/>
        </w:trPr>
        <w:tc>
          <w:tcPr>
            <w:tcW w:w="762" w:type="dxa"/>
            <w:shd w:val="clear" w:color="auto" w:fill="auto"/>
          </w:tcPr>
          <w:p w14:paraId="62309D80" w14:textId="77777777" w:rsidR="00651BC8" w:rsidRPr="00B13B9A" w:rsidRDefault="00651BC8" w:rsidP="001F0EA2">
            <w:pPr>
              <w:spacing w:after="0" w:line="276" w:lineRule="auto"/>
              <w:rPr>
                <w:rFonts w:asciiTheme="majorHAnsi" w:eastAsia="Calibri" w:hAnsiTheme="majorHAnsi" w:cstheme="majorHAnsi"/>
                <w:b/>
                <w:sz w:val="20"/>
                <w:szCs w:val="20"/>
                <w:lang w:val="ro-MD"/>
              </w:rPr>
            </w:pPr>
          </w:p>
        </w:tc>
        <w:tc>
          <w:tcPr>
            <w:tcW w:w="6163" w:type="dxa"/>
            <w:shd w:val="clear" w:color="auto" w:fill="auto"/>
          </w:tcPr>
          <w:p w14:paraId="7E1730A8" w14:textId="77777777" w:rsidR="00651BC8" w:rsidRPr="00B13B9A" w:rsidRDefault="00651BC8" w:rsidP="001F0EA2">
            <w:pPr>
              <w:spacing w:after="0" w:line="276" w:lineRule="auto"/>
              <w:rPr>
                <w:rFonts w:asciiTheme="majorHAnsi" w:eastAsia="Calibri" w:hAnsiTheme="majorHAnsi" w:cstheme="majorHAnsi"/>
                <w:b/>
                <w:sz w:val="20"/>
                <w:szCs w:val="20"/>
                <w:lang w:val="ro-MD"/>
              </w:rPr>
            </w:pPr>
            <w:r w:rsidRPr="00B13B9A">
              <w:rPr>
                <w:rFonts w:asciiTheme="majorHAnsi" w:eastAsia="Calibri" w:hAnsiTheme="majorHAnsi" w:cstheme="majorHAnsi"/>
                <w:b/>
                <w:sz w:val="20"/>
                <w:szCs w:val="20"/>
                <w:lang w:val="ro-MD"/>
              </w:rPr>
              <w:t>Total active primite în gestiune economică</w:t>
            </w:r>
          </w:p>
        </w:tc>
        <w:tc>
          <w:tcPr>
            <w:tcW w:w="1732" w:type="dxa"/>
            <w:shd w:val="clear" w:color="auto" w:fill="auto"/>
          </w:tcPr>
          <w:p w14:paraId="5AB29238" w14:textId="77777777" w:rsidR="00651BC8" w:rsidRPr="00B13B9A" w:rsidRDefault="00A178F1" w:rsidP="00A178F1">
            <w:pPr>
              <w:spacing w:after="0" w:line="276" w:lineRule="auto"/>
              <w:jc w:val="right"/>
              <w:rPr>
                <w:rFonts w:asciiTheme="majorHAnsi" w:eastAsia="Calibri" w:hAnsiTheme="majorHAnsi" w:cstheme="majorHAnsi"/>
                <w:b/>
                <w:sz w:val="20"/>
                <w:szCs w:val="20"/>
                <w:lang w:val="ro-MD"/>
              </w:rPr>
            </w:pPr>
            <w:r w:rsidRPr="00B13B9A">
              <w:rPr>
                <w:rFonts w:asciiTheme="majorHAnsi" w:eastAsia="Calibri" w:hAnsiTheme="majorHAnsi" w:cstheme="majorHAnsi"/>
                <w:b/>
                <w:sz w:val="20"/>
                <w:szCs w:val="20"/>
                <w:lang w:val="ro-MD"/>
              </w:rPr>
              <w:t>251 382,5</w:t>
            </w:r>
          </w:p>
        </w:tc>
      </w:tr>
      <w:tr w:rsidR="00651BC8" w:rsidRPr="00B13B9A" w14:paraId="083F2A4F" w14:textId="77777777" w:rsidTr="00290F4E">
        <w:trPr>
          <w:trHeight w:val="170"/>
        </w:trPr>
        <w:tc>
          <w:tcPr>
            <w:tcW w:w="762" w:type="dxa"/>
            <w:shd w:val="clear" w:color="auto" w:fill="auto"/>
            <w:hideMark/>
          </w:tcPr>
          <w:p w14:paraId="137C7F0F" w14:textId="77777777" w:rsidR="00651BC8" w:rsidRPr="00B13B9A" w:rsidRDefault="00651BC8" w:rsidP="001F0EA2">
            <w:pPr>
              <w:spacing w:after="0" w:line="276" w:lineRule="auto"/>
              <w:rPr>
                <w:rFonts w:asciiTheme="majorHAnsi" w:eastAsia="Times New Roman" w:hAnsiTheme="majorHAnsi" w:cstheme="majorHAnsi"/>
                <w:sz w:val="20"/>
                <w:szCs w:val="20"/>
                <w:lang w:val="ro-MD"/>
              </w:rPr>
            </w:pPr>
            <w:r w:rsidRPr="00B13B9A">
              <w:rPr>
                <w:rFonts w:asciiTheme="majorHAnsi" w:eastAsia="Times New Roman" w:hAnsiTheme="majorHAnsi" w:cstheme="majorHAnsi"/>
                <w:sz w:val="20"/>
                <w:szCs w:val="20"/>
                <w:lang w:val="ro-MD"/>
              </w:rPr>
              <w:t>311</w:t>
            </w:r>
          </w:p>
        </w:tc>
        <w:tc>
          <w:tcPr>
            <w:tcW w:w="6163" w:type="dxa"/>
            <w:shd w:val="clear" w:color="auto" w:fill="auto"/>
            <w:hideMark/>
          </w:tcPr>
          <w:p w14:paraId="2A231FF8" w14:textId="77777777" w:rsidR="00651BC8" w:rsidRPr="00B13B9A" w:rsidRDefault="00651BC8" w:rsidP="001F0EA2">
            <w:pPr>
              <w:spacing w:after="0" w:line="276" w:lineRule="auto"/>
              <w:rPr>
                <w:rFonts w:asciiTheme="majorHAnsi" w:eastAsia="Times New Roman" w:hAnsiTheme="majorHAnsi" w:cstheme="majorHAnsi"/>
                <w:sz w:val="20"/>
                <w:szCs w:val="20"/>
                <w:lang w:val="ro-MD"/>
              </w:rPr>
            </w:pPr>
            <w:r w:rsidRPr="00B13B9A">
              <w:rPr>
                <w:rFonts w:asciiTheme="majorHAnsi" w:eastAsia="Times New Roman" w:hAnsiTheme="majorHAnsi" w:cstheme="majorHAnsi"/>
                <w:sz w:val="20"/>
                <w:szCs w:val="20"/>
                <w:lang w:val="ro-MD"/>
              </w:rPr>
              <w:t>Capital social</w:t>
            </w:r>
          </w:p>
        </w:tc>
        <w:tc>
          <w:tcPr>
            <w:tcW w:w="1732" w:type="dxa"/>
            <w:shd w:val="clear" w:color="auto" w:fill="auto"/>
            <w:hideMark/>
          </w:tcPr>
          <w:p w14:paraId="208E2571" w14:textId="77777777" w:rsidR="00651BC8" w:rsidRPr="00B13B9A" w:rsidRDefault="00A178F1" w:rsidP="00A178F1">
            <w:pPr>
              <w:spacing w:after="0" w:line="276" w:lineRule="auto"/>
              <w:jc w:val="right"/>
              <w:rPr>
                <w:rFonts w:asciiTheme="majorHAnsi" w:eastAsia="Times New Roman" w:hAnsiTheme="majorHAnsi" w:cstheme="majorHAnsi"/>
                <w:sz w:val="20"/>
                <w:szCs w:val="20"/>
                <w:lang w:val="ro-MD"/>
              </w:rPr>
            </w:pPr>
            <w:r w:rsidRPr="00B13B9A">
              <w:rPr>
                <w:rFonts w:asciiTheme="majorHAnsi" w:eastAsia="Times New Roman" w:hAnsiTheme="majorHAnsi" w:cstheme="majorHAnsi"/>
                <w:sz w:val="20"/>
                <w:szCs w:val="20"/>
                <w:lang w:val="ro-MD"/>
              </w:rPr>
              <w:t>73 814,4</w:t>
            </w:r>
          </w:p>
        </w:tc>
      </w:tr>
      <w:tr w:rsidR="00651BC8" w:rsidRPr="00B13B9A" w14:paraId="781130F4" w14:textId="77777777" w:rsidTr="00290F4E">
        <w:trPr>
          <w:trHeight w:val="170"/>
        </w:trPr>
        <w:tc>
          <w:tcPr>
            <w:tcW w:w="762" w:type="dxa"/>
            <w:shd w:val="clear" w:color="auto" w:fill="auto"/>
            <w:hideMark/>
          </w:tcPr>
          <w:p w14:paraId="7A46CC66" w14:textId="77777777" w:rsidR="00651BC8" w:rsidRPr="00B13B9A" w:rsidRDefault="00651BC8" w:rsidP="001F0EA2">
            <w:pPr>
              <w:spacing w:after="0" w:line="276" w:lineRule="auto"/>
              <w:rPr>
                <w:rFonts w:asciiTheme="majorHAnsi" w:eastAsia="Times New Roman" w:hAnsiTheme="majorHAnsi" w:cstheme="majorHAnsi"/>
                <w:sz w:val="20"/>
                <w:szCs w:val="20"/>
                <w:lang w:val="ro-MD"/>
              </w:rPr>
            </w:pPr>
            <w:r w:rsidRPr="00B13B9A">
              <w:rPr>
                <w:rFonts w:asciiTheme="majorHAnsi" w:eastAsia="Times New Roman" w:hAnsiTheme="majorHAnsi" w:cstheme="majorHAnsi"/>
                <w:sz w:val="20"/>
                <w:szCs w:val="20"/>
                <w:lang w:val="ro-MD"/>
              </w:rPr>
              <w:t>342</w:t>
            </w:r>
          </w:p>
        </w:tc>
        <w:tc>
          <w:tcPr>
            <w:tcW w:w="6163" w:type="dxa"/>
            <w:shd w:val="clear" w:color="auto" w:fill="auto"/>
            <w:hideMark/>
          </w:tcPr>
          <w:p w14:paraId="091C4BA3" w14:textId="5F98AFF6" w:rsidR="00651BC8" w:rsidRPr="00B13B9A" w:rsidRDefault="00557279" w:rsidP="001F0EA2">
            <w:pPr>
              <w:spacing w:after="0" w:line="276" w:lineRule="auto"/>
              <w:rPr>
                <w:rFonts w:asciiTheme="majorHAnsi" w:eastAsia="Times New Roman" w:hAnsiTheme="majorHAnsi" w:cstheme="majorHAnsi"/>
                <w:sz w:val="20"/>
                <w:szCs w:val="20"/>
                <w:lang w:val="ro-MD"/>
              </w:rPr>
            </w:pPr>
            <w:r w:rsidRPr="00B13B9A">
              <w:rPr>
                <w:rFonts w:asciiTheme="majorHAnsi" w:eastAsia="Times New Roman" w:hAnsiTheme="majorHAnsi" w:cstheme="majorHAnsi"/>
                <w:sz w:val="20"/>
                <w:szCs w:val="20"/>
                <w:lang w:val="ro-MD"/>
              </w:rPr>
              <w:t>Subven</w:t>
            </w:r>
            <w:r w:rsidR="00B13B9A" w:rsidRPr="00B13B9A">
              <w:rPr>
                <w:rFonts w:asciiTheme="majorHAnsi" w:eastAsia="Times New Roman" w:hAnsiTheme="majorHAnsi" w:cstheme="majorHAnsi"/>
                <w:sz w:val="20"/>
                <w:szCs w:val="20"/>
                <w:lang w:val="ro-MD"/>
              </w:rPr>
              <w:t>ț</w:t>
            </w:r>
            <w:r w:rsidRPr="00B13B9A">
              <w:rPr>
                <w:rFonts w:asciiTheme="majorHAnsi" w:eastAsia="Times New Roman" w:hAnsiTheme="majorHAnsi" w:cstheme="majorHAnsi"/>
                <w:sz w:val="20"/>
                <w:szCs w:val="20"/>
                <w:lang w:val="ro-MD"/>
              </w:rPr>
              <w:t>ii</w:t>
            </w:r>
            <w:r w:rsidR="00651BC8" w:rsidRPr="00B13B9A">
              <w:rPr>
                <w:rFonts w:asciiTheme="majorHAnsi" w:eastAsia="Times New Roman" w:hAnsiTheme="majorHAnsi" w:cstheme="majorHAnsi"/>
                <w:sz w:val="20"/>
                <w:szCs w:val="20"/>
                <w:lang w:val="ro-MD"/>
              </w:rPr>
              <w:t xml:space="preserve"> aferente activelor </w:t>
            </w:r>
            <w:r w:rsidRPr="00B13B9A">
              <w:rPr>
                <w:rFonts w:asciiTheme="majorHAnsi" w:eastAsia="Times New Roman" w:hAnsiTheme="majorHAnsi" w:cstheme="majorHAnsi"/>
                <w:sz w:val="20"/>
                <w:szCs w:val="20"/>
                <w:lang w:val="ro-MD"/>
              </w:rPr>
              <w:t>entită</w:t>
            </w:r>
            <w:r w:rsidR="00B13B9A" w:rsidRPr="00B13B9A">
              <w:rPr>
                <w:rFonts w:asciiTheme="majorHAnsi" w:eastAsia="Times New Roman" w:hAnsiTheme="majorHAnsi" w:cstheme="majorHAnsi"/>
                <w:sz w:val="20"/>
                <w:szCs w:val="20"/>
                <w:lang w:val="ro-MD"/>
              </w:rPr>
              <w:t>ț</w:t>
            </w:r>
            <w:r w:rsidRPr="00B13B9A">
              <w:rPr>
                <w:rFonts w:asciiTheme="majorHAnsi" w:eastAsia="Times New Roman" w:hAnsiTheme="majorHAnsi" w:cstheme="majorHAnsi"/>
                <w:sz w:val="20"/>
                <w:szCs w:val="20"/>
                <w:lang w:val="ro-MD"/>
              </w:rPr>
              <w:t>ilor</w:t>
            </w:r>
            <w:r w:rsidR="00651BC8" w:rsidRPr="00B13B9A">
              <w:rPr>
                <w:rFonts w:asciiTheme="majorHAnsi" w:eastAsia="Times New Roman" w:hAnsiTheme="majorHAnsi" w:cstheme="majorHAnsi"/>
                <w:sz w:val="20"/>
                <w:szCs w:val="20"/>
                <w:lang w:val="ro-MD"/>
              </w:rPr>
              <w:t xml:space="preserve"> cu proprietate publică</w:t>
            </w:r>
          </w:p>
        </w:tc>
        <w:tc>
          <w:tcPr>
            <w:tcW w:w="1732" w:type="dxa"/>
            <w:shd w:val="clear" w:color="auto" w:fill="auto"/>
            <w:hideMark/>
          </w:tcPr>
          <w:p w14:paraId="1D8E52F5" w14:textId="77777777" w:rsidR="00651BC8" w:rsidRPr="00B13B9A" w:rsidRDefault="00A178F1" w:rsidP="00A178F1">
            <w:pPr>
              <w:spacing w:after="0" w:line="276" w:lineRule="auto"/>
              <w:jc w:val="right"/>
              <w:rPr>
                <w:rFonts w:asciiTheme="majorHAnsi" w:eastAsia="Times New Roman" w:hAnsiTheme="majorHAnsi" w:cstheme="majorHAnsi"/>
                <w:sz w:val="20"/>
                <w:szCs w:val="20"/>
                <w:lang w:val="ro-MD"/>
              </w:rPr>
            </w:pPr>
            <w:r w:rsidRPr="00B13B9A">
              <w:rPr>
                <w:rFonts w:asciiTheme="majorHAnsi" w:eastAsia="Times New Roman" w:hAnsiTheme="majorHAnsi" w:cstheme="majorHAnsi"/>
                <w:sz w:val="20"/>
                <w:szCs w:val="20"/>
                <w:lang w:val="ro-MD"/>
              </w:rPr>
              <w:t>68 291,6</w:t>
            </w:r>
          </w:p>
        </w:tc>
      </w:tr>
      <w:tr w:rsidR="00651BC8" w:rsidRPr="00B13B9A" w14:paraId="1E1C83AB" w14:textId="77777777" w:rsidTr="00290F4E">
        <w:trPr>
          <w:trHeight w:val="170"/>
        </w:trPr>
        <w:tc>
          <w:tcPr>
            <w:tcW w:w="762" w:type="dxa"/>
            <w:shd w:val="clear" w:color="auto" w:fill="auto"/>
            <w:hideMark/>
          </w:tcPr>
          <w:p w14:paraId="46900A6F" w14:textId="77777777" w:rsidR="00651BC8" w:rsidRPr="00B13B9A" w:rsidRDefault="00651BC8" w:rsidP="001F0EA2">
            <w:pPr>
              <w:spacing w:after="0" w:line="276" w:lineRule="auto"/>
              <w:rPr>
                <w:rFonts w:asciiTheme="majorHAnsi" w:eastAsia="Times New Roman" w:hAnsiTheme="majorHAnsi" w:cstheme="majorHAnsi"/>
                <w:sz w:val="20"/>
                <w:szCs w:val="20"/>
                <w:lang w:val="ro-MD"/>
              </w:rPr>
            </w:pPr>
            <w:r w:rsidRPr="00B13B9A">
              <w:rPr>
                <w:rFonts w:asciiTheme="majorHAnsi" w:eastAsia="Times New Roman" w:hAnsiTheme="majorHAnsi" w:cstheme="majorHAnsi"/>
                <w:sz w:val="20"/>
                <w:szCs w:val="20"/>
                <w:lang w:val="ro-MD"/>
              </w:rPr>
              <w:t>344</w:t>
            </w:r>
          </w:p>
        </w:tc>
        <w:tc>
          <w:tcPr>
            <w:tcW w:w="6163" w:type="dxa"/>
            <w:shd w:val="clear" w:color="auto" w:fill="auto"/>
            <w:hideMark/>
          </w:tcPr>
          <w:p w14:paraId="1EED1FAA" w14:textId="77777777" w:rsidR="00651BC8" w:rsidRPr="00B13B9A" w:rsidRDefault="00651BC8" w:rsidP="001F0EA2">
            <w:pPr>
              <w:spacing w:after="0" w:line="276" w:lineRule="auto"/>
              <w:rPr>
                <w:rFonts w:asciiTheme="majorHAnsi" w:eastAsia="Times New Roman" w:hAnsiTheme="majorHAnsi" w:cstheme="majorHAnsi"/>
                <w:sz w:val="20"/>
                <w:szCs w:val="20"/>
                <w:lang w:val="ro-MD"/>
              </w:rPr>
            </w:pPr>
            <w:r w:rsidRPr="00B13B9A">
              <w:rPr>
                <w:rFonts w:asciiTheme="majorHAnsi" w:eastAsia="Times New Roman" w:hAnsiTheme="majorHAnsi" w:cstheme="majorHAnsi"/>
                <w:sz w:val="20"/>
                <w:szCs w:val="20"/>
                <w:lang w:val="ro-MD"/>
              </w:rPr>
              <w:t>Alte elemente de capital propriu</w:t>
            </w:r>
          </w:p>
        </w:tc>
        <w:tc>
          <w:tcPr>
            <w:tcW w:w="1732" w:type="dxa"/>
            <w:shd w:val="clear" w:color="auto" w:fill="auto"/>
            <w:hideMark/>
          </w:tcPr>
          <w:p w14:paraId="09E48059" w14:textId="77777777" w:rsidR="00651BC8" w:rsidRPr="00B13B9A" w:rsidRDefault="00A178F1" w:rsidP="00A178F1">
            <w:pPr>
              <w:spacing w:after="0" w:line="276" w:lineRule="auto"/>
              <w:jc w:val="right"/>
              <w:rPr>
                <w:rFonts w:asciiTheme="majorHAnsi" w:eastAsia="Times New Roman" w:hAnsiTheme="majorHAnsi" w:cstheme="majorHAnsi"/>
                <w:sz w:val="20"/>
                <w:szCs w:val="20"/>
                <w:lang w:val="ro-MD"/>
              </w:rPr>
            </w:pPr>
            <w:r w:rsidRPr="00B13B9A">
              <w:rPr>
                <w:rFonts w:asciiTheme="majorHAnsi" w:eastAsia="Times New Roman" w:hAnsiTheme="majorHAnsi" w:cstheme="majorHAnsi"/>
                <w:sz w:val="20"/>
                <w:szCs w:val="20"/>
                <w:lang w:val="ro-MD"/>
              </w:rPr>
              <w:t>85 069,8</w:t>
            </w:r>
          </w:p>
        </w:tc>
      </w:tr>
      <w:tr w:rsidR="00651BC8" w:rsidRPr="00B13B9A" w14:paraId="1AEE1D70" w14:textId="77777777" w:rsidTr="00290F4E">
        <w:trPr>
          <w:trHeight w:val="170"/>
        </w:trPr>
        <w:tc>
          <w:tcPr>
            <w:tcW w:w="762" w:type="dxa"/>
            <w:shd w:val="clear" w:color="auto" w:fill="auto"/>
          </w:tcPr>
          <w:p w14:paraId="46F3E67A" w14:textId="77777777" w:rsidR="00651BC8" w:rsidRPr="00B13B9A" w:rsidRDefault="00651BC8" w:rsidP="001F0EA2">
            <w:pPr>
              <w:spacing w:after="0" w:line="276" w:lineRule="auto"/>
              <w:rPr>
                <w:rFonts w:asciiTheme="majorHAnsi" w:eastAsia="Times New Roman" w:hAnsiTheme="majorHAnsi" w:cstheme="majorHAnsi"/>
                <w:b/>
                <w:sz w:val="20"/>
                <w:szCs w:val="20"/>
                <w:lang w:val="ro-MD"/>
              </w:rPr>
            </w:pPr>
          </w:p>
        </w:tc>
        <w:tc>
          <w:tcPr>
            <w:tcW w:w="6163" w:type="dxa"/>
            <w:shd w:val="clear" w:color="auto" w:fill="auto"/>
          </w:tcPr>
          <w:p w14:paraId="15DDA85F" w14:textId="77777777" w:rsidR="00651BC8" w:rsidRPr="00B13B9A" w:rsidRDefault="00651BC8" w:rsidP="001F0EA2">
            <w:pPr>
              <w:spacing w:after="0" w:line="276" w:lineRule="auto"/>
              <w:rPr>
                <w:rFonts w:asciiTheme="majorHAnsi" w:eastAsia="Times New Roman" w:hAnsiTheme="majorHAnsi" w:cstheme="majorHAnsi"/>
                <w:b/>
                <w:sz w:val="20"/>
                <w:szCs w:val="20"/>
                <w:lang w:val="ro-MD"/>
              </w:rPr>
            </w:pPr>
            <w:r w:rsidRPr="00B13B9A">
              <w:rPr>
                <w:rFonts w:asciiTheme="majorHAnsi" w:eastAsia="Times New Roman" w:hAnsiTheme="majorHAnsi" w:cstheme="majorHAnsi"/>
                <w:b/>
                <w:sz w:val="20"/>
                <w:szCs w:val="20"/>
                <w:lang w:val="ro-MD"/>
              </w:rPr>
              <w:t>Total capital propriu</w:t>
            </w:r>
          </w:p>
        </w:tc>
        <w:tc>
          <w:tcPr>
            <w:tcW w:w="1732" w:type="dxa"/>
            <w:shd w:val="clear" w:color="auto" w:fill="auto"/>
          </w:tcPr>
          <w:p w14:paraId="7390F403" w14:textId="77777777" w:rsidR="00651BC8" w:rsidRPr="00B13B9A" w:rsidRDefault="00A178F1" w:rsidP="00A178F1">
            <w:pPr>
              <w:spacing w:after="0" w:line="276" w:lineRule="auto"/>
              <w:jc w:val="right"/>
              <w:rPr>
                <w:rFonts w:asciiTheme="majorHAnsi" w:eastAsia="Times New Roman" w:hAnsiTheme="majorHAnsi" w:cstheme="majorHAnsi"/>
                <w:b/>
                <w:sz w:val="20"/>
                <w:szCs w:val="20"/>
                <w:lang w:val="ro-MD"/>
              </w:rPr>
            </w:pPr>
            <w:r w:rsidRPr="00B13B9A">
              <w:rPr>
                <w:rFonts w:asciiTheme="majorHAnsi" w:eastAsia="Times New Roman" w:hAnsiTheme="majorHAnsi" w:cstheme="majorHAnsi"/>
                <w:b/>
                <w:sz w:val="20"/>
                <w:szCs w:val="20"/>
                <w:lang w:val="ro-MD"/>
              </w:rPr>
              <w:t>227 175,8</w:t>
            </w:r>
          </w:p>
        </w:tc>
      </w:tr>
      <w:tr w:rsidR="00651BC8" w:rsidRPr="00B13B9A" w14:paraId="21C5CC77" w14:textId="77777777" w:rsidTr="00290F4E">
        <w:trPr>
          <w:trHeight w:val="170"/>
        </w:trPr>
        <w:tc>
          <w:tcPr>
            <w:tcW w:w="762" w:type="dxa"/>
            <w:shd w:val="clear" w:color="auto" w:fill="auto"/>
            <w:hideMark/>
          </w:tcPr>
          <w:p w14:paraId="3BEC1F64" w14:textId="77777777" w:rsidR="00651BC8" w:rsidRPr="00B13B9A" w:rsidRDefault="00651BC8" w:rsidP="001F0EA2">
            <w:pPr>
              <w:spacing w:after="0" w:line="276" w:lineRule="auto"/>
              <w:rPr>
                <w:rFonts w:asciiTheme="majorHAnsi" w:eastAsia="Times New Roman" w:hAnsiTheme="majorHAnsi" w:cstheme="majorHAnsi"/>
                <w:sz w:val="20"/>
                <w:szCs w:val="20"/>
                <w:lang w:val="ro-MD"/>
              </w:rPr>
            </w:pPr>
            <w:r w:rsidRPr="00B13B9A">
              <w:rPr>
                <w:rFonts w:asciiTheme="majorHAnsi" w:eastAsia="Times New Roman" w:hAnsiTheme="majorHAnsi" w:cstheme="majorHAnsi"/>
                <w:sz w:val="20"/>
                <w:szCs w:val="20"/>
                <w:lang w:val="ro-MD"/>
              </w:rPr>
              <w:t>425</w:t>
            </w:r>
          </w:p>
        </w:tc>
        <w:tc>
          <w:tcPr>
            <w:tcW w:w="6163" w:type="dxa"/>
            <w:shd w:val="clear" w:color="auto" w:fill="auto"/>
            <w:hideMark/>
          </w:tcPr>
          <w:p w14:paraId="6C7D00AA" w14:textId="0DBE6592" w:rsidR="00651BC8" w:rsidRPr="00B13B9A" w:rsidRDefault="00557279" w:rsidP="001F0EA2">
            <w:pPr>
              <w:spacing w:after="0" w:line="276" w:lineRule="auto"/>
              <w:rPr>
                <w:rFonts w:asciiTheme="majorHAnsi" w:eastAsia="Times New Roman" w:hAnsiTheme="majorHAnsi" w:cstheme="majorHAnsi"/>
                <w:sz w:val="20"/>
                <w:szCs w:val="20"/>
                <w:lang w:val="ro-MD"/>
              </w:rPr>
            </w:pPr>
            <w:r w:rsidRPr="00B13B9A">
              <w:rPr>
                <w:rFonts w:asciiTheme="majorHAnsi" w:eastAsia="Times New Roman" w:hAnsiTheme="majorHAnsi" w:cstheme="majorHAnsi"/>
                <w:sz w:val="20"/>
                <w:szCs w:val="20"/>
                <w:lang w:val="ro-MD"/>
              </w:rPr>
              <w:t>Finan</w:t>
            </w:r>
            <w:r w:rsidR="00B13B9A" w:rsidRPr="00B13B9A">
              <w:rPr>
                <w:rFonts w:asciiTheme="majorHAnsi" w:eastAsia="Times New Roman" w:hAnsiTheme="majorHAnsi" w:cstheme="majorHAnsi"/>
                <w:sz w:val="20"/>
                <w:szCs w:val="20"/>
                <w:lang w:val="ro-MD"/>
              </w:rPr>
              <w:t>ț</w:t>
            </w:r>
            <w:r w:rsidRPr="00B13B9A">
              <w:rPr>
                <w:rFonts w:asciiTheme="majorHAnsi" w:eastAsia="Times New Roman" w:hAnsiTheme="majorHAnsi" w:cstheme="majorHAnsi"/>
                <w:sz w:val="20"/>
                <w:szCs w:val="20"/>
                <w:lang w:val="ro-MD"/>
              </w:rPr>
              <w:t>ări</w:t>
            </w:r>
            <w:r w:rsidR="00651BC8" w:rsidRPr="00B13B9A">
              <w:rPr>
                <w:rFonts w:asciiTheme="majorHAnsi" w:eastAsia="Times New Roman" w:hAnsiTheme="majorHAnsi" w:cstheme="majorHAnsi"/>
                <w:sz w:val="20"/>
                <w:szCs w:val="20"/>
                <w:lang w:val="ro-MD"/>
              </w:rPr>
              <w:t xml:space="preserve"> </w:t>
            </w:r>
            <w:r w:rsidR="00B13B9A" w:rsidRPr="00B13B9A">
              <w:rPr>
                <w:rFonts w:asciiTheme="majorHAnsi" w:eastAsia="Times New Roman" w:hAnsiTheme="majorHAnsi" w:cstheme="majorHAnsi"/>
                <w:sz w:val="20"/>
                <w:szCs w:val="20"/>
                <w:lang w:val="ro-MD"/>
              </w:rPr>
              <w:t>ș</w:t>
            </w:r>
            <w:r w:rsidRPr="00B13B9A">
              <w:rPr>
                <w:rFonts w:asciiTheme="majorHAnsi" w:eastAsia="Times New Roman" w:hAnsiTheme="majorHAnsi" w:cstheme="majorHAnsi"/>
                <w:sz w:val="20"/>
                <w:szCs w:val="20"/>
                <w:lang w:val="ro-MD"/>
              </w:rPr>
              <w:t>i</w:t>
            </w:r>
            <w:r w:rsidR="00651BC8" w:rsidRPr="00B13B9A">
              <w:rPr>
                <w:rFonts w:asciiTheme="majorHAnsi" w:eastAsia="Times New Roman" w:hAnsiTheme="majorHAnsi" w:cstheme="majorHAnsi"/>
                <w:sz w:val="20"/>
                <w:szCs w:val="20"/>
                <w:lang w:val="ro-MD"/>
              </w:rPr>
              <w:t xml:space="preserve"> încasări cu </w:t>
            </w:r>
            <w:r w:rsidRPr="00B13B9A">
              <w:rPr>
                <w:rFonts w:asciiTheme="majorHAnsi" w:eastAsia="Times New Roman" w:hAnsiTheme="majorHAnsi" w:cstheme="majorHAnsi"/>
                <w:sz w:val="20"/>
                <w:szCs w:val="20"/>
                <w:lang w:val="ro-MD"/>
              </w:rPr>
              <w:t>destina</w:t>
            </w:r>
            <w:r w:rsidR="00B13B9A" w:rsidRPr="00B13B9A">
              <w:rPr>
                <w:rFonts w:asciiTheme="majorHAnsi" w:eastAsia="Times New Roman" w:hAnsiTheme="majorHAnsi" w:cstheme="majorHAnsi"/>
                <w:sz w:val="20"/>
                <w:szCs w:val="20"/>
                <w:lang w:val="ro-MD"/>
              </w:rPr>
              <w:t>ț</w:t>
            </w:r>
            <w:r w:rsidRPr="00B13B9A">
              <w:rPr>
                <w:rFonts w:asciiTheme="majorHAnsi" w:eastAsia="Times New Roman" w:hAnsiTheme="majorHAnsi" w:cstheme="majorHAnsi"/>
                <w:sz w:val="20"/>
                <w:szCs w:val="20"/>
                <w:lang w:val="ro-MD"/>
              </w:rPr>
              <w:t>ie</w:t>
            </w:r>
            <w:r w:rsidR="00651BC8" w:rsidRPr="00B13B9A">
              <w:rPr>
                <w:rFonts w:asciiTheme="majorHAnsi" w:eastAsia="Times New Roman" w:hAnsiTheme="majorHAnsi" w:cstheme="majorHAnsi"/>
                <w:sz w:val="20"/>
                <w:szCs w:val="20"/>
                <w:lang w:val="ro-MD"/>
              </w:rPr>
              <w:t xml:space="preserve"> specială pe termen lung</w:t>
            </w:r>
          </w:p>
        </w:tc>
        <w:tc>
          <w:tcPr>
            <w:tcW w:w="1732" w:type="dxa"/>
            <w:shd w:val="clear" w:color="auto" w:fill="auto"/>
            <w:hideMark/>
          </w:tcPr>
          <w:p w14:paraId="128F6296" w14:textId="77777777" w:rsidR="00651BC8" w:rsidRPr="00B13B9A" w:rsidRDefault="00A178F1" w:rsidP="00A178F1">
            <w:pPr>
              <w:spacing w:after="0" w:line="276" w:lineRule="auto"/>
              <w:jc w:val="right"/>
              <w:rPr>
                <w:rFonts w:asciiTheme="majorHAnsi" w:eastAsia="Times New Roman" w:hAnsiTheme="majorHAnsi" w:cstheme="majorHAnsi"/>
                <w:sz w:val="20"/>
                <w:szCs w:val="20"/>
                <w:lang w:val="ro-MD"/>
              </w:rPr>
            </w:pPr>
            <w:r w:rsidRPr="00B13B9A">
              <w:rPr>
                <w:rFonts w:asciiTheme="majorHAnsi" w:eastAsia="Times New Roman" w:hAnsiTheme="majorHAnsi" w:cstheme="majorHAnsi"/>
                <w:sz w:val="20"/>
                <w:szCs w:val="20"/>
                <w:lang w:val="ro-MD"/>
              </w:rPr>
              <w:t>13 706,9</w:t>
            </w:r>
          </w:p>
        </w:tc>
      </w:tr>
      <w:tr w:rsidR="004477EB" w:rsidRPr="00B13B9A" w14:paraId="0EF3D24F" w14:textId="77777777" w:rsidTr="00290F4E">
        <w:trPr>
          <w:trHeight w:val="170"/>
        </w:trPr>
        <w:tc>
          <w:tcPr>
            <w:tcW w:w="762" w:type="dxa"/>
            <w:shd w:val="clear" w:color="auto" w:fill="auto"/>
          </w:tcPr>
          <w:p w14:paraId="3C41BF02" w14:textId="77777777" w:rsidR="004477EB" w:rsidRPr="00B13B9A" w:rsidRDefault="004477EB" w:rsidP="004477EB">
            <w:pPr>
              <w:spacing w:after="0" w:line="276" w:lineRule="auto"/>
              <w:rPr>
                <w:rFonts w:asciiTheme="majorHAnsi" w:eastAsia="Times New Roman" w:hAnsiTheme="majorHAnsi" w:cstheme="majorHAnsi"/>
                <w:sz w:val="20"/>
                <w:szCs w:val="20"/>
                <w:lang w:val="ro-MD"/>
              </w:rPr>
            </w:pPr>
            <w:r w:rsidRPr="00B13B9A">
              <w:rPr>
                <w:rFonts w:asciiTheme="majorHAnsi" w:eastAsia="Times New Roman" w:hAnsiTheme="majorHAnsi" w:cstheme="majorHAnsi"/>
                <w:sz w:val="20"/>
                <w:szCs w:val="20"/>
                <w:lang w:val="ro-MD"/>
              </w:rPr>
              <w:t>535</w:t>
            </w:r>
          </w:p>
        </w:tc>
        <w:tc>
          <w:tcPr>
            <w:tcW w:w="6163" w:type="dxa"/>
            <w:shd w:val="clear" w:color="auto" w:fill="auto"/>
          </w:tcPr>
          <w:p w14:paraId="41497808" w14:textId="77777777" w:rsidR="004477EB" w:rsidRPr="00B13B9A" w:rsidRDefault="004477EB" w:rsidP="004477EB">
            <w:pPr>
              <w:spacing w:after="0" w:line="276" w:lineRule="auto"/>
              <w:rPr>
                <w:rFonts w:asciiTheme="majorHAnsi" w:eastAsia="Times New Roman" w:hAnsiTheme="majorHAnsi" w:cstheme="majorHAnsi"/>
                <w:sz w:val="20"/>
                <w:szCs w:val="20"/>
                <w:lang w:val="ro-MD"/>
              </w:rPr>
            </w:pPr>
            <w:r w:rsidRPr="00B13B9A">
              <w:rPr>
                <w:rFonts w:asciiTheme="majorHAnsi" w:eastAsia="Times New Roman" w:hAnsiTheme="majorHAnsi" w:cstheme="majorHAnsi"/>
                <w:sz w:val="20"/>
                <w:szCs w:val="20"/>
                <w:lang w:val="ro-MD"/>
              </w:rPr>
              <w:t>Venituri anticipate curente</w:t>
            </w:r>
          </w:p>
        </w:tc>
        <w:tc>
          <w:tcPr>
            <w:tcW w:w="1732" w:type="dxa"/>
            <w:shd w:val="clear" w:color="auto" w:fill="auto"/>
          </w:tcPr>
          <w:p w14:paraId="3A8EAF9C" w14:textId="77777777" w:rsidR="004477EB" w:rsidRPr="00B13B9A" w:rsidRDefault="004477EB" w:rsidP="004477EB">
            <w:pPr>
              <w:spacing w:after="0" w:line="276" w:lineRule="auto"/>
              <w:jc w:val="right"/>
              <w:rPr>
                <w:rFonts w:asciiTheme="majorHAnsi" w:eastAsia="Times New Roman" w:hAnsiTheme="majorHAnsi" w:cstheme="majorHAnsi"/>
                <w:sz w:val="20"/>
                <w:szCs w:val="20"/>
                <w:lang w:val="ro-MD"/>
              </w:rPr>
            </w:pPr>
            <w:r w:rsidRPr="00B13B9A">
              <w:rPr>
                <w:rFonts w:asciiTheme="majorHAnsi" w:eastAsia="Times New Roman" w:hAnsiTheme="majorHAnsi" w:cstheme="majorHAnsi"/>
                <w:sz w:val="20"/>
                <w:szCs w:val="20"/>
                <w:lang w:val="ro-MD"/>
              </w:rPr>
              <w:t>21.408,7</w:t>
            </w:r>
          </w:p>
        </w:tc>
      </w:tr>
      <w:tr w:rsidR="004477EB" w:rsidRPr="00B13B9A" w14:paraId="4F24A343" w14:textId="77777777" w:rsidTr="00290F4E">
        <w:trPr>
          <w:trHeight w:val="170"/>
        </w:trPr>
        <w:tc>
          <w:tcPr>
            <w:tcW w:w="762" w:type="dxa"/>
            <w:shd w:val="clear" w:color="auto" w:fill="auto"/>
          </w:tcPr>
          <w:p w14:paraId="3AD7E3FC" w14:textId="77777777" w:rsidR="004477EB" w:rsidRPr="00B13B9A" w:rsidRDefault="004477EB" w:rsidP="004477EB">
            <w:pPr>
              <w:spacing w:after="0" w:line="276" w:lineRule="auto"/>
              <w:rPr>
                <w:rFonts w:asciiTheme="majorHAnsi" w:eastAsia="Calibri" w:hAnsiTheme="majorHAnsi" w:cstheme="majorHAnsi"/>
                <w:sz w:val="20"/>
                <w:szCs w:val="20"/>
                <w:lang w:val="ro-MD"/>
              </w:rPr>
            </w:pPr>
            <w:r w:rsidRPr="00B13B9A">
              <w:rPr>
                <w:rFonts w:asciiTheme="majorHAnsi" w:eastAsia="Calibri" w:hAnsiTheme="majorHAnsi" w:cstheme="majorHAnsi"/>
                <w:sz w:val="20"/>
                <w:szCs w:val="20"/>
                <w:lang w:val="ro-MD"/>
              </w:rPr>
              <w:t>537</w:t>
            </w:r>
          </w:p>
        </w:tc>
        <w:tc>
          <w:tcPr>
            <w:tcW w:w="6163" w:type="dxa"/>
            <w:shd w:val="clear" w:color="auto" w:fill="auto"/>
          </w:tcPr>
          <w:p w14:paraId="075218BC" w14:textId="462CF4BF" w:rsidR="004477EB" w:rsidRPr="00B13B9A" w:rsidRDefault="00557279" w:rsidP="004477EB">
            <w:pPr>
              <w:spacing w:after="0" w:line="276" w:lineRule="auto"/>
              <w:rPr>
                <w:rFonts w:asciiTheme="majorHAnsi" w:eastAsia="Calibri" w:hAnsiTheme="majorHAnsi" w:cstheme="majorHAnsi"/>
                <w:sz w:val="20"/>
                <w:szCs w:val="20"/>
                <w:lang w:val="ro-MD"/>
              </w:rPr>
            </w:pPr>
            <w:r w:rsidRPr="00B13B9A">
              <w:rPr>
                <w:rFonts w:asciiTheme="majorHAnsi" w:eastAsia="Calibri" w:hAnsiTheme="majorHAnsi" w:cstheme="majorHAnsi"/>
                <w:sz w:val="20"/>
                <w:szCs w:val="20"/>
                <w:lang w:val="ro-MD"/>
              </w:rPr>
              <w:t>Finan</w:t>
            </w:r>
            <w:r w:rsidR="00B13B9A" w:rsidRPr="00B13B9A">
              <w:rPr>
                <w:rFonts w:asciiTheme="majorHAnsi" w:eastAsia="Calibri" w:hAnsiTheme="majorHAnsi" w:cstheme="majorHAnsi"/>
                <w:sz w:val="20"/>
                <w:szCs w:val="20"/>
                <w:lang w:val="ro-MD"/>
              </w:rPr>
              <w:t>ț</w:t>
            </w:r>
            <w:r w:rsidRPr="00B13B9A">
              <w:rPr>
                <w:rFonts w:asciiTheme="majorHAnsi" w:eastAsia="Calibri" w:hAnsiTheme="majorHAnsi" w:cstheme="majorHAnsi"/>
                <w:sz w:val="20"/>
                <w:szCs w:val="20"/>
                <w:lang w:val="ro-MD"/>
              </w:rPr>
              <w:t>ări</w:t>
            </w:r>
            <w:r w:rsidR="004477EB" w:rsidRPr="00B13B9A">
              <w:rPr>
                <w:rFonts w:asciiTheme="majorHAnsi" w:eastAsia="Calibri" w:hAnsiTheme="majorHAnsi" w:cstheme="majorHAnsi"/>
                <w:sz w:val="20"/>
                <w:szCs w:val="20"/>
                <w:lang w:val="ro-MD"/>
              </w:rPr>
              <w:t xml:space="preserve"> </w:t>
            </w:r>
            <w:r w:rsidR="00B13B9A" w:rsidRPr="00B13B9A">
              <w:rPr>
                <w:rFonts w:asciiTheme="majorHAnsi" w:eastAsia="Calibri" w:hAnsiTheme="majorHAnsi" w:cstheme="majorHAnsi"/>
                <w:sz w:val="20"/>
                <w:szCs w:val="20"/>
                <w:lang w:val="ro-MD"/>
              </w:rPr>
              <w:t>ș</w:t>
            </w:r>
            <w:r w:rsidRPr="00B13B9A">
              <w:rPr>
                <w:rFonts w:asciiTheme="majorHAnsi" w:eastAsia="Calibri" w:hAnsiTheme="majorHAnsi" w:cstheme="majorHAnsi"/>
                <w:sz w:val="20"/>
                <w:szCs w:val="20"/>
                <w:lang w:val="ro-MD"/>
              </w:rPr>
              <w:t>i</w:t>
            </w:r>
            <w:r w:rsidR="004477EB" w:rsidRPr="00B13B9A">
              <w:rPr>
                <w:rFonts w:asciiTheme="majorHAnsi" w:eastAsia="Calibri" w:hAnsiTheme="majorHAnsi" w:cstheme="majorHAnsi"/>
                <w:sz w:val="20"/>
                <w:szCs w:val="20"/>
                <w:lang w:val="ro-MD"/>
              </w:rPr>
              <w:t xml:space="preserve"> încasări cu </w:t>
            </w:r>
            <w:r w:rsidRPr="00B13B9A">
              <w:rPr>
                <w:rFonts w:asciiTheme="majorHAnsi" w:eastAsia="Calibri" w:hAnsiTheme="majorHAnsi" w:cstheme="majorHAnsi"/>
                <w:sz w:val="20"/>
                <w:szCs w:val="20"/>
                <w:lang w:val="ro-MD"/>
              </w:rPr>
              <w:t>destina</w:t>
            </w:r>
            <w:r w:rsidR="00B13B9A" w:rsidRPr="00B13B9A">
              <w:rPr>
                <w:rFonts w:asciiTheme="majorHAnsi" w:eastAsia="Calibri" w:hAnsiTheme="majorHAnsi" w:cstheme="majorHAnsi"/>
                <w:sz w:val="20"/>
                <w:szCs w:val="20"/>
                <w:lang w:val="ro-MD"/>
              </w:rPr>
              <w:t>ț</w:t>
            </w:r>
            <w:r w:rsidRPr="00B13B9A">
              <w:rPr>
                <w:rFonts w:asciiTheme="majorHAnsi" w:eastAsia="Calibri" w:hAnsiTheme="majorHAnsi" w:cstheme="majorHAnsi"/>
                <w:sz w:val="20"/>
                <w:szCs w:val="20"/>
                <w:lang w:val="ro-MD"/>
              </w:rPr>
              <w:t>ie</w:t>
            </w:r>
            <w:r w:rsidR="004477EB" w:rsidRPr="00B13B9A">
              <w:rPr>
                <w:rFonts w:asciiTheme="majorHAnsi" w:eastAsia="Calibri" w:hAnsiTheme="majorHAnsi" w:cstheme="majorHAnsi"/>
                <w:sz w:val="20"/>
                <w:szCs w:val="20"/>
                <w:lang w:val="ro-MD"/>
              </w:rPr>
              <w:t xml:space="preserve"> specială curente</w:t>
            </w:r>
          </w:p>
        </w:tc>
        <w:tc>
          <w:tcPr>
            <w:tcW w:w="1732" w:type="dxa"/>
            <w:shd w:val="clear" w:color="auto" w:fill="auto"/>
          </w:tcPr>
          <w:p w14:paraId="738BA422" w14:textId="77777777" w:rsidR="004477EB" w:rsidRPr="00B13B9A" w:rsidRDefault="004477EB" w:rsidP="004477EB">
            <w:pPr>
              <w:spacing w:after="0" w:line="276" w:lineRule="auto"/>
              <w:jc w:val="right"/>
              <w:rPr>
                <w:rFonts w:asciiTheme="majorHAnsi" w:eastAsia="Calibri" w:hAnsiTheme="majorHAnsi" w:cstheme="majorHAnsi"/>
                <w:sz w:val="20"/>
                <w:szCs w:val="20"/>
                <w:lang w:val="ro-MD"/>
              </w:rPr>
            </w:pPr>
            <w:r w:rsidRPr="00B13B9A">
              <w:rPr>
                <w:rFonts w:asciiTheme="majorHAnsi" w:eastAsia="Calibri" w:hAnsiTheme="majorHAnsi" w:cstheme="majorHAnsi"/>
                <w:sz w:val="20"/>
                <w:szCs w:val="20"/>
                <w:lang w:val="ro-MD"/>
              </w:rPr>
              <w:t>8 418,1</w:t>
            </w:r>
          </w:p>
        </w:tc>
      </w:tr>
    </w:tbl>
    <w:p w14:paraId="4B98255E" w14:textId="75051D54" w:rsidR="00290F4E" w:rsidRPr="00B13B9A" w:rsidRDefault="00A178F1" w:rsidP="00651BC8">
      <w:pPr>
        <w:spacing w:after="0" w:line="276" w:lineRule="auto"/>
        <w:ind w:firstLine="709"/>
        <w:jc w:val="both"/>
        <w:rPr>
          <w:rFonts w:asciiTheme="majorHAnsi" w:hAnsiTheme="majorHAnsi"/>
          <w:i/>
          <w:sz w:val="20"/>
          <w:szCs w:val="20"/>
          <w:lang w:val="ro-MD"/>
        </w:rPr>
      </w:pPr>
      <w:r w:rsidRPr="00B13B9A">
        <w:rPr>
          <w:rFonts w:asciiTheme="majorHAnsi" w:hAnsiTheme="majorHAnsi"/>
          <w:b/>
          <w:i/>
          <w:sz w:val="20"/>
          <w:szCs w:val="20"/>
          <w:lang w:val="ro-MD"/>
        </w:rPr>
        <w:t>Sursa</w:t>
      </w:r>
      <w:r w:rsidRPr="00B13B9A">
        <w:rPr>
          <w:rFonts w:asciiTheme="majorHAnsi" w:hAnsiTheme="majorHAnsi"/>
          <w:i/>
          <w:sz w:val="20"/>
          <w:szCs w:val="20"/>
          <w:lang w:val="ro-MD"/>
        </w:rPr>
        <w:t xml:space="preserve">: </w:t>
      </w:r>
      <w:r w:rsidR="00557279" w:rsidRPr="00B13B9A">
        <w:rPr>
          <w:rFonts w:asciiTheme="majorHAnsi" w:hAnsiTheme="majorHAnsi"/>
          <w:i/>
          <w:sz w:val="20"/>
          <w:szCs w:val="20"/>
          <w:lang w:val="ro-MD"/>
        </w:rPr>
        <w:t>Eviden</w:t>
      </w:r>
      <w:r w:rsidR="00B13B9A" w:rsidRPr="00B13B9A">
        <w:rPr>
          <w:rFonts w:asciiTheme="majorHAnsi" w:hAnsiTheme="majorHAnsi"/>
          <w:i/>
          <w:sz w:val="20"/>
          <w:szCs w:val="20"/>
          <w:lang w:val="ro-MD"/>
        </w:rPr>
        <w:t>ț</w:t>
      </w:r>
      <w:r w:rsidR="00557279" w:rsidRPr="00B13B9A">
        <w:rPr>
          <w:rFonts w:asciiTheme="majorHAnsi" w:hAnsiTheme="majorHAnsi"/>
          <w:i/>
          <w:sz w:val="20"/>
          <w:szCs w:val="20"/>
          <w:lang w:val="ro-MD"/>
        </w:rPr>
        <w:t>a</w:t>
      </w:r>
      <w:r w:rsidR="00AB3CDC" w:rsidRPr="00B13B9A">
        <w:rPr>
          <w:rFonts w:asciiTheme="majorHAnsi" w:hAnsiTheme="majorHAnsi"/>
          <w:i/>
          <w:sz w:val="20"/>
          <w:szCs w:val="20"/>
          <w:lang w:val="ro-MD"/>
        </w:rPr>
        <w:t xml:space="preserve"> contabilă</w:t>
      </w:r>
      <w:r w:rsidR="004F6906" w:rsidRPr="00B13B9A">
        <w:rPr>
          <w:rFonts w:asciiTheme="majorHAnsi" w:hAnsiTheme="majorHAnsi"/>
          <w:i/>
          <w:sz w:val="20"/>
          <w:szCs w:val="20"/>
          <w:lang w:val="ro-MD"/>
        </w:rPr>
        <w:t xml:space="preserve"> a IMSP IFP.</w:t>
      </w:r>
    </w:p>
    <w:p w14:paraId="26DE73CC" w14:textId="77777777" w:rsidR="00AB3CDC" w:rsidRPr="00B13B9A" w:rsidRDefault="00AB3CDC" w:rsidP="00651BC8">
      <w:pPr>
        <w:spacing w:after="0" w:line="276" w:lineRule="auto"/>
        <w:ind w:firstLine="709"/>
        <w:jc w:val="both"/>
        <w:rPr>
          <w:rFonts w:asciiTheme="majorHAnsi" w:hAnsiTheme="majorHAnsi"/>
          <w:sz w:val="24"/>
          <w:lang w:val="ro-MD"/>
        </w:rPr>
      </w:pPr>
    </w:p>
    <w:p w14:paraId="3F0D1B1F" w14:textId="0F6EC51E" w:rsidR="00651BC8" w:rsidRPr="00B13B9A" w:rsidRDefault="00290F4E" w:rsidP="00290F4E">
      <w:pPr>
        <w:spacing w:after="0" w:line="276" w:lineRule="auto"/>
        <w:jc w:val="both"/>
        <w:rPr>
          <w:rFonts w:asciiTheme="majorHAnsi" w:hAnsiTheme="majorHAnsi" w:cstheme="majorHAnsi"/>
          <w:sz w:val="24"/>
          <w:szCs w:val="24"/>
          <w:lang w:val="ro-MD"/>
        </w:rPr>
      </w:pPr>
      <w:r w:rsidRPr="00B13B9A">
        <w:rPr>
          <w:rFonts w:asciiTheme="majorHAnsi" w:hAnsiTheme="majorHAnsi"/>
          <w:sz w:val="24"/>
          <w:lang w:val="ro-MD"/>
        </w:rPr>
        <w:t>A</w:t>
      </w:r>
      <w:r w:rsidRPr="00B13B9A">
        <w:rPr>
          <w:rFonts w:asciiTheme="majorHAnsi" w:hAnsiTheme="majorHAnsi" w:cstheme="majorHAnsi"/>
          <w:sz w:val="24"/>
          <w:szCs w:val="24"/>
          <w:lang w:val="ro-MD"/>
        </w:rPr>
        <w:t>stfel, patrimoniul nu a</w:t>
      </w:r>
      <w:r w:rsidR="0092679F" w:rsidRPr="00B13B9A">
        <w:rPr>
          <w:rFonts w:asciiTheme="majorHAnsi" w:hAnsiTheme="majorHAnsi" w:cstheme="majorHAnsi"/>
          <w:sz w:val="24"/>
          <w:szCs w:val="24"/>
          <w:lang w:val="ro-MD"/>
        </w:rPr>
        <w:t xml:space="preserve"> fost</w:t>
      </w:r>
      <w:r w:rsidRPr="00B13B9A">
        <w:rPr>
          <w:rFonts w:asciiTheme="majorHAnsi" w:hAnsiTheme="majorHAnsi" w:cstheme="majorHAnsi"/>
          <w:sz w:val="24"/>
          <w:szCs w:val="24"/>
          <w:lang w:val="ro-MD"/>
        </w:rPr>
        <w:t xml:space="preserve"> </w:t>
      </w:r>
      <w:r w:rsidR="008048A3" w:rsidRPr="00B13B9A">
        <w:rPr>
          <w:rFonts w:asciiTheme="majorHAnsi" w:hAnsiTheme="majorHAnsi" w:cstheme="majorHAnsi"/>
          <w:sz w:val="24"/>
          <w:szCs w:val="24"/>
          <w:lang w:val="ro-MD"/>
        </w:rPr>
        <w:t xml:space="preserve">înregistrat la </w:t>
      </w:r>
      <w:r w:rsidR="00AB3CDC" w:rsidRPr="00B13B9A">
        <w:rPr>
          <w:rFonts w:asciiTheme="majorHAnsi" w:hAnsiTheme="majorHAnsi" w:cstheme="majorHAnsi"/>
          <w:sz w:val="24"/>
          <w:szCs w:val="24"/>
          <w:lang w:val="ro-MD"/>
        </w:rPr>
        <w:t>d</w:t>
      </w:r>
      <w:r w:rsidRPr="00B13B9A">
        <w:rPr>
          <w:rFonts w:asciiTheme="majorHAnsi" w:hAnsiTheme="majorHAnsi" w:cstheme="majorHAnsi"/>
          <w:bCs/>
          <w:sz w:val="24"/>
          <w:szCs w:val="24"/>
          <w:lang w:val="ro-MD"/>
        </w:rPr>
        <w:t>atorii pe termen lung privind bunurile primite în gestiune economică</w:t>
      </w:r>
      <w:r w:rsidRPr="00B13B9A">
        <w:rPr>
          <w:rFonts w:asciiTheme="majorHAnsi" w:hAnsiTheme="majorHAnsi" w:cstheme="majorHAnsi"/>
          <w:sz w:val="24"/>
          <w:szCs w:val="24"/>
          <w:lang w:val="ro-MD"/>
        </w:rPr>
        <w:t xml:space="preserve"> </w:t>
      </w:r>
      <w:r w:rsidR="00AB3CDC" w:rsidRPr="00B13B9A">
        <w:rPr>
          <w:rFonts w:asciiTheme="majorHAnsi" w:hAnsiTheme="majorHAnsi" w:cstheme="majorHAnsi"/>
          <w:sz w:val="24"/>
          <w:szCs w:val="24"/>
          <w:lang w:val="ro-MD"/>
        </w:rPr>
        <w:t xml:space="preserve">(427) </w:t>
      </w:r>
      <w:r w:rsidR="00B13B9A" w:rsidRPr="00B13B9A">
        <w:rPr>
          <w:rFonts w:asciiTheme="majorHAnsi" w:hAnsiTheme="majorHAnsi" w:cstheme="majorHAnsi"/>
          <w:sz w:val="24"/>
          <w:szCs w:val="24"/>
          <w:lang w:val="ro-MD"/>
        </w:rPr>
        <w:t>ș</w:t>
      </w:r>
      <w:r w:rsidRPr="00B13B9A">
        <w:rPr>
          <w:rFonts w:asciiTheme="majorHAnsi" w:hAnsiTheme="majorHAnsi" w:cstheme="majorHAnsi"/>
          <w:sz w:val="24"/>
          <w:szCs w:val="24"/>
          <w:lang w:val="ro-MD"/>
        </w:rPr>
        <w:t xml:space="preserve">i </w:t>
      </w:r>
      <w:r w:rsidR="00AB3CDC" w:rsidRPr="00B13B9A">
        <w:rPr>
          <w:rFonts w:asciiTheme="majorHAnsi" w:hAnsiTheme="majorHAnsi" w:cstheme="majorHAnsi"/>
          <w:bCs/>
          <w:sz w:val="24"/>
          <w:szCs w:val="24"/>
          <w:lang w:val="ro-MD"/>
        </w:rPr>
        <w:t>p</w:t>
      </w:r>
      <w:r w:rsidRPr="00B13B9A">
        <w:rPr>
          <w:rFonts w:asciiTheme="majorHAnsi" w:hAnsiTheme="majorHAnsi" w:cstheme="majorHAnsi"/>
          <w:bCs/>
          <w:sz w:val="24"/>
          <w:szCs w:val="24"/>
          <w:lang w:val="ro-MD"/>
        </w:rPr>
        <w:t>atrimoniul primit de la stat cu drept de proprietate</w:t>
      </w:r>
      <w:r w:rsidR="00AB3CDC" w:rsidRPr="00B13B9A">
        <w:rPr>
          <w:rFonts w:asciiTheme="majorHAnsi" w:hAnsiTheme="majorHAnsi" w:cstheme="majorHAnsi"/>
          <w:bCs/>
          <w:sz w:val="24"/>
          <w:szCs w:val="24"/>
          <w:lang w:val="ro-MD"/>
        </w:rPr>
        <w:t xml:space="preserve"> (</w:t>
      </w:r>
      <w:r w:rsidR="00AB3CDC" w:rsidRPr="00B13B9A">
        <w:rPr>
          <w:rFonts w:asciiTheme="majorHAnsi" w:hAnsiTheme="majorHAnsi" w:cstheme="majorHAnsi"/>
          <w:sz w:val="24"/>
          <w:szCs w:val="24"/>
          <w:lang w:val="ro-MD"/>
        </w:rPr>
        <w:t>316)</w:t>
      </w:r>
      <w:r w:rsidRPr="00B13B9A">
        <w:rPr>
          <w:rFonts w:asciiTheme="majorHAnsi" w:hAnsiTheme="majorHAnsi" w:cstheme="majorHAnsi"/>
          <w:sz w:val="24"/>
          <w:szCs w:val="24"/>
          <w:lang w:val="ro-MD"/>
        </w:rPr>
        <w:t>.</w:t>
      </w:r>
    </w:p>
    <w:p w14:paraId="74D64F12" w14:textId="77777777" w:rsidR="00290F4E" w:rsidRPr="00B13B9A" w:rsidRDefault="00290F4E" w:rsidP="00290F4E">
      <w:pPr>
        <w:spacing w:after="0" w:line="276" w:lineRule="auto"/>
        <w:jc w:val="both"/>
        <w:rPr>
          <w:rFonts w:asciiTheme="majorHAnsi" w:hAnsiTheme="majorHAnsi" w:cstheme="majorHAnsi"/>
          <w:sz w:val="24"/>
          <w:szCs w:val="24"/>
          <w:lang w:val="ro-MD"/>
        </w:rPr>
      </w:pPr>
    </w:p>
    <w:p w14:paraId="5CA46B6F" w14:textId="523552DC" w:rsidR="004477EB" w:rsidRPr="00B13B9A" w:rsidRDefault="002403DB" w:rsidP="00945DDD">
      <w:pPr>
        <w:spacing w:after="0" w:line="276" w:lineRule="auto"/>
        <w:jc w:val="both"/>
        <w:rPr>
          <w:rFonts w:asciiTheme="majorHAnsi" w:eastAsia="Calibri" w:hAnsiTheme="majorHAnsi" w:cstheme="majorHAnsi"/>
          <w:sz w:val="24"/>
          <w:szCs w:val="24"/>
          <w:lang w:val="ro-MD"/>
        </w:rPr>
      </w:pPr>
      <w:r w:rsidRPr="00B13B9A">
        <w:rPr>
          <w:rFonts w:asciiTheme="majorHAnsi" w:eastAsia="Calibri" w:hAnsiTheme="majorHAnsi" w:cstheme="majorHAnsi"/>
          <w:sz w:val="24"/>
          <w:szCs w:val="24"/>
          <w:lang w:val="ro-MD"/>
        </w:rPr>
        <w:t xml:space="preserve">Ca urmare, </w:t>
      </w:r>
      <w:r w:rsidR="00945DDD" w:rsidRPr="00B13B9A">
        <w:rPr>
          <w:rFonts w:asciiTheme="majorHAnsi" w:eastAsia="Calibri" w:hAnsiTheme="majorHAnsi" w:cstheme="majorHAnsi"/>
          <w:sz w:val="24"/>
          <w:szCs w:val="24"/>
          <w:lang w:val="ro-MD"/>
        </w:rPr>
        <w:t>de</w:t>
      </w:r>
      <w:r w:rsidR="00B13B9A" w:rsidRPr="00B13B9A">
        <w:rPr>
          <w:rFonts w:asciiTheme="majorHAnsi" w:eastAsia="Calibri" w:hAnsiTheme="majorHAnsi" w:cstheme="majorHAnsi"/>
          <w:sz w:val="24"/>
          <w:szCs w:val="24"/>
          <w:lang w:val="ro-MD"/>
        </w:rPr>
        <w:t>ș</w:t>
      </w:r>
      <w:r w:rsidR="00945DDD" w:rsidRPr="00B13B9A">
        <w:rPr>
          <w:rFonts w:asciiTheme="majorHAnsi" w:eastAsia="Calibri" w:hAnsiTheme="majorHAnsi" w:cstheme="majorHAnsi"/>
          <w:sz w:val="24"/>
          <w:szCs w:val="24"/>
          <w:lang w:val="ro-MD"/>
        </w:rPr>
        <w:t xml:space="preserve">i în anul 2023 au fost efectuate </w:t>
      </w:r>
      <w:r w:rsidR="00AB3CDC" w:rsidRPr="00B13B9A">
        <w:rPr>
          <w:rFonts w:asciiTheme="majorHAnsi" w:eastAsia="Calibri" w:hAnsiTheme="majorHAnsi" w:cstheme="majorHAnsi"/>
          <w:sz w:val="24"/>
          <w:szCs w:val="24"/>
          <w:lang w:val="ro-MD"/>
        </w:rPr>
        <w:t>modificări</w:t>
      </w:r>
      <w:r w:rsidR="00945DDD" w:rsidRPr="00B13B9A">
        <w:rPr>
          <w:rFonts w:asciiTheme="majorHAnsi" w:eastAsia="Calibri" w:hAnsiTheme="majorHAnsi" w:cstheme="majorHAnsi"/>
          <w:sz w:val="24"/>
          <w:szCs w:val="24"/>
          <w:lang w:val="ro-MD"/>
        </w:rPr>
        <w:t xml:space="preserve"> la regulamentul de func</w:t>
      </w:r>
      <w:r w:rsidR="00B13B9A" w:rsidRPr="00B13B9A">
        <w:rPr>
          <w:rFonts w:asciiTheme="majorHAnsi" w:eastAsia="Calibri" w:hAnsiTheme="majorHAnsi" w:cstheme="majorHAnsi"/>
          <w:sz w:val="24"/>
          <w:szCs w:val="24"/>
          <w:lang w:val="ro-MD"/>
        </w:rPr>
        <w:t>ț</w:t>
      </w:r>
      <w:r w:rsidR="00945DDD" w:rsidRPr="00B13B9A">
        <w:rPr>
          <w:rFonts w:asciiTheme="majorHAnsi" w:eastAsia="Calibri" w:hAnsiTheme="majorHAnsi" w:cstheme="majorHAnsi"/>
          <w:sz w:val="24"/>
          <w:szCs w:val="24"/>
          <w:lang w:val="ro-MD"/>
        </w:rPr>
        <w:t xml:space="preserve">ionare a IMSP, </w:t>
      </w:r>
      <w:r w:rsidR="004E56D2" w:rsidRPr="00B13B9A">
        <w:rPr>
          <w:rFonts w:asciiTheme="majorHAnsi" w:eastAsia="Calibri" w:hAnsiTheme="majorHAnsi" w:cstheme="majorHAnsi"/>
          <w:sz w:val="24"/>
          <w:szCs w:val="24"/>
          <w:lang w:val="ro-MD"/>
        </w:rPr>
        <w:t xml:space="preserve">fiind exclusă prevederea referitor la capitalul social al IMSP, </w:t>
      </w:r>
      <w:r w:rsidR="00945DDD" w:rsidRPr="00B13B9A">
        <w:rPr>
          <w:rFonts w:asciiTheme="majorHAnsi" w:eastAsia="Calibri" w:hAnsiTheme="majorHAnsi" w:cstheme="majorHAnsi"/>
          <w:sz w:val="24"/>
          <w:szCs w:val="24"/>
          <w:lang w:val="ro-MD"/>
        </w:rPr>
        <w:t>fondatorul (Ministerul Sănătă</w:t>
      </w:r>
      <w:r w:rsidR="00B13B9A" w:rsidRPr="00B13B9A">
        <w:rPr>
          <w:rFonts w:asciiTheme="majorHAnsi" w:eastAsia="Calibri" w:hAnsiTheme="majorHAnsi" w:cstheme="majorHAnsi"/>
          <w:sz w:val="24"/>
          <w:szCs w:val="24"/>
          <w:lang w:val="ro-MD"/>
        </w:rPr>
        <w:t>ț</w:t>
      </w:r>
      <w:r w:rsidR="00945DDD" w:rsidRPr="00B13B9A">
        <w:rPr>
          <w:rFonts w:asciiTheme="majorHAnsi" w:eastAsia="Calibri" w:hAnsiTheme="majorHAnsi" w:cstheme="majorHAnsi"/>
          <w:sz w:val="24"/>
          <w:szCs w:val="24"/>
          <w:lang w:val="ro-MD"/>
        </w:rPr>
        <w:t xml:space="preserve">ii) nu a </w:t>
      </w:r>
      <w:r w:rsidR="004E56D2" w:rsidRPr="00B13B9A">
        <w:rPr>
          <w:rFonts w:asciiTheme="majorHAnsi" w:eastAsia="Calibri" w:hAnsiTheme="majorHAnsi" w:cstheme="majorHAnsi"/>
          <w:sz w:val="24"/>
          <w:szCs w:val="24"/>
          <w:lang w:val="ro-MD"/>
        </w:rPr>
        <w:t>indicat</w:t>
      </w:r>
      <w:r w:rsidR="00945DDD" w:rsidRPr="00B13B9A">
        <w:rPr>
          <w:rFonts w:asciiTheme="majorHAnsi" w:eastAsia="Calibri" w:hAnsiTheme="majorHAnsi" w:cstheme="majorHAnsi"/>
          <w:sz w:val="24"/>
          <w:szCs w:val="24"/>
          <w:lang w:val="ro-MD"/>
        </w:rPr>
        <w:t xml:space="preserve">  bunuril</w:t>
      </w:r>
      <w:r w:rsidR="004E56D2" w:rsidRPr="00B13B9A">
        <w:rPr>
          <w:rFonts w:asciiTheme="majorHAnsi" w:eastAsia="Calibri" w:hAnsiTheme="majorHAnsi" w:cstheme="majorHAnsi"/>
          <w:sz w:val="24"/>
          <w:szCs w:val="24"/>
          <w:lang w:val="ro-MD"/>
        </w:rPr>
        <w:t>e</w:t>
      </w:r>
      <w:r w:rsidR="00945DDD" w:rsidRPr="00B13B9A">
        <w:rPr>
          <w:rFonts w:asciiTheme="majorHAnsi" w:eastAsia="Calibri" w:hAnsiTheme="majorHAnsi" w:cstheme="majorHAnsi"/>
          <w:sz w:val="24"/>
          <w:szCs w:val="24"/>
          <w:lang w:val="ro-MD"/>
        </w:rPr>
        <w:t xml:space="preserve"> transmise în gestiune economică</w:t>
      </w:r>
      <w:r w:rsidR="004E56D2" w:rsidRPr="00B13B9A">
        <w:rPr>
          <w:rFonts w:asciiTheme="majorHAnsi" w:eastAsia="Calibri" w:hAnsiTheme="majorHAnsi" w:cstheme="majorHAnsi"/>
          <w:sz w:val="24"/>
          <w:szCs w:val="24"/>
          <w:lang w:val="ro-MD"/>
        </w:rPr>
        <w:t xml:space="preserve"> către IMSP</w:t>
      </w:r>
      <w:r w:rsidR="0092679F" w:rsidRPr="00B13B9A">
        <w:rPr>
          <w:rFonts w:asciiTheme="majorHAnsi" w:eastAsia="Calibri" w:hAnsiTheme="majorHAnsi" w:cstheme="majorHAnsi"/>
          <w:sz w:val="24"/>
          <w:szCs w:val="24"/>
          <w:lang w:val="ro-MD"/>
        </w:rPr>
        <w:t xml:space="preserve">, precum </w:t>
      </w:r>
      <w:r w:rsidR="00B13B9A" w:rsidRPr="00B13B9A">
        <w:rPr>
          <w:rFonts w:asciiTheme="majorHAnsi" w:eastAsia="Calibri" w:hAnsiTheme="majorHAnsi" w:cstheme="majorHAnsi"/>
          <w:sz w:val="24"/>
          <w:szCs w:val="24"/>
          <w:lang w:val="ro-MD"/>
        </w:rPr>
        <w:t>ș</w:t>
      </w:r>
      <w:r w:rsidR="0092679F" w:rsidRPr="00B13B9A">
        <w:rPr>
          <w:rFonts w:asciiTheme="majorHAnsi" w:eastAsia="Calibri" w:hAnsiTheme="majorHAnsi" w:cstheme="majorHAnsi"/>
          <w:sz w:val="24"/>
          <w:szCs w:val="24"/>
          <w:lang w:val="ro-MD"/>
        </w:rPr>
        <w:t>i nu a</w:t>
      </w:r>
      <w:r w:rsidR="004477EB" w:rsidRPr="00B13B9A">
        <w:rPr>
          <w:rFonts w:asciiTheme="majorHAnsi" w:eastAsia="Calibri" w:hAnsiTheme="majorHAnsi" w:cstheme="majorHAnsi"/>
          <w:sz w:val="24"/>
          <w:szCs w:val="24"/>
          <w:lang w:val="ro-MD"/>
        </w:rPr>
        <w:t xml:space="preserve"> efectuat ajustări</w:t>
      </w:r>
      <w:r w:rsidR="00E25854" w:rsidRPr="00B13B9A">
        <w:rPr>
          <w:rFonts w:asciiTheme="majorHAnsi" w:eastAsia="Calibri" w:hAnsiTheme="majorHAnsi" w:cstheme="majorHAnsi"/>
          <w:sz w:val="24"/>
          <w:szCs w:val="24"/>
          <w:lang w:val="ro-MD"/>
        </w:rPr>
        <w:t>le</w:t>
      </w:r>
      <w:r w:rsidR="004477EB" w:rsidRPr="00B13B9A">
        <w:rPr>
          <w:rFonts w:asciiTheme="majorHAnsi" w:eastAsia="Calibri" w:hAnsiTheme="majorHAnsi" w:cstheme="majorHAnsi"/>
          <w:sz w:val="24"/>
          <w:szCs w:val="24"/>
          <w:lang w:val="ro-MD"/>
        </w:rPr>
        <w:t xml:space="preserve"> </w:t>
      </w:r>
      <w:r w:rsidR="00ED0107" w:rsidRPr="00B13B9A">
        <w:rPr>
          <w:rFonts w:asciiTheme="majorHAnsi" w:eastAsia="Calibri" w:hAnsiTheme="majorHAnsi" w:cstheme="majorHAnsi"/>
          <w:sz w:val="24"/>
          <w:szCs w:val="24"/>
          <w:lang w:val="ro-MD"/>
        </w:rPr>
        <w:t xml:space="preserve">aferente </w:t>
      </w:r>
      <w:r w:rsidR="00E25854" w:rsidRPr="00B13B9A">
        <w:rPr>
          <w:rFonts w:asciiTheme="majorHAnsi" w:eastAsia="Calibri" w:hAnsiTheme="majorHAnsi" w:cstheme="majorHAnsi"/>
          <w:sz w:val="24"/>
          <w:szCs w:val="24"/>
          <w:lang w:val="ro-MD"/>
        </w:rPr>
        <w:t>eviden</w:t>
      </w:r>
      <w:r w:rsidR="00B13B9A" w:rsidRPr="00B13B9A">
        <w:rPr>
          <w:rFonts w:asciiTheme="majorHAnsi" w:eastAsia="Calibri" w:hAnsiTheme="majorHAnsi" w:cstheme="majorHAnsi"/>
          <w:sz w:val="24"/>
          <w:szCs w:val="24"/>
          <w:lang w:val="ro-MD"/>
        </w:rPr>
        <w:t>ț</w:t>
      </w:r>
      <w:r w:rsidR="00E25854" w:rsidRPr="00B13B9A">
        <w:rPr>
          <w:rFonts w:asciiTheme="majorHAnsi" w:eastAsia="Calibri" w:hAnsiTheme="majorHAnsi" w:cstheme="majorHAnsi"/>
          <w:sz w:val="24"/>
          <w:szCs w:val="24"/>
          <w:lang w:val="ro-MD"/>
        </w:rPr>
        <w:t>ei acestora</w:t>
      </w:r>
      <w:r w:rsidR="00ED0107" w:rsidRPr="00B13B9A">
        <w:rPr>
          <w:rFonts w:asciiTheme="majorHAnsi" w:eastAsia="Calibri" w:hAnsiTheme="majorHAnsi" w:cstheme="majorHAnsi"/>
          <w:sz w:val="24"/>
          <w:szCs w:val="24"/>
          <w:lang w:val="ro-MD"/>
        </w:rPr>
        <w:t>.</w:t>
      </w:r>
    </w:p>
    <w:p w14:paraId="2ABA71F1" w14:textId="4DAD073F" w:rsidR="004477EB" w:rsidRPr="00B13B9A" w:rsidRDefault="004477EB" w:rsidP="004477EB">
      <w:pPr>
        <w:spacing w:after="0" w:line="276" w:lineRule="auto"/>
        <w:jc w:val="both"/>
        <w:rPr>
          <w:rFonts w:asciiTheme="majorHAnsi" w:eastAsia="Calibri" w:hAnsiTheme="majorHAnsi" w:cstheme="majorHAnsi"/>
          <w:bCs/>
          <w:color w:val="0D0D0D" w:themeColor="text1" w:themeTint="F2"/>
          <w:sz w:val="24"/>
          <w:szCs w:val="24"/>
          <w:lang w:val="ro-MD"/>
        </w:rPr>
      </w:pPr>
      <w:r w:rsidRPr="00B13B9A">
        <w:rPr>
          <w:rFonts w:asciiTheme="majorHAnsi" w:eastAsia="Calibri" w:hAnsiTheme="majorHAnsi" w:cstheme="majorHAnsi"/>
          <w:sz w:val="24"/>
          <w:szCs w:val="24"/>
          <w:lang w:val="ro-MD"/>
        </w:rPr>
        <w:t>De asemenea, auditul constată că nu există documente confirmative privind componen</w:t>
      </w:r>
      <w:r w:rsidR="00B13B9A" w:rsidRPr="00B13B9A">
        <w:rPr>
          <w:rFonts w:asciiTheme="majorHAnsi" w:eastAsia="Calibri" w:hAnsiTheme="majorHAnsi" w:cstheme="majorHAnsi"/>
          <w:sz w:val="24"/>
          <w:szCs w:val="24"/>
          <w:lang w:val="ro-MD"/>
        </w:rPr>
        <w:t>ț</w:t>
      </w:r>
      <w:r w:rsidRPr="00B13B9A">
        <w:rPr>
          <w:rFonts w:asciiTheme="majorHAnsi" w:eastAsia="Calibri" w:hAnsiTheme="majorHAnsi" w:cstheme="majorHAnsi"/>
          <w:sz w:val="24"/>
          <w:szCs w:val="24"/>
          <w:lang w:val="ro-MD"/>
        </w:rPr>
        <w:t xml:space="preserve">a capitalului social al IMSP </w:t>
      </w:r>
      <w:r w:rsidR="00F31425" w:rsidRPr="00B13B9A">
        <w:rPr>
          <w:rFonts w:asciiTheme="majorHAnsi" w:eastAsia="Calibri" w:hAnsiTheme="majorHAnsi" w:cstheme="majorHAnsi"/>
          <w:sz w:val="24"/>
          <w:szCs w:val="24"/>
          <w:lang w:val="ro-MD"/>
        </w:rPr>
        <w:t xml:space="preserve">IFP </w:t>
      </w:r>
      <w:r w:rsidR="00F31425" w:rsidRPr="00B13B9A">
        <w:rPr>
          <w:rFonts w:asciiTheme="majorHAnsi" w:hAnsiTheme="majorHAnsi" w:cstheme="majorHAnsi"/>
          <w:sz w:val="24"/>
          <w:szCs w:val="24"/>
          <w:lang w:val="ro-MD"/>
        </w:rPr>
        <w:t>„Chiril Draganiuc”</w:t>
      </w:r>
      <w:r w:rsidRPr="00B13B9A">
        <w:rPr>
          <w:rFonts w:asciiTheme="majorHAnsi" w:eastAsia="Calibri" w:hAnsiTheme="majorHAnsi" w:cstheme="majorHAnsi"/>
          <w:sz w:val="24"/>
          <w:szCs w:val="24"/>
          <w:lang w:val="ro-MD"/>
        </w:rPr>
        <w:t xml:space="preserve">. </w:t>
      </w:r>
      <w:r w:rsidRPr="00B13B9A">
        <w:rPr>
          <w:rFonts w:asciiTheme="majorHAnsi" w:eastAsia="Calibri" w:hAnsiTheme="majorHAnsi" w:cstheme="majorHAnsi"/>
          <w:bCs/>
          <w:color w:val="0D0D0D" w:themeColor="text1" w:themeTint="F2"/>
          <w:sz w:val="24"/>
          <w:szCs w:val="24"/>
          <w:lang w:val="ro-MD"/>
        </w:rPr>
        <w:t>Mai mult dec</w:t>
      </w:r>
      <w:r w:rsidR="008048A3" w:rsidRPr="00B13B9A">
        <w:rPr>
          <w:rFonts w:asciiTheme="majorHAnsi" w:eastAsia="Calibri" w:hAnsiTheme="majorHAnsi" w:cstheme="majorHAnsi"/>
          <w:bCs/>
          <w:color w:val="0D0D0D" w:themeColor="text1" w:themeTint="F2"/>
          <w:sz w:val="24"/>
          <w:szCs w:val="24"/>
          <w:lang w:val="ro-MD"/>
        </w:rPr>
        <w:t>ât atâ</w:t>
      </w:r>
      <w:r w:rsidRPr="00B13B9A">
        <w:rPr>
          <w:rFonts w:asciiTheme="majorHAnsi" w:eastAsia="Calibri" w:hAnsiTheme="majorHAnsi" w:cstheme="majorHAnsi"/>
          <w:bCs/>
          <w:color w:val="0D0D0D" w:themeColor="text1" w:themeTint="F2"/>
          <w:sz w:val="24"/>
          <w:szCs w:val="24"/>
          <w:lang w:val="ro-MD"/>
        </w:rPr>
        <w:t>t, la absorb</w:t>
      </w:r>
      <w:r w:rsidR="00B13B9A" w:rsidRPr="00B13B9A">
        <w:rPr>
          <w:rFonts w:asciiTheme="majorHAnsi" w:eastAsia="Calibri" w:hAnsiTheme="majorHAnsi" w:cstheme="majorHAnsi"/>
          <w:bCs/>
          <w:color w:val="0D0D0D" w:themeColor="text1" w:themeTint="F2"/>
          <w:sz w:val="24"/>
          <w:szCs w:val="24"/>
          <w:lang w:val="ro-MD"/>
        </w:rPr>
        <w:t>ț</w:t>
      </w:r>
      <w:r w:rsidRPr="00B13B9A">
        <w:rPr>
          <w:rFonts w:asciiTheme="majorHAnsi" w:eastAsia="Calibri" w:hAnsiTheme="majorHAnsi" w:cstheme="majorHAnsi"/>
          <w:bCs/>
          <w:color w:val="0D0D0D" w:themeColor="text1" w:themeTint="F2"/>
          <w:sz w:val="24"/>
          <w:szCs w:val="24"/>
          <w:lang w:val="ro-MD"/>
        </w:rPr>
        <w:t>ia clinicii Vorniceni în anul 2012, în contractul de fuziune</w:t>
      </w:r>
      <w:r w:rsidR="00352525" w:rsidRPr="00352525">
        <w:rPr>
          <w:lang w:val="ro-MD"/>
        </w:rPr>
        <w:t xml:space="preserve"> </w:t>
      </w:r>
      <w:r w:rsidR="00352525" w:rsidRPr="00352525">
        <w:rPr>
          <w:rFonts w:asciiTheme="majorHAnsi" w:eastAsia="Calibri" w:hAnsiTheme="majorHAnsi" w:cstheme="majorHAnsi"/>
          <w:bCs/>
          <w:color w:val="0D0D0D" w:themeColor="text1" w:themeTint="F2"/>
          <w:sz w:val="24"/>
          <w:szCs w:val="24"/>
          <w:lang w:val="ro-MD"/>
        </w:rPr>
        <w:t>prin absorbție din 17.01.2012</w:t>
      </w:r>
      <w:r w:rsidRPr="00B13B9A">
        <w:rPr>
          <w:rFonts w:asciiTheme="majorHAnsi" w:eastAsia="Calibri" w:hAnsiTheme="majorHAnsi" w:cstheme="majorHAnsi"/>
          <w:bCs/>
          <w:color w:val="0D0D0D" w:themeColor="text1" w:themeTint="F2"/>
          <w:sz w:val="24"/>
          <w:szCs w:val="24"/>
          <w:lang w:val="ro-MD"/>
        </w:rPr>
        <w:t xml:space="preserve"> este men</w:t>
      </w:r>
      <w:r w:rsidR="00B13B9A" w:rsidRPr="00B13B9A">
        <w:rPr>
          <w:rFonts w:asciiTheme="majorHAnsi" w:eastAsia="Calibri" w:hAnsiTheme="majorHAnsi" w:cstheme="majorHAnsi"/>
          <w:bCs/>
          <w:color w:val="0D0D0D" w:themeColor="text1" w:themeTint="F2"/>
          <w:sz w:val="24"/>
          <w:szCs w:val="24"/>
          <w:lang w:val="ro-MD"/>
        </w:rPr>
        <w:t>ț</w:t>
      </w:r>
      <w:r w:rsidRPr="00B13B9A">
        <w:rPr>
          <w:rFonts w:asciiTheme="majorHAnsi" w:eastAsia="Calibri" w:hAnsiTheme="majorHAnsi" w:cstheme="majorHAnsi"/>
          <w:bCs/>
          <w:color w:val="0D0D0D" w:themeColor="text1" w:themeTint="F2"/>
          <w:sz w:val="24"/>
          <w:szCs w:val="24"/>
          <w:lang w:val="ro-MD"/>
        </w:rPr>
        <w:t xml:space="preserve">ionată mărimea capitalului social în </w:t>
      </w:r>
      <w:r w:rsidR="004F6906" w:rsidRPr="00B13B9A">
        <w:rPr>
          <w:rFonts w:asciiTheme="majorHAnsi" w:eastAsia="Calibri" w:hAnsiTheme="majorHAnsi" w:cstheme="majorHAnsi"/>
          <w:bCs/>
          <w:color w:val="0D0D0D" w:themeColor="text1" w:themeTint="F2"/>
          <w:sz w:val="24"/>
          <w:szCs w:val="24"/>
          <w:lang w:val="ro-MD"/>
        </w:rPr>
        <w:t>sumă</w:t>
      </w:r>
      <w:r w:rsidRPr="00B13B9A">
        <w:rPr>
          <w:rFonts w:asciiTheme="majorHAnsi" w:eastAsia="Calibri" w:hAnsiTheme="majorHAnsi" w:cstheme="majorHAnsi"/>
          <w:bCs/>
          <w:color w:val="0D0D0D" w:themeColor="text1" w:themeTint="F2"/>
          <w:sz w:val="24"/>
          <w:szCs w:val="24"/>
          <w:lang w:val="ro-MD"/>
        </w:rPr>
        <w:t xml:space="preserve"> de 73 814,5 mii lei</w:t>
      </w:r>
      <w:r w:rsidR="008048A3" w:rsidRPr="00B13B9A">
        <w:rPr>
          <w:rFonts w:asciiTheme="majorHAnsi" w:eastAsia="Calibri" w:hAnsiTheme="majorHAnsi" w:cstheme="majorHAnsi"/>
          <w:bCs/>
          <w:color w:val="0D0D0D" w:themeColor="text1" w:themeTint="F2"/>
          <w:sz w:val="24"/>
          <w:szCs w:val="24"/>
          <w:lang w:val="ro-MD"/>
        </w:rPr>
        <w:t>,</w:t>
      </w:r>
      <w:r w:rsidRPr="00B13B9A">
        <w:rPr>
          <w:rFonts w:asciiTheme="majorHAnsi" w:eastAsia="Calibri" w:hAnsiTheme="majorHAnsi" w:cstheme="majorHAnsi"/>
          <w:bCs/>
          <w:color w:val="0D0D0D" w:themeColor="text1" w:themeTint="F2"/>
          <w:sz w:val="24"/>
          <w:szCs w:val="24"/>
          <w:lang w:val="ro-MD"/>
        </w:rPr>
        <w:t xml:space="preserve"> fără divizarea propor</w:t>
      </w:r>
      <w:r w:rsidR="00B13B9A" w:rsidRPr="00B13B9A">
        <w:rPr>
          <w:rFonts w:asciiTheme="majorHAnsi" w:eastAsia="Calibri" w:hAnsiTheme="majorHAnsi" w:cstheme="majorHAnsi"/>
          <w:bCs/>
          <w:color w:val="0D0D0D" w:themeColor="text1" w:themeTint="F2"/>
          <w:sz w:val="24"/>
          <w:szCs w:val="24"/>
          <w:lang w:val="ro-MD"/>
        </w:rPr>
        <w:t>ț</w:t>
      </w:r>
      <w:r w:rsidRPr="00B13B9A">
        <w:rPr>
          <w:rFonts w:asciiTheme="majorHAnsi" w:eastAsia="Calibri" w:hAnsiTheme="majorHAnsi" w:cstheme="majorHAnsi"/>
          <w:bCs/>
          <w:color w:val="0D0D0D" w:themeColor="text1" w:themeTint="F2"/>
          <w:sz w:val="24"/>
          <w:szCs w:val="24"/>
          <w:lang w:val="ro-MD"/>
        </w:rPr>
        <w:t>iei care revine institu</w:t>
      </w:r>
      <w:r w:rsidR="00B13B9A" w:rsidRPr="00B13B9A">
        <w:rPr>
          <w:rFonts w:asciiTheme="majorHAnsi" w:eastAsia="Calibri" w:hAnsiTheme="majorHAnsi" w:cstheme="majorHAnsi"/>
          <w:bCs/>
          <w:color w:val="0D0D0D" w:themeColor="text1" w:themeTint="F2"/>
          <w:sz w:val="24"/>
          <w:szCs w:val="24"/>
          <w:lang w:val="ro-MD"/>
        </w:rPr>
        <w:t>ț</w:t>
      </w:r>
      <w:r w:rsidRPr="00B13B9A">
        <w:rPr>
          <w:rFonts w:asciiTheme="majorHAnsi" w:eastAsia="Calibri" w:hAnsiTheme="majorHAnsi" w:cstheme="majorHAnsi"/>
          <w:bCs/>
          <w:color w:val="0D0D0D" w:themeColor="text1" w:themeTint="F2"/>
          <w:sz w:val="24"/>
          <w:szCs w:val="24"/>
          <w:lang w:val="ro-MD"/>
        </w:rPr>
        <w:t xml:space="preserve">iei absorbante (IMSP IFP </w:t>
      </w:r>
      <w:r w:rsidR="00F31425" w:rsidRPr="00B13B9A">
        <w:rPr>
          <w:rFonts w:asciiTheme="majorHAnsi" w:hAnsiTheme="majorHAnsi" w:cstheme="majorHAnsi"/>
          <w:sz w:val="24"/>
          <w:szCs w:val="24"/>
          <w:lang w:val="ro-MD"/>
        </w:rPr>
        <w:t>„Chiril Draganiuc”</w:t>
      </w:r>
      <w:r w:rsidRPr="00B13B9A">
        <w:rPr>
          <w:rFonts w:asciiTheme="majorHAnsi" w:eastAsia="Calibri" w:hAnsiTheme="majorHAnsi" w:cstheme="majorHAnsi"/>
          <w:bCs/>
          <w:color w:val="0D0D0D" w:themeColor="text1" w:themeTint="F2"/>
          <w:sz w:val="24"/>
          <w:szCs w:val="24"/>
          <w:lang w:val="ro-MD"/>
        </w:rPr>
        <w:t xml:space="preserve">) </w:t>
      </w:r>
      <w:r w:rsidR="00B13B9A" w:rsidRPr="00B13B9A">
        <w:rPr>
          <w:rFonts w:asciiTheme="majorHAnsi" w:eastAsia="Calibri" w:hAnsiTheme="majorHAnsi" w:cstheme="majorHAnsi"/>
          <w:bCs/>
          <w:color w:val="0D0D0D" w:themeColor="text1" w:themeTint="F2"/>
          <w:sz w:val="24"/>
          <w:szCs w:val="24"/>
          <w:lang w:val="ro-MD"/>
        </w:rPr>
        <w:t>ș</w:t>
      </w:r>
      <w:r w:rsidRPr="00B13B9A">
        <w:rPr>
          <w:rFonts w:asciiTheme="majorHAnsi" w:eastAsia="Calibri" w:hAnsiTheme="majorHAnsi" w:cstheme="majorHAnsi"/>
          <w:bCs/>
          <w:color w:val="0D0D0D" w:themeColor="text1" w:themeTint="F2"/>
          <w:sz w:val="24"/>
          <w:szCs w:val="24"/>
          <w:lang w:val="ro-MD"/>
        </w:rPr>
        <w:t>i ce</w:t>
      </w:r>
      <w:r w:rsidR="004F6906" w:rsidRPr="00B13B9A">
        <w:rPr>
          <w:rFonts w:asciiTheme="majorHAnsi" w:eastAsia="Calibri" w:hAnsiTheme="majorHAnsi" w:cstheme="majorHAnsi"/>
          <w:bCs/>
          <w:color w:val="0D0D0D" w:themeColor="text1" w:themeTint="F2"/>
          <w:sz w:val="24"/>
          <w:szCs w:val="24"/>
          <w:lang w:val="ro-MD"/>
        </w:rPr>
        <w:t>lei</w:t>
      </w:r>
      <w:r w:rsidRPr="00B13B9A">
        <w:rPr>
          <w:rFonts w:asciiTheme="majorHAnsi" w:eastAsia="Calibri" w:hAnsiTheme="majorHAnsi" w:cstheme="majorHAnsi"/>
          <w:bCs/>
          <w:color w:val="0D0D0D" w:themeColor="text1" w:themeTint="F2"/>
          <w:sz w:val="24"/>
          <w:szCs w:val="24"/>
          <w:lang w:val="ro-MD"/>
        </w:rPr>
        <w:t xml:space="preserve"> absorbit</w:t>
      </w:r>
      <w:r w:rsidR="004F6906" w:rsidRPr="00B13B9A">
        <w:rPr>
          <w:rFonts w:asciiTheme="majorHAnsi" w:eastAsia="Calibri" w:hAnsiTheme="majorHAnsi" w:cstheme="majorHAnsi"/>
          <w:bCs/>
          <w:color w:val="0D0D0D" w:themeColor="text1" w:themeTint="F2"/>
          <w:sz w:val="24"/>
          <w:szCs w:val="24"/>
          <w:lang w:val="ro-MD"/>
        </w:rPr>
        <w:t>e</w:t>
      </w:r>
      <w:r w:rsidR="008048A3" w:rsidRPr="00B13B9A">
        <w:rPr>
          <w:rFonts w:asciiTheme="majorHAnsi" w:eastAsia="Calibri" w:hAnsiTheme="majorHAnsi" w:cstheme="majorHAnsi"/>
          <w:bCs/>
          <w:color w:val="0D0D0D" w:themeColor="text1" w:themeTint="F2"/>
          <w:sz w:val="24"/>
          <w:szCs w:val="24"/>
          <w:lang w:val="ro-MD"/>
        </w:rPr>
        <w:t xml:space="preserve"> </w:t>
      </w:r>
      <w:r w:rsidRPr="00B13B9A">
        <w:rPr>
          <w:rFonts w:asciiTheme="majorHAnsi" w:eastAsia="Calibri" w:hAnsiTheme="majorHAnsi" w:cstheme="majorHAnsi"/>
          <w:bCs/>
          <w:color w:val="0D0D0D" w:themeColor="text1" w:themeTint="F2"/>
          <w:sz w:val="24"/>
          <w:szCs w:val="24"/>
          <w:lang w:val="ro-MD"/>
        </w:rPr>
        <w:t>(clinica Vorniceni).</w:t>
      </w:r>
    </w:p>
    <w:p w14:paraId="4DB2049D" w14:textId="61C10AF3" w:rsidR="004477EB" w:rsidRPr="00B13B9A" w:rsidRDefault="004477EB" w:rsidP="004477EB">
      <w:pPr>
        <w:spacing w:after="0" w:line="276" w:lineRule="auto"/>
        <w:jc w:val="both"/>
        <w:rPr>
          <w:rFonts w:asciiTheme="majorHAnsi" w:eastAsia="Calibri" w:hAnsiTheme="majorHAnsi" w:cstheme="majorHAnsi"/>
          <w:sz w:val="24"/>
          <w:szCs w:val="24"/>
          <w:lang w:val="ro-MD"/>
        </w:rPr>
      </w:pPr>
      <w:r w:rsidRPr="00B13B9A">
        <w:rPr>
          <w:rFonts w:asciiTheme="majorHAnsi" w:eastAsia="Calibri" w:hAnsiTheme="majorHAnsi" w:cstheme="majorHAnsi"/>
          <w:bCs/>
          <w:color w:val="0D0D0D" w:themeColor="text1" w:themeTint="F2"/>
          <w:sz w:val="24"/>
          <w:szCs w:val="24"/>
          <w:lang w:val="ro-MD"/>
        </w:rPr>
        <w:t xml:space="preserve">Nefinalizarea procesului de delimitare a bunurilor imobile </w:t>
      </w:r>
      <w:r w:rsidR="00B13B9A" w:rsidRPr="00B13B9A">
        <w:rPr>
          <w:rFonts w:asciiTheme="majorHAnsi" w:eastAsia="Calibri" w:hAnsiTheme="majorHAnsi" w:cstheme="majorHAnsi"/>
          <w:bCs/>
          <w:color w:val="0D0D0D" w:themeColor="text1" w:themeTint="F2"/>
          <w:sz w:val="24"/>
          <w:szCs w:val="24"/>
          <w:lang w:val="ro-MD"/>
        </w:rPr>
        <w:t>ș</w:t>
      </w:r>
      <w:r w:rsidRPr="00B13B9A">
        <w:rPr>
          <w:rFonts w:asciiTheme="majorHAnsi" w:eastAsia="Calibri" w:hAnsiTheme="majorHAnsi" w:cstheme="majorHAnsi"/>
          <w:bCs/>
          <w:color w:val="0D0D0D" w:themeColor="text1" w:themeTint="F2"/>
          <w:sz w:val="24"/>
          <w:szCs w:val="24"/>
          <w:lang w:val="ro-MD"/>
        </w:rPr>
        <w:t xml:space="preserve">i neîntocmirea de către MS (fondator al IMSP) </w:t>
      </w:r>
      <w:r w:rsidR="00B13B9A" w:rsidRPr="00B13B9A">
        <w:rPr>
          <w:rFonts w:asciiTheme="majorHAnsi" w:eastAsia="Calibri" w:hAnsiTheme="majorHAnsi" w:cstheme="majorHAnsi"/>
          <w:bCs/>
          <w:color w:val="0D0D0D" w:themeColor="text1" w:themeTint="F2"/>
          <w:sz w:val="24"/>
          <w:szCs w:val="24"/>
          <w:lang w:val="ro-MD"/>
        </w:rPr>
        <w:t>ș</w:t>
      </w:r>
      <w:r w:rsidRPr="00B13B9A">
        <w:rPr>
          <w:rFonts w:asciiTheme="majorHAnsi" w:eastAsia="Calibri" w:hAnsiTheme="majorHAnsi" w:cstheme="majorHAnsi"/>
          <w:bCs/>
          <w:color w:val="0D0D0D" w:themeColor="text1" w:themeTint="F2"/>
          <w:sz w:val="24"/>
          <w:szCs w:val="24"/>
          <w:lang w:val="ro-MD"/>
        </w:rPr>
        <w:t xml:space="preserve">i APP (administrator al terenurilor) a contractelor de comodat </w:t>
      </w:r>
      <w:r w:rsidR="003A601C" w:rsidRPr="00B13B9A">
        <w:rPr>
          <w:rFonts w:asciiTheme="majorHAnsi" w:eastAsia="Calibri" w:hAnsiTheme="majorHAnsi" w:cstheme="majorHAnsi"/>
          <w:bCs/>
          <w:color w:val="0D0D0D" w:themeColor="text1" w:themeTint="F2"/>
          <w:sz w:val="24"/>
          <w:szCs w:val="24"/>
          <w:lang w:val="ro-MD"/>
        </w:rPr>
        <w:t>privind</w:t>
      </w:r>
      <w:r w:rsidRPr="00B13B9A">
        <w:rPr>
          <w:rFonts w:asciiTheme="majorHAnsi" w:eastAsia="Calibri" w:hAnsiTheme="majorHAnsi" w:cstheme="majorHAnsi"/>
          <w:bCs/>
          <w:color w:val="0D0D0D" w:themeColor="text1" w:themeTint="F2"/>
          <w:sz w:val="24"/>
          <w:szCs w:val="24"/>
          <w:lang w:val="ro-MD"/>
        </w:rPr>
        <w:t xml:space="preserve"> tr</w:t>
      </w:r>
      <w:r w:rsidR="008048A3" w:rsidRPr="00B13B9A">
        <w:rPr>
          <w:rFonts w:asciiTheme="majorHAnsi" w:eastAsia="Calibri" w:hAnsiTheme="majorHAnsi" w:cstheme="majorHAnsi"/>
          <w:bCs/>
          <w:color w:val="0D0D0D" w:themeColor="text1" w:themeTint="F2"/>
          <w:sz w:val="24"/>
          <w:szCs w:val="24"/>
          <w:lang w:val="ro-MD"/>
        </w:rPr>
        <w:t>ansmitere</w:t>
      </w:r>
      <w:r w:rsidR="003A601C" w:rsidRPr="00B13B9A">
        <w:rPr>
          <w:rFonts w:asciiTheme="majorHAnsi" w:eastAsia="Calibri" w:hAnsiTheme="majorHAnsi" w:cstheme="majorHAnsi"/>
          <w:bCs/>
          <w:color w:val="0D0D0D" w:themeColor="text1" w:themeTint="F2"/>
          <w:sz w:val="24"/>
          <w:szCs w:val="24"/>
          <w:lang w:val="ro-MD"/>
        </w:rPr>
        <w:t>a</w:t>
      </w:r>
      <w:r w:rsidR="008048A3" w:rsidRPr="00B13B9A">
        <w:rPr>
          <w:rFonts w:asciiTheme="majorHAnsi" w:eastAsia="Calibri" w:hAnsiTheme="majorHAnsi" w:cstheme="majorHAnsi"/>
          <w:bCs/>
          <w:color w:val="0D0D0D" w:themeColor="text1" w:themeTint="F2"/>
          <w:sz w:val="24"/>
          <w:szCs w:val="24"/>
          <w:lang w:val="ro-MD"/>
        </w:rPr>
        <w:t xml:space="preserve"> în gestiune economică</w:t>
      </w:r>
      <w:r w:rsidRPr="00B13B9A">
        <w:rPr>
          <w:rFonts w:asciiTheme="majorHAnsi" w:eastAsia="Calibri" w:hAnsiTheme="majorHAnsi" w:cstheme="majorHAnsi"/>
          <w:bCs/>
          <w:color w:val="0D0D0D" w:themeColor="text1" w:themeTint="F2"/>
          <w:sz w:val="24"/>
          <w:szCs w:val="24"/>
          <w:lang w:val="ro-MD"/>
        </w:rPr>
        <w:t xml:space="preserve"> IMSP a patrimoniului </w:t>
      </w:r>
      <w:r w:rsidR="00ED795E">
        <w:rPr>
          <w:rFonts w:asciiTheme="majorHAnsi" w:eastAsia="Calibri" w:hAnsiTheme="majorHAnsi" w:cstheme="majorHAnsi"/>
          <w:bCs/>
          <w:color w:val="0D0D0D" w:themeColor="text1" w:themeTint="F2"/>
          <w:sz w:val="24"/>
          <w:szCs w:val="24"/>
          <w:lang w:val="ro-MD"/>
        </w:rPr>
        <w:t xml:space="preserve">proprietate </w:t>
      </w:r>
      <w:r w:rsidRPr="00B13B9A">
        <w:rPr>
          <w:rFonts w:asciiTheme="majorHAnsi" w:eastAsia="Calibri" w:hAnsiTheme="majorHAnsi" w:cstheme="majorHAnsi"/>
          <w:bCs/>
          <w:color w:val="0D0D0D" w:themeColor="text1" w:themeTint="F2"/>
          <w:sz w:val="24"/>
          <w:szCs w:val="24"/>
          <w:lang w:val="ro-MD"/>
        </w:rPr>
        <w:t xml:space="preserve">de stat din domeniul public, </w:t>
      </w:r>
      <w:r w:rsidR="008048A3" w:rsidRPr="00B13B9A">
        <w:rPr>
          <w:rFonts w:asciiTheme="majorHAnsi" w:eastAsia="Calibri" w:hAnsiTheme="majorHAnsi" w:cstheme="majorHAnsi"/>
          <w:sz w:val="24"/>
          <w:szCs w:val="24"/>
          <w:lang w:val="ro-MD"/>
        </w:rPr>
        <w:t>nu oferă date exacte aferente</w:t>
      </w:r>
      <w:r w:rsidRPr="00B13B9A">
        <w:rPr>
          <w:rFonts w:asciiTheme="majorHAnsi" w:eastAsia="Calibri" w:hAnsiTheme="majorHAnsi" w:cstheme="majorHAnsi"/>
          <w:sz w:val="24"/>
          <w:szCs w:val="24"/>
          <w:lang w:val="ro-MD"/>
        </w:rPr>
        <w:t xml:space="preserve"> opera</w:t>
      </w:r>
      <w:r w:rsidR="00B13B9A" w:rsidRPr="00B13B9A">
        <w:rPr>
          <w:rFonts w:asciiTheme="majorHAnsi" w:eastAsia="Calibri" w:hAnsiTheme="majorHAnsi" w:cstheme="majorHAnsi"/>
          <w:sz w:val="24"/>
          <w:szCs w:val="24"/>
          <w:lang w:val="ro-MD"/>
        </w:rPr>
        <w:t>ț</w:t>
      </w:r>
      <w:r w:rsidRPr="00B13B9A">
        <w:rPr>
          <w:rFonts w:asciiTheme="majorHAnsi" w:eastAsia="Calibri" w:hAnsiTheme="majorHAnsi" w:cstheme="majorHAnsi"/>
          <w:sz w:val="24"/>
          <w:szCs w:val="24"/>
          <w:lang w:val="ro-MD"/>
        </w:rPr>
        <w:t xml:space="preserve">iunilor economice </w:t>
      </w:r>
      <w:r w:rsidR="003A601C" w:rsidRPr="00B13B9A">
        <w:rPr>
          <w:rFonts w:asciiTheme="majorHAnsi" w:eastAsia="Calibri" w:hAnsiTheme="majorHAnsi" w:cstheme="majorHAnsi"/>
          <w:sz w:val="24"/>
          <w:szCs w:val="24"/>
          <w:lang w:val="ro-MD"/>
        </w:rPr>
        <w:t xml:space="preserve">cu </w:t>
      </w:r>
      <w:r w:rsidR="008048A3" w:rsidRPr="00B13B9A">
        <w:rPr>
          <w:rFonts w:asciiTheme="majorHAnsi" w:eastAsia="Calibri" w:hAnsiTheme="majorHAnsi" w:cstheme="majorHAnsi"/>
          <w:sz w:val="24"/>
          <w:szCs w:val="24"/>
          <w:lang w:val="ro-MD"/>
        </w:rPr>
        <w:t>privi</w:t>
      </w:r>
      <w:r w:rsidR="003A601C" w:rsidRPr="00B13B9A">
        <w:rPr>
          <w:rFonts w:asciiTheme="majorHAnsi" w:eastAsia="Calibri" w:hAnsiTheme="majorHAnsi" w:cstheme="majorHAnsi"/>
          <w:sz w:val="24"/>
          <w:szCs w:val="24"/>
          <w:lang w:val="ro-MD"/>
        </w:rPr>
        <w:t>re la</w:t>
      </w:r>
      <w:r w:rsidR="008048A3" w:rsidRPr="00B13B9A">
        <w:rPr>
          <w:rFonts w:asciiTheme="majorHAnsi" w:eastAsia="Calibri" w:hAnsiTheme="majorHAnsi" w:cstheme="majorHAnsi"/>
          <w:sz w:val="24"/>
          <w:szCs w:val="24"/>
          <w:lang w:val="ro-MD"/>
        </w:rPr>
        <w:t xml:space="preserve"> </w:t>
      </w:r>
      <w:r w:rsidRPr="00B13B9A">
        <w:rPr>
          <w:rFonts w:asciiTheme="majorHAnsi" w:eastAsia="Calibri" w:hAnsiTheme="majorHAnsi" w:cstheme="majorHAnsi"/>
          <w:sz w:val="24"/>
          <w:szCs w:val="24"/>
          <w:lang w:val="ro-MD"/>
        </w:rPr>
        <w:t>Datorii</w:t>
      </w:r>
      <w:r w:rsidR="008048A3" w:rsidRPr="00B13B9A">
        <w:rPr>
          <w:rFonts w:asciiTheme="majorHAnsi" w:eastAsia="Calibri" w:hAnsiTheme="majorHAnsi" w:cstheme="majorHAnsi"/>
          <w:sz w:val="24"/>
          <w:szCs w:val="24"/>
          <w:lang w:val="ro-MD"/>
        </w:rPr>
        <w:t>le</w:t>
      </w:r>
      <w:r w:rsidRPr="00B13B9A">
        <w:rPr>
          <w:rFonts w:asciiTheme="majorHAnsi" w:eastAsia="Calibri" w:hAnsiTheme="majorHAnsi" w:cstheme="majorHAnsi"/>
          <w:sz w:val="24"/>
          <w:szCs w:val="24"/>
          <w:lang w:val="ro-MD"/>
        </w:rPr>
        <w:t xml:space="preserve"> </w:t>
      </w:r>
      <w:r w:rsidR="008048A3" w:rsidRPr="00B13B9A">
        <w:rPr>
          <w:rFonts w:asciiTheme="majorHAnsi" w:eastAsia="Calibri" w:hAnsiTheme="majorHAnsi" w:cstheme="majorHAnsi"/>
          <w:sz w:val="24"/>
          <w:szCs w:val="24"/>
          <w:lang w:val="ro-MD"/>
        </w:rPr>
        <w:t xml:space="preserve">pe termen lung privind bunurile primite în gestiune economică </w:t>
      </w:r>
      <w:r w:rsidR="00B13B9A" w:rsidRPr="00B13B9A">
        <w:rPr>
          <w:rFonts w:asciiTheme="majorHAnsi" w:eastAsia="Calibri" w:hAnsiTheme="majorHAnsi" w:cstheme="majorHAnsi"/>
          <w:sz w:val="24"/>
          <w:szCs w:val="24"/>
          <w:lang w:val="ro-MD"/>
        </w:rPr>
        <w:t>ș</w:t>
      </w:r>
      <w:r w:rsidR="008048A3" w:rsidRPr="00B13B9A">
        <w:rPr>
          <w:rFonts w:asciiTheme="majorHAnsi" w:eastAsia="Calibri" w:hAnsiTheme="majorHAnsi" w:cstheme="majorHAnsi"/>
          <w:sz w:val="24"/>
          <w:szCs w:val="24"/>
          <w:lang w:val="ro-MD"/>
        </w:rPr>
        <w:t xml:space="preserve">i </w:t>
      </w:r>
      <w:r w:rsidR="00ED795E">
        <w:rPr>
          <w:rFonts w:asciiTheme="majorHAnsi" w:eastAsia="Calibri" w:hAnsiTheme="majorHAnsi" w:cstheme="majorHAnsi"/>
          <w:sz w:val="24"/>
          <w:szCs w:val="24"/>
          <w:lang w:val="ro-MD"/>
        </w:rPr>
        <w:t xml:space="preserve">privind </w:t>
      </w:r>
      <w:r w:rsidRPr="00B13B9A">
        <w:rPr>
          <w:rFonts w:asciiTheme="majorHAnsi" w:eastAsia="Calibri" w:hAnsiTheme="majorHAnsi" w:cstheme="majorHAnsi"/>
          <w:sz w:val="24"/>
          <w:szCs w:val="24"/>
          <w:lang w:val="ro-MD"/>
        </w:rPr>
        <w:t xml:space="preserve">Patrimoniul primit de </w:t>
      </w:r>
      <w:r w:rsidR="008048A3" w:rsidRPr="00B13B9A">
        <w:rPr>
          <w:rFonts w:asciiTheme="majorHAnsi" w:eastAsia="Calibri" w:hAnsiTheme="majorHAnsi" w:cstheme="majorHAnsi"/>
          <w:sz w:val="24"/>
          <w:szCs w:val="24"/>
          <w:lang w:val="ro-MD"/>
        </w:rPr>
        <w:t>la stat cu drept de proprietate</w:t>
      </w:r>
      <w:r w:rsidRPr="00B13B9A">
        <w:rPr>
          <w:rFonts w:asciiTheme="majorHAnsi" w:eastAsia="Calibri" w:hAnsiTheme="majorHAnsi" w:cstheme="majorHAnsi"/>
          <w:sz w:val="24"/>
          <w:szCs w:val="24"/>
          <w:lang w:val="ro-MD"/>
        </w:rPr>
        <w:t>.</w:t>
      </w:r>
    </w:p>
    <w:p w14:paraId="4167E19D" w14:textId="0CE016F0" w:rsidR="009708AE" w:rsidRPr="00B13B9A" w:rsidRDefault="002820A9" w:rsidP="00E220FF">
      <w:pPr>
        <w:pStyle w:val="Default"/>
        <w:spacing w:line="276" w:lineRule="auto"/>
        <w:jc w:val="both"/>
        <w:rPr>
          <w:rFonts w:asciiTheme="majorHAnsi" w:eastAsia="Calibri" w:hAnsiTheme="majorHAnsi" w:cstheme="majorHAnsi"/>
          <w:bCs/>
          <w:color w:val="0D0D0D" w:themeColor="text1" w:themeTint="F2"/>
          <w:lang w:val="ro-MD"/>
        </w:rPr>
      </w:pPr>
      <w:r w:rsidRPr="00B13B9A">
        <w:rPr>
          <w:rFonts w:asciiTheme="majorHAnsi" w:eastAsia="Calibri" w:hAnsiTheme="majorHAnsi" w:cstheme="majorHAnsi"/>
          <w:bCs/>
          <w:color w:val="0D0D0D" w:themeColor="text1" w:themeTint="F2"/>
          <w:lang w:val="ro-MD"/>
        </w:rPr>
        <w:t xml:space="preserve">În </w:t>
      </w:r>
      <w:r w:rsidR="003A601C" w:rsidRPr="00B13B9A">
        <w:rPr>
          <w:rFonts w:asciiTheme="majorHAnsi" w:eastAsia="Calibri" w:hAnsiTheme="majorHAnsi" w:cstheme="majorHAnsi"/>
          <w:bCs/>
          <w:color w:val="0D0D0D" w:themeColor="text1" w:themeTint="F2"/>
          <w:lang w:val="ro-MD"/>
        </w:rPr>
        <w:t xml:space="preserve">acest </w:t>
      </w:r>
      <w:r w:rsidRPr="00B13B9A">
        <w:rPr>
          <w:rFonts w:asciiTheme="majorHAnsi" w:eastAsia="Calibri" w:hAnsiTheme="majorHAnsi" w:cstheme="majorHAnsi"/>
          <w:bCs/>
          <w:color w:val="0D0D0D" w:themeColor="text1" w:themeTint="F2"/>
          <w:lang w:val="ro-MD"/>
        </w:rPr>
        <w:t>context, la solicitarea Cur</w:t>
      </w:r>
      <w:r w:rsidR="00B13B9A" w:rsidRPr="00B13B9A">
        <w:rPr>
          <w:rFonts w:asciiTheme="majorHAnsi" w:eastAsia="Calibri" w:hAnsiTheme="majorHAnsi" w:cstheme="majorHAnsi"/>
          <w:bCs/>
          <w:color w:val="0D0D0D" w:themeColor="text1" w:themeTint="F2"/>
          <w:lang w:val="ro-MD"/>
        </w:rPr>
        <w:t>ț</w:t>
      </w:r>
      <w:r w:rsidRPr="00B13B9A">
        <w:rPr>
          <w:rFonts w:asciiTheme="majorHAnsi" w:eastAsia="Calibri" w:hAnsiTheme="majorHAnsi" w:cstheme="majorHAnsi"/>
          <w:bCs/>
          <w:color w:val="0D0D0D" w:themeColor="text1" w:themeTint="F2"/>
          <w:lang w:val="ro-MD"/>
        </w:rPr>
        <w:t>i</w:t>
      </w:r>
      <w:r w:rsidR="003A601C" w:rsidRPr="00B13B9A">
        <w:rPr>
          <w:rFonts w:asciiTheme="majorHAnsi" w:eastAsia="Calibri" w:hAnsiTheme="majorHAnsi" w:cstheme="majorHAnsi"/>
          <w:bCs/>
          <w:color w:val="0D0D0D" w:themeColor="text1" w:themeTint="F2"/>
          <w:lang w:val="ro-MD"/>
        </w:rPr>
        <w:t>i</w:t>
      </w:r>
      <w:r w:rsidRPr="00B13B9A">
        <w:rPr>
          <w:rFonts w:asciiTheme="majorHAnsi" w:eastAsia="Calibri" w:hAnsiTheme="majorHAnsi" w:cstheme="majorHAnsi"/>
          <w:bCs/>
          <w:color w:val="0D0D0D" w:themeColor="text1" w:themeTint="F2"/>
          <w:lang w:val="ro-MD"/>
        </w:rPr>
        <w:t xml:space="preserve"> de Conturi, </w:t>
      </w:r>
      <w:r w:rsidR="00E220FF" w:rsidRPr="00B13B9A">
        <w:rPr>
          <w:rFonts w:asciiTheme="majorHAnsi" w:eastAsia="Calibri" w:hAnsiTheme="majorHAnsi" w:cstheme="majorHAnsi"/>
          <w:bCs/>
          <w:color w:val="0D0D0D" w:themeColor="text1" w:themeTint="F2"/>
          <w:lang w:val="ro-MD"/>
        </w:rPr>
        <w:t>Ministerul Finan</w:t>
      </w:r>
      <w:r w:rsidR="00B13B9A" w:rsidRPr="00B13B9A">
        <w:rPr>
          <w:rFonts w:asciiTheme="majorHAnsi" w:eastAsia="Calibri" w:hAnsiTheme="majorHAnsi" w:cstheme="majorHAnsi"/>
          <w:bCs/>
          <w:color w:val="0D0D0D" w:themeColor="text1" w:themeTint="F2"/>
          <w:lang w:val="ro-MD"/>
        </w:rPr>
        <w:t>ț</w:t>
      </w:r>
      <w:r w:rsidR="00E220FF" w:rsidRPr="00B13B9A">
        <w:rPr>
          <w:rFonts w:asciiTheme="majorHAnsi" w:eastAsia="Calibri" w:hAnsiTheme="majorHAnsi" w:cstheme="majorHAnsi"/>
          <w:bCs/>
          <w:color w:val="0D0D0D" w:themeColor="text1" w:themeTint="F2"/>
          <w:lang w:val="ro-MD"/>
        </w:rPr>
        <w:t xml:space="preserve">elor </w:t>
      </w:r>
      <w:r w:rsidRPr="00B13B9A">
        <w:rPr>
          <w:rFonts w:asciiTheme="majorHAnsi" w:eastAsia="Calibri" w:hAnsiTheme="majorHAnsi" w:cstheme="majorHAnsi"/>
          <w:bCs/>
          <w:color w:val="0D0D0D" w:themeColor="text1" w:themeTint="F2"/>
          <w:lang w:val="ro-MD"/>
        </w:rPr>
        <w:t xml:space="preserve">a informat </w:t>
      </w:r>
      <w:r w:rsidR="00E220FF" w:rsidRPr="00B13B9A">
        <w:rPr>
          <w:rFonts w:asciiTheme="majorHAnsi" w:eastAsia="Calibri" w:hAnsiTheme="majorHAnsi" w:cstheme="majorHAnsi"/>
          <w:bCs/>
          <w:color w:val="0D0D0D" w:themeColor="text1" w:themeTint="F2"/>
          <w:lang w:val="ro-MD"/>
        </w:rPr>
        <w:t xml:space="preserve">despre </w:t>
      </w:r>
      <w:r w:rsidR="00F31425" w:rsidRPr="00B13B9A">
        <w:rPr>
          <w:rFonts w:asciiTheme="majorHAnsi" w:eastAsia="Calibri" w:hAnsiTheme="majorHAnsi" w:cstheme="majorHAnsi"/>
          <w:bCs/>
          <w:color w:val="0D0D0D" w:themeColor="text1" w:themeTint="F2"/>
          <w:lang w:val="ro-MD"/>
        </w:rPr>
        <w:t>modalitatea</w:t>
      </w:r>
      <w:r w:rsidR="00E220FF" w:rsidRPr="00B13B9A">
        <w:rPr>
          <w:rFonts w:asciiTheme="majorHAnsi" w:eastAsia="Calibri" w:hAnsiTheme="majorHAnsi" w:cstheme="majorHAnsi"/>
          <w:bCs/>
          <w:color w:val="0D0D0D" w:themeColor="text1" w:themeTint="F2"/>
          <w:lang w:val="ro-MD"/>
        </w:rPr>
        <w:t xml:space="preserve"> de c</w:t>
      </w:r>
      <w:r w:rsidR="009708AE" w:rsidRPr="00B13B9A">
        <w:rPr>
          <w:rFonts w:asciiTheme="majorHAnsi" w:eastAsia="Calibri" w:hAnsiTheme="majorHAnsi" w:cstheme="majorHAnsi"/>
          <w:bCs/>
          <w:color w:val="0D0D0D" w:themeColor="text1" w:themeTint="F2"/>
          <w:lang w:val="ro-MD"/>
        </w:rPr>
        <w:t>orect</w:t>
      </w:r>
      <w:r w:rsidR="003A601C" w:rsidRPr="00B13B9A">
        <w:rPr>
          <w:rFonts w:asciiTheme="majorHAnsi" w:eastAsia="Calibri" w:hAnsiTheme="majorHAnsi" w:cstheme="majorHAnsi"/>
          <w:bCs/>
          <w:color w:val="0D0D0D" w:themeColor="text1" w:themeTint="F2"/>
          <w:lang w:val="ro-MD"/>
        </w:rPr>
        <w:t>are a</w:t>
      </w:r>
      <w:r w:rsidR="009708AE" w:rsidRPr="00B13B9A">
        <w:rPr>
          <w:rFonts w:asciiTheme="majorHAnsi" w:eastAsia="Calibri" w:hAnsiTheme="majorHAnsi" w:cstheme="majorHAnsi"/>
          <w:bCs/>
          <w:color w:val="0D0D0D" w:themeColor="text1" w:themeTint="F2"/>
          <w:lang w:val="ro-MD"/>
        </w:rPr>
        <w:t xml:space="preserve"> erorilor comise în perioadele de gest</w:t>
      </w:r>
      <w:r w:rsidRPr="00B13B9A">
        <w:rPr>
          <w:rFonts w:asciiTheme="majorHAnsi" w:eastAsia="Calibri" w:hAnsiTheme="majorHAnsi" w:cstheme="majorHAnsi"/>
          <w:bCs/>
          <w:color w:val="0D0D0D" w:themeColor="text1" w:themeTint="F2"/>
          <w:lang w:val="ro-MD"/>
        </w:rPr>
        <w:t xml:space="preserve">iune precedente. </w:t>
      </w:r>
      <w:r w:rsidR="00E220FF" w:rsidRPr="00B13B9A">
        <w:rPr>
          <w:rFonts w:asciiTheme="majorHAnsi" w:eastAsia="Calibri" w:hAnsiTheme="majorHAnsi" w:cstheme="majorHAnsi"/>
          <w:bCs/>
          <w:color w:val="0D0D0D" w:themeColor="text1" w:themeTint="F2"/>
          <w:lang w:val="ro-MD"/>
        </w:rPr>
        <w:t xml:space="preserve"> </w:t>
      </w:r>
      <w:r w:rsidRPr="00B13B9A">
        <w:rPr>
          <w:rFonts w:asciiTheme="majorHAnsi" w:eastAsia="Calibri" w:hAnsiTheme="majorHAnsi" w:cstheme="majorHAnsi"/>
          <w:bCs/>
          <w:color w:val="0D0D0D" w:themeColor="text1" w:themeTint="F2"/>
          <w:lang w:val="ro-MD"/>
        </w:rPr>
        <w:t xml:space="preserve">Astfel, </w:t>
      </w:r>
      <w:r w:rsidRPr="00B13B9A">
        <w:rPr>
          <w:rFonts w:asciiTheme="majorHAnsi" w:eastAsia="Calibri" w:hAnsiTheme="majorHAnsi" w:cstheme="majorHAnsi"/>
          <w:bCs/>
          <w:i/>
          <w:color w:val="0D0D0D" w:themeColor="text1" w:themeTint="F2"/>
          <w:lang w:val="ro-MD"/>
        </w:rPr>
        <w:t>„î</w:t>
      </w:r>
      <w:r w:rsidR="009708AE" w:rsidRPr="00B13B9A">
        <w:rPr>
          <w:rFonts w:asciiTheme="majorHAnsi" w:eastAsia="Calibri" w:hAnsiTheme="majorHAnsi" w:cstheme="majorHAnsi"/>
          <w:bCs/>
          <w:i/>
          <w:color w:val="0D0D0D" w:themeColor="text1" w:themeTint="F2"/>
          <w:lang w:val="ro-MD"/>
        </w:rPr>
        <w:t>n cazul depistării erorii care condi</w:t>
      </w:r>
      <w:r w:rsidR="00B13B9A" w:rsidRPr="00B13B9A">
        <w:rPr>
          <w:rFonts w:asciiTheme="majorHAnsi" w:eastAsia="Calibri" w:hAnsiTheme="majorHAnsi" w:cstheme="majorHAnsi"/>
          <w:bCs/>
          <w:i/>
          <w:color w:val="0D0D0D" w:themeColor="text1" w:themeTint="F2"/>
          <w:lang w:val="ro-MD"/>
        </w:rPr>
        <w:t>ț</w:t>
      </w:r>
      <w:r w:rsidR="009708AE" w:rsidRPr="00B13B9A">
        <w:rPr>
          <w:rFonts w:asciiTheme="majorHAnsi" w:eastAsia="Calibri" w:hAnsiTheme="majorHAnsi" w:cstheme="majorHAnsi"/>
          <w:bCs/>
          <w:i/>
          <w:color w:val="0D0D0D" w:themeColor="text1" w:themeTint="F2"/>
          <w:lang w:val="ro-MD"/>
        </w:rPr>
        <w:t>ionează apari</w:t>
      </w:r>
      <w:r w:rsidR="00B13B9A" w:rsidRPr="00B13B9A">
        <w:rPr>
          <w:rFonts w:asciiTheme="majorHAnsi" w:eastAsia="Calibri" w:hAnsiTheme="majorHAnsi" w:cstheme="majorHAnsi"/>
          <w:bCs/>
          <w:i/>
          <w:color w:val="0D0D0D" w:themeColor="text1" w:themeTint="F2"/>
          <w:lang w:val="ro-MD"/>
        </w:rPr>
        <w:t>ț</w:t>
      </w:r>
      <w:r w:rsidR="009708AE" w:rsidRPr="00B13B9A">
        <w:rPr>
          <w:rFonts w:asciiTheme="majorHAnsi" w:eastAsia="Calibri" w:hAnsiTheme="majorHAnsi" w:cstheme="majorHAnsi"/>
          <w:bCs/>
          <w:i/>
          <w:color w:val="0D0D0D" w:themeColor="text1" w:themeTint="F2"/>
          <w:lang w:val="ro-MD"/>
        </w:rPr>
        <w:t xml:space="preserve">ia pierderii perioadelor precedente – se înregistrează ca diminuare a </w:t>
      </w:r>
      <w:r w:rsidR="00EB47FC" w:rsidRPr="00B13B9A">
        <w:rPr>
          <w:rFonts w:asciiTheme="majorHAnsi" w:eastAsia="Calibri" w:hAnsiTheme="majorHAnsi" w:cstheme="majorHAnsi"/>
          <w:bCs/>
          <w:i/>
          <w:color w:val="0D0D0D" w:themeColor="text1" w:themeTint="F2"/>
          <w:lang w:val="ro-MD"/>
        </w:rPr>
        <w:t>corec</w:t>
      </w:r>
      <w:r w:rsidR="00B13B9A" w:rsidRPr="00B13B9A">
        <w:rPr>
          <w:rFonts w:asciiTheme="majorHAnsi" w:eastAsia="Calibri" w:hAnsiTheme="majorHAnsi" w:cstheme="majorHAnsi"/>
          <w:bCs/>
          <w:i/>
          <w:color w:val="0D0D0D" w:themeColor="text1" w:themeTint="F2"/>
          <w:lang w:val="ro-MD"/>
        </w:rPr>
        <w:t>ț</w:t>
      </w:r>
      <w:r w:rsidR="00EB47FC" w:rsidRPr="00B13B9A">
        <w:rPr>
          <w:rFonts w:asciiTheme="majorHAnsi" w:eastAsia="Calibri" w:hAnsiTheme="majorHAnsi" w:cstheme="majorHAnsi"/>
          <w:bCs/>
          <w:i/>
          <w:color w:val="0D0D0D" w:themeColor="text1" w:themeTint="F2"/>
          <w:lang w:val="ro-MD"/>
        </w:rPr>
        <w:t>iilor</w:t>
      </w:r>
      <w:r w:rsidR="009708AE" w:rsidRPr="00B13B9A">
        <w:rPr>
          <w:rFonts w:asciiTheme="majorHAnsi" w:eastAsia="Calibri" w:hAnsiTheme="majorHAnsi" w:cstheme="majorHAnsi"/>
          <w:bCs/>
          <w:i/>
          <w:color w:val="0D0D0D" w:themeColor="text1" w:themeTint="F2"/>
          <w:lang w:val="ro-MD"/>
        </w:rPr>
        <w:t xml:space="preserve"> rezultatelor perioadelor precedente concomitent cu diminuarea </w:t>
      </w:r>
      <w:r w:rsidR="00EB47FC" w:rsidRPr="00B13B9A">
        <w:rPr>
          <w:rFonts w:asciiTheme="majorHAnsi" w:eastAsia="Calibri" w:hAnsiTheme="majorHAnsi" w:cstheme="majorHAnsi"/>
          <w:bCs/>
          <w:i/>
          <w:color w:val="0D0D0D" w:themeColor="text1" w:themeTint="F2"/>
          <w:lang w:val="ro-MD"/>
        </w:rPr>
        <w:t>crean</w:t>
      </w:r>
      <w:r w:rsidR="00B13B9A" w:rsidRPr="00B13B9A">
        <w:rPr>
          <w:rFonts w:asciiTheme="majorHAnsi" w:eastAsia="Calibri" w:hAnsiTheme="majorHAnsi" w:cstheme="majorHAnsi"/>
          <w:bCs/>
          <w:i/>
          <w:color w:val="0D0D0D" w:themeColor="text1" w:themeTint="F2"/>
          <w:lang w:val="ro-MD"/>
        </w:rPr>
        <w:t>ț</w:t>
      </w:r>
      <w:r w:rsidR="00EB47FC" w:rsidRPr="00B13B9A">
        <w:rPr>
          <w:rFonts w:asciiTheme="majorHAnsi" w:eastAsia="Calibri" w:hAnsiTheme="majorHAnsi" w:cstheme="majorHAnsi"/>
          <w:bCs/>
          <w:i/>
          <w:color w:val="0D0D0D" w:themeColor="text1" w:themeTint="F2"/>
          <w:lang w:val="ro-MD"/>
        </w:rPr>
        <w:t>elor</w:t>
      </w:r>
      <w:r w:rsidR="009708AE" w:rsidRPr="00B13B9A">
        <w:rPr>
          <w:rFonts w:asciiTheme="majorHAnsi" w:eastAsia="Calibri" w:hAnsiTheme="majorHAnsi" w:cstheme="majorHAnsi"/>
          <w:bCs/>
          <w:i/>
          <w:color w:val="0D0D0D" w:themeColor="text1" w:themeTint="F2"/>
          <w:lang w:val="ro-MD"/>
        </w:rPr>
        <w:t xml:space="preserve"> sau altor active, majorarea datoriilor, amortizării sau deprecierii activelor</w:t>
      </w:r>
      <w:r w:rsidR="00E220FF" w:rsidRPr="00B13B9A">
        <w:rPr>
          <w:rStyle w:val="a9"/>
          <w:rFonts w:asciiTheme="majorHAnsi" w:eastAsia="Calibri" w:hAnsiTheme="majorHAnsi" w:cstheme="majorHAnsi"/>
          <w:bCs/>
          <w:i/>
          <w:color w:val="0D0D0D" w:themeColor="text1" w:themeTint="F2"/>
          <w:sz w:val="24"/>
          <w:lang w:val="ro-MD"/>
        </w:rPr>
        <w:footnoteReference w:id="38"/>
      </w:r>
      <w:r w:rsidRPr="00B13B9A">
        <w:rPr>
          <w:rFonts w:asciiTheme="majorHAnsi" w:eastAsia="Calibri" w:hAnsiTheme="majorHAnsi" w:cstheme="majorHAnsi"/>
          <w:bCs/>
          <w:i/>
          <w:color w:val="0D0D0D" w:themeColor="text1" w:themeTint="F2"/>
          <w:lang w:val="ro-MD"/>
        </w:rPr>
        <w:t>”</w:t>
      </w:r>
      <w:r w:rsidR="009708AE" w:rsidRPr="00B13B9A">
        <w:rPr>
          <w:rFonts w:asciiTheme="majorHAnsi" w:eastAsia="Calibri" w:hAnsiTheme="majorHAnsi" w:cstheme="majorHAnsi"/>
          <w:bCs/>
          <w:i/>
          <w:color w:val="0D0D0D" w:themeColor="text1" w:themeTint="F2"/>
          <w:lang w:val="ro-MD"/>
        </w:rPr>
        <w:t xml:space="preserve">. </w:t>
      </w:r>
    </w:p>
    <w:p w14:paraId="49471110" w14:textId="729C47D8" w:rsidR="00DB1FD6" w:rsidRPr="00B13B9A" w:rsidRDefault="00A7278E" w:rsidP="00DB1FD6">
      <w:pPr>
        <w:spacing w:after="0" w:line="276" w:lineRule="auto"/>
        <w:jc w:val="both"/>
        <w:rPr>
          <w:rFonts w:asciiTheme="majorHAnsi" w:hAnsiTheme="majorHAnsi" w:cstheme="majorHAnsi"/>
          <w:sz w:val="24"/>
          <w:szCs w:val="24"/>
          <w:lang w:val="ro-MD"/>
        </w:rPr>
      </w:pPr>
      <w:r w:rsidRPr="00B13B9A">
        <w:rPr>
          <w:rFonts w:asciiTheme="majorHAnsi" w:eastAsia="Calibri" w:hAnsiTheme="majorHAnsi" w:cstheme="majorHAnsi"/>
          <w:bCs/>
          <w:color w:val="0D0D0D" w:themeColor="text1" w:themeTint="F2"/>
          <w:sz w:val="24"/>
          <w:szCs w:val="24"/>
          <w:lang w:val="ro-MD"/>
        </w:rPr>
        <w:t>Totodată, de</w:t>
      </w:r>
      <w:r w:rsidR="00B13B9A" w:rsidRPr="00B13B9A">
        <w:rPr>
          <w:rFonts w:asciiTheme="majorHAnsi" w:eastAsia="Calibri" w:hAnsiTheme="majorHAnsi" w:cstheme="majorHAnsi"/>
          <w:bCs/>
          <w:color w:val="0D0D0D" w:themeColor="text1" w:themeTint="F2"/>
          <w:sz w:val="24"/>
          <w:szCs w:val="24"/>
          <w:lang w:val="ro-MD"/>
        </w:rPr>
        <w:t>ș</w:t>
      </w:r>
      <w:r w:rsidRPr="00B13B9A">
        <w:rPr>
          <w:rFonts w:asciiTheme="majorHAnsi" w:eastAsia="Calibri" w:hAnsiTheme="majorHAnsi" w:cstheme="majorHAnsi"/>
          <w:bCs/>
          <w:color w:val="0D0D0D" w:themeColor="text1" w:themeTint="F2"/>
          <w:sz w:val="24"/>
          <w:szCs w:val="24"/>
          <w:lang w:val="ro-MD"/>
        </w:rPr>
        <w:t xml:space="preserve">i fondatorul are un membru în </w:t>
      </w:r>
      <w:r w:rsidR="003A601C" w:rsidRPr="00B13B9A">
        <w:rPr>
          <w:rFonts w:asciiTheme="majorHAnsi" w:eastAsia="Calibri" w:hAnsiTheme="majorHAnsi" w:cstheme="majorHAnsi"/>
          <w:bCs/>
          <w:color w:val="0D0D0D" w:themeColor="text1" w:themeTint="F2"/>
          <w:sz w:val="24"/>
          <w:szCs w:val="24"/>
          <w:lang w:val="ro-MD"/>
        </w:rPr>
        <w:t>C</w:t>
      </w:r>
      <w:r w:rsidRPr="00B13B9A">
        <w:rPr>
          <w:rFonts w:asciiTheme="majorHAnsi" w:eastAsia="Calibri" w:hAnsiTheme="majorHAnsi" w:cstheme="majorHAnsi"/>
          <w:bCs/>
          <w:color w:val="0D0D0D" w:themeColor="text1" w:themeTint="F2"/>
          <w:sz w:val="24"/>
          <w:szCs w:val="24"/>
          <w:lang w:val="ro-MD"/>
        </w:rPr>
        <w:t>onsiliul de administra</w:t>
      </w:r>
      <w:r w:rsidR="00B13B9A" w:rsidRPr="00B13B9A">
        <w:rPr>
          <w:rFonts w:asciiTheme="majorHAnsi" w:eastAsia="Calibri" w:hAnsiTheme="majorHAnsi" w:cstheme="majorHAnsi"/>
          <w:bCs/>
          <w:color w:val="0D0D0D" w:themeColor="text1" w:themeTint="F2"/>
          <w:sz w:val="24"/>
          <w:szCs w:val="24"/>
          <w:lang w:val="ro-MD"/>
        </w:rPr>
        <w:t>ț</w:t>
      </w:r>
      <w:r w:rsidRPr="00B13B9A">
        <w:rPr>
          <w:rFonts w:asciiTheme="majorHAnsi" w:eastAsia="Calibri" w:hAnsiTheme="majorHAnsi" w:cstheme="majorHAnsi"/>
          <w:bCs/>
          <w:color w:val="0D0D0D" w:themeColor="text1" w:themeTint="F2"/>
          <w:sz w:val="24"/>
          <w:szCs w:val="24"/>
          <w:lang w:val="ro-MD"/>
        </w:rPr>
        <w:t>ie, în calitate de pre</w:t>
      </w:r>
      <w:r w:rsidR="00B13B9A" w:rsidRPr="00B13B9A">
        <w:rPr>
          <w:rFonts w:asciiTheme="majorHAnsi" w:eastAsia="Calibri" w:hAnsiTheme="majorHAnsi" w:cstheme="majorHAnsi"/>
          <w:bCs/>
          <w:color w:val="0D0D0D" w:themeColor="text1" w:themeTint="F2"/>
          <w:sz w:val="24"/>
          <w:szCs w:val="24"/>
          <w:lang w:val="ro-MD"/>
        </w:rPr>
        <w:t>ș</w:t>
      </w:r>
      <w:r w:rsidRPr="00B13B9A">
        <w:rPr>
          <w:rFonts w:asciiTheme="majorHAnsi" w:eastAsia="Calibri" w:hAnsiTheme="majorHAnsi" w:cstheme="majorHAnsi"/>
          <w:bCs/>
          <w:color w:val="0D0D0D" w:themeColor="text1" w:themeTint="F2"/>
          <w:sz w:val="24"/>
          <w:szCs w:val="24"/>
          <w:lang w:val="ro-MD"/>
        </w:rPr>
        <w:t>edinte, iar consiliul are responsabilită</w:t>
      </w:r>
      <w:r w:rsidR="00B13B9A" w:rsidRPr="00B13B9A">
        <w:rPr>
          <w:rFonts w:asciiTheme="majorHAnsi" w:eastAsia="Calibri" w:hAnsiTheme="majorHAnsi" w:cstheme="majorHAnsi"/>
          <w:bCs/>
          <w:color w:val="0D0D0D" w:themeColor="text1" w:themeTint="F2"/>
          <w:sz w:val="24"/>
          <w:szCs w:val="24"/>
          <w:lang w:val="ro-MD"/>
        </w:rPr>
        <w:t>ț</w:t>
      </w:r>
      <w:r w:rsidRPr="00B13B9A">
        <w:rPr>
          <w:rFonts w:asciiTheme="majorHAnsi" w:eastAsia="Calibri" w:hAnsiTheme="majorHAnsi" w:cstheme="majorHAnsi"/>
          <w:bCs/>
          <w:color w:val="0D0D0D" w:themeColor="text1" w:themeTint="F2"/>
          <w:sz w:val="24"/>
          <w:szCs w:val="24"/>
          <w:lang w:val="ro-MD"/>
        </w:rPr>
        <w:t xml:space="preserve">i </w:t>
      </w:r>
      <w:r w:rsidR="00DB1FD6" w:rsidRPr="00B13B9A">
        <w:rPr>
          <w:rFonts w:asciiTheme="majorHAnsi" w:eastAsia="Calibri" w:hAnsiTheme="majorHAnsi" w:cstheme="majorHAnsi"/>
          <w:bCs/>
          <w:color w:val="0D0D0D" w:themeColor="text1" w:themeTint="F2"/>
          <w:sz w:val="24"/>
          <w:szCs w:val="24"/>
          <w:lang w:val="ro-MD"/>
        </w:rPr>
        <w:t>de a înainta propuneri de redresare a situa</w:t>
      </w:r>
      <w:r w:rsidR="00B13B9A" w:rsidRPr="00B13B9A">
        <w:rPr>
          <w:rFonts w:asciiTheme="majorHAnsi" w:eastAsia="Calibri" w:hAnsiTheme="majorHAnsi" w:cstheme="majorHAnsi"/>
          <w:bCs/>
          <w:color w:val="0D0D0D" w:themeColor="text1" w:themeTint="F2"/>
          <w:sz w:val="24"/>
          <w:szCs w:val="24"/>
          <w:lang w:val="ro-MD"/>
        </w:rPr>
        <w:t>ț</w:t>
      </w:r>
      <w:r w:rsidR="00DB1FD6" w:rsidRPr="00B13B9A">
        <w:rPr>
          <w:rFonts w:asciiTheme="majorHAnsi" w:eastAsia="Calibri" w:hAnsiTheme="majorHAnsi" w:cstheme="majorHAnsi"/>
          <w:bCs/>
          <w:color w:val="0D0D0D" w:themeColor="text1" w:themeTint="F2"/>
          <w:sz w:val="24"/>
          <w:szCs w:val="24"/>
          <w:lang w:val="ro-MD"/>
        </w:rPr>
        <w:t>iei în cazul identificării deficien</w:t>
      </w:r>
      <w:r w:rsidR="00B13B9A" w:rsidRPr="00B13B9A">
        <w:rPr>
          <w:rFonts w:asciiTheme="majorHAnsi" w:eastAsia="Calibri" w:hAnsiTheme="majorHAnsi" w:cstheme="majorHAnsi"/>
          <w:bCs/>
          <w:color w:val="0D0D0D" w:themeColor="text1" w:themeTint="F2"/>
          <w:sz w:val="24"/>
          <w:szCs w:val="24"/>
          <w:lang w:val="ro-MD"/>
        </w:rPr>
        <w:t>ț</w:t>
      </w:r>
      <w:r w:rsidR="00DB1FD6" w:rsidRPr="00B13B9A">
        <w:rPr>
          <w:rFonts w:asciiTheme="majorHAnsi" w:eastAsia="Calibri" w:hAnsiTheme="majorHAnsi" w:cstheme="majorHAnsi"/>
          <w:bCs/>
          <w:color w:val="0D0D0D" w:themeColor="text1" w:themeTint="F2"/>
          <w:sz w:val="24"/>
          <w:szCs w:val="24"/>
          <w:lang w:val="ro-MD"/>
        </w:rPr>
        <w:t>elor în activitatea institu</w:t>
      </w:r>
      <w:r w:rsidR="00B13B9A" w:rsidRPr="00B13B9A">
        <w:rPr>
          <w:rFonts w:asciiTheme="majorHAnsi" w:eastAsia="Calibri" w:hAnsiTheme="majorHAnsi" w:cstheme="majorHAnsi"/>
          <w:bCs/>
          <w:color w:val="0D0D0D" w:themeColor="text1" w:themeTint="F2"/>
          <w:sz w:val="24"/>
          <w:szCs w:val="24"/>
          <w:lang w:val="ro-MD"/>
        </w:rPr>
        <w:t>ț</w:t>
      </w:r>
      <w:r w:rsidR="00DB1FD6" w:rsidRPr="00B13B9A">
        <w:rPr>
          <w:rFonts w:asciiTheme="majorHAnsi" w:eastAsia="Calibri" w:hAnsiTheme="majorHAnsi" w:cstheme="majorHAnsi"/>
          <w:bCs/>
          <w:color w:val="0D0D0D" w:themeColor="text1" w:themeTint="F2"/>
          <w:sz w:val="24"/>
          <w:szCs w:val="24"/>
          <w:lang w:val="ro-MD"/>
        </w:rPr>
        <w:t>iei,</w:t>
      </w:r>
      <w:r w:rsidR="004303BA" w:rsidRPr="00B13B9A">
        <w:rPr>
          <w:rFonts w:asciiTheme="majorHAnsi" w:eastAsia="Calibri" w:hAnsiTheme="majorHAnsi" w:cstheme="majorHAnsi"/>
          <w:bCs/>
          <w:color w:val="0D0D0D" w:themeColor="text1" w:themeTint="F2"/>
          <w:sz w:val="24"/>
          <w:szCs w:val="24"/>
          <w:lang w:val="ro-MD"/>
        </w:rPr>
        <w:t xml:space="preserve"> analiza </w:t>
      </w:r>
      <w:r w:rsidRPr="00B13B9A">
        <w:rPr>
          <w:rFonts w:asciiTheme="majorHAnsi" w:hAnsiTheme="majorHAnsi" w:cstheme="majorHAnsi"/>
          <w:sz w:val="24"/>
          <w:szCs w:val="24"/>
          <w:lang w:val="ro-MD"/>
        </w:rPr>
        <w:t>activită</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ii Consiliului de administra</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ie</w:t>
      </w:r>
      <w:r w:rsidR="00DB1FD6" w:rsidRPr="00B13B9A">
        <w:rPr>
          <w:rFonts w:asciiTheme="majorHAnsi" w:hAnsiTheme="majorHAnsi" w:cstheme="majorHAnsi"/>
          <w:sz w:val="24"/>
          <w:szCs w:val="24"/>
          <w:lang w:val="ro-MD"/>
        </w:rPr>
        <w:t xml:space="preserve"> în perioada auditată </w:t>
      </w:r>
      <w:r w:rsidR="004303BA" w:rsidRPr="00B13B9A">
        <w:rPr>
          <w:rFonts w:asciiTheme="majorHAnsi" w:hAnsiTheme="majorHAnsi" w:cstheme="majorHAnsi"/>
          <w:sz w:val="24"/>
          <w:szCs w:val="24"/>
          <w:lang w:val="ro-MD"/>
        </w:rPr>
        <w:t>denotă că acesta s-a</w:t>
      </w:r>
      <w:r w:rsidR="00DB1FD6" w:rsidRPr="00B13B9A">
        <w:rPr>
          <w:rFonts w:asciiTheme="majorHAnsi" w:hAnsiTheme="majorHAnsi" w:cstheme="majorHAnsi"/>
          <w:sz w:val="24"/>
          <w:szCs w:val="24"/>
          <w:lang w:val="ro-MD"/>
        </w:rPr>
        <w:t xml:space="preserve"> axat</w:t>
      </w:r>
      <w:r w:rsidR="003A601C" w:rsidRPr="00B13B9A">
        <w:rPr>
          <w:rFonts w:asciiTheme="majorHAnsi" w:hAnsiTheme="majorHAnsi" w:cstheme="majorHAnsi"/>
          <w:sz w:val="24"/>
          <w:szCs w:val="24"/>
          <w:lang w:val="ro-MD"/>
        </w:rPr>
        <w:t>,</w:t>
      </w:r>
      <w:r w:rsidR="00DB1FD6" w:rsidRPr="00B13B9A">
        <w:rPr>
          <w:rFonts w:asciiTheme="majorHAnsi" w:hAnsiTheme="majorHAnsi" w:cstheme="majorHAnsi"/>
          <w:sz w:val="24"/>
          <w:szCs w:val="24"/>
          <w:lang w:val="ro-MD"/>
        </w:rPr>
        <w:t xml:space="preserve"> în mare parte</w:t>
      </w:r>
      <w:r w:rsidR="003A601C" w:rsidRPr="00B13B9A">
        <w:rPr>
          <w:rFonts w:asciiTheme="majorHAnsi" w:hAnsiTheme="majorHAnsi" w:cstheme="majorHAnsi"/>
          <w:sz w:val="24"/>
          <w:szCs w:val="24"/>
          <w:lang w:val="ro-MD"/>
        </w:rPr>
        <w:t>,</w:t>
      </w:r>
      <w:r w:rsidR="00DB1FD6" w:rsidRPr="00B13B9A">
        <w:rPr>
          <w:rFonts w:asciiTheme="majorHAnsi" w:hAnsiTheme="majorHAnsi" w:cstheme="majorHAnsi"/>
          <w:sz w:val="24"/>
          <w:szCs w:val="24"/>
          <w:lang w:val="ro-MD"/>
        </w:rPr>
        <w:t xml:space="preserve"> pe aprobarea devizului de venituri </w:t>
      </w:r>
      <w:r w:rsidR="00B13B9A" w:rsidRPr="00B13B9A">
        <w:rPr>
          <w:rFonts w:asciiTheme="majorHAnsi" w:hAnsiTheme="majorHAnsi" w:cstheme="majorHAnsi"/>
          <w:sz w:val="24"/>
          <w:szCs w:val="24"/>
          <w:lang w:val="ro-MD"/>
        </w:rPr>
        <w:t>ș</w:t>
      </w:r>
      <w:r w:rsidR="00DB1FD6" w:rsidRPr="00B13B9A">
        <w:rPr>
          <w:rFonts w:asciiTheme="majorHAnsi" w:hAnsiTheme="majorHAnsi" w:cstheme="majorHAnsi"/>
          <w:sz w:val="24"/>
          <w:szCs w:val="24"/>
          <w:lang w:val="ro-MD"/>
        </w:rPr>
        <w:t xml:space="preserve">i cheltuieli, </w:t>
      </w:r>
      <w:r w:rsidR="003A601C" w:rsidRPr="00B13B9A">
        <w:rPr>
          <w:rFonts w:asciiTheme="majorHAnsi" w:hAnsiTheme="majorHAnsi" w:cstheme="majorHAnsi"/>
          <w:sz w:val="24"/>
          <w:szCs w:val="24"/>
          <w:lang w:val="ro-MD"/>
        </w:rPr>
        <w:t xml:space="preserve">a </w:t>
      </w:r>
      <w:r w:rsidR="00DB1FD6" w:rsidRPr="00B13B9A">
        <w:rPr>
          <w:rFonts w:asciiTheme="majorHAnsi" w:hAnsiTheme="majorHAnsi" w:cstheme="majorHAnsi"/>
          <w:sz w:val="24"/>
          <w:szCs w:val="24"/>
          <w:lang w:val="ro-MD"/>
        </w:rPr>
        <w:t>planului de activitate al institu</w:t>
      </w:r>
      <w:r w:rsidR="00B13B9A" w:rsidRPr="00B13B9A">
        <w:rPr>
          <w:rFonts w:asciiTheme="majorHAnsi" w:hAnsiTheme="majorHAnsi" w:cstheme="majorHAnsi"/>
          <w:sz w:val="24"/>
          <w:szCs w:val="24"/>
          <w:lang w:val="ro-MD"/>
        </w:rPr>
        <w:t>ț</w:t>
      </w:r>
      <w:r w:rsidR="00DB1FD6" w:rsidRPr="00B13B9A">
        <w:rPr>
          <w:rFonts w:asciiTheme="majorHAnsi" w:hAnsiTheme="majorHAnsi" w:cstheme="majorHAnsi"/>
          <w:sz w:val="24"/>
          <w:szCs w:val="24"/>
          <w:lang w:val="ro-MD"/>
        </w:rPr>
        <w:t xml:space="preserve">iei, </w:t>
      </w:r>
      <w:r w:rsidR="003A601C" w:rsidRPr="00B13B9A">
        <w:rPr>
          <w:rFonts w:asciiTheme="majorHAnsi" w:hAnsiTheme="majorHAnsi" w:cstheme="majorHAnsi"/>
          <w:sz w:val="24"/>
          <w:szCs w:val="24"/>
          <w:lang w:val="ro-MD"/>
        </w:rPr>
        <w:t xml:space="preserve">a </w:t>
      </w:r>
      <w:r w:rsidR="00DB1FD6" w:rsidRPr="00B13B9A">
        <w:rPr>
          <w:rFonts w:asciiTheme="majorHAnsi" w:hAnsiTheme="majorHAnsi" w:cstheme="majorHAnsi"/>
          <w:sz w:val="24"/>
          <w:szCs w:val="24"/>
          <w:lang w:val="ro-MD"/>
        </w:rPr>
        <w:t>statelor de personal</w:t>
      </w:r>
      <w:r w:rsidR="004303BA" w:rsidRPr="00B13B9A">
        <w:rPr>
          <w:rFonts w:asciiTheme="majorHAnsi" w:hAnsiTheme="majorHAnsi" w:cstheme="majorHAnsi"/>
          <w:sz w:val="24"/>
          <w:szCs w:val="24"/>
          <w:lang w:val="ro-MD"/>
        </w:rPr>
        <w:t>,</w:t>
      </w:r>
      <w:r w:rsidR="00DB1FD6" w:rsidRPr="00B13B9A">
        <w:rPr>
          <w:rFonts w:asciiTheme="majorHAnsi" w:eastAsia="Calibri" w:hAnsiTheme="majorHAnsi" w:cstheme="majorHAnsi"/>
          <w:bCs/>
          <w:color w:val="0D0D0D" w:themeColor="text1" w:themeTint="F2"/>
          <w:sz w:val="24"/>
          <w:szCs w:val="24"/>
          <w:lang w:val="ro-MD"/>
        </w:rPr>
        <w:t xml:space="preserve"> precum </w:t>
      </w:r>
      <w:r w:rsidR="00B13B9A" w:rsidRPr="00B13B9A">
        <w:rPr>
          <w:rFonts w:asciiTheme="majorHAnsi" w:eastAsia="Calibri" w:hAnsiTheme="majorHAnsi" w:cstheme="majorHAnsi"/>
          <w:bCs/>
          <w:color w:val="0D0D0D" w:themeColor="text1" w:themeTint="F2"/>
          <w:sz w:val="24"/>
          <w:szCs w:val="24"/>
          <w:lang w:val="ro-MD"/>
        </w:rPr>
        <w:t>ș</w:t>
      </w:r>
      <w:r w:rsidR="00DB1FD6" w:rsidRPr="00B13B9A">
        <w:rPr>
          <w:rFonts w:asciiTheme="majorHAnsi" w:eastAsia="Calibri" w:hAnsiTheme="majorHAnsi" w:cstheme="majorHAnsi"/>
          <w:bCs/>
          <w:color w:val="0D0D0D" w:themeColor="text1" w:themeTint="F2"/>
          <w:sz w:val="24"/>
          <w:szCs w:val="24"/>
          <w:lang w:val="ro-MD"/>
        </w:rPr>
        <w:t xml:space="preserve">i </w:t>
      </w:r>
      <w:r w:rsidR="003A601C" w:rsidRPr="00B13B9A">
        <w:rPr>
          <w:rFonts w:asciiTheme="majorHAnsi" w:eastAsia="Calibri" w:hAnsiTheme="majorHAnsi" w:cstheme="majorHAnsi"/>
          <w:bCs/>
          <w:color w:val="0D0D0D" w:themeColor="text1" w:themeTint="F2"/>
          <w:sz w:val="24"/>
          <w:szCs w:val="24"/>
          <w:lang w:val="ro-MD"/>
        </w:rPr>
        <w:t xml:space="preserve">a </w:t>
      </w:r>
      <w:r w:rsidR="00DB1FD6" w:rsidRPr="00B13B9A">
        <w:rPr>
          <w:rFonts w:asciiTheme="majorHAnsi" w:hAnsiTheme="majorHAnsi" w:cstheme="majorHAnsi"/>
          <w:sz w:val="24"/>
          <w:szCs w:val="24"/>
          <w:lang w:val="ro-MD"/>
        </w:rPr>
        <w:t>rezultatelor activită</w:t>
      </w:r>
      <w:r w:rsidR="00B13B9A" w:rsidRPr="00B13B9A">
        <w:rPr>
          <w:rFonts w:asciiTheme="majorHAnsi" w:hAnsiTheme="majorHAnsi" w:cstheme="majorHAnsi"/>
          <w:sz w:val="24"/>
          <w:szCs w:val="24"/>
          <w:lang w:val="ro-MD"/>
        </w:rPr>
        <w:t>ț</w:t>
      </w:r>
      <w:r w:rsidR="00DB1FD6" w:rsidRPr="00B13B9A">
        <w:rPr>
          <w:rFonts w:asciiTheme="majorHAnsi" w:hAnsiTheme="majorHAnsi" w:cstheme="majorHAnsi"/>
          <w:sz w:val="24"/>
          <w:szCs w:val="24"/>
          <w:lang w:val="ro-MD"/>
        </w:rPr>
        <w:t>ii institu</w:t>
      </w:r>
      <w:r w:rsidR="00B13B9A" w:rsidRPr="00B13B9A">
        <w:rPr>
          <w:rFonts w:asciiTheme="majorHAnsi" w:hAnsiTheme="majorHAnsi" w:cstheme="majorHAnsi"/>
          <w:sz w:val="24"/>
          <w:szCs w:val="24"/>
          <w:lang w:val="ro-MD"/>
        </w:rPr>
        <w:t>ț</w:t>
      </w:r>
      <w:r w:rsidR="00DB1FD6" w:rsidRPr="00B13B9A">
        <w:rPr>
          <w:rFonts w:asciiTheme="majorHAnsi" w:hAnsiTheme="majorHAnsi" w:cstheme="majorHAnsi"/>
          <w:sz w:val="24"/>
          <w:szCs w:val="24"/>
          <w:lang w:val="ro-MD"/>
        </w:rPr>
        <w:t xml:space="preserve">iei. </w:t>
      </w:r>
    </w:p>
    <w:p w14:paraId="46666229" w14:textId="7F3BEEE5" w:rsidR="009708AE" w:rsidRPr="00B13B9A" w:rsidRDefault="00DB1FD6" w:rsidP="00E220FF">
      <w:pPr>
        <w:spacing w:after="0" w:line="276" w:lineRule="auto"/>
        <w:jc w:val="both"/>
        <w:rPr>
          <w:rFonts w:asciiTheme="majorHAnsi" w:eastAsia="Calibri" w:hAnsiTheme="majorHAnsi" w:cstheme="majorHAnsi"/>
          <w:bCs/>
          <w:color w:val="0D0D0D" w:themeColor="text1" w:themeTint="F2"/>
          <w:sz w:val="24"/>
          <w:szCs w:val="24"/>
          <w:lang w:val="ro-MD"/>
        </w:rPr>
      </w:pPr>
      <w:r w:rsidRPr="00B13B9A">
        <w:rPr>
          <w:rFonts w:asciiTheme="majorHAnsi" w:eastAsia="Calibri" w:hAnsiTheme="majorHAnsi" w:cstheme="majorHAnsi"/>
          <w:bCs/>
          <w:color w:val="0D0D0D" w:themeColor="text1" w:themeTint="F2"/>
          <w:sz w:val="24"/>
          <w:szCs w:val="24"/>
          <w:lang w:val="ro-MD"/>
        </w:rPr>
        <w:t xml:space="preserve">Astfel, </w:t>
      </w:r>
      <w:r w:rsidR="009708AE" w:rsidRPr="00B13B9A">
        <w:rPr>
          <w:rFonts w:asciiTheme="majorHAnsi" w:eastAsia="Calibri" w:hAnsiTheme="majorHAnsi" w:cstheme="majorHAnsi"/>
          <w:bCs/>
          <w:color w:val="0D0D0D" w:themeColor="text1" w:themeTint="F2"/>
          <w:sz w:val="24"/>
          <w:szCs w:val="24"/>
          <w:lang w:val="ro-MD"/>
        </w:rPr>
        <w:t xml:space="preserve">entitatea urmează să </w:t>
      </w:r>
      <w:r w:rsidR="004303BA" w:rsidRPr="00B13B9A">
        <w:rPr>
          <w:rFonts w:asciiTheme="majorHAnsi" w:eastAsia="Calibri" w:hAnsiTheme="majorHAnsi" w:cstheme="majorHAnsi"/>
          <w:bCs/>
          <w:color w:val="0D0D0D" w:themeColor="text1" w:themeTint="F2"/>
          <w:sz w:val="24"/>
          <w:szCs w:val="24"/>
          <w:lang w:val="ro-MD"/>
        </w:rPr>
        <w:t>ajusteze</w:t>
      </w:r>
      <w:r w:rsidR="009708AE" w:rsidRPr="00B13B9A">
        <w:rPr>
          <w:rFonts w:asciiTheme="majorHAnsi" w:eastAsia="Calibri" w:hAnsiTheme="majorHAnsi" w:cstheme="majorHAnsi"/>
          <w:bCs/>
          <w:color w:val="0D0D0D" w:themeColor="text1" w:themeTint="F2"/>
          <w:sz w:val="24"/>
          <w:szCs w:val="24"/>
          <w:lang w:val="ro-MD"/>
        </w:rPr>
        <w:t xml:space="preserve"> </w:t>
      </w:r>
      <w:r w:rsidR="004303BA" w:rsidRPr="00B13B9A">
        <w:rPr>
          <w:rFonts w:asciiTheme="majorHAnsi" w:eastAsia="Calibri" w:hAnsiTheme="majorHAnsi" w:cstheme="majorHAnsi"/>
          <w:bCs/>
          <w:color w:val="0D0D0D" w:themeColor="text1" w:themeTint="F2"/>
          <w:sz w:val="24"/>
          <w:szCs w:val="24"/>
          <w:lang w:val="ro-MD"/>
        </w:rPr>
        <w:t>situa</w:t>
      </w:r>
      <w:r w:rsidR="00B13B9A" w:rsidRPr="00B13B9A">
        <w:rPr>
          <w:rFonts w:asciiTheme="majorHAnsi" w:eastAsia="Calibri" w:hAnsiTheme="majorHAnsi" w:cstheme="majorHAnsi"/>
          <w:bCs/>
          <w:color w:val="0D0D0D" w:themeColor="text1" w:themeTint="F2"/>
          <w:sz w:val="24"/>
          <w:szCs w:val="24"/>
          <w:lang w:val="ro-MD"/>
        </w:rPr>
        <w:t>ț</w:t>
      </w:r>
      <w:r w:rsidR="004303BA" w:rsidRPr="00B13B9A">
        <w:rPr>
          <w:rFonts w:asciiTheme="majorHAnsi" w:eastAsia="Calibri" w:hAnsiTheme="majorHAnsi" w:cstheme="majorHAnsi"/>
          <w:bCs/>
          <w:color w:val="0D0D0D" w:themeColor="text1" w:themeTint="F2"/>
          <w:sz w:val="24"/>
          <w:szCs w:val="24"/>
          <w:lang w:val="ro-MD"/>
        </w:rPr>
        <w:t xml:space="preserve">iile patrimoniale </w:t>
      </w:r>
      <w:r w:rsidR="009708AE" w:rsidRPr="00B13B9A">
        <w:rPr>
          <w:rFonts w:asciiTheme="majorHAnsi" w:eastAsia="Calibri" w:hAnsiTheme="majorHAnsi" w:cstheme="majorHAnsi"/>
          <w:bCs/>
          <w:color w:val="0D0D0D" w:themeColor="text1" w:themeTint="F2"/>
          <w:sz w:val="24"/>
          <w:szCs w:val="24"/>
          <w:lang w:val="ro-MD"/>
        </w:rPr>
        <w:t>în baza documentelor justificative, reie</w:t>
      </w:r>
      <w:r w:rsidR="00B13B9A" w:rsidRPr="00B13B9A">
        <w:rPr>
          <w:rFonts w:asciiTheme="majorHAnsi" w:eastAsia="Calibri" w:hAnsiTheme="majorHAnsi" w:cstheme="majorHAnsi"/>
          <w:bCs/>
          <w:color w:val="0D0D0D" w:themeColor="text1" w:themeTint="F2"/>
          <w:sz w:val="24"/>
          <w:szCs w:val="24"/>
          <w:lang w:val="ro-MD"/>
        </w:rPr>
        <w:t>ș</w:t>
      </w:r>
      <w:r w:rsidR="009708AE" w:rsidRPr="00B13B9A">
        <w:rPr>
          <w:rFonts w:asciiTheme="majorHAnsi" w:eastAsia="Calibri" w:hAnsiTheme="majorHAnsi" w:cstheme="majorHAnsi"/>
          <w:bCs/>
          <w:color w:val="0D0D0D" w:themeColor="text1" w:themeTint="F2"/>
          <w:sz w:val="24"/>
          <w:szCs w:val="24"/>
          <w:lang w:val="ro-MD"/>
        </w:rPr>
        <w:t xml:space="preserve">ind din modalitatea de </w:t>
      </w:r>
      <w:r w:rsidR="003A601C" w:rsidRPr="00B13B9A">
        <w:rPr>
          <w:rFonts w:asciiTheme="majorHAnsi" w:eastAsia="Calibri" w:hAnsiTheme="majorHAnsi" w:cstheme="majorHAnsi"/>
          <w:bCs/>
          <w:color w:val="0D0D0D" w:themeColor="text1" w:themeTint="F2"/>
          <w:sz w:val="24"/>
          <w:szCs w:val="24"/>
          <w:lang w:val="ro-MD"/>
        </w:rPr>
        <w:t>recep</w:t>
      </w:r>
      <w:r w:rsidR="00B13B9A" w:rsidRPr="00B13B9A">
        <w:rPr>
          <w:rFonts w:asciiTheme="majorHAnsi" w:eastAsia="Calibri" w:hAnsiTheme="majorHAnsi" w:cstheme="majorHAnsi"/>
          <w:bCs/>
          <w:color w:val="0D0D0D" w:themeColor="text1" w:themeTint="F2"/>
          <w:sz w:val="24"/>
          <w:szCs w:val="24"/>
          <w:lang w:val="ro-MD"/>
        </w:rPr>
        <w:t>ț</w:t>
      </w:r>
      <w:r w:rsidR="003A601C" w:rsidRPr="00B13B9A">
        <w:rPr>
          <w:rFonts w:asciiTheme="majorHAnsi" w:eastAsia="Calibri" w:hAnsiTheme="majorHAnsi" w:cstheme="majorHAnsi"/>
          <w:bCs/>
          <w:color w:val="0D0D0D" w:themeColor="text1" w:themeTint="F2"/>
          <w:sz w:val="24"/>
          <w:szCs w:val="24"/>
          <w:lang w:val="ro-MD"/>
        </w:rPr>
        <w:t xml:space="preserve">ionare </w:t>
      </w:r>
      <w:r w:rsidR="009708AE" w:rsidRPr="00B13B9A">
        <w:rPr>
          <w:rFonts w:asciiTheme="majorHAnsi" w:eastAsia="Calibri" w:hAnsiTheme="majorHAnsi" w:cstheme="majorHAnsi"/>
          <w:bCs/>
          <w:color w:val="0D0D0D" w:themeColor="text1" w:themeTint="F2"/>
          <w:sz w:val="24"/>
          <w:szCs w:val="24"/>
          <w:lang w:val="ro-MD"/>
        </w:rPr>
        <w:t>a activelor (ca patrimoniu primit de la stat cu drept de proprietate, în gestiune economică etc.)</w:t>
      </w:r>
      <w:r w:rsidR="003A601C" w:rsidRPr="00B13B9A">
        <w:rPr>
          <w:rFonts w:asciiTheme="majorHAnsi" w:eastAsia="Calibri" w:hAnsiTheme="majorHAnsi" w:cstheme="majorHAnsi"/>
          <w:bCs/>
          <w:color w:val="0D0D0D" w:themeColor="text1" w:themeTint="F2"/>
          <w:sz w:val="24"/>
          <w:szCs w:val="24"/>
          <w:lang w:val="ro-MD"/>
        </w:rPr>
        <w:t>,</w:t>
      </w:r>
      <w:r w:rsidR="009708AE" w:rsidRPr="00B13B9A">
        <w:rPr>
          <w:rFonts w:asciiTheme="majorHAnsi" w:eastAsia="Calibri" w:hAnsiTheme="majorHAnsi" w:cstheme="majorHAnsi"/>
          <w:bCs/>
          <w:color w:val="0D0D0D" w:themeColor="text1" w:themeTint="F2"/>
          <w:sz w:val="24"/>
          <w:szCs w:val="24"/>
          <w:lang w:val="ro-MD"/>
        </w:rPr>
        <w:t xml:space="preserve"> </w:t>
      </w:r>
      <w:r w:rsidRPr="00B13B9A">
        <w:rPr>
          <w:rFonts w:asciiTheme="majorHAnsi" w:eastAsia="Calibri" w:hAnsiTheme="majorHAnsi" w:cstheme="majorHAnsi"/>
          <w:bCs/>
          <w:color w:val="0D0D0D" w:themeColor="text1" w:themeTint="F2"/>
          <w:sz w:val="24"/>
          <w:szCs w:val="24"/>
          <w:lang w:val="ro-MD"/>
        </w:rPr>
        <w:t>în scopul asigurării reflectării conforme a patrimoniului</w:t>
      </w:r>
      <w:r w:rsidR="006444E0">
        <w:rPr>
          <w:rFonts w:asciiTheme="majorHAnsi" w:eastAsia="Calibri" w:hAnsiTheme="majorHAnsi" w:cstheme="majorHAnsi"/>
          <w:bCs/>
          <w:color w:val="0D0D0D" w:themeColor="text1" w:themeTint="F2"/>
          <w:sz w:val="24"/>
          <w:szCs w:val="24"/>
          <w:lang w:val="ro-MD"/>
        </w:rPr>
        <w:t xml:space="preserve"> </w:t>
      </w:r>
      <w:r w:rsidRPr="00B13B9A">
        <w:rPr>
          <w:rFonts w:asciiTheme="majorHAnsi" w:eastAsia="Calibri" w:hAnsiTheme="majorHAnsi" w:cstheme="majorHAnsi"/>
          <w:bCs/>
          <w:color w:val="0D0D0D" w:themeColor="text1" w:themeTint="F2"/>
          <w:sz w:val="24"/>
          <w:szCs w:val="24"/>
          <w:lang w:val="ro-MD"/>
        </w:rPr>
        <w:t>primit.</w:t>
      </w:r>
    </w:p>
    <w:p w14:paraId="60D0A672" w14:textId="77777777" w:rsidR="0039787E" w:rsidRPr="00B13B9A" w:rsidRDefault="0039787E" w:rsidP="00D25500">
      <w:pPr>
        <w:spacing w:after="0" w:line="276" w:lineRule="auto"/>
        <w:jc w:val="both"/>
        <w:rPr>
          <w:rFonts w:asciiTheme="majorHAnsi" w:eastAsia="Times New Roman" w:hAnsiTheme="majorHAnsi" w:cstheme="majorHAnsi"/>
          <w:sz w:val="24"/>
          <w:szCs w:val="24"/>
          <w:lang w:val="ro-MD"/>
        </w:rPr>
      </w:pPr>
    </w:p>
    <w:p w14:paraId="3F8E3E4D" w14:textId="6FD01623" w:rsidR="0039787E" w:rsidRPr="00B13B9A" w:rsidRDefault="0039787E" w:rsidP="00241AB3">
      <w:pPr>
        <w:pStyle w:val="a7"/>
        <w:numPr>
          <w:ilvl w:val="2"/>
          <w:numId w:val="10"/>
        </w:numPr>
        <w:shd w:val="clear" w:color="auto" w:fill="FFFFFF" w:themeFill="background1"/>
        <w:ind w:left="0" w:firstLine="0"/>
        <w:jc w:val="both"/>
        <w:outlineLvl w:val="2"/>
        <w:rPr>
          <w:rFonts w:asciiTheme="majorHAnsi" w:hAnsiTheme="majorHAnsi" w:cstheme="majorHAnsi"/>
          <w:b/>
          <w:bCs/>
          <w:iCs/>
          <w:sz w:val="24"/>
          <w:szCs w:val="24"/>
          <w:lang w:val="ro-MD"/>
        </w:rPr>
      </w:pPr>
      <w:bookmarkStart w:id="28" w:name="_Toc154562503"/>
      <w:r w:rsidRPr="00B13B9A">
        <w:rPr>
          <w:rFonts w:asciiTheme="majorHAnsi" w:hAnsiTheme="majorHAnsi" w:cstheme="majorHAnsi"/>
          <w:b/>
          <w:bCs/>
          <w:iCs/>
          <w:sz w:val="24"/>
          <w:szCs w:val="24"/>
          <w:lang w:val="ro-MD"/>
        </w:rPr>
        <w:t xml:space="preserve">Unele utilaje </w:t>
      </w:r>
      <w:r w:rsidR="00B13B9A" w:rsidRPr="00B13B9A">
        <w:rPr>
          <w:rFonts w:asciiTheme="majorHAnsi" w:hAnsiTheme="majorHAnsi" w:cstheme="majorHAnsi"/>
          <w:b/>
          <w:bCs/>
          <w:iCs/>
          <w:sz w:val="24"/>
          <w:szCs w:val="24"/>
          <w:lang w:val="ro-MD"/>
        </w:rPr>
        <w:t>ș</w:t>
      </w:r>
      <w:r w:rsidRPr="00B13B9A">
        <w:rPr>
          <w:rFonts w:asciiTheme="majorHAnsi" w:hAnsiTheme="majorHAnsi" w:cstheme="majorHAnsi"/>
          <w:b/>
          <w:bCs/>
          <w:iCs/>
          <w:sz w:val="24"/>
          <w:szCs w:val="24"/>
          <w:lang w:val="ro-MD"/>
        </w:rPr>
        <w:t>i dispozitive medicale în valoare de 1 126,1 mii lei</w:t>
      </w:r>
      <w:r w:rsidR="003A601C" w:rsidRPr="00B13B9A">
        <w:rPr>
          <w:rFonts w:asciiTheme="majorHAnsi" w:hAnsiTheme="majorHAnsi" w:cstheme="majorHAnsi"/>
          <w:b/>
          <w:bCs/>
          <w:iCs/>
          <w:sz w:val="24"/>
          <w:szCs w:val="24"/>
          <w:lang w:val="ro-MD"/>
        </w:rPr>
        <w:t>,</w:t>
      </w:r>
      <w:r w:rsidRPr="00B13B9A">
        <w:rPr>
          <w:rFonts w:asciiTheme="majorHAnsi" w:hAnsiTheme="majorHAnsi" w:cstheme="majorHAnsi"/>
          <w:b/>
          <w:bCs/>
          <w:iCs/>
          <w:sz w:val="24"/>
          <w:szCs w:val="24"/>
          <w:lang w:val="ro-MD"/>
        </w:rPr>
        <w:t xml:space="preserve"> primite cu titlu gratuit sub formă de ajutor umanitar </w:t>
      </w:r>
      <w:r w:rsidR="00B13B9A" w:rsidRPr="00B13B9A">
        <w:rPr>
          <w:rFonts w:asciiTheme="majorHAnsi" w:hAnsiTheme="majorHAnsi" w:cstheme="majorHAnsi"/>
          <w:b/>
          <w:bCs/>
          <w:iCs/>
          <w:sz w:val="24"/>
          <w:szCs w:val="24"/>
          <w:lang w:val="ro-MD"/>
        </w:rPr>
        <w:t>ș</w:t>
      </w:r>
      <w:r w:rsidRPr="00B13B9A">
        <w:rPr>
          <w:rFonts w:asciiTheme="majorHAnsi" w:hAnsiTheme="majorHAnsi" w:cstheme="majorHAnsi"/>
          <w:b/>
          <w:bCs/>
          <w:iCs/>
          <w:sz w:val="24"/>
          <w:szCs w:val="24"/>
          <w:lang w:val="ro-MD"/>
        </w:rPr>
        <w:t>i repartizate în folosin</w:t>
      </w:r>
      <w:r w:rsidR="00B13B9A" w:rsidRPr="00B13B9A">
        <w:rPr>
          <w:rFonts w:asciiTheme="majorHAnsi" w:hAnsiTheme="majorHAnsi" w:cstheme="majorHAnsi"/>
          <w:b/>
          <w:bCs/>
          <w:iCs/>
          <w:sz w:val="24"/>
          <w:szCs w:val="24"/>
          <w:lang w:val="ro-MD"/>
        </w:rPr>
        <w:t>ț</w:t>
      </w:r>
      <w:r w:rsidRPr="00B13B9A">
        <w:rPr>
          <w:rFonts w:asciiTheme="majorHAnsi" w:hAnsiTheme="majorHAnsi" w:cstheme="majorHAnsi"/>
          <w:b/>
          <w:bCs/>
          <w:iCs/>
          <w:sz w:val="24"/>
          <w:szCs w:val="24"/>
          <w:lang w:val="ro-MD"/>
        </w:rPr>
        <w:t>ă, nu sunt utilizate conform destina</w:t>
      </w:r>
      <w:r w:rsidR="00B13B9A" w:rsidRPr="00B13B9A">
        <w:rPr>
          <w:rFonts w:asciiTheme="majorHAnsi" w:hAnsiTheme="majorHAnsi" w:cstheme="majorHAnsi"/>
          <w:b/>
          <w:bCs/>
          <w:iCs/>
          <w:sz w:val="24"/>
          <w:szCs w:val="24"/>
          <w:lang w:val="ro-MD"/>
        </w:rPr>
        <w:t>ț</w:t>
      </w:r>
      <w:r w:rsidRPr="00B13B9A">
        <w:rPr>
          <w:rFonts w:asciiTheme="majorHAnsi" w:hAnsiTheme="majorHAnsi" w:cstheme="majorHAnsi"/>
          <w:b/>
          <w:bCs/>
          <w:iCs/>
          <w:sz w:val="24"/>
          <w:szCs w:val="24"/>
          <w:lang w:val="ro-MD"/>
        </w:rPr>
        <w:t>iei, fiind păstrate noi în sec</w:t>
      </w:r>
      <w:r w:rsidR="00B13B9A" w:rsidRPr="00B13B9A">
        <w:rPr>
          <w:rFonts w:asciiTheme="majorHAnsi" w:hAnsiTheme="majorHAnsi" w:cstheme="majorHAnsi"/>
          <w:b/>
          <w:bCs/>
          <w:iCs/>
          <w:sz w:val="24"/>
          <w:szCs w:val="24"/>
          <w:lang w:val="ro-MD"/>
        </w:rPr>
        <w:t>ț</w:t>
      </w:r>
      <w:r w:rsidRPr="00B13B9A">
        <w:rPr>
          <w:rFonts w:asciiTheme="majorHAnsi" w:hAnsiTheme="majorHAnsi" w:cstheme="majorHAnsi"/>
          <w:b/>
          <w:bCs/>
          <w:iCs/>
          <w:sz w:val="24"/>
          <w:szCs w:val="24"/>
          <w:lang w:val="ro-MD"/>
        </w:rPr>
        <w:t>ii, unele mai mult de 10 ani.</w:t>
      </w:r>
      <w:bookmarkEnd w:id="28"/>
    </w:p>
    <w:p w14:paraId="4EF8F679" w14:textId="238AEC49" w:rsidR="00351522" w:rsidRPr="00B13B9A" w:rsidRDefault="00351522" w:rsidP="00351522">
      <w:pPr>
        <w:spacing w:line="276" w:lineRule="auto"/>
        <w:jc w:val="both"/>
        <w:rPr>
          <w:rFonts w:asciiTheme="majorHAnsi" w:hAnsiTheme="majorHAnsi" w:cstheme="majorHAnsi"/>
          <w:color w:val="000000" w:themeColor="text1"/>
          <w:sz w:val="24"/>
          <w:szCs w:val="24"/>
          <w:lang w:val="ro-MD"/>
        </w:rPr>
      </w:pPr>
      <w:r w:rsidRPr="00B13B9A">
        <w:rPr>
          <w:rFonts w:asciiTheme="majorHAnsi" w:hAnsiTheme="majorHAnsi" w:cstheme="majorHAnsi"/>
          <w:color w:val="000000" w:themeColor="text1"/>
          <w:sz w:val="24"/>
          <w:szCs w:val="24"/>
          <w:lang w:val="ro-MD"/>
        </w:rPr>
        <w:t>Conform datelor eviden</w:t>
      </w:r>
      <w:r w:rsidR="00B13B9A" w:rsidRPr="00B13B9A">
        <w:rPr>
          <w:rFonts w:asciiTheme="majorHAnsi" w:hAnsiTheme="majorHAnsi" w:cstheme="majorHAnsi"/>
          <w:color w:val="000000" w:themeColor="text1"/>
          <w:sz w:val="24"/>
          <w:szCs w:val="24"/>
          <w:lang w:val="ro-MD"/>
        </w:rPr>
        <w:t>ț</w:t>
      </w:r>
      <w:r w:rsidRPr="00B13B9A">
        <w:rPr>
          <w:rFonts w:asciiTheme="majorHAnsi" w:hAnsiTheme="majorHAnsi" w:cstheme="majorHAnsi"/>
          <w:color w:val="000000" w:themeColor="text1"/>
          <w:sz w:val="24"/>
          <w:szCs w:val="24"/>
          <w:lang w:val="ro-MD"/>
        </w:rPr>
        <w:t>ei contabile, pe parcursul perioadei 2021-2023 (I sem</w:t>
      </w:r>
      <w:r w:rsidR="003A601C" w:rsidRPr="00B13B9A">
        <w:rPr>
          <w:rFonts w:asciiTheme="majorHAnsi" w:hAnsiTheme="majorHAnsi" w:cstheme="majorHAnsi"/>
          <w:color w:val="000000" w:themeColor="text1"/>
          <w:sz w:val="24"/>
          <w:szCs w:val="24"/>
          <w:lang w:val="ro-MD"/>
        </w:rPr>
        <w:t>estru</w:t>
      </w:r>
      <w:r w:rsidRPr="00B13B9A">
        <w:rPr>
          <w:rFonts w:asciiTheme="majorHAnsi" w:hAnsiTheme="majorHAnsi" w:cstheme="majorHAnsi"/>
          <w:color w:val="000000" w:themeColor="text1"/>
          <w:sz w:val="24"/>
          <w:szCs w:val="24"/>
          <w:lang w:val="ro-MD"/>
        </w:rPr>
        <w:t>) entitatea a pus în func</w:t>
      </w:r>
      <w:r w:rsidR="00B13B9A" w:rsidRPr="00B13B9A">
        <w:rPr>
          <w:rFonts w:asciiTheme="majorHAnsi" w:hAnsiTheme="majorHAnsi" w:cstheme="majorHAnsi"/>
          <w:color w:val="000000" w:themeColor="text1"/>
          <w:sz w:val="24"/>
          <w:szCs w:val="24"/>
          <w:lang w:val="ro-MD"/>
        </w:rPr>
        <w:t>ț</w:t>
      </w:r>
      <w:r w:rsidRPr="00B13B9A">
        <w:rPr>
          <w:rFonts w:asciiTheme="majorHAnsi" w:hAnsiTheme="majorHAnsi" w:cstheme="majorHAnsi"/>
          <w:color w:val="000000" w:themeColor="text1"/>
          <w:sz w:val="24"/>
          <w:szCs w:val="24"/>
          <w:lang w:val="ro-MD"/>
        </w:rPr>
        <w:t>iune utilaje medicale în valoa</w:t>
      </w:r>
      <w:r w:rsidR="00102FA5" w:rsidRPr="00B13B9A">
        <w:rPr>
          <w:rFonts w:asciiTheme="majorHAnsi" w:hAnsiTheme="majorHAnsi" w:cstheme="majorHAnsi"/>
          <w:color w:val="000000" w:themeColor="text1"/>
          <w:sz w:val="24"/>
          <w:szCs w:val="24"/>
          <w:lang w:val="ro-MD"/>
        </w:rPr>
        <w:t>re de 8 875,</w:t>
      </w:r>
      <w:r w:rsidRPr="00B13B9A">
        <w:rPr>
          <w:rFonts w:asciiTheme="majorHAnsi" w:hAnsiTheme="majorHAnsi" w:cstheme="majorHAnsi"/>
          <w:color w:val="000000" w:themeColor="text1"/>
          <w:sz w:val="24"/>
          <w:szCs w:val="24"/>
          <w:lang w:val="ro-MD"/>
        </w:rPr>
        <w:t>6 mii lei, care au fost primite de la Ministerul Sănătă</w:t>
      </w:r>
      <w:r w:rsidR="00B13B9A" w:rsidRPr="00B13B9A">
        <w:rPr>
          <w:rFonts w:asciiTheme="majorHAnsi" w:hAnsiTheme="majorHAnsi" w:cstheme="majorHAnsi"/>
          <w:color w:val="000000" w:themeColor="text1"/>
          <w:sz w:val="24"/>
          <w:szCs w:val="24"/>
          <w:lang w:val="ro-MD"/>
        </w:rPr>
        <w:t>ț</w:t>
      </w:r>
      <w:r w:rsidRPr="00B13B9A">
        <w:rPr>
          <w:rFonts w:asciiTheme="majorHAnsi" w:hAnsiTheme="majorHAnsi" w:cstheme="majorHAnsi"/>
          <w:color w:val="000000" w:themeColor="text1"/>
          <w:sz w:val="24"/>
          <w:szCs w:val="24"/>
          <w:lang w:val="ro-MD"/>
        </w:rPr>
        <w:t xml:space="preserve">ii, UCIMP, </w:t>
      </w:r>
      <w:r w:rsidR="00102FA5" w:rsidRPr="00B13B9A">
        <w:rPr>
          <w:rFonts w:asciiTheme="majorHAnsi" w:hAnsiTheme="majorHAnsi" w:cstheme="majorHAnsi"/>
          <w:color w:val="000000" w:themeColor="text1"/>
          <w:sz w:val="24"/>
          <w:szCs w:val="24"/>
          <w:lang w:val="ro-MD"/>
        </w:rPr>
        <w:t>CPAS, informa</w:t>
      </w:r>
      <w:r w:rsidR="00B13B9A" w:rsidRPr="00B13B9A">
        <w:rPr>
          <w:rFonts w:asciiTheme="majorHAnsi" w:hAnsiTheme="majorHAnsi" w:cstheme="majorHAnsi"/>
          <w:color w:val="000000" w:themeColor="text1"/>
          <w:sz w:val="24"/>
          <w:szCs w:val="24"/>
          <w:lang w:val="ro-MD"/>
        </w:rPr>
        <w:t>ț</w:t>
      </w:r>
      <w:r w:rsidR="00102FA5" w:rsidRPr="00B13B9A">
        <w:rPr>
          <w:rFonts w:asciiTheme="majorHAnsi" w:hAnsiTheme="majorHAnsi" w:cstheme="majorHAnsi"/>
          <w:color w:val="000000" w:themeColor="text1"/>
          <w:sz w:val="24"/>
          <w:szCs w:val="24"/>
          <w:lang w:val="ro-MD"/>
        </w:rPr>
        <w:t>ie prezentată în A</w:t>
      </w:r>
      <w:r w:rsidRPr="00B13B9A">
        <w:rPr>
          <w:rFonts w:asciiTheme="majorHAnsi" w:hAnsiTheme="majorHAnsi" w:cstheme="majorHAnsi"/>
          <w:color w:val="000000" w:themeColor="text1"/>
          <w:sz w:val="24"/>
          <w:szCs w:val="24"/>
          <w:lang w:val="ro-MD"/>
        </w:rPr>
        <w:t xml:space="preserve">nexa </w:t>
      </w:r>
      <w:r w:rsidR="003A601C" w:rsidRPr="00B13B9A">
        <w:rPr>
          <w:rFonts w:asciiTheme="majorHAnsi" w:hAnsiTheme="majorHAnsi" w:cstheme="majorHAnsi"/>
          <w:color w:val="000000" w:themeColor="text1"/>
          <w:sz w:val="24"/>
          <w:szCs w:val="24"/>
          <w:lang w:val="ro-MD"/>
        </w:rPr>
        <w:t>nr.</w:t>
      </w:r>
      <w:r w:rsidR="00102FA5" w:rsidRPr="00B13B9A">
        <w:rPr>
          <w:rFonts w:asciiTheme="majorHAnsi" w:hAnsiTheme="majorHAnsi" w:cstheme="majorHAnsi"/>
          <w:color w:val="000000" w:themeColor="text1"/>
          <w:sz w:val="24"/>
          <w:szCs w:val="24"/>
          <w:lang w:val="ro-MD"/>
        </w:rPr>
        <w:t>1</w:t>
      </w:r>
      <w:r w:rsidR="00BA154C" w:rsidRPr="00B13B9A">
        <w:rPr>
          <w:rFonts w:asciiTheme="majorHAnsi" w:hAnsiTheme="majorHAnsi" w:cstheme="majorHAnsi"/>
          <w:color w:val="000000" w:themeColor="text1"/>
          <w:sz w:val="24"/>
          <w:szCs w:val="24"/>
          <w:lang w:val="ro-MD"/>
        </w:rPr>
        <w:t>4</w:t>
      </w:r>
      <w:r w:rsidR="003A601C" w:rsidRPr="00B13B9A">
        <w:rPr>
          <w:rFonts w:asciiTheme="majorHAnsi" w:hAnsiTheme="majorHAnsi" w:cstheme="majorHAnsi"/>
          <w:color w:val="000000" w:themeColor="text1"/>
          <w:sz w:val="24"/>
          <w:szCs w:val="24"/>
          <w:lang w:val="ro-MD"/>
        </w:rPr>
        <w:t xml:space="preserve"> la prezentul Raport de audit</w:t>
      </w:r>
      <w:r w:rsidRPr="00B13B9A">
        <w:rPr>
          <w:rFonts w:asciiTheme="majorHAnsi" w:hAnsiTheme="majorHAnsi" w:cstheme="majorHAnsi"/>
          <w:color w:val="000000" w:themeColor="text1"/>
          <w:sz w:val="24"/>
          <w:szCs w:val="24"/>
          <w:lang w:val="ro-MD"/>
        </w:rPr>
        <w:t>.</w:t>
      </w:r>
    </w:p>
    <w:p w14:paraId="40146C61" w14:textId="0F998BE0" w:rsidR="0039787E" w:rsidRPr="00B13B9A" w:rsidRDefault="0039787E" w:rsidP="0039787E">
      <w:pPr>
        <w:shd w:val="clear" w:color="auto" w:fill="FFFFFF" w:themeFill="background1"/>
        <w:tabs>
          <w:tab w:val="left" w:pos="284"/>
        </w:tabs>
        <w:spacing w:after="0" w:line="276" w:lineRule="auto"/>
        <w:jc w:val="both"/>
        <w:rPr>
          <w:rFonts w:asciiTheme="majorHAnsi" w:eastAsia="Times New Roman" w:hAnsiTheme="majorHAnsi" w:cstheme="majorHAnsi"/>
          <w:sz w:val="24"/>
          <w:szCs w:val="24"/>
          <w:lang w:val="ro-MD"/>
        </w:rPr>
      </w:pPr>
      <w:r w:rsidRPr="00B13B9A">
        <w:rPr>
          <w:rFonts w:asciiTheme="majorHAnsi" w:eastAsia="Times New Roman" w:hAnsiTheme="majorHAnsi" w:cstheme="majorHAnsi"/>
          <w:sz w:val="24"/>
          <w:szCs w:val="24"/>
          <w:lang w:val="ro-MD"/>
        </w:rPr>
        <w:t>Se relevă că dispozitivele medicale noi, neutilizate sunt luate</w:t>
      </w:r>
      <w:r w:rsidR="007619BC" w:rsidRPr="00B13B9A">
        <w:rPr>
          <w:rFonts w:asciiTheme="majorHAnsi" w:eastAsia="Times New Roman" w:hAnsiTheme="majorHAnsi" w:cstheme="majorHAnsi"/>
          <w:sz w:val="24"/>
          <w:szCs w:val="24"/>
          <w:lang w:val="ro-MD"/>
        </w:rPr>
        <w:t xml:space="preserve"> în eviden</w:t>
      </w:r>
      <w:r w:rsidR="00B13B9A" w:rsidRPr="00B13B9A">
        <w:rPr>
          <w:rFonts w:asciiTheme="majorHAnsi" w:eastAsia="Times New Roman" w:hAnsiTheme="majorHAnsi" w:cstheme="majorHAnsi"/>
          <w:sz w:val="24"/>
          <w:szCs w:val="24"/>
          <w:lang w:val="ro-MD"/>
        </w:rPr>
        <w:t>ț</w:t>
      </w:r>
      <w:r w:rsidR="007619BC" w:rsidRPr="00B13B9A">
        <w:rPr>
          <w:rFonts w:asciiTheme="majorHAnsi" w:eastAsia="Times New Roman" w:hAnsiTheme="majorHAnsi" w:cstheme="majorHAnsi"/>
          <w:sz w:val="24"/>
          <w:szCs w:val="24"/>
          <w:lang w:val="ro-MD"/>
        </w:rPr>
        <w:t xml:space="preserve">ă ca mijloace fixe, </w:t>
      </w:r>
      <w:r w:rsidRPr="00B13B9A">
        <w:rPr>
          <w:rFonts w:asciiTheme="majorHAnsi" w:eastAsia="Times New Roman" w:hAnsiTheme="majorHAnsi" w:cstheme="majorHAnsi"/>
          <w:sz w:val="24"/>
          <w:szCs w:val="24"/>
          <w:lang w:val="ro-MD"/>
        </w:rPr>
        <w:t>care sunt puse în func</w:t>
      </w:r>
      <w:r w:rsidR="00B13B9A" w:rsidRPr="00B13B9A">
        <w:rPr>
          <w:rFonts w:asciiTheme="majorHAnsi" w:eastAsia="Times New Roman" w:hAnsiTheme="majorHAnsi" w:cstheme="majorHAnsi"/>
          <w:sz w:val="24"/>
          <w:szCs w:val="24"/>
          <w:lang w:val="ro-MD"/>
        </w:rPr>
        <w:t>ț</w:t>
      </w:r>
      <w:r w:rsidRPr="00B13B9A">
        <w:rPr>
          <w:rFonts w:asciiTheme="majorHAnsi" w:eastAsia="Times New Roman" w:hAnsiTheme="majorHAnsi" w:cstheme="majorHAnsi"/>
          <w:sz w:val="24"/>
          <w:szCs w:val="24"/>
          <w:lang w:val="ro-MD"/>
        </w:rPr>
        <w:t xml:space="preserve">iune </w:t>
      </w:r>
      <w:r w:rsidR="00B13B9A" w:rsidRPr="00B13B9A">
        <w:rPr>
          <w:rFonts w:asciiTheme="majorHAnsi" w:eastAsia="Times New Roman" w:hAnsiTheme="majorHAnsi" w:cstheme="majorHAnsi"/>
          <w:sz w:val="24"/>
          <w:szCs w:val="24"/>
          <w:lang w:val="ro-MD"/>
        </w:rPr>
        <w:t>ș</w:t>
      </w:r>
      <w:r w:rsidRPr="00B13B9A">
        <w:rPr>
          <w:rFonts w:asciiTheme="majorHAnsi" w:eastAsia="Times New Roman" w:hAnsiTheme="majorHAnsi" w:cstheme="majorHAnsi"/>
          <w:sz w:val="24"/>
          <w:szCs w:val="24"/>
          <w:lang w:val="ro-MD"/>
        </w:rPr>
        <w:t>i sunt utilizate în activitatea opera</w:t>
      </w:r>
      <w:r w:rsidR="00B13B9A" w:rsidRPr="00B13B9A">
        <w:rPr>
          <w:rFonts w:asciiTheme="majorHAnsi" w:eastAsia="Times New Roman" w:hAnsiTheme="majorHAnsi" w:cstheme="majorHAnsi"/>
          <w:sz w:val="24"/>
          <w:szCs w:val="24"/>
          <w:lang w:val="ro-MD"/>
        </w:rPr>
        <w:t>ț</w:t>
      </w:r>
      <w:r w:rsidRPr="00B13B9A">
        <w:rPr>
          <w:rFonts w:asciiTheme="majorHAnsi" w:eastAsia="Times New Roman" w:hAnsiTheme="majorHAnsi" w:cstheme="majorHAnsi"/>
          <w:sz w:val="24"/>
          <w:szCs w:val="24"/>
          <w:lang w:val="ro-MD"/>
        </w:rPr>
        <w:t xml:space="preserve">ională, pentru care obligatoriu se calculează uzura. </w:t>
      </w:r>
      <w:r w:rsidRPr="00B13B9A">
        <w:rPr>
          <w:rFonts w:asciiTheme="majorHAnsi" w:hAnsiTheme="majorHAnsi" w:cstheme="majorHAnsi"/>
          <w:sz w:val="24"/>
          <w:szCs w:val="24"/>
          <w:lang w:val="ro-MD"/>
        </w:rPr>
        <w:t>Astfel, de</w:t>
      </w:r>
      <w:r w:rsidR="00B13B9A" w:rsidRPr="00B13B9A">
        <w:rPr>
          <w:rFonts w:asciiTheme="majorHAnsi" w:hAnsiTheme="majorHAnsi" w:cstheme="majorHAnsi"/>
          <w:sz w:val="24"/>
          <w:szCs w:val="24"/>
          <w:lang w:val="ro-MD"/>
        </w:rPr>
        <w:t>ș</w:t>
      </w:r>
      <w:r w:rsidRPr="00B13B9A">
        <w:rPr>
          <w:rFonts w:asciiTheme="majorHAnsi" w:hAnsiTheme="majorHAnsi" w:cstheme="majorHAnsi"/>
          <w:sz w:val="24"/>
          <w:szCs w:val="24"/>
          <w:lang w:val="ro-MD"/>
        </w:rPr>
        <w:t xml:space="preserve">i </w:t>
      </w:r>
      <w:r w:rsidR="007619BC" w:rsidRPr="00B13B9A">
        <w:rPr>
          <w:rFonts w:asciiTheme="majorHAnsi" w:hAnsiTheme="majorHAnsi" w:cstheme="majorHAnsi"/>
          <w:sz w:val="24"/>
          <w:szCs w:val="24"/>
          <w:lang w:val="ro-MD"/>
        </w:rPr>
        <w:t xml:space="preserve">unele utilaje </w:t>
      </w:r>
      <w:r w:rsidRPr="00B13B9A">
        <w:rPr>
          <w:rFonts w:asciiTheme="majorHAnsi" w:hAnsiTheme="majorHAnsi" w:cstheme="majorHAnsi"/>
          <w:sz w:val="24"/>
          <w:szCs w:val="24"/>
          <w:lang w:val="ro-MD"/>
        </w:rPr>
        <w:t xml:space="preserve">nu sunt </w:t>
      </w:r>
      <w:r w:rsidR="0071319B" w:rsidRPr="00B13B9A">
        <w:rPr>
          <w:rFonts w:asciiTheme="majorHAnsi" w:hAnsiTheme="majorHAnsi" w:cstheme="majorHAnsi"/>
          <w:sz w:val="24"/>
          <w:szCs w:val="24"/>
          <w:lang w:val="ro-MD"/>
        </w:rPr>
        <w:t>folosite</w:t>
      </w:r>
      <w:r w:rsidRPr="00B13B9A">
        <w:rPr>
          <w:rFonts w:asciiTheme="majorHAnsi" w:hAnsiTheme="majorHAnsi" w:cstheme="majorHAnsi"/>
          <w:sz w:val="24"/>
          <w:szCs w:val="24"/>
          <w:lang w:val="ro-MD"/>
        </w:rPr>
        <w:t>, entitatea calculează uzura care este trecută la cheltuieli, în sumă de 484,3 mii lei</w:t>
      </w:r>
      <w:r w:rsidRPr="00B13B9A">
        <w:rPr>
          <w:rStyle w:val="a9"/>
          <w:rFonts w:asciiTheme="majorHAnsi" w:hAnsiTheme="majorHAnsi" w:cstheme="majorHAnsi"/>
          <w:sz w:val="24"/>
          <w:szCs w:val="24"/>
          <w:lang w:val="ro-MD"/>
        </w:rPr>
        <w:footnoteReference w:id="39"/>
      </w:r>
      <w:r w:rsidRPr="00B13B9A">
        <w:rPr>
          <w:rFonts w:asciiTheme="majorHAnsi" w:hAnsiTheme="majorHAnsi" w:cstheme="majorHAnsi"/>
          <w:sz w:val="24"/>
          <w:szCs w:val="24"/>
          <w:lang w:val="ro-MD"/>
        </w:rPr>
        <w:t xml:space="preserve">, iar pentru perioada auditată, uzura constituie 151,9 mii lei, </w:t>
      </w:r>
      <w:r w:rsidR="0071319B" w:rsidRPr="00B13B9A">
        <w:rPr>
          <w:rFonts w:asciiTheme="majorHAnsi" w:hAnsiTheme="majorHAnsi" w:cstheme="majorHAnsi"/>
          <w:sz w:val="24"/>
          <w:szCs w:val="24"/>
          <w:lang w:val="ro-MD"/>
        </w:rPr>
        <w:t>aceasta fiind</w:t>
      </w:r>
      <w:r w:rsidR="00BA5C59" w:rsidRPr="00B13B9A">
        <w:rPr>
          <w:rFonts w:asciiTheme="majorHAnsi" w:hAnsiTheme="majorHAnsi" w:cstheme="majorHAnsi"/>
          <w:sz w:val="24"/>
          <w:szCs w:val="24"/>
          <w:lang w:val="ro-MD"/>
        </w:rPr>
        <w:t xml:space="preserve"> inclus</w:t>
      </w:r>
      <w:r w:rsidR="0071319B" w:rsidRPr="00B13B9A">
        <w:rPr>
          <w:rFonts w:asciiTheme="majorHAnsi" w:hAnsiTheme="majorHAnsi" w:cstheme="majorHAnsi"/>
          <w:sz w:val="24"/>
          <w:szCs w:val="24"/>
          <w:lang w:val="ro-MD"/>
        </w:rPr>
        <w:t>ă</w:t>
      </w:r>
      <w:r w:rsidR="00BA5C59" w:rsidRPr="00B13B9A">
        <w:rPr>
          <w:rFonts w:asciiTheme="majorHAnsi" w:hAnsiTheme="majorHAnsi" w:cstheme="majorHAnsi"/>
          <w:sz w:val="24"/>
          <w:szCs w:val="24"/>
          <w:lang w:val="ro-MD"/>
        </w:rPr>
        <w:t xml:space="preserve"> în costul serviciilor</w:t>
      </w:r>
      <w:r w:rsidRPr="00B13B9A">
        <w:rPr>
          <w:rFonts w:asciiTheme="majorHAnsi" w:hAnsiTheme="majorHAnsi" w:cstheme="majorHAnsi"/>
          <w:sz w:val="24"/>
          <w:szCs w:val="24"/>
          <w:lang w:val="ro-MD"/>
        </w:rPr>
        <w:t>.</w:t>
      </w:r>
    </w:p>
    <w:p w14:paraId="6A8E98B5" w14:textId="071B3ACD" w:rsidR="00E7729C" w:rsidRPr="00B13B9A" w:rsidRDefault="00E7729C" w:rsidP="00E7729C">
      <w:pPr>
        <w:pStyle w:val="ae"/>
        <w:shd w:val="clear" w:color="auto" w:fill="FFFFFF" w:themeFill="background1"/>
        <w:tabs>
          <w:tab w:val="left" w:pos="284"/>
        </w:tabs>
        <w:spacing w:before="0" w:beforeAutospacing="0" w:after="0" w:afterAutospacing="0" w:line="276" w:lineRule="auto"/>
        <w:jc w:val="both"/>
        <w:textAlignment w:val="baseline"/>
        <w:rPr>
          <w:rFonts w:asciiTheme="majorHAnsi" w:hAnsiTheme="majorHAnsi" w:cstheme="majorHAnsi"/>
          <w:lang w:val="ro-MD"/>
        </w:rPr>
      </w:pPr>
      <w:r w:rsidRPr="00B13B9A">
        <w:rPr>
          <w:rFonts w:asciiTheme="majorHAnsi" w:hAnsiTheme="majorHAnsi" w:cstheme="majorHAnsi"/>
          <w:lang w:val="ro-MD"/>
        </w:rPr>
        <w:t>De men</w:t>
      </w:r>
      <w:r w:rsidR="00B13B9A" w:rsidRPr="00B13B9A">
        <w:rPr>
          <w:rFonts w:asciiTheme="majorHAnsi" w:hAnsiTheme="majorHAnsi" w:cstheme="majorHAnsi"/>
          <w:lang w:val="ro-MD"/>
        </w:rPr>
        <w:t>ț</w:t>
      </w:r>
      <w:r w:rsidRPr="00B13B9A">
        <w:rPr>
          <w:rFonts w:asciiTheme="majorHAnsi" w:hAnsiTheme="majorHAnsi" w:cstheme="majorHAnsi"/>
          <w:lang w:val="ro-MD"/>
        </w:rPr>
        <w:t xml:space="preserve">ionat că entitatea nu </w:t>
      </w:r>
      <w:r w:rsidR="007619BC" w:rsidRPr="00B13B9A">
        <w:rPr>
          <w:rFonts w:asciiTheme="majorHAnsi" w:hAnsiTheme="majorHAnsi" w:cstheme="majorHAnsi"/>
          <w:lang w:val="ro-MD"/>
        </w:rPr>
        <w:t>dispune</w:t>
      </w:r>
      <w:r w:rsidRPr="00B13B9A">
        <w:rPr>
          <w:rFonts w:asciiTheme="majorHAnsi" w:hAnsiTheme="majorHAnsi" w:cstheme="majorHAnsi"/>
          <w:lang w:val="ro-MD"/>
        </w:rPr>
        <w:t xml:space="preserve"> </w:t>
      </w:r>
      <w:r w:rsidR="0071319B" w:rsidRPr="00B13B9A">
        <w:rPr>
          <w:rFonts w:asciiTheme="majorHAnsi" w:hAnsiTheme="majorHAnsi" w:cstheme="majorHAnsi"/>
          <w:lang w:val="ro-MD"/>
        </w:rPr>
        <w:t xml:space="preserve">de </w:t>
      </w:r>
      <w:r w:rsidRPr="00B13B9A">
        <w:rPr>
          <w:rFonts w:asciiTheme="majorHAnsi" w:hAnsiTheme="majorHAnsi" w:cstheme="majorHAnsi"/>
          <w:lang w:val="ro-MD"/>
        </w:rPr>
        <w:t>reglementări interne aferente modului de repartizare a utilaj</w:t>
      </w:r>
      <w:r w:rsidR="007619BC" w:rsidRPr="00B13B9A">
        <w:rPr>
          <w:rFonts w:asciiTheme="majorHAnsi" w:hAnsiTheme="majorHAnsi" w:cstheme="majorHAnsi"/>
          <w:lang w:val="ro-MD"/>
        </w:rPr>
        <w:t xml:space="preserve">ului </w:t>
      </w:r>
      <w:r w:rsidR="00B13B9A" w:rsidRPr="00B13B9A">
        <w:rPr>
          <w:rFonts w:asciiTheme="majorHAnsi" w:hAnsiTheme="majorHAnsi" w:cstheme="majorHAnsi"/>
          <w:lang w:val="ro-MD"/>
        </w:rPr>
        <w:t>ș</w:t>
      </w:r>
      <w:r w:rsidR="007619BC" w:rsidRPr="00B13B9A">
        <w:rPr>
          <w:rFonts w:asciiTheme="majorHAnsi" w:hAnsiTheme="majorHAnsi" w:cstheme="majorHAnsi"/>
          <w:lang w:val="ro-MD"/>
        </w:rPr>
        <w:t>i echipamentelor medicale, iar cele r</w:t>
      </w:r>
      <w:r w:rsidRPr="00B13B9A">
        <w:rPr>
          <w:rFonts w:asciiTheme="majorHAnsi" w:hAnsiTheme="majorHAnsi" w:cstheme="majorHAnsi"/>
          <w:lang w:val="ro-MD"/>
        </w:rPr>
        <w:t>ecep</w:t>
      </w:r>
      <w:r w:rsidR="00B13B9A" w:rsidRPr="00B13B9A">
        <w:rPr>
          <w:rFonts w:asciiTheme="majorHAnsi" w:hAnsiTheme="majorHAnsi" w:cstheme="majorHAnsi"/>
          <w:lang w:val="ro-MD"/>
        </w:rPr>
        <w:t>ț</w:t>
      </w:r>
      <w:r w:rsidRPr="00B13B9A">
        <w:rPr>
          <w:rFonts w:asciiTheme="majorHAnsi" w:hAnsiTheme="majorHAnsi" w:cstheme="majorHAnsi"/>
          <w:lang w:val="ro-MD"/>
        </w:rPr>
        <w:t>ionate în depozit (sub formă de ajutor umanitar) sunt repartizate în sec</w:t>
      </w:r>
      <w:r w:rsidR="00B13B9A" w:rsidRPr="00B13B9A">
        <w:rPr>
          <w:rFonts w:asciiTheme="majorHAnsi" w:hAnsiTheme="majorHAnsi" w:cstheme="majorHAnsi"/>
          <w:lang w:val="ro-MD"/>
        </w:rPr>
        <w:t>ț</w:t>
      </w:r>
      <w:r w:rsidRPr="00B13B9A">
        <w:rPr>
          <w:rFonts w:asciiTheme="majorHAnsi" w:hAnsiTheme="majorHAnsi" w:cstheme="majorHAnsi"/>
          <w:lang w:val="ro-MD"/>
        </w:rPr>
        <w:t xml:space="preserve">ii în baza ordinului conducerii, </w:t>
      </w:r>
      <w:r w:rsidR="007619BC" w:rsidRPr="00B13B9A">
        <w:rPr>
          <w:rFonts w:asciiTheme="majorHAnsi" w:hAnsiTheme="majorHAnsi" w:cstheme="majorHAnsi"/>
          <w:lang w:val="ro-MD"/>
        </w:rPr>
        <w:t>în lipsa</w:t>
      </w:r>
      <w:r w:rsidRPr="00B13B9A">
        <w:rPr>
          <w:rFonts w:asciiTheme="majorHAnsi" w:hAnsiTheme="majorHAnsi" w:cstheme="majorHAnsi"/>
          <w:lang w:val="ro-MD"/>
        </w:rPr>
        <w:t xml:space="preserve"> solicitări</w:t>
      </w:r>
      <w:r w:rsidR="007619BC" w:rsidRPr="00B13B9A">
        <w:rPr>
          <w:rFonts w:asciiTheme="majorHAnsi" w:hAnsiTheme="majorHAnsi" w:cstheme="majorHAnsi"/>
          <w:lang w:val="ro-MD"/>
        </w:rPr>
        <w:t>lor privind necesit</w:t>
      </w:r>
      <w:r w:rsidR="00DA1FB6" w:rsidRPr="00B13B9A">
        <w:rPr>
          <w:rFonts w:asciiTheme="majorHAnsi" w:hAnsiTheme="majorHAnsi" w:cstheme="majorHAnsi"/>
          <w:lang w:val="ro-MD"/>
        </w:rPr>
        <w:t>atea</w:t>
      </w:r>
      <w:r w:rsidR="007619BC" w:rsidRPr="00B13B9A">
        <w:rPr>
          <w:rFonts w:asciiTheme="majorHAnsi" w:hAnsiTheme="majorHAnsi" w:cstheme="majorHAnsi"/>
          <w:lang w:val="ro-MD"/>
        </w:rPr>
        <w:t xml:space="preserve"> acestora</w:t>
      </w:r>
      <w:r w:rsidRPr="00B13B9A">
        <w:rPr>
          <w:rFonts w:asciiTheme="majorHAnsi" w:hAnsiTheme="majorHAnsi" w:cstheme="majorHAnsi"/>
          <w:lang w:val="ro-MD"/>
        </w:rPr>
        <w:t xml:space="preserve">. </w:t>
      </w:r>
      <w:r w:rsidR="0071319B" w:rsidRPr="00B13B9A">
        <w:rPr>
          <w:rFonts w:asciiTheme="majorHAnsi" w:hAnsiTheme="majorHAnsi" w:cstheme="majorHAnsi"/>
          <w:lang w:val="ro-MD"/>
        </w:rPr>
        <w:t>Ca</w:t>
      </w:r>
      <w:r w:rsidRPr="00B13B9A">
        <w:rPr>
          <w:rFonts w:asciiTheme="majorHAnsi" w:hAnsiTheme="majorHAnsi" w:cstheme="majorHAnsi"/>
          <w:lang w:val="ro-MD"/>
        </w:rPr>
        <w:t xml:space="preserve"> rezultat, din cauza lipsei necesită</w:t>
      </w:r>
      <w:r w:rsidR="00B13B9A" w:rsidRPr="00B13B9A">
        <w:rPr>
          <w:rFonts w:asciiTheme="majorHAnsi" w:hAnsiTheme="majorHAnsi" w:cstheme="majorHAnsi"/>
          <w:lang w:val="ro-MD"/>
        </w:rPr>
        <w:t>ț</w:t>
      </w:r>
      <w:r w:rsidRPr="00B13B9A">
        <w:rPr>
          <w:rFonts w:asciiTheme="majorHAnsi" w:hAnsiTheme="majorHAnsi" w:cstheme="majorHAnsi"/>
          <w:lang w:val="ro-MD"/>
        </w:rPr>
        <w:t>ii efective de unele echipamente, acestea nu sunt puse în func</w:t>
      </w:r>
      <w:r w:rsidR="00B13B9A" w:rsidRPr="00B13B9A">
        <w:rPr>
          <w:rFonts w:asciiTheme="majorHAnsi" w:hAnsiTheme="majorHAnsi" w:cstheme="majorHAnsi"/>
          <w:lang w:val="ro-MD"/>
        </w:rPr>
        <w:t>ț</w:t>
      </w:r>
      <w:r w:rsidRPr="00B13B9A">
        <w:rPr>
          <w:rFonts w:asciiTheme="majorHAnsi" w:hAnsiTheme="majorHAnsi" w:cstheme="majorHAnsi"/>
          <w:lang w:val="ro-MD"/>
        </w:rPr>
        <w:t xml:space="preserve">iune </w:t>
      </w:r>
      <w:r w:rsidR="00B13B9A" w:rsidRPr="00B13B9A">
        <w:rPr>
          <w:rFonts w:asciiTheme="majorHAnsi" w:hAnsiTheme="majorHAnsi" w:cstheme="majorHAnsi"/>
          <w:lang w:val="ro-MD"/>
        </w:rPr>
        <w:t>ș</w:t>
      </w:r>
      <w:r w:rsidRPr="00B13B9A">
        <w:rPr>
          <w:rFonts w:asciiTheme="majorHAnsi" w:hAnsiTheme="majorHAnsi" w:cstheme="majorHAnsi"/>
          <w:lang w:val="ro-MD"/>
        </w:rPr>
        <w:t>i sunt păstrate noi în depozit</w:t>
      </w:r>
      <w:r w:rsidR="00DA1FB6" w:rsidRPr="00B13B9A">
        <w:rPr>
          <w:rFonts w:asciiTheme="majorHAnsi" w:hAnsiTheme="majorHAnsi" w:cstheme="majorHAnsi"/>
          <w:lang w:val="ro-MD"/>
        </w:rPr>
        <w:t>e</w:t>
      </w:r>
      <w:r w:rsidRPr="00B13B9A">
        <w:rPr>
          <w:rFonts w:asciiTheme="majorHAnsi" w:hAnsiTheme="majorHAnsi" w:cstheme="majorHAnsi"/>
          <w:lang w:val="ro-MD"/>
        </w:rPr>
        <w:t>.</w:t>
      </w:r>
    </w:p>
    <w:p w14:paraId="7B853EED" w14:textId="0983EBD1" w:rsidR="008C6CAC" w:rsidRPr="00B13B9A" w:rsidRDefault="005C7873" w:rsidP="0039787E">
      <w:pPr>
        <w:pStyle w:val="ae"/>
        <w:shd w:val="clear" w:color="auto" w:fill="FFFFFF" w:themeFill="background1"/>
        <w:tabs>
          <w:tab w:val="left" w:pos="284"/>
        </w:tabs>
        <w:spacing w:before="0" w:beforeAutospacing="0" w:after="0" w:afterAutospacing="0" w:line="276" w:lineRule="auto"/>
        <w:jc w:val="both"/>
        <w:textAlignment w:val="baseline"/>
        <w:rPr>
          <w:rFonts w:asciiTheme="majorHAnsi" w:hAnsiTheme="majorHAnsi" w:cstheme="majorHAnsi"/>
          <w:lang w:val="ro-MD"/>
        </w:rPr>
      </w:pPr>
      <w:r w:rsidRPr="00B13B9A">
        <w:rPr>
          <w:rFonts w:asciiTheme="majorHAnsi" w:hAnsiTheme="majorHAnsi" w:cstheme="majorHAnsi"/>
          <w:lang w:val="ro-MD"/>
        </w:rPr>
        <w:t xml:space="preserve">Potrivit </w:t>
      </w:r>
      <w:r w:rsidR="0039787E" w:rsidRPr="00B13B9A">
        <w:rPr>
          <w:rFonts w:asciiTheme="majorHAnsi" w:hAnsiTheme="majorHAnsi" w:cstheme="majorHAnsi"/>
          <w:lang w:val="ro-MD"/>
        </w:rPr>
        <w:t>notelor informative a</w:t>
      </w:r>
      <w:r w:rsidR="00DA1FB6" w:rsidRPr="00B13B9A">
        <w:rPr>
          <w:rFonts w:asciiTheme="majorHAnsi" w:hAnsiTheme="majorHAnsi" w:cstheme="majorHAnsi"/>
          <w:lang w:val="ro-MD"/>
        </w:rPr>
        <w:t>le</w:t>
      </w:r>
      <w:r w:rsidR="0039787E" w:rsidRPr="00B13B9A">
        <w:rPr>
          <w:rFonts w:asciiTheme="majorHAnsi" w:hAnsiTheme="majorHAnsi" w:cstheme="majorHAnsi"/>
          <w:lang w:val="ro-MD"/>
        </w:rPr>
        <w:t xml:space="preserve"> gestionarilor din sec</w:t>
      </w:r>
      <w:r w:rsidR="00B13B9A" w:rsidRPr="00B13B9A">
        <w:rPr>
          <w:rFonts w:asciiTheme="majorHAnsi" w:hAnsiTheme="majorHAnsi" w:cstheme="majorHAnsi"/>
          <w:lang w:val="ro-MD"/>
        </w:rPr>
        <w:t>ț</w:t>
      </w:r>
      <w:r w:rsidR="0039787E" w:rsidRPr="00B13B9A">
        <w:rPr>
          <w:rFonts w:asciiTheme="majorHAnsi" w:hAnsiTheme="majorHAnsi" w:cstheme="majorHAnsi"/>
          <w:lang w:val="ro-MD"/>
        </w:rPr>
        <w:t xml:space="preserve">ii, </w:t>
      </w:r>
      <w:r w:rsidRPr="00B13B9A">
        <w:rPr>
          <w:rFonts w:asciiTheme="majorHAnsi" w:hAnsiTheme="majorHAnsi" w:cstheme="majorHAnsi"/>
          <w:lang w:val="ro-MD"/>
        </w:rPr>
        <w:t>„</w:t>
      </w:r>
      <w:r w:rsidR="00826699" w:rsidRPr="00B13B9A">
        <w:rPr>
          <w:rFonts w:asciiTheme="majorHAnsi" w:hAnsiTheme="majorHAnsi" w:cstheme="majorHAnsi"/>
          <w:lang w:val="ro-MD"/>
        </w:rPr>
        <w:t>...</w:t>
      </w:r>
      <w:r w:rsidR="00DA1FB6" w:rsidRPr="00B13B9A">
        <w:rPr>
          <w:rFonts w:asciiTheme="majorHAnsi" w:hAnsiTheme="majorHAnsi" w:cstheme="majorHAnsi"/>
          <w:lang w:val="ro-MD"/>
        </w:rPr>
        <w:t xml:space="preserve"> </w:t>
      </w:r>
      <w:r w:rsidR="0039787E" w:rsidRPr="00B13B9A">
        <w:rPr>
          <w:rFonts w:asciiTheme="majorHAnsi" w:hAnsiTheme="majorHAnsi" w:cstheme="majorHAnsi"/>
          <w:i/>
          <w:lang w:val="ro-MD"/>
        </w:rPr>
        <w:t>dispozitivele medicale nu au fost puse în func</w:t>
      </w:r>
      <w:r w:rsidR="00B13B9A" w:rsidRPr="00B13B9A">
        <w:rPr>
          <w:rFonts w:asciiTheme="majorHAnsi" w:hAnsiTheme="majorHAnsi" w:cstheme="majorHAnsi"/>
          <w:i/>
          <w:lang w:val="ro-MD"/>
        </w:rPr>
        <w:t>ț</w:t>
      </w:r>
      <w:r w:rsidR="0039787E" w:rsidRPr="00B13B9A">
        <w:rPr>
          <w:rFonts w:asciiTheme="majorHAnsi" w:hAnsiTheme="majorHAnsi" w:cstheme="majorHAnsi"/>
          <w:i/>
          <w:lang w:val="ro-MD"/>
        </w:rPr>
        <w:t xml:space="preserve">iune </w:t>
      </w:r>
      <w:r w:rsidR="00B13B9A" w:rsidRPr="00B13B9A">
        <w:rPr>
          <w:rFonts w:asciiTheme="majorHAnsi" w:hAnsiTheme="majorHAnsi" w:cstheme="majorHAnsi"/>
          <w:i/>
          <w:lang w:val="ro-MD"/>
        </w:rPr>
        <w:t>ș</w:t>
      </w:r>
      <w:r w:rsidR="0039787E" w:rsidRPr="00B13B9A">
        <w:rPr>
          <w:rFonts w:asciiTheme="majorHAnsi" w:hAnsiTheme="majorHAnsi" w:cstheme="majorHAnsi"/>
          <w:i/>
          <w:lang w:val="ro-MD"/>
        </w:rPr>
        <w:t>i sunt păstrate în sec</w:t>
      </w:r>
      <w:r w:rsidR="00B13B9A" w:rsidRPr="00B13B9A">
        <w:rPr>
          <w:rFonts w:asciiTheme="majorHAnsi" w:hAnsiTheme="majorHAnsi" w:cstheme="majorHAnsi"/>
          <w:i/>
          <w:lang w:val="ro-MD"/>
        </w:rPr>
        <w:t>ț</w:t>
      </w:r>
      <w:r w:rsidR="0039787E" w:rsidRPr="00B13B9A">
        <w:rPr>
          <w:rFonts w:asciiTheme="majorHAnsi" w:hAnsiTheme="majorHAnsi" w:cstheme="majorHAnsi"/>
          <w:i/>
          <w:lang w:val="ro-MD"/>
        </w:rPr>
        <w:t>ii pentru asigurarea continuă a activită</w:t>
      </w:r>
      <w:r w:rsidR="00B13B9A" w:rsidRPr="00B13B9A">
        <w:rPr>
          <w:rFonts w:asciiTheme="majorHAnsi" w:hAnsiTheme="majorHAnsi" w:cstheme="majorHAnsi"/>
          <w:i/>
          <w:lang w:val="ro-MD"/>
        </w:rPr>
        <w:t>ț</w:t>
      </w:r>
      <w:r w:rsidR="0039787E" w:rsidRPr="00B13B9A">
        <w:rPr>
          <w:rFonts w:asciiTheme="majorHAnsi" w:hAnsiTheme="majorHAnsi" w:cstheme="majorHAnsi"/>
          <w:i/>
          <w:lang w:val="ro-MD"/>
        </w:rPr>
        <w:t>ilor, în caz de defectare  a altui echipament sau imposibilitatea func</w:t>
      </w:r>
      <w:r w:rsidR="00B13B9A" w:rsidRPr="00B13B9A">
        <w:rPr>
          <w:rFonts w:asciiTheme="majorHAnsi" w:hAnsiTheme="majorHAnsi" w:cstheme="majorHAnsi"/>
          <w:i/>
          <w:lang w:val="ro-MD"/>
        </w:rPr>
        <w:t>ț</w:t>
      </w:r>
      <w:r w:rsidR="0039787E" w:rsidRPr="00B13B9A">
        <w:rPr>
          <w:rFonts w:asciiTheme="majorHAnsi" w:hAnsiTheme="majorHAnsi" w:cstheme="majorHAnsi"/>
          <w:i/>
          <w:lang w:val="ro-MD"/>
        </w:rPr>
        <w:t>ionării în lipsa extinderii re</w:t>
      </w:r>
      <w:r w:rsidR="00B13B9A" w:rsidRPr="00B13B9A">
        <w:rPr>
          <w:rFonts w:asciiTheme="majorHAnsi" w:hAnsiTheme="majorHAnsi" w:cstheme="majorHAnsi"/>
          <w:i/>
          <w:lang w:val="ro-MD"/>
        </w:rPr>
        <w:t>ț</w:t>
      </w:r>
      <w:r w:rsidR="0039787E" w:rsidRPr="00B13B9A">
        <w:rPr>
          <w:rFonts w:asciiTheme="majorHAnsi" w:hAnsiTheme="majorHAnsi" w:cstheme="majorHAnsi"/>
          <w:i/>
          <w:lang w:val="ro-MD"/>
        </w:rPr>
        <w:t>elei de oxigen</w:t>
      </w:r>
      <w:r w:rsidRPr="00B13B9A">
        <w:rPr>
          <w:rFonts w:asciiTheme="majorHAnsi" w:hAnsiTheme="majorHAnsi" w:cstheme="majorHAnsi"/>
          <w:i/>
          <w:lang w:val="ro-MD"/>
        </w:rPr>
        <w:t>”</w:t>
      </w:r>
      <w:r w:rsidR="0039787E" w:rsidRPr="00B13B9A">
        <w:rPr>
          <w:rFonts w:asciiTheme="majorHAnsi" w:hAnsiTheme="majorHAnsi" w:cstheme="majorHAnsi"/>
          <w:lang w:val="ro-MD"/>
        </w:rPr>
        <w:t>.</w:t>
      </w:r>
    </w:p>
    <w:p w14:paraId="41CC0EDF" w14:textId="5612DE9D" w:rsidR="0039787E" w:rsidRPr="00B13B9A" w:rsidRDefault="0039787E" w:rsidP="0039787E">
      <w:pPr>
        <w:pStyle w:val="ae"/>
        <w:shd w:val="clear" w:color="auto" w:fill="FFFFFF" w:themeFill="background1"/>
        <w:tabs>
          <w:tab w:val="left" w:pos="284"/>
        </w:tabs>
        <w:spacing w:before="0" w:beforeAutospacing="0" w:after="0" w:afterAutospacing="0" w:line="276" w:lineRule="auto"/>
        <w:jc w:val="both"/>
        <w:textAlignment w:val="baseline"/>
        <w:rPr>
          <w:rFonts w:asciiTheme="majorHAnsi" w:hAnsiTheme="majorHAnsi" w:cstheme="majorHAnsi"/>
          <w:lang w:val="ro-MD"/>
        </w:rPr>
      </w:pPr>
      <w:r w:rsidRPr="00B13B9A">
        <w:rPr>
          <w:rFonts w:asciiTheme="majorHAnsi" w:hAnsiTheme="majorHAnsi" w:cstheme="majorHAnsi"/>
          <w:lang w:val="ro-MD"/>
        </w:rPr>
        <w:t>Totodată, în cadrul clinicii Vorniceni</w:t>
      </w:r>
      <w:r w:rsidR="00DA1FB6" w:rsidRPr="00B13B9A">
        <w:rPr>
          <w:rFonts w:asciiTheme="majorHAnsi" w:hAnsiTheme="majorHAnsi" w:cstheme="majorHAnsi"/>
          <w:lang w:val="ro-MD"/>
        </w:rPr>
        <w:t>,</w:t>
      </w:r>
      <w:r w:rsidRPr="00B13B9A">
        <w:rPr>
          <w:rFonts w:asciiTheme="majorHAnsi" w:hAnsiTheme="majorHAnsi" w:cstheme="majorHAnsi"/>
          <w:lang w:val="ro-MD"/>
        </w:rPr>
        <w:t xml:space="preserve"> în laboratorul clinico</w:t>
      </w:r>
      <w:r w:rsidR="00826699" w:rsidRPr="00B13B9A">
        <w:rPr>
          <w:rFonts w:asciiTheme="majorHAnsi" w:hAnsiTheme="majorHAnsi" w:cstheme="majorHAnsi"/>
          <w:lang w:val="ro-MD"/>
        </w:rPr>
        <w:t>-</w:t>
      </w:r>
      <w:r w:rsidRPr="00B13B9A">
        <w:rPr>
          <w:rFonts w:asciiTheme="majorHAnsi" w:hAnsiTheme="majorHAnsi" w:cstheme="majorHAnsi"/>
          <w:lang w:val="ro-MD"/>
        </w:rPr>
        <w:t xml:space="preserve">diagnostic au fost identificate 39 </w:t>
      </w:r>
      <w:r w:rsidR="00DA1FB6" w:rsidRPr="00B13B9A">
        <w:rPr>
          <w:rFonts w:asciiTheme="majorHAnsi" w:hAnsiTheme="majorHAnsi" w:cstheme="majorHAnsi"/>
          <w:lang w:val="ro-MD"/>
        </w:rPr>
        <w:t xml:space="preserve">de </w:t>
      </w:r>
      <w:r w:rsidRPr="00B13B9A">
        <w:rPr>
          <w:rFonts w:asciiTheme="majorHAnsi" w:hAnsiTheme="majorHAnsi" w:cstheme="majorHAnsi"/>
          <w:lang w:val="ro-MD"/>
        </w:rPr>
        <w:t>dispozitive medicale în valoare de 628,5 mii lei, care nu se utilizează, laboratorul fiind închis de la începutul anului 2023, iar probele pentru efectuarea analizelor sunt transmise la laboratorul din cadrul clinicii Chi</w:t>
      </w:r>
      <w:r w:rsidR="00B13B9A" w:rsidRPr="00B13B9A">
        <w:rPr>
          <w:rFonts w:asciiTheme="majorHAnsi" w:hAnsiTheme="majorHAnsi" w:cstheme="majorHAnsi"/>
          <w:lang w:val="ro-MD"/>
        </w:rPr>
        <w:t>ș</w:t>
      </w:r>
      <w:r w:rsidRPr="00B13B9A">
        <w:rPr>
          <w:rFonts w:asciiTheme="majorHAnsi" w:hAnsiTheme="majorHAnsi" w:cstheme="majorHAnsi"/>
          <w:lang w:val="ro-MD"/>
        </w:rPr>
        <w:t>inău.</w:t>
      </w:r>
    </w:p>
    <w:p w14:paraId="4C6355C1" w14:textId="7BB86CDF" w:rsidR="0039787E" w:rsidRPr="00B13B9A" w:rsidRDefault="0039787E" w:rsidP="00826699">
      <w:pPr>
        <w:pStyle w:val="ae"/>
        <w:shd w:val="clear" w:color="auto" w:fill="FFFFFF" w:themeFill="background1"/>
        <w:tabs>
          <w:tab w:val="left" w:pos="284"/>
        </w:tabs>
        <w:spacing w:before="0" w:beforeAutospacing="0" w:after="240" w:afterAutospacing="0" w:line="276" w:lineRule="auto"/>
        <w:jc w:val="both"/>
        <w:textAlignment w:val="baseline"/>
        <w:rPr>
          <w:rFonts w:asciiTheme="majorHAnsi" w:hAnsiTheme="majorHAnsi" w:cstheme="majorHAnsi"/>
          <w:lang w:val="ro-MD"/>
        </w:rPr>
      </w:pPr>
      <w:r w:rsidRPr="00B13B9A">
        <w:rPr>
          <w:rFonts w:asciiTheme="majorHAnsi" w:hAnsiTheme="majorHAnsi" w:cstheme="majorHAnsi"/>
          <w:lang w:val="ro-MD"/>
        </w:rPr>
        <w:t>În acest context, auditul men</w:t>
      </w:r>
      <w:r w:rsidR="00B13B9A" w:rsidRPr="00B13B9A">
        <w:rPr>
          <w:rFonts w:asciiTheme="majorHAnsi" w:hAnsiTheme="majorHAnsi" w:cstheme="majorHAnsi"/>
          <w:lang w:val="ro-MD"/>
        </w:rPr>
        <w:t>ț</w:t>
      </w:r>
      <w:r w:rsidRPr="00B13B9A">
        <w:rPr>
          <w:rFonts w:asciiTheme="majorHAnsi" w:hAnsiTheme="majorHAnsi" w:cstheme="majorHAnsi"/>
          <w:lang w:val="ro-MD"/>
        </w:rPr>
        <w:t>ionează că, de</w:t>
      </w:r>
      <w:r w:rsidR="00B13B9A" w:rsidRPr="00B13B9A">
        <w:rPr>
          <w:rFonts w:asciiTheme="majorHAnsi" w:hAnsiTheme="majorHAnsi" w:cstheme="majorHAnsi"/>
          <w:lang w:val="ro-MD"/>
        </w:rPr>
        <w:t>ș</w:t>
      </w:r>
      <w:r w:rsidRPr="00B13B9A">
        <w:rPr>
          <w:rFonts w:asciiTheme="majorHAnsi" w:hAnsiTheme="majorHAnsi" w:cstheme="majorHAnsi"/>
          <w:lang w:val="ro-MD"/>
        </w:rPr>
        <w:t xml:space="preserve">i dispozitivele nu sunt utilizate, uzura continuă a fi calculată </w:t>
      </w:r>
      <w:r w:rsidR="00B13B9A" w:rsidRPr="00B13B9A">
        <w:rPr>
          <w:rFonts w:asciiTheme="majorHAnsi" w:hAnsiTheme="majorHAnsi" w:cstheme="majorHAnsi"/>
          <w:lang w:val="ro-MD"/>
        </w:rPr>
        <w:t>ș</w:t>
      </w:r>
      <w:r w:rsidRPr="00B13B9A">
        <w:rPr>
          <w:rFonts w:asciiTheme="majorHAnsi" w:hAnsiTheme="majorHAnsi" w:cstheme="majorHAnsi"/>
          <w:lang w:val="ro-MD"/>
        </w:rPr>
        <w:t>i</w:t>
      </w:r>
      <w:r w:rsidR="00826699" w:rsidRPr="00B13B9A">
        <w:rPr>
          <w:rFonts w:asciiTheme="majorHAnsi" w:hAnsiTheme="majorHAnsi" w:cstheme="majorHAnsi"/>
          <w:lang w:val="ro-MD"/>
        </w:rPr>
        <w:t xml:space="preserve"> trecută la costul serviciilor, care a constituit </w:t>
      </w:r>
      <w:r w:rsidRPr="00B13B9A">
        <w:rPr>
          <w:rFonts w:asciiTheme="majorHAnsi" w:hAnsiTheme="majorHAnsi" w:cstheme="majorHAnsi"/>
          <w:lang w:val="ro-MD"/>
        </w:rPr>
        <w:t xml:space="preserve">14,8 mii lei. </w:t>
      </w:r>
      <w:r w:rsidR="00222739" w:rsidRPr="00B13B9A">
        <w:rPr>
          <w:rFonts w:asciiTheme="majorHAnsi" w:hAnsiTheme="majorHAnsi" w:cstheme="majorHAnsi"/>
          <w:lang w:val="ro-MD"/>
        </w:rPr>
        <w:t>Totodată,</w:t>
      </w:r>
      <w:r w:rsidRPr="00B13B9A">
        <w:rPr>
          <w:rFonts w:asciiTheme="majorHAnsi" w:hAnsiTheme="majorHAnsi" w:cstheme="majorHAnsi"/>
          <w:lang w:val="ro-MD"/>
        </w:rPr>
        <w:t xml:space="preserve"> </w:t>
      </w:r>
      <w:r w:rsidR="00826699" w:rsidRPr="00B13B9A">
        <w:rPr>
          <w:rFonts w:asciiTheme="majorHAnsi" w:hAnsiTheme="majorHAnsi" w:cstheme="majorHAnsi"/>
          <w:lang w:val="ro-MD"/>
        </w:rPr>
        <w:t>de</w:t>
      </w:r>
      <w:r w:rsidR="00B13B9A" w:rsidRPr="00B13B9A">
        <w:rPr>
          <w:rFonts w:asciiTheme="majorHAnsi" w:hAnsiTheme="majorHAnsi" w:cstheme="majorHAnsi"/>
          <w:lang w:val="ro-MD"/>
        </w:rPr>
        <w:t>ș</w:t>
      </w:r>
      <w:r w:rsidR="00826699" w:rsidRPr="00B13B9A">
        <w:rPr>
          <w:rFonts w:asciiTheme="majorHAnsi" w:hAnsiTheme="majorHAnsi" w:cstheme="majorHAnsi"/>
          <w:lang w:val="ro-MD"/>
        </w:rPr>
        <w:t xml:space="preserve">i </w:t>
      </w:r>
      <w:r w:rsidRPr="00B13B9A">
        <w:rPr>
          <w:rFonts w:asciiTheme="majorHAnsi" w:hAnsiTheme="majorHAnsi" w:cstheme="majorHAnsi"/>
          <w:lang w:val="ro-MD"/>
        </w:rPr>
        <w:t xml:space="preserve">SNC prevăd posibilitatea conservării mijloacelor fixe neutilizate, uzura acestora continuă </w:t>
      </w:r>
      <w:r w:rsidR="00222739" w:rsidRPr="00B13B9A">
        <w:rPr>
          <w:rFonts w:asciiTheme="majorHAnsi" w:hAnsiTheme="majorHAnsi" w:cstheme="majorHAnsi"/>
          <w:lang w:val="ro-MD"/>
        </w:rPr>
        <w:t xml:space="preserve">să </w:t>
      </w:r>
      <w:r w:rsidRPr="00B13B9A">
        <w:rPr>
          <w:rFonts w:asciiTheme="majorHAnsi" w:hAnsiTheme="majorHAnsi" w:cstheme="majorHAnsi"/>
          <w:lang w:val="ro-MD"/>
        </w:rPr>
        <w:t>fi</w:t>
      </w:r>
      <w:r w:rsidR="00222739" w:rsidRPr="00B13B9A">
        <w:rPr>
          <w:rFonts w:asciiTheme="majorHAnsi" w:hAnsiTheme="majorHAnsi" w:cstheme="majorHAnsi"/>
          <w:lang w:val="ro-MD"/>
        </w:rPr>
        <w:t>e</w:t>
      </w:r>
      <w:r w:rsidRPr="00B13B9A">
        <w:rPr>
          <w:rFonts w:asciiTheme="majorHAnsi" w:hAnsiTheme="majorHAnsi" w:cstheme="majorHAnsi"/>
          <w:lang w:val="ro-MD"/>
        </w:rPr>
        <w:t xml:space="preserve"> </w:t>
      </w:r>
      <w:r w:rsidR="00826699" w:rsidRPr="00B13B9A">
        <w:rPr>
          <w:rFonts w:asciiTheme="majorHAnsi" w:hAnsiTheme="majorHAnsi" w:cstheme="majorHAnsi"/>
          <w:lang w:val="ro-MD"/>
        </w:rPr>
        <w:t>calculată, dar cu atribuire</w:t>
      </w:r>
      <w:r w:rsidR="00222739" w:rsidRPr="00B13B9A">
        <w:rPr>
          <w:rFonts w:asciiTheme="majorHAnsi" w:hAnsiTheme="majorHAnsi" w:cstheme="majorHAnsi"/>
          <w:lang w:val="ro-MD"/>
        </w:rPr>
        <w:t>a</w:t>
      </w:r>
      <w:r w:rsidR="00826699" w:rsidRPr="00B13B9A">
        <w:rPr>
          <w:rFonts w:asciiTheme="majorHAnsi" w:hAnsiTheme="majorHAnsi" w:cstheme="majorHAnsi"/>
          <w:lang w:val="ro-MD"/>
        </w:rPr>
        <w:t xml:space="preserve"> </w:t>
      </w:r>
      <w:r w:rsidR="00222739" w:rsidRPr="00B13B9A">
        <w:rPr>
          <w:rFonts w:asciiTheme="majorHAnsi" w:hAnsiTheme="majorHAnsi" w:cstheme="majorHAnsi"/>
          <w:lang w:val="ro-MD"/>
        </w:rPr>
        <w:t xml:space="preserve">acesteia </w:t>
      </w:r>
      <w:r w:rsidR="00826699" w:rsidRPr="00B13B9A">
        <w:rPr>
          <w:rFonts w:asciiTheme="majorHAnsi" w:hAnsiTheme="majorHAnsi" w:cstheme="majorHAnsi"/>
          <w:lang w:val="ro-MD"/>
        </w:rPr>
        <w:t xml:space="preserve">la </w:t>
      </w:r>
      <w:r w:rsidRPr="00B13B9A">
        <w:rPr>
          <w:rFonts w:asciiTheme="majorHAnsi" w:hAnsiTheme="majorHAnsi" w:cstheme="majorHAnsi"/>
          <w:lang w:val="ro-MD"/>
        </w:rPr>
        <w:t xml:space="preserve">cheltuieli </w:t>
      </w:r>
      <w:r w:rsidR="00826699" w:rsidRPr="00B13B9A">
        <w:rPr>
          <w:rFonts w:asciiTheme="majorHAnsi" w:hAnsiTheme="majorHAnsi" w:cstheme="majorHAnsi"/>
          <w:lang w:val="ro-MD"/>
        </w:rPr>
        <w:t xml:space="preserve">generale </w:t>
      </w:r>
      <w:r w:rsidR="00B13B9A" w:rsidRPr="00B13B9A">
        <w:rPr>
          <w:rFonts w:asciiTheme="majorHAnsi" w:hAnsiTheme="majorHAnsi" w:cstheme="majorHAnsi"/>
          <w:lang w:val="ro-MD"/>
        </w:rPr>
        <w:t>ș</w:t>
      </w:r>
      <w:r w:rsidR="00826699" w:rsidRPr="00B13B9A">
        <w:rPr>
          <w:rFonts w:asciiTheme="majorHAnsi" w:hAnsiTheme="majorHAnsi" w:cstheme="majorHAnsi"/>
          <w:lang w:val="ro-MD"/>
        </w:rPr>
        <w:t xml:space="preserve">i administrative </w:t>
      </w:r>
      <w:r w:rsidRPr="00B13B9A">
        <w:rPr>
          <w:rFonts w:asciiTheme="majorHAnsi" w:hAnsiTheme="majorHAnsi" w:cstheme="majorHAnsi"/>
          <w:lang w:val="ro-MD"/>
        </w:rPr>
        <w:t>ale entită</w:t>
      </w:r>
      <w:r w:rsidR="00B13B9A" w:rsidRPr="00B13B9A">
        <w:rPr>
          <w:rFonts w:asciiTheme="majorHAnsi" w:hAnsiTheme="majorHAnsi" w:cstheme="majorHAnsi"/>
          <w:lang w:val="ro-MD"/>
        </w:rPr>
        <w:t>ț</w:t>
      </w:r>
      <w:r w:rsidRPr="00B13B9A">
        <w:rPr>
          <w:rFonts w:asciiTheme="majorHAnsi" w:hAnsiTheme="majorHAnsi" w:cstheme="majorHAnsi"/>
          <w:lang w:val="ro-MD"/>
        </w:rPr>
        <w:t>ii.</w:t>
      </w:r>
    </w:p>
    <w:p w14:paraId="19DDB7AA" w14:textId="3DDB609F" w:rsidR="0039787E" w:rsidRPr="00B13B9A" w:rsidRDefault="00B52C70" w:rsidP="00826699">
      <w:pPr>
        <w:shd w:val="clear" w:color="auto" w:fill="FFFFFF" w:themeFill="background1"/>
        <w:spacing w:line="256" w:lineRule="auto"/>
        <w:jc w:val="both"/>
        <w:rPr>
          <w:rFonts w:asciiTheme="majorHAnsi" w:hAnsiTheme="majorHAnsi" w:cstheme="majorHAnsi"/>
          <w:sz w:val="24"/>
          <w:szCs w:val="24"/>
          <w:lang w:val="ro-MD"/>
        </w:rPr>
      </w:pPr>
      <w:r w:rsidRPr="00B13B9A">
        <w:rPr>
          <w:rFonts w:asciiTheme="majorHAnsi" w:hAnsiTheme="majorHAnsi" w:cstheme="majorHAnsi"/>
          <w:sz w:val="24"/>
          <w:szCs w:val="24"/>
          <w:lang w:val="ro-MD"/>
        </w:rPr>
        <w:t>De asemenea</w:t>
      </w:r>
      <w:r w:rsidR="00222739" w:rsidRPr="00B13B9A">
        <w:rPr>
          <w:rFonts w:asciiTheme="majorHAnsi" w:hAnsiTheme="majorHAnsi" w:cstheme="majorHAnsi"/>
          <w:sz w:val="24"/>
          <w:szCs w:val="24"/>
          <w:lang w:val="ro-MD"/>
        </w:rPr>
        <w:t>,</w:t>
      </w:r>
      <w:r w:rsidRPr="00B13B9A">
        <w:rPr>
          <w:rFonts w:asciiTheme="majorHAnsi" w:hAnsiTheme="majorHAnsi" w:cstheme="majorHAnsi"/>
          <w:sz w:val="24"/>
          <w:szCs w:val="24"/>
          <w:lang w:val="ro-MD"/>
        </w:rPr>
        <w:t xml:space="preserve"> î</w:t>
      </w:r>
      <w:r w:rsidR="0039787E" w:rsidRPr="00B13B9A">
        <w:rPr>
          <w:rFonts w:asciiTheme="majorHAnsi" w:hAnsiTheme="majorHAnsi" w:cstheme="majorHAnsi"/>
          <w:sz w:val="24"/>
          <w:szCs w:val="24"/>
          <w:lang w:val="ro-MD"/>
        </w:rPr>
        <w:t xml:space="preserve">n urma inventarierii inopinate efectuate de audit, s-au identificat </w:t>
      </w:r>
      <w:r w:rsidR="00826699" w:rsidRPr="00B13B9A">
        <w:rPr>
          <w:rFonts w:asciiTheme="majorHAnsi" w:hAnsiTheme="majorHAnsi" w:cstheme="majorHAnsi"/>
          <w:sz w:val="24"/>
          <w:szCs w:val="24"/>
          <w:lang w:val="ro-MD"/>
        </w:rPr>
        <w:t xml:space="preserve">unele </w:t>
      </w:r>
      <w:r w:rsidR="0039787E" w:rsidRPr="00B13B9A">
        <w:rPr>
          <w:rFonts w:asciiTheme="majorHAnsi" w:hAnsiTheme="majorHAnsi" w:cstheme="majorHAnsi"/>
          <w:sz w:val="24"/>
          <w:szCs w:val="24"/>
          <w:lang w:val="ro-MD"/>
        </w:rPr>
        <w:t xml:space="preserve">utilaje </w:t>
      </w:r>
      <w:r w:rsidR="00B13B9A" w:rsidRPr="00B13B9A">
        <w:rPr>
          <w:rFonts w:asciiTheme="majorHAnsi" w:hAnsiTheme="majorHAnsi" w:cstheme="majorHAnsi"/>
          <w:sz w:val="24"/>
          <w:szCs w:val="24"/>
          <w:lang w:val="ro-MD"/>
        </w:rPr>
        <w:t>ș</w:t>
      </w:r>
      <w:r w:rsidR="0039787E" w:rsidRPr="00B13B9A">
        <w:rPr>
          <w:rFonts w:asciiTheme="majorHAnsi" w:hAnsiTheme="majorHAnsi" w:cstheme="majorHAnsi"/>
          <w:sz w:val="24"/>
          <w:szCs w:val="24"/>
          <w:lang w:val="ro-MD"/>
        </w:rPr>
        <w:t>i dispozitive medicale care nu erau puse în func</w:t>
      </w:r>
      <w:r w:rsidR="00B13B9A" w:rsidRPr="00B13B9A">
        <w:rPr>
          <w:rFonts w:asciiTheme="majorHAnsi" w:hAnsiTheme="majorHAnsi" w:cstheme="majorHAnsi"/>
          <w:sz w:val="24"/>
          <w:szCs w:val="24"/>
          <w:lang w:val="ro-MD"/>
        </w:rPr>
        <w:t>ț</w:t>
      </w:r>
      <w:r w:rsidR="0039787E" w:rsidRPr="00B13B9A">
        <w:rPr>
          <w:rFonts w:asciiTheme="majorHAnsi" w:hAnsiTheme="majorHAnsi" w:cstheme="majorHAnsi"/>
          <w:sz w:val="24"/>
          <w:szCs w:val="24"/>
          <w:lang w:val="ro-MD"/>
        </w:rPr>
        <w:t>iune</w:t>
      </w:r>
      <w:r w:rsidRPr="00B13B9A">
        <w:rPr>
          <w:rFonts w:asciiTheme="majorHAnsi" w:hAnsiTheme="majorHAnsi" w:cstheme="majorHAnsi"/>
          <w:sz w:val="24"/>
          <w:szCs w:val="24"/>
          <w:lang w:val="ro-MD"/>
        </w:rPr>
        <w:t xml:space="preserve"> mai mult de 18 luni</w:t>
      </w:r>
      <w:r w:rsidR="0039787E" w:rsidRPr="00B13B9A">
        <w:rPr>
          <w:rFonts w:asciiTheme="majorHAnsi" w:hAnsiTheme="majorHAnsi" w:cstheme="majorHAnsi"/>
          <w:sz w:val="24"/>
          <w:szCs w:val="24"/>
          <w:lang w:val="ro-MD"/>
        </w:rPr>
        <w:t>:</w:t>
      </w:r>
    </w:p>
    <w:p w14:paraId="69DBB378" w14:textId="11571234" w:rsidR="0039787E" w:rsidRPr="00B13B9A" w:rsidRDefault="0039787E" w:rsidP="00241AB3">
      <w:pPr>
        <w:pStyle w:val="a7"/>
        <w:numPr>
          <w:ilvl w:val="0"/>
          <w:numId w:val="9"/>
        </w:numPr>
        <w:shd w:val="clear" w:color="auto" w:fill="FFFFFF" w:themeFill="background1"/>
        <w:spacing w:line="256" w:lineRule="auto"/>
        <w:rPr>
          <w:rFonts w:asciiTheme="majorHAnsi" w:hAnsiTheme="majorHAnsi" w:cstheme="majorHAnsi"/>
          <w:sz w:val="24"/>
          <w:szCs w:val="24"/>
          <w:lang w:val="ro-MD"/>
        </w:rPr>
      </w:pPr>
      <w:r w:rsidRPr="00B13B9A">
        <w:rPr>
          <w:rFonts w:asciiTheme="majorHAnsi" w:hAnsiTheme="majorHAnsi" w:cstheme="majorHAnsi"/>
          <w:sz w:val="24"/>
          <w:szCs w:val="24"/>
          <w:lang w:val="ro-MD"/>
        </w:rPr>
        <w:t xml:space="preserve">3 aparate de </w:t>
      </w:r>
      <w:r w:rsidR="0011361D" w:rsidRPr="00B13B9A">
        <w:rPr>
          <w:rFonts w:asciiTheme="majorHAnsi" w:hAnsiTheme="majorHAnsi" w:cstheme="majorHAnsi"/>
          <w:sz w:val="24"/>
          <w:szCs w:val="24"/>
          <w:lang w:val="ro-MD"/>
        </w:rPr>
        <w:t>r</w:t>
      </w:r>
      <w:r w:rsidRPr="00B13B9A">
        <w:rPr>
          <w:rFonts w:asciiTheme="majorHAnsi" w:hAnsiTheme="majorHAnsi" w:cstheme="majorHAnsi"/>
          <w:sz w:val="24"/>
          <w:szCs w:val="24"/>
          <w:lang w:val="ro-MD"/>
        </w:rPr>
        <w:t>adiografie portabile cu raze X, în sumă de 3 058,9 mii lei, recep</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ionate în luna mai 2022;</w:t>
      </w:r>
    </w:p>
    <w:p w14:paraId="2C810412" w14:textId="77777777" w:rsidR="0039787E" w:rsidRPr="00B13B9A" w:rsidRDefault="0039787E" w:rsidP="00241AB3">
      <w:pPr>
        <w:pStyle w:val="a7"/>
        <w:numPr>
          <w:ilvl w:val="0"/>
          <w:numId w:val="9"/>
        </w:numPr>
        <w:shd w:val="clear" w:color="auto" w:fill="FFFFFF" w:themeFill="background1"/>
        <w:spacing w:line="256" w:lineRule="auto"/>
        <w:rPr>
          <w:rFonts w:asciiTheme="majorHAnsi" w:hAnsiTheme="majorHAnsi" w:cstheme="majorHAnsi"/>
          <w:sz w:val="24"/>
          <w:szCs w:val="24"/>
          <w:lang w:val="ro-MD"/>
        </w:rPr>
      </w:pPr>
      <w:r w:rsidRPr="00B13B9A">
        <w:rPr>
          <w:rFonts w:asciiTheme="majorHAnsi" w:hAnsiTheme="majorHAnsi" w:cstheme="majorHAnsi"/>
          <w:sz w:val="24"/>
          <w:szCs w:val="24"/>
          <w:lang w:val="ro-MD"/>
        </w:rPr>
        <w:t>9 concentratoare de oxigen, în sumă de 194,3 mii lei;</w:t>
      </w:r>
    </w:p>
    <w:p w14:paraId="6C85FB95" w14:textId="77777777" w:rsidR="0039787E" w:rsidRPr="00B13B9A" w:rsidRDefault="0039787E" w:rsidP="00241AB3">
      <w:pPr>
        <w:pStyle w:val="a7"/>
        <w:numPr>
          <w:ilvl w:val="0"/>
          <w:numId w:val="9"/>
        </w:numPr>
        <w:shd w:val="clear" w:color="auto" w:fill="FFFFFF" w:themeFill="background1"/>
        <w:spacing w:line="256" w:lineRule="auto"/>
        <w:rPr>
          <w:rFonts w:asciiTheme="majorHAnsi" w:hAnsiTheme="majorHAnsi" w:cstheme="majorHAnsi"/>
          <w:sz w:val="24"/>
          <w:szCs w:val="24"/>
          <w:lang w:val="ro-MD"/>
        </w:rPr>
      </w:pPr>
      <w:r w:rsidRPr="00B13B9A">
        <w:rPr>
          <w:rFonts w:asciiTheme="majorHAnsi" w:hAnsiTheme="majorHAnsi" w:cstheme="majorHAnsi"/>
          <w:sz w:val="24"/>
          <w:szCs w:val="24"/>
          <w:lang w:val="ro-MD"/>
        </w:rPr>
        <w:t>2 monitoare pentru pacient Edan IM 60, în sumă de 86,8 mii lei;</w:t>
      </w:r>
    </w:p>
    <w:p w14:paraId="6B11632F" w14:textId="77777777" w:rsidR="0039787E" w:rsidRPr="00B13B9A" w:rsidRDefault="0039787E" w:rsidP="00241AB3">
      <w:pPr>
        <w:pStyle w:val="a7"/>
        <w:numPr>
          <w:ilvl w:val="0"/>
          <w:numId w:val="9"/>
        </w:numPr>
        <w:shd w:val="clear" w:color="auto" w:fill="FFFFFF" w:themeFill="background1"/>
        <w:spacing w:line="256" w:lineRule="auto"/>
        <w:rPr>
          <w:rFonts w:asciiTheme="majorHAnsi" w:hAnsiTheme="majorHAnsi" w:cstheme="majorHAnsi"/>
          <w:sz w:val="24"/>
          <w:szCs w:val="24"/>
          <w:lang w:val="ro-MD"/>
        </w:rPr>
      </w:pPr>
      <w:r w:rsidRPr="00B13B9A">
        <w:rPr>
          <w:rFonts w:asciiTheme="majorHAnsi" w:hAnsiTheme="majorHAnsi" w:cstheme="majorHAnsi"/>
          <w:sz w:val="24"/>
          <w:szCs w:val="24"/>
          <w:lang w:val="ro-MD"/>
        </w:rPr>
        <w:t>2 defibrilatoare semi-automate, în sumă de 45,3 mii lei.</w:t>
      </w:r>
    </w:p>
    <w:p w14:paraId="1516FD2F" w14:textId="36BF9683" w:rsidR="0039787E" w:rsidRPr="00B13B9A" w:rsidRDefault="00826699" w:rsidP="0039787E">
      <w:pPr>
        <w:shd w:val="clear" w:color="auto" w:fill="FFFFFF" w:themeFill="background1"/>
        <w:spacing w:line="276" w:lineRule="auto"/>
        <w:jc w:val="both"/>
        <w:rPr>
          <w:rFonts w:asciiTheme="majorHAnsi" w:eastAsia="Times New Roman" w:hAnsiTheme="majorHAnsi" w:cstheme="majorHAnsi"/>
          <w:color w:val="000000"/>
          <w:sz w:val="24"/>
          <w:szCs w:val="24"/>
          <w:shd w:val="clear" w:color="auto" w:fill="FFFFFF" w:themeFill="background1"/>
          <w:lang w:val="ro-MD"/>
        </w:rPr>
      </w:pPr>
      <w:r w:rsidRPr="00B13B9A">
        <w:rPr>
          <w:rFonts w:asciiTheme="majorHAnsi" w:hAnsiTheme="majorHAnsi" w:cstheme="majorHAnsi"/>
          <w:sz w:val="24"/>
          <w:szCs w:val="24"/>
          <w:lang w:val="ro-MD"/>
        </w:rPr>
        <w:t>Conform motiva</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iilor responsabililor entită</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ii</w:t>
      </w:r>
      <w:r w:rsidR="0039787E" w:rsidRPr="00B13B9A">
        <w:rPr>
          <w:rFonts w:asciiTheme="majorHAnsi" w:hAnsiTheme="majorHAnsi" w:cstheme="majorHAnsi"/>
          <w:sz w:val="24"/>
          <w:szCs w:val="24"/>
          <w:lang w:val="ro-MD"/>
        </w:rPr>
        <w:t>,</w:t>
      </w:r>
      <w:r w:rsidRPr="00B13B9A">
        <w:rPr>
          <w:rFonts w:asciiTheme="majorHAnsi" w:hAnsiTheme="majorHAnsi" w:cstheme="majorHAnsi"/>
          <w:sz w:val="24"/>
          <w:szCs w:val="24"/>
          <w:lang w:val="ro-MD"/>
        </w:rPr>
        <w:t xml:space="preserve"> </w:t>
      </w:r>
      <w:r w:rsidRPr="00B13B9A">
        <w:rPr>
          <w:rFonts w:asciiTheme="majorHAnsi" w:hAnsiTheme="majorHAnsi" w:cstheme="majorHAnsi"/>
          <w:i/>
          <w:sz w:val="24"/>
          <w:szCs w:val="24"/>
          <w:lang w:val="ro-MD"/>
        </w:rPr>
        <w:t>„a</w:t>
      </w:r>
      <w:r w:rsidR="0039787E" w:rsidRPr="00B13B9A">
        <w:rPr>
          <w:rFonts w:asciiTheme="majorHAnsi" w:hAnsiTheme="majorHAnsi" w:cstheme="majorHAnsi"/>
          <w:i/>
          <w:sz w:val="24"/>
          <w:szCs w:val="24"/>
          <w:lang w:val="ro-MD"/>
        </w:rPr>
        <w:t>paratele de Radiografie portabile cu raze X nu au fost puse în func</w:t>
      </w:r>
      <w:r w:rsidR="00B13B9A" w:rsidRPr="00B13B9A">
        <w:rPr>
          <w:rFonts w:asciiTheme="majorHAnsi" w:hAnsiTheme="majorHAnsi" w:cstheme="majorHAnsi"/>
          <w:i/>
          <w:sz w:val="24"/>
          <w:szCs w:val="24"/>
          <w:lang w:val="ro-MD"/>
        </w:rPr>
        <w:t>ț</w:t>
      </w:r>
      <w:r w:rsidR="0039787E" w:rsidRPr="00B13B9A">
        <w:rPr>
          <w:rFonts w:asciiTheme="majorHAnsi" w:hAnsiTheme="majorHAnsi" w:cstheme="majorHAnsi"/>
          <w:i/>
          <w:sz w:val="24"/>
          <w:szCs w:val="24"/>
          <w:lang w:val="ro-MD"/>
        </w:rPr>
        <w:t>iune</w:t>
      </w:r>
      <w:r w:rsidRPr="00B13B9A">
        <w:rPr>
          <w:rFonts w:asciiTheme="majorHAnsi" w:hAnsiTheme="majorHAnsi" w:cstheme="majorHAnsi"/>
          <w:i/>
          <w:sz w:val="24"/>
          <w:szCs w:val="24"/>
          <w:lang w:val="ro-MD"/>
        </w:rPr>
        <w:t>,</w:t>
      </w:r>
      <w:r w:rsidR="0039787E" w:rsidRPr="00B13B9A">
        <w:rPr>
          <w:rFonts w:asciiTheme="majorHAnsi" w:hAnsiTheme="majorHAnsi" w:cstheme="majorHAnsi"/>
          <w:i/>
          <w:sz w:val="24"/>
          <w:szCs w:val="24"/>
          <w:lang w:val="ro-MD"/>
        </w:rPr>
        <w:t xml:space="preserve"> deoarece</w:t>
      </w:r>
      <w:r w:rsidR="00B52C70" w:rsidRPr="00B13B9A">
        <w:rPr>
          <w:rFonts w:asciiTheme="majorHAnsi" w:hAnsiTheme="majorHAnsi" w:cstheme="majorHAnsi"/>
          <w:i/>
          <w:sz w:val="24"/>
          <w:szCs w:val="24"/>
          <w:lang w:val="ro-MD"/>
        </w:rPr>
        <w:t xml:space="preserve"> este necesară elaborarea unui</w:t>
      </w:r>
      <w:r w:rsidR="0039787E" w:rsidRPr="00B13B9A">
        <w:rPr>
          <w:rFonts w:asciiTheme="majorHAnsi" w:eastAsia="Times New Roman" w:hAnsiTheme="majorHAnsi" w:cstheme="majorHAnsi"/>
          <w:i/>
          <w:color w:val="000000"/>
          <w:sz w:val="24"/>
          <w:szCs w:val="24"/>
          <w:shd w:val="clear" w:color="auto" w:fill="FFFFFF" w:themeFill="background1"/>
          <w:lang w:val="ro-MD"/>
        </w:rPr>
        <w:t xml:space="preserve"> Regulament </w:t>
      </w:r>
      <w:r w:rsidR="00B52C70" w:rsidRPr="00B13B9A">
        <w:rPr>
          <w:rFonts w:asciiTheme="majorHAnsi" w:eastAsia="Times New Roman" w:hAnsiTheme="majorHAnsi" w:cstheme="majorHAnsi"/>
          <w:i/>
          <w:color w:val="000000"/>
          <w:sz w:val="24"/>
          <w:szCs w:val="24"/>
          <w:shd w:val="clear" w:color="auto" w:fill="FFFFFF" w:themeFill="background1"/>
          <w:lang w:val="ro-MD"/>
        </w:rPr>
        <w:t xml:space="preserve">intern </w:t>
      </w:r>
      <w:r w:rsidR="0039787E" w:rsidRPr="00B13B9A">
        <w:rPr>
          <w:rFonts w:asciiTheme="majorHAnsi" w:eastAsia="Times New Roman" w:hAnsiTheme="majorHAnsi" w:cstheme="majorHAnsi"/>
          <w:i/>
          <w:color w:val="000000"/>
          <w:sz w:val="24"/>
          <w:szCs w:val="24"/>
          <w:shd w:val="clear" w:color="auto" w:fill="FFFFFF" w:themeFill="background1"/>
          <w:lang w:val="ro-MD"/>
        </w:rPr>
        <w:t>ce ar permite punerea în func</w:t>
      </w:r>
      <w:r w:rsidR="00B13B9A" w:rsidRPr="00B13B9A">
        <w:rPr>
          <w:rFonts w:asciiTheme="majorHAnsi" w:eastAsia="Times New Roman" w:hAnsiTheme="majorHAnsi" w:cstheme="majorHAnsi"/>
          <w:i/>
          <w:color w:val="000000"/>
          <w:sz w:val="24"/>
          <w:szCs w:val="24"/>
          <w:shd w:val="clear" w:color="auto" w:fill="FFFFFF" w:themeFill="background1"/>
          <w:lang w:val="ro-MD"/>
        </w:rPr>
        <w:t>ț</w:t>
      </w:r>
      <w:r w:rsidR="0039787E" w:rsidRPr="00B13B9A">
        <w:rPr>
          <w:rFonts w:asciiTheme="majorHAnsi" w:eastAsia="Times New Roman" w:hAnsiTheme="majorHAnsi" w:cstheme="majorHAnsi"/>
          <w:i/>
          <w:color w:val="000000"/>
          <w:sz w:val="24"/>
          <w:szCs w:val="24"/>
          <w:shd w:val="clear" w:color="auto" w:fill="FFFFFF" w:themeFill="background1"/>
          <w:lang w:val="ro-MD"/>
        </w:rPr>
        <w:t>iune a acestora</w:t>
      </w:r>
      <w:r w:rsidRPr="00B13B9A">
        <w:rPr>
          <w:rFonts w:asciiTheme="majorHAnsi" w:eastAsia="Times New Roman" w:hAnsiTheme="majorHAnsi" w:cstheme="majorHAnsi"/>
          <w:i/>
          <w:color w:val="000000"/>
          <w:sz w:val="24"/>
          <w:szCs w:val="24"/>
          <w:shd w:val="clear" w:color="auto" w:fill="FFFFFF" w:themeFill="background1"/>
          <w:lang w:val="ro-MD"/>
        </w:rPr>
        <w:t>”</w:t>
      </w:r>
      <w:r w:rsidR="0039787E" w:rsidRPr="00B13B9A">
        <w:rPr>
          <w:rFonts w:asciiTheme="majorHAnsi" w:eastAsia="Times New Roman" w:hAnsiTheme="majorHAnsi" w:cstheme="majorHAnsi"/>
          <w:i/>
          <w:color w:val="000000"/>
          <w:sz w:val="24"/>
          <w:szCs w:val="24"/>
          <w:shd w:val="clear" w:color="auto" w:fill="FFFFFF" w:themeFill="background1"/>
          <w:lang w:val="ro-MD"/>
        </w:rPr>
        <w:t>.</w:t>
      </w:r>
    </w:p>
    <w:p w14:paraId="2DFBB856" w14:textId="1E909712" w:rsidR="0039787E" w:rsidRPr="00B13B9A" w:rsidRDefault="0039787E" w:rsidP="0039787E">
      <w:pPr>
        <w:shd w:val="clear" w:color="auto" w:fill="FFFFFF" w:themeFill="background1"/>
        <w:spacing w:line="276" w:lineRule="auto"/>
        <w:jc w:val="both"/>
        <w:rPr>
          <w:rFonts w:asciiTheme="majorHAnsi" w:eastAsia="Times New Roman" w:hAnsiTheme="majorHAnsi" w:cstheme="majorHAnsi"/>
          <w:i/>
          <w:color w:val="000000"/>
          <w:sz w:val="24"/>
          <w:szCs w:val="24"/>
          <w:shd w:val="clear" w:color="auto" w:fill="FFFFFF" w:themeFill="background1"/>
          <w:lang w:val="ro-MD"/>
        </w:rPr>
      </w:pPr>
      <w:r w:rsidRPr="00B13B9A">
        <w:rPr>
          <w:rFonts w:asciiTheme="majorHAnsi" w:eastAsia="Times New Roman" w:hAnsiTheme="majorHAnsi" w:cstheme="majorHAnsi"/>
          <w:i/>
          <w:color w:val="000000"/>
          <w:sz w:val="24"/>
          <w:szCs w:val="24"/>
          <w:shd w:val="clear" w:color="auto" w:fill="FFFFFF" w:themeFill="background1"/>
          <w:lang w:val="ro-MD"/>
        </w:rPr>
        <w:t>*Notă:</w:t>
      </w:r>
      <w:r w:rsidR="00CB4C26" w:rsidRPr="00B13B9A">
        <w:rPr>
          <w:rFonts w:asciiTheme="majorHAnsi" w:eastAsia="Times New Roman" w:hAnsiTheme="majorHAnsi" w:cstheme="majorHAnsi"/>
          <w:i/>
          <w:color w:val="000000"/>
          <w:sz w:val="24"/>
          <w:szCs w:val="24"/>
          <w:shd w:val="clear" w:color="auto" w:fill="FFFFFF" w:themeFill="background1"/>
          <w:lang w:val="ro-MD"/>
        </w:rPr>
        <w:t xml:space="preserve"> Pe parcursul misiunii de audit,</w:t>
      </w:r>
      <w:r w:rsidRPr="00B13B9A">
        <w:rPr>
          <w:rFonts w:asciiTheme="majorHAnsi" w:eastAsia="Times New Roman" w:hAnsiTheme="majorHAnsi" w:cstheme="majorHAnsi"/>
          <w:i/>
          <w:color w:val="000000"/>
          <w:sz w:val="24"/>
          <w:szCs w:val="24"/>
          <w:shd w:val="clear" w:color="auto" w:fill="FFFFFF" w:themeFill="background1"/>
          <w:lang w:val="ro-MD"/>
        </w:rPr>
        <w:t xml:space="preserve"> entitatea a pregătit pachetul necesar </w:t>
      </w:r>
      <w:r w:rsidR="00B13B9A" w:rsidRPr="00B13B9A">
        <w:rPr>
          <w:rFonts w:asciiTheme="majorHAnsi" w:eastAsia="Times New Roman" w:hAnsiTheme="majorHAnsi" w:cstheme="majorHAnsi"/>
          <w:i/>
          <w:color w:val="000000"/>
          <w:sz w:val="24"/>
          <w:szCs w:val="24"/>
          <w:shd w:val="clear" w:color="auto" w:fill="FFFFFF" w:themeFill="background1"/>
          <w:lang w:val="ro-MD"/>
        </w:rPr>
        <w:t>ș</w:t>
      </w:r>
      <w:r w:rsidRPr="00B13B9A">
        <w:rPr>
          <w:rFonts w:asciiTheme="majorHAnsi" w:eastAsia="Times New Roman" w:hAnsiTheme="majorHAnsi" w:cstheme="majorHAnsi"/>
          <w:i/>
          <w:color w:val="000000"/>
          <w:sz w:val="24"/>
          <w:szCs w:val="24"/>
          <w:shd w:val="clear" w:color="auto" w:fill="FFFFFF" w:themeFill="background1"/>
          <w:lang w:val="ro-MD"/>
        </w:rPr>
        <w:t xml:space="preserve">i </w:t>
      </w:r>
      <w:r w:rsidR="0011361D" w:rsidRPr="00B13B9A">
        <w:rPr>
          <w:rFonts w:asciiTheme="majorHAnsi" w:eastAsia="Times New Roman" w:hAnsiTheme="majorHAnsi" w:cstheme="majorHAnsi"/>
          <w:i/>
          <w:color w:val="000000"/>
          <w:sz w:val="24"/>
          <w:szCs w:val="24"/>
          <w:shd w:val="clear" w:color="auto" w:fill="FFFFFF" w:themeFill="background1"/>
          <w:lang w:val="ro-MD"/>
        </w:rPr>
        <w:t>l-</w:t>
      </w:r>
      <w:r w:rsidR="00CB4C26" w:rsidRPr="00B13B9A">
        <w:rPr>
          <w:rFonts w:asciiTheme="majorHAnsi" w:eastAsia="Times New Roman" w:hAnsiTheme="majorHAnsi" w:cstheme="majorHAnsi"/>
          <w:i/>
          <w:color w:val="000000"/>
          <w:sz w:val="24"/>
          <w:szCs w:val="24"/>
          <w:shd w:val="clear" w:color="auto" w:fill="FFFFFF" w:themeFill="background1"/>
          <w:lang w:val="ro-MD"/>
        </w:rPr>
        <w:t xml:space="preserve">a </w:t>
      </w:r>
      <w:r w:rsidRPr="00B13B9A">
        <w:rPr>
          <w:rFonts w:asciiTheme="majorHAnsi" w:eastAsia="Times New Roman" w:hAnsiTheme="majorHAnsi" w:cstheme="majorHAnsi"/>
          <w:i/>
          <w:color w:val="000000"/>
          <w:sz w:val="24"/>
          <w:szCs w:val="24"/>
          <w:shd w:val="clear" w:color="auto" w:fill="FFFFFF" w:themeFill="background1"/>
          <w:lang w:val="ro-MD"/>
        </w:rPr>
        <w:t xml:space="preserve">transmis ANRANR pentru înregistrare </w:t>
      </w:r>
      <w:r w:rsidR="00B13B9A" w:rsidRPr="00B13B9A">
        <w:rPr>
          <w:rFonts w:asciiTheme="majorHAnsi" w:eastAsia="Times New Roman" w:hAnsiTheme="majorHAnsi" w:cstheme="majorHAnsi"/>
          <w:i/>
          <w:color w:val="000000"/>
          <w:sz w:val="24"/>
          <w:szCs w:val="24"/>
          <w:shd w:val="clear" w:color="auto" w:fill="FFFFFF" w:themeFill="background1"/>
          <w:lang w:val="ro-MD"/>
        </w:rPr>
        <w:t>ș</w:t>
      </w:r>
      <w:r w:rsidRPr="00B13B9A">
        <w:rPr>
          <w:rFonts w:asciiTheme="majorHAnsi" w:eastAsia="Times New Roman" w:hAnsiTheme="majorHAnsi" w:cstheme="majorHAnsi"/>
          <w:i/>
          <w:color w:val="000000"/>
          <w:sz w:val="24"/>
          <w:szCs w:val="24"/>
          <w:shd w:val="clear" w:color="auto" w:fill="FFFFFF" w:themeFill="background1"/>
          <w:lang w:val="ro-MD"/>
        </w:rPr>
        <w:t>i ob</w:t>
      </w:r>
      <w:r w:rsidR="00B13B9A" w:rsidRPr="00B13B9A">
        <w:rPr>
          <w:rFonts w:asciiTheme="majorHAnsi" w:eastAsia="Times New Roman" w:hAnsiTheme="majorHAnsi" w:cstheme="majorHAnsi"/>
          <w:i/>
          <w:color w:val="000000"/>
          <w:sz w:val="24"/>
          <w:szCs w:val="24"/>
          <w:shd w:val="clear" w:color="auto" w:fill="FFFFFF" w:themeFill="background1"/>
          <w:lang w:val="ro-MD"/>
        </w:rPr>
        <w:t>ț</w:t>
      </w:r>
      <w:r w:rsidRPr="00B13B9A">
        <w:rPr>
          <w:rFonts w:asciiTheme="majorHAnsi" w:eastAsia="Times New Roman" w:hAnsiTheme="majorHAnsi" w:cstheme="majorHAnsi"/>
          <w:i/>
          <w:color w:val="000000"/>
          <w:sz w:val="24"/>
          <w:szCs w:val="24"/>
          <w:shd w:val="clear" w:color="auto" w:fill="FFFFFF" w:themeFill="background1"/>
          <w:lang w:val="ro-MD"/>
        </w:rPr>
        <w:t>inerea certifi</w:t>
      </w:r>
      <w:r w:rsidR="00CB4C26" w:rsidRPr="00B13B9A">
        <w:rPr>
          <w:rFonts w:asciiTheme="majorHAnsi" w:eastAsia="Times New Roman" w:hAnsiTheme="majorHAnsi" w:cstheme="majorHAnsi"/>
          <w:i/>
          <w:color w:val="000000"/>
          <w:sz w:val="24"/>
          <w:szCs w:val="24"/>
          <w:shd w:val="clear" w:color="auto" w:fill="FFFFFF" w:themeFill="background1"/>
          <w:lang w:val="ro-MD"/>
        </w:rPr>
        <w:t>catului de securitate</w:t>
      </w:r>
      <w:r w:rsidR="0011361D" w:rsidRPr="00B13B9A">
        <w:rPr>
          <w:rFonts w:asciiTheme="majorHAnsi" w:eastAsia="Times New Roman" w:hAnsiTheme="majorHAnsi" w:cstheme="majorHAnsi"/>
          <w:i/>
          <w:color w:val="000000"/>
          <w:sz w:val="24"/>
          <w:szCs w:val="24"/>
          <w:shd w:val="clear" w:color="auto" w:fill="FFFFFF" w:themeFill="background1"/>
          <w:lang w:val="ro-MD"/>
        </w:rPr>
        <w:t>,</w:t>
      </w:r>
      <w:r w:rsidR="00CB4C26" w:rsidRPr="00B13B9A">
        <w:rPr>
          <w:rFonts w:asciiTheme="majorHAnsi" w:eastAsia="Times New Roman" w:hAnsiTheme="majorHAnsi" w:cstheme="majorHAnsi"/>
          <w:i/>
          <w:color w:val="000000"/>
          <w:sz w:val="24"/>
          <w:szCs w:val="24"/>
          <w:shd w:val="clear" w:color="auto" w:fill="FFFFFF" w:themeFill="background1"/>
          <w:lang w:val="ro-MD"/>
        </w:rPr>
        <w:t xml:space="preserve"> care a fost eliberat la </w:t>
      </w:r>
      <w:r w:rsidRPr="00B13B9A">
        <w:rPr>
          <w:rFonts w:asciiTheme="majorHAnsi" w:eastAsia="Times New Roman" w:hAnsiTheme="majorHAnsi" w:cstheme="majorHAnsi"/>
          <w:i/>
          <w:color w:val="000000"/>
          <w:sz w:val="24"/>
          <w:szCs w:val="24"/>
          <w:shd w:val="clear" w:color="auto" w:fill="FFFFFF" w:themeFill="background1"/>
          <w:lang w:val="ro-MD"/>
        </w:rPr>
        <w:t xml:space="preserve">23.11.2023, </w:t>
      </w:r>
      <w:r w:rsidR="0011361D" w:rsidRPr="00B13B9A">
        <w:rPr>
          <w:rFonts w:asciiTheme="majorHAnsi" w:eastAsia="Times New Roman" w:hAnsiTheme="majorHAnsi" w:cstheme="majorHAnsi"/>
          <w:i/>
          <w:color w:val="000000"/>
          <w:sz w:val="24"/>
          <w:szCs w:val="24"/>
          <w:shd w:val="clear" w:color="auto" w:fill="FFFFFF" w:themeFill="background1"/>
          <w:lang w:val="ro-MD"/>
        </w:rPr>
        <w:t xml:space="preserve">ceea </w:t>
      </w:r>
      <w:r w:rsidR="00CB4C26" w:rsidRPr="00B13B9A">
        <w:rPr>
          <w:rFonts w:asciiTheme="majorHAnsi" w:eastAsia="Times New Roman" w:hAnsiTheme="majorHAnsi" w:cstheme="majorHAnsi"/>
          <w:i/>
          <w:color w:val="000000"/>
          <w:sz w:val="24"/>
          <w:szCs w:val="24"/>
          <w:shd w:val="clear" w:color="auto" w:fill="FFFFFF" w:themeFill="background1"/>
          <w:lang w:val="ro-MD"/>
        </w:rPr>
        <w:t>ce</w:t>
      </w:r>
      <w:r w:rsidRPr="00B13B9A">
        <w:rPr>
          <w:rFonts w:asciiTheme="majorHAnsi" w:eastAsia="Times New Roman" w:hAnsiTheme="majorHAnsi" w:cstheme="majorHAnsi"/>
          <w:i/>
          <w:color w:val="000000"/>
          <w:sz w:val="24"/>
          <w:szCs w:val="24"/>
          <w:shd w:val="clear" w:color="auto" w:fill="FFFFFF" w:themeFill="background1"/>
          <w:lang w:val="ro-MD"/>
        </w:rPr>
        <w:t xml:space="preserve"> oferă posibilitatea efectuării screening-ului prin radiografie pulmonară digitală cu aceste echipamente radiologice portabile.</w:t>
      </w:r>
    </w:p>
    <w:p w14:paraId="2CDB80ED" w14:textId="5611DB94" w:rsidR="0039787E" w:rsidRPr="00B13B9A" w:rsidRDefault="00830BBE" w:rsidP="00241AB3">
      <w:pPr>
        <w:pStyle w:val="3"/>
        <w:numPr>
          <w:ilvl w:val="2"/>
          <w:numId w:val="10"/>
        </w:numPr>
        <w:ind w:left="0" w:firstLine="0"/>
        <w:jc w:val="both"/>
        <w:rPr>
          <w:rFonts w:cstheme="majorHAnsi"/>
          <w:b/>
          <w:color w:val="auto"/>
        </w:rPr>
      </w:pPr>
      <w:bookmarkStart w:id="29" w:name="_Toc154562504"/>
      <w:r w:rsidRPr="00B13B9A">
        <w:rPr>
          <w:rFonts w:cstheme="majorHAnsi"/>
          <w:b/>
          <w:color w:val="auto"/>
        </w:rPr>
        <w:t>Entitatea de</w:t>
      </w:r>
      <w:r w:rsidR="00B13B9A" w:rsidRPr="00B13B9A">
        <w:rPr>
          <w:rFonts w:cstheme="majorHAnsi"/>
          <w:b/>
          <w:color w:val="auto"/>
        </w:rPr>
        <w:t>ț</w:t>
      </w:r>
      <w:r w:rsidRPr="00B13B9A">
        <w:rPr>
          <w:rFonts w:cstheme="majorHAnsi"/>
          <w:b/>
          <w:color w:val="auto"/>
        </w:rPr>
        <w:t>ine în eviden</w:t>
      </w:r>
      <w:r w:rsidR="00B13B9A" w:rsidRPr="00B13B9A">
        <w:rPr>
          <w:rFonts w:cstheme="majorHAnsi"/>
          <w:b/>
          <w:color w:val="auto"/>
        </w:rPr>
        <w:t>ț</w:t>
      </w:r>
      <w:r w:rsidRPr="00B13B9A">
        <w:rPr>
          <w:rFonts w:cstheme="majorHAnsi"/>
          <w:b/>
          <w:color w:val="auto"/>
        </w:rPr>
        <w:t>ă utilajul</w:t>
      </w:r>
      <w:r w:rsidR="0039787E" w:rsidRPr="00B13B9A">
        <w:rPr>
          <w:rFonts w:cstheme="majorHAnsi"/>
          <w:b/>
          <w:color w:val="auto"/>
        </w:rPr>
        <w:t xml:space="preserve"> medic</w:t>
      </w:r>
      <w:r w:rsidRPr="00B13B9A">
        <w:rPr>
          <w:rFonts w:cstheme="majorHAnsi"/>
          <w:b/>
          <w:color w:val="auto"/>
        </w:rPr>
        <w:t>al în sumă de 3 650,1 mii lei, nefunc</w:t>
      </w:r>
      <w:r w:rsidR="00B13B9A" w:rsidRPr="00B13B9A">
        <w:rPr>
          <w:rFonts w:cstheme="majorHAnsi"/>
          <w:b/>
          <w:color w:val="auto"/>
        </w:rPr>
        <w:t>ț</w:t>
      </w:r>
      <w:r w:rsidRPr="00B13B9A">
        <w:rPr>
          <w:rFonts w:cstheme="majorHAnsi"/>
          <w:b/>
          <w:color w:val="auto"/>
        </w:rPr>
        <w:t xml:space="preserve">ional </w:t>
      </w:r>
      <w:r w:rsidR="00B13B9A" w:rsidRPr="00B13B9A">
        <w:rPr>
          <w:rFonts w:cstheme="majorHAnsi"/>
          <w:b/>
          <w:color w:val="auto"/>
        </w:rPr>
        <w:t>ș</w:t>
      </w:r>
      <w:r w:rsidRPr="00B13B9A">
        <w:rPr>
          <w:rFonts w:cstheme="majorHAnsi"/>
          <w:b/>
          <w:color w:val="auto"/>
        </w:rPr>
        <w:t>i uzat</w:t>
      </w:r>
      <w:r w:rsidR="0039787E" w:rsidRPr="00B13B9A">
        <w:rPr>
          <w:rFonts w:cstheme="majorHAnsi"/>
          <w:b/>
          <w:color w:val="auto"/>
        </w:rPr>
        <w:t>,</w:t>
      </w:r>
      <w:r w:rsidRPr="00B13B9A">
        <w:rPr>
          <w:rFonts w:cstheme="majorHAnsi"/>
          <w:b/>
          <w:color w:val="auto"/>
        </w:rPr>
        <w:t xml:space="preserve"> prin ce</w:t>
      </w:r>
      <w:r w:rsidR="0039787E" w:rsidRPr="00B13B9A">
        <w:rPr>
          <w:rFonts w:cstheme="majorHAnsi"/>
          <w:b/>
          <w:color w:val="auto"/>
        </w:rPr>
        <w:t xml:space="preserve"> majorează neîntemeiat soldul </w:t>
      </w:r>
      <w:r w:rsidRPr="00B13B9A">
        <w:rPr>
          <w:rFonts w:cstheme="majorHAnsi"/>
          <w:b/>
          <w:color w:val="auto"/>
        </w:rPr>
        <w:t>acestora</w:t>
      </w:r>
      <w:r w:rsidR="0011361D" w:rsidRPr="00B13B9A">
        <w:rPr>
          <w:rFonts w:cstheme="majorHAnsi"/>
          <w:b/>
          <w:color w:val="auto"/>
        </w:rPr>
        <w:t>,</w:t>
      </w:r>
      <w:r w:rsidRPr="00B13B9A">
        <w:rPr>
          <w:rFonts w:cstheme="majorHAnsi"/>
          <w:b/>
          <w:color w:val="auto"/>
        </w:rPr>
        <w:t xml:space="preserve"> la </w:t>
      </w:r>
      <w:r w:rsidR="0039787E" w:rsidRPr="00B13B9A">
        <w:rPr>
          <w:rFonts w:cstheme="majorHAnsi"/>
          <w:b/>
          <w:color w:val="auto"/>
        </w:rPr>
        <w:t>30.06.2023</w:t>
      </w:r>
      <w:r w:rsidR="0011361D" w:rsidRPr="00B13B9A">
        <w:rPr>
          <w:rFonts w:cstheme="majorHAnsi"/>
          <w:b/>
          <w:color w:val="auto"/>
        </w:rPr>
        <w:t>,</w:t>
      </w:r>
      <w:r w:rsidR="0039787E" w:rsidRPr="00B13B9A">
        <w:rPr>
          <w:rFonts w:cstheme="majorHAnsi"/>
          <w:b/>
          <w:color w:val="auto"/>
        </w:rPr>
        <w:t xml:space="preserve"> cu aceea</w:t>
      </w:r>
      <w:r w:rsidR="00B13B9A" w:rsidRPr="00B13B9A">
        <w:rPr>
          <w:rFonts w:cstheme="majorHAnsi"/>
          <w:b/>
          <w:color w:val="auto"/>
        </w:rPr>
        <w:t>ș</w:t>
      </w:r>
      <w:r w:rsidR="0039787E" w:rsidRPr="00B13B9A">
        <w:rPr>
          <w:rFonts w:cstheme="majorHAnsi"/>
          <w:b/>
          <w:color w:val="auto"/>
        </w:rPr>
        <w:t>i sumă.</w:t>
      </w:r>
      <w:bookmarkEnd w:id="29"/>
      <w:r w:rsidR="0039787E" w:rsidRPr="00B13B9A">
        <w:rPr>
          <w:rFonts w:cstheme="majorHAnsi"/>
          <w:b/>
          <w:i/>
        </w:rPr>
        <w:t xml:space="preserve"> </w:t>
      </w:r>
    </w:p>
    <w:p w14:paraId="7BEDDB16" w14:textId="0AA3205D" w:rsidR="0039787E" w:rsidRPr="00B13B9A" w:rsidRDefault="0039787E" w:rsidP="0039787E">
      <w:pPr>
        <w:shd w:val="clear" w:color="auto" w:fill="FFFFFF" w:themeFill="background1"/>
        <w:spacing w:line="276" w:lineRule="auto"/>
        <w:jc w:val="both"/>
        <w:rPr>
          <w:rFonts w:asciiTheme="majorHAnsi" w:hAnsiTheme="majorHAnsi" w:cstheme="majorHAnsi"/>
          <w:sz w:val="24"/>
          <w:szCs w:val="24"/>
          <w:lang w:val="ro-MD"/>
        </w:rPr>
      </w:pPr>
      <w:r w:rsidRPr="00B13B9A">
        <w:rPr>
          <w:rFonts w:asciiTheme="majorHAnsi" w:hAnsiTheme="majorHAnsi" w:cstheme="majorHAnsi"/>
          <w:sz w:val="24"/>
          <w:szCs w:val="24"/>
          <w:lang w:val="ro-MD"/>
        </w:rPr>
        <w:t>Potrivit cadrului normativ</w:t>
      </w:r>
      <w:r w:rsidRPr="00B13B9A">
        <w:rPr>
          <w:rStyle w:val="a9"/>
          <w:rFonts w:asciiTheme="majorHAnsi" w:hAnsiTheme="majorHAnsi" w:cstheme="majorHAnsi"/>
          <w:sz w:val="24"/>
          <w:szCs w:val="24"/>
          <w:lang w:val="ro-MD"/>
        </w:rPr>
        <w:footnoteReference w:id="40"/>
      </w:r>
      <w:r w:rsidRPr="00B13B9A">
        <w:rPr>
          <w:rFonts w:asciiTheme="majorHAnsi" w:hAnsiTheme="majorHAnsi" w:cstheme="majorHAnsi"/>
          <w:sz w:val="24"/>
          <w:szCs w:val="24"/>
          <w:lang w:val="ro-MD"/>
        </w:rPr>
        <w:t xml:space="preserve">, mijloacele fixe care sunt învechite, uzate </w:t>
      </w:r>
      <w:r w:rsidR="00B13B9A" w:rsidRPr="00B13B9A">
        <w:rPr>
          <w:rFonts w:asciiTheme="majorHAnsi" w:hAnsiTheme="majorHAnsi" w:cstheme="majorHAnsi"/>
          <w:sz w:val="24"/>
          <w:szCs w:val="24"/>
          <w:lang w:val="ro-MD"/>
        </w:rPr>
        <w:t>ș</w:t>
      </w:r>
      <w:r w:rsidRPr="00B13B9A">
        <w:rPr>
          <w:rFonts w:asciiTheme="majorHAnsi" w:hAnsiTheme="majorHAnsi" w:cstheme="majorHAnsi"/>
          <w:sz w:val="24"/>
          <w:szCs w:val="24"/>
          <w:lang w:val="ro-MD"/>
        </w:rPr>
        <w:t xml:space="preserve">i care nu </w:t>
      </w:r>
      <w:r w:rsidR="00352525" w:rsidRPr="00B13B9A">
        <w:rPr>
          <w:rFonts w:asciiTheme="majorHAnsi" w:hAnsiTheme="majorHAnsi" w:cstheme="majorHAnsi"/>
          <w:sz w:val="24"/>
          <w:szCs w:val="24"/>
          <w:lang w:val="ro-MD"/>
        </w:rPr>
        <w:t xml:space="preserve">pot fi </w:t>
      </w:r>
      <w:r w:rsidRPr="00B13B9A">
        <w:rPr>
          <w:rFonts w:asciiTheme="majorHAnsi" w:hAnsiTheme="majorHAnsi" w:cstheme="majorHAnsi"/>
          <w:sz w:val="24"/>
          <w:szCs w:val="24"/>
          <w:lang w:val="ro-MD"/>
        </w:rPr>
        <w:t>repara</w:t>
      </w:r>
      <w:r w:rsidR="00352525">
        <w:rPr>
          <w:rFonts w:asciiTheme="majorHAnsi" w:hAnsiTheme="majorHAnsi" w:cstheme="majorHAnsi"/>
          <w:sz w:val="24"/>
          <w:szCs w:val="24"/>
          <w:lang w:val="ro-MD"/>
        </w:rPr>
        <w:t>te</w:t>
      </w:r>
      <w:r w:rsidRPr="00B13B9A">
        <w:rPr>
          <w:rFonts w:asciiTheme="majorHAnsi" w:hAnsiTheme="majorHAnsi" w:cstheme="majorHAnsi"/>
          <w:sz w:val="24"/>
          <w:szCs w:val="24"/>
          <w:lang w:val="ro-MD"/>
        </w:rPr>
        <w:t xml:space="preserve"> </w:t>
      </w:r>
      <w:r w:rsidR="00352525">
        <w:rPr>
          <w:rFonts w:asciiTheme="majorHAnsi" w:hAnsiTheme="majorHAnsi" w:cstheme="majorHAnsi"/>
          <w:sz w:val="24"/>
          <w:szCs w:val="24"/>
          <w:lang w:val="ro-MD"/>
        </w:rPr>
        <w:t xml:space="preserve">se </w:t>
      </w:r>
      <w:r w:rsidRPr="00B13B9A">
        <w:rPr>
          <w:rFonts w:asciiTheme="majorHAnsi" w:hAnsiTheme="majorHAnsi" w:cstheme="majorHAnsi"/>
          <w:sz w:val="24"/>
          <w:szCs w:val="24"/>
          <w:lang w:val="ro-MD"/>
        </w:rPr>
        <w:t>cas</w:t>
      </w:r>
      <w:r w:rsidR="00352525">
        <w:rPr>
          <w:rFonts w:asciiTheme="majorHAnsi" w:hAnsiTheme="majorHAnsi" w:cstheme="majorHAnsi"/>
          <w:sz w:val="24"/>
          <w:szCs w:val="24"/>
          <w:lang w:val="ro-MD"/>
        </w:rPr>
        <w:t>e</w:t>
      </w:r>
      <w:r w:rsidRPr="00B13B9A">
        <w:rPr>
          <w:rFonts w:asciiTheme="majorHAnsi" w:hAnsiTheme="majorHAnsi" w:cstheme="majorHAnsi"/>
          <w:sz w:val="24"/>
          <w:szCs w:val="24"/>
          <w:lang w:val="ro-MD"/>
        </w:rPr>
        <w:t>a</w:t>
      </w:r>
      <w:r w:rsidR="00352525">
        <w:rPr>
          <w:rFonts w:asciiTheme="majorHAnsi" w:hAnsiTheme="majorHAnsi" w:cstheme="majorHAnsi"/>
          <w:sz w:val="24"/>
          <w:szCs w:val="24"/>
          <w:lang w:val="ro-MD"/>
        </w:rPr>
        <w:t>ză</w:t>
      </w:r>
      <w:r w:rsidRPr="00B13B9A">
        <w:rPr>
          <w:rFonts w:asciiTheme="majorHAnsi" w:hAnsiTheme="majorHAnsi" w:cstheme="majorHAnsi"/>
          <w:sz w:val="24"/>
          <w:szCs w:val="24"/>
          <w:lang w:val="ro-MD"/>
        </w:rPr>
        <w:t>. Pe parcursul perioadei auditate, entitatea nu a casat mijloace fixe, ultima casare a acestora a</w:t>
      </w:r>
      <w:r w:rsidR="00830BBE" w:rsidRPr="00B13B9A">
        <w:rPr>
          <w:rFonts w:asciiTheme="majorHAnsi" w:hAnsiTheme="majorHAnsi" w:cstheme="majorHAnsi"/>
          <w:sz w:val="24"/>
          <w:szCs w:val="24"/>
          <w:lang w:val="ro-MD"/>
        </w:rPr>
        <w:t xml:space="preserve"> fost </w:t>
      </w:r>
      <w:r w:rsidRPr="00B13B9A">
        <w:rPr>
          <w:rFonts w:asciiTheme="majorHAnsi" w:hAnsiTheme="majorHAnsi" w:cstheme="majorHAnsi"/>
          <w:sz w:val="24"/>
          <w:szCs w:val="24"/>
          <w:lang w:val="ro-MD"/>
        </w:rPr>
        <w:t>în anul 2018. Totodată, pe parcursul misiunii de audit, în cadrul entită</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ii a fost instituită comisia privind casarea bunurilor uzate</w:t>
      </w:r>
      <w:r w:rsidRPr="00B13B9A">
        <w:rPr>
          <w:rStyle w:val="a9"/>
          <w:rFonts w:asciiTheme="majorHAnsi" w:hAnsiTheme="majorHAnsi" w:cstheme="majorHAnsi"/>
          <w:sz w:val="24"/>
          <w:szCs w:val="24"/>
          <w:lang w:val="ro-MD"/>
        </w:rPr>
        <w:footnoteReference w:id="41"/>
      </w:r>
      <w:r w:rsidRPr="00B13B9A">
        <w:rPr>
          <w:rFonts w:asciiTheme="majorHAnsi" w:hAnsiTheme="majorHAnsi" w:cstheme="majorHAnsi"/>
          <w:sz w:val="24"/>
          <w:szCs w:val="24"/>
          <w:lang w:val="ro-MD"/>
        </w:rPr>
        <w:t>, raportate la mijloace fixe. Astfel, entitatea a remis</w:t>
      </w:r>
      <w:r w:rsidR="0011361D" w:rsidRPr="00B13B9A">
        <w:rPr>
          <w:rFonts w:asciiTheme="majorHAnsi" w:hAnsiTheme="majorHAnsi" w:cstheme="majorHAnsi"/>
          <w:sz w:val="24"/>
          <w:szCs w:val="24"/>
          <w:lang w:val="ro-MD"/>
        </w:rPr>
        <w:t>,</w:t>
      </w:r>
      <w:r w:rsidRPr="00B13B9A">
        <w:rPr>
          <w:rFonts w:asciiTheme="majorHAnsi" w:hAnsiTheme="majorHAnsi" w:cstheme="majorHAnsi"/>
          <w:sz w:val="24"/>
          <w:szCs w:val="24"/>
          <w:lang w:val="ro-MD"/>
        </w:rPr>
        <w:t xml:space="preserve"> pentru examinare </w:t>
      </w:r>
      <w:r w:rsidR="00B13B9A" w:rsidRPr="00B13B9A">
        <w:rPr>
          <w:rFonts w:asciiTheme="majorHAnsi" w:hAnsiTheme="majorHAnsi" w:cstheme="majorHAnsi"/>
          <w:sz w:val="24"/>
          <w:szCs w:val="24"/>
          <w:lang w:val="ro-MD"/>
        </w:rPr>
        <w:t>ș</w:t>
      </w:r>
      <w:r w:rsidRPr="00B13B9A">
        <w:rPr>
          <w:rFonts w:asciiTheme="majorHAnsi" w:hAnsiTheme="majorHAnsi" w:cstheme="majorHAnsi"/>
          <w:sz w:val="24"/>
          <w:szCs w:val="24"/>
          <w:lang w:val="ro-MD"/>
        </w:rPr>
        <w:t>i avizare Ministerului Sănătă</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ii</w:t>
      </w:r>
      <w:r w:rsidR="0011361D" w:rsidRPr="00B13B9A">
        <w:rPr>
          <w:rFonts w:asciiTheme="majorHAnsi" w:hAnsiTheme="majorHAnsi" w:cstheme="majorHAnsi"/>
          <w:sz w:val="24"/>
          <w:szCs w:val="24"/>
          <w:lang w:val="ro-MD"/>
        </w:rPr>
        <w:t>,</w:t>
      </w:r>
      <w:r w:rsidRPr="00B13B9A">
        <w:rPr>
          <w:rFonts w:asciiTheme="majorHAnsi" w:hAnsiTheme="majorHAnsi" w:cstheme="majorHAnsi"/>
          <w:sz w:val="24"/>
          <w:szCs w:val="24"/>
          <w:lang w:val="ro-MD"/>
        </w:rPr>
        <w:t xml:space="preserve"> setul de documente </w:t>
      </w:r>
      <w:r w:rsidR="0011361D" w:rsidRPr="00B13B9A">
        <w:rPr>
          <w:rFonts w:asciiTheme="majorHAnsi" w:hAnsiTheme="majorHAnsi" w:cstheme="majorHAnsi"/>
          <w:sz w:val="24"/>
          <w:szCs w:val="24"/>
          <w:lang w:val="ro-MD"/>
        </w:rPr>
        <w:t>pentru</w:t>
      </w:r>
      <w:r w:rsidRPr="00B13B9A">
        <w:rPr>
          <w:rFonts w:asciiTheme="majorHAnsi" w:hAnsiTheme="majorHAnsi" w:cstheme="majorHAnsi"/>
          <w:sz w:val="24"/>
          <w:szCs w:val="24"/>
          <w:lang w:val="ro-MD"/>
        </w:rPr>
        <w:t xml:space="preserve"> emiter</w:t>
      </w:r>
      <w:r w:rsidR="0011361D" w:rsidRPr="00B13B9A">
        <w:rPr>
          <w:rFonts w:asciiTheme="majorHAnsi" w:hAnsiTheme="majorHAnsi" w:cstheme="majorHAnsi"/>
          <w:sz w:val="24"/>
          <w:szCs w:val="24"/>
          <w:lang w:val="ro-MD"/>
        </w:rPr>
        <w:t>ea</w:t>
      </w:r>
      <w:r w:rsidRPr="00B13B9A">
        <w:rPr>
          <w:rFonts w:asciiTheme="majorHAnsi" w:hAnsiTheme="majorHAnsi" w:cstheme="majorHAnsi"/>
          <w:sz w:val="24"/>
          <w:szCs w:val="24"/>
          <w:lang w:val="ro-MD"/>
        </w:rPr>
        <w:t xml:space="preserve"> autoriza</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 xml:space="preserve">iei de casare a mijloacelor fixe. Conform registrului, urmau a fi casate 193 </w:t>
      </w:r>
      <w:r w:rsidR="0011361D" w:rsidRPr="00B13B9A">
        <w:rPr>
          <w:rFonts w:asciiTheme="majorHAnsi" w:hAnsiTheme="majorHAnsi" w:cstheme="majorHAnsi"/>
          <w:sz w:val="24"/>
          <w:szCs w:val="24"/>
          <w:lang w:val="ro-MD"/>
        </w:rPr>
        <w:t xml:space="preserve">de </w:t>
      </w:r>
      <w:r w:rsidRPr="00B13B9A">
        <w:rPr>
          <w:rFonts w:asciiTheme="majorHAnsi" w:hAnsiTheme="majorHAnsi" w:cstheme="majorHAnsi"/>
          <w:sz w:val="24"/>
          <w:szCs w:val="24"/>
          <w:lang w:val="ro-MD"/>
        </w:rPr>
        <w:t>mijloace fixe în sumă de 3 804,8 mii lei</w:t>
      </w:r>
      <w:r w:rsidR="00272014" w:rsidRPr="00B13B9A">
        <w:rPr>
          <w:rFonts w:asciiTheme="majorHAnsi" w:hAnsiTheme="majorHAnsi" w:cstheme="majorHAnsi"/>
          <w:sz w:val="24"/>
          <w:szCs w:val="24"/>
          <w:lang w:val="ro-MD"/>
        </w:rPr>
        <w:t xml:space="preserve"> la valoare</w:t>
      </w:r>
      <w:r w:rsidR="0011361D" w:rsidRPr="00B13B9A">
        <w:rPr>
          <w:rFonts w:asciiTheme="majorHAnsi" w:hAnsiTheme="majorHAnsi" w:cstheme="majorHAnsi"/>
          <w:sz w:val="24"/>
          <w:szCs w:val="24"/>
          <w:lang w:val="ro-MD"/>
        </w:rPr>
        <w:t>a</w:t>
      </w:r>
      <w:r w:rsidR="00272014" w:rsidRPr="00B13B9A">
        <w:rPr>
          <w:rFonts w:asciiTheme="majorHAnsi" w:hAnsiTheme="majorHAnsi" w:cstheme="majorHAnsi"/>
          <w:sz w:val="24"/>
          <w:szCs w:val="24"/>
          <w:lang w:val="ro-MD"/>
        </w:rPr>
        <w:t xml:space="preserve"> de intrare, valoarea de bilan</w:t>
      </w:r>
      <w:r w:rsidR="00B13B9A" w:rsidRPr="00B13B9A">
        <w:rPr>
          <w:rFonts w:asciiTheme="majorHAnsi" w:hAnsiTheme="majorHAnsi" w:cstheme="majorHAnsi"/>
          <w:sz w:val="24"/>
          <w:szCs w:val="24"/>
          <w:lang w:val="ro-MD"/>
        </w:rPr>
        <w:t>ț</w:t>
      </w:r>
      <w:r w:rsidR="00272014" w:rsidRPr="00B13B9A">
        <w:rPr>
          <w:rFonts w:asciiTheme="majorHAnsi" w:hAnsiTheme="majorHAnsi" w:cstheme="majorHAnsi"/>
          <w:sz w:val="24"/>
          <w:szCs w:val="24"/>
          <w:lang w:val="ro-MD"/>
        </w:rPr>
        <w:t xml:space="preserve"> fiind egală cu zero,</w:t>
      </w:r>
      <w:r w:rsidRPr="00B13B9A">
        <w:rPr>
          <w:rFonts w:asciiTheme="majorHAnsi" w:hAnsiTheme="majorHAnsi" w:cstheme="majorHAnsi"/>
          <w:sz w:val="24"/>
          <w:szCs w:val="24"/>
          <w:lang w:val="ro-MD"/>
        </w:rPr>
        <w:t xml:space="preserve"> care au fost autorizate de Ministerul Sănătă</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ii.</w:t>
      </w:r>
    </w:p>
    <w:p w14:paraId="6EFAD6C5" w14:textId="6A6474F4" w:rsidR="0039787E" w:rsidRPr="00B13B9A" w:rsidRDefault="0039787E" w:rsidP="0039787E">
      <w:pPr>
        <w:shd w:val="clear" w:color="auto" w:fill="FFFFFF" w:themeFill="background1"/>
        <w:jc w:val="both"/>
        <w:rPr>
          <w:rFonts w:asciiTheme="majorHAnsi" w:hAnsiTheme="majorHAnsi" w:cstheme="majorHAnsi"/>
          <w:sz w:val="24"/>
          <w:szCs w:val="24"/>
          <w:lang w:val="ro-MD"/>
        </w:rPr>
      </w:pPr>
      <w:r w:rsidRPr="00B13B9A">
        <w:rPr>
          <w:rFonts w:asciiTheme="majorHAnsi" w:hAnsiTheme="majorHAnsi" w:cstheme="majorHAnsi"/>
          <w:sz w:val="24"/>
          <w:szCs w:val="24"/>
          <w:lang w:val="ro-MD"/>
        </w:rPr>
        <w:t>Totodată, auditul men</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ionează că</w:t>
      </w:r>
      <w:r w:rsidR="0011361D" w:rsidRPr="00B13B9A">
        <w:rPr>
          <w:rFonts w:asciiTheme="majorHAnsi" w:hAnsiTheme="majorHAnsi" w:cstheme="majorHAnsi"/>
          <w:sz w:val="24"/>
          <w:szCs w:val="24"/>
          <w:lang w:val="ro-MD"/>
        </w:rPr>
        <w:t>,</w:t>
      </w:r>
      <w:r w:rsidRPr="00B13B9A">
        <w:rPr>
          <w:rFonts w:asciiTheme="majorHAnsi" w:hAnsiTheme="majorHAnsi" w:cstheme="majorHAnsi"/>
          <w:sz w:val="24"/>
          <w:szCs w:val="24"/>
          <w:lang w:val="ro-MD"/>
        </w:rPr>
        <w:t xml:space="preserve"> în </w:t>
      </w:r>
      <w:r w:rsidR="0011361D" w:rsidRPr="00B13B9A">
        <w:rPr>
          <w:rFonts w:asciiTheme="majorHAnsi" w:hAnsiTheme="majorHAnsi" w:cstheme="majorHAnsi"/>
          <w:sz w:val="24"/>
          <w:szCs w:val="24"/>
          <w:lang w:val="ro-MD"/>
        </w:rPr>
        <w:t>urma</w:t>
      </w:r>
      <w:r w:rsidRPr="00B13B9A">
        <w:rPr>
          <w:rFonts w:asciiTheme="majorHAnsi" w:hAnsiTheme="majorHAnsi" w:cstheme="majorHAnsi"/>
          <w:sz w:val="24"/>
          <w:szCs w:val="24"/>
          <w:lang w:val="ro-MD"/>
        </w:rPr>
        <w:t xml:space="preserve"> inventarierii mijloacelor fixe de</w:t>
      </w:r>
      <w:r w:rsidR="0011361D" w:rsidRPr="00B13B9A">
        <w:rPr>
          <w:rFonts w:asciiTheme="majorHAnsi" w:hAnsiTheme="majorHAnsi" w:cstheme="majorHAnsi"/>
          <w:sz w:val="24"/>
          <w:szCs w:val="24"/>
          <w:lang w:val="ro-MD"/>
        </w:rPr>
        <w:t xml:space="preserve"> către</w:t>
      </w:r>
      <w:r w:rsidRPr="00B13B9A">
        <w:rPr>
          <w:rFonts w:asciiTheme="majorHAnsi" w:hAnsiTheme="majorHAnsi" w:cstheme="majorHAnsi"/>
          <w:sz w:val="24"/>
          <w:szCs w:val="24"/>
          <w:lang w:val="ro-MD"/>
        </w:rPr>
        <w:t xml:space="preserve"> </w:t>
      </w:r>
      <w:r w:rsidR="00830BBE" w:rsidRPr="00B13B9A">
        <w:rPr>
          <w:rFonts w:asciiTheme="majorHAnsi" w:hAnsiTheme="majorHAnsi" w:cstheme="majorHAnsi"/>
          <w:sz w:val="24"/>
          <w:szCs w:val="24"/>
          <w:lang w:val="ro-MD"/>
        </w:rPr>
        <w:t>reprezentan</w:t>
      </w:r>
      <w:r w:rsidR="00B13B9A" w:rsidRPr="00B13B9A">
        <w:rPr>
          <w:rFonts w:asciiTheme="majorHAnsi" w:hAnsiTheme="majorHAnsi" w:cstheme="majorHAnsi"/>
          <w:sz w:val="24"/>
          <w:szCs w:val="24"/>
          <w:lang w:val="ro-MD"/>
        </w:rPr>
        <w:t>ț</w:t>
      </w:r>
      <w:r w:rsidR="00830BBE" w:rsidRPr="00B13B9A">
        <w:rPr>
          <w:rFonts w:asciiTheme="majorHAnsi" w:hAnsiTheme="majorHAnsi" w:cstheme="majorHAnsi"/>
          <w:sz w:val="24"/>
          <w:szCs w:val="24"/>
          <w:lang w:val="ro-MD"/>
        </w:rPr>
        <w:t>ii entită</w:t>
      </w:r>
      <w:r w:rsidR="00B13B9A" w:rsidRPr="00B13B9A">
        <w:rPr>
          <w:rFonts w:asciiTheme="majorHAnsi" w:hAnsiTheme="majorHAnsi" w:cstheme="majorHAnsi"/>
          <w:sz w:val="24"/>
          <w:szCs w:val="24"/>
          <w:lang w:val="ro-MD"/>
        </w:rPr>
        <w:t>ț</w:t>
      </w:r>
      <w:r w:rsidR="00830BBE" w:rsidRPr="00B13B9A">
        <w:rPr>
          <w:rFonts w:asciiTheme="majorHAnsi" w:hAnsiTheme="majorHAnsi" w:cstheme="majorHAnsi"/>
          <w:sz w:val="24"/>
          <w:szCs w:val="24"/>
          <w:lang w:val="ro-MD"/>
        </w:rPr>
        <w:t>ii în prezen</w:t>
      </w:r>
      <w:r w:rsidR="00B13B9A" w:rsidRPr="00B13B9A">
        <w:rPr>
          <w:rFonts w:asciiTheme="majorHAnsi" w:hAnsiTheme="majorHAnsi" w:cstheme="majorHAnsi"/>
          <w:sz w:val="24"/>
          <w:szCs w:val="24"/>
          <w:lang w:val="ro-MD"/>
        </w:rPr>
        <w:t>ț</w:t>
      </w:r>
      <w:r w:rsidR="00830BBE" w:rsidRPr="00B13B9A">
        <w:rPr>
          <w:rFonts w:asciiTheme="majorHAnsi" w:hAnsiTheme="majorHAnsi" w:cstheme="majorHAnsi"/>
          <w:sz w:val="24"/>
          <w:szCs w:val="24"/>
          <w:lang w:val="ro-MD"/>
        </w:rPr>
        <w:t>a auditului,</w:t>
      </w:r>
      <w:r w:rsidRPr="00B13B9A">
        <w:rPr>
          <w:rFonts w:asciiTheme="majorHAnsi" w:hAnsiTheme="majorHAnsi" w:cstheme="majorHAnsi"/>
          <w:sz w:val="24"/>
          <w:szCs w:val="24"/>
          <w:lang w:val="ro-MD"/>
        </w:rPr>
        <w:t xml:space="preserve"> în sec</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 xml:space="preserve">iile IMSP au fost identificate 5 echipamente medicale </w:t>
      </w:r>
      <w:r w:rsidR="0011361D" w:rsidRPr="00B13B9A">
        <w:rPr>
          <w:rFonts w:asciiTheme="majorHAnsi" w:hAnsiTheme="majorHAnsi" w:cstheme="majorHAnsi"/>
          <w:sz w:val="24"/>
          <w:szCs w:val="24"/>
          <w:lang w:val="ro-MD"/>
        </w:rPr>
        <w:t>cu</w:t>
      </w:r>
      <w:r w:rsidRPr="00B13B9A">
        <w:rPr>
          <w:rFonts w:asciiTheme="majorHAnsi" w:hAnsiTheme="majorHAnsi" w:cstheme="majorHAnsi"/>
          <w:sz w:val="24"/>
          <w:szCs w:val="24"/>
          <w:lang w:val="ro-MD"/>
        </w:rPr>
        <w:t xml:space="preserve"> valoare</w:t>
      </w:r>
      <w:r w:rsidR="0011361D" w:rsidRPr="00B13B9A">
        <w:rPr>
          <w:rFonts w:asciiTheme="majorHAnsi" w:hAnsiTheme="majorHAnsi" w:cstheme="majorHAnsi"/>
          <w:sz w:val="24"/>
          <w:szCs w:val="24"/>
          <w:lang w:val="ro-MD"/>
        </w:rPr>
        <w:t>a</w:t>
      </w:r>
      <w:r w:rsidRPr="00B13B9A">
        <w:rPr>
          <w:rFonts w:asciiTheme="majorHAnsi" w:hAnsiTheme="majorHAnsi" w:cstheme="majorHAnsi"/>
          <w:sz w:val="24"/>
          <w:szCs w:val="24"/>
          <w:lang w:val="ro-MD"/>
        </w:rPr>
        <w:t xml:space="preserve"> de </w:t>
      </w:r>
      <w:r w:rsidR="00272014" w:rsidRPr="00B13B9A">
        <w:rPr>
          <w:rFonts w:asciiTheme="majorHAnsi" w:hAnsiTheme="majorHAnsi" w:cstheme="majorHAnsi"/>
          <w:sz w:val="24"/>
          <w:szCs w:val="24"/>
          <w:lang w:val="ro-MD"/>
        </w:rPr>
        <w:t xml:space="preserve">intrare de </w:t>
      </w:r>
      <w:r w:rsidRPr="00B13B9A">
        <w:rPr>
          <w:rFonts w:asciiTheme="majorHAnsi" w:hAnsiTheme="majorHAnsi" w:cstheme="majorHAnsi"/>
          <w:sz w:val="24"/>
          <w:szCs w:val="24"/>
          <w:lang w:val="ro-MD"/>
        </w:rPr>
        <w:t>3 650,1 mii lei</w:t>
      </w:r>
      <w:r w:rsidR="00272014" w:rsidRPr="00B13B9A">
        <w:rPr>
          <w:rFonts w:asciiTheme="majorHAnsi" w:hAnsiTheme="majorHAnsi" w:cstheme="majorHAnsi"/>
          <w:sz w:val="24"/>
          <w:szCs w:val="24"/>
          <w:lang w:val="ro-MD"/>
        </w:rPr>
        <w:t xml:space="preserve"> </w:t>
      </w:r>
      <w:r w:rsidR="00B13B9A" w:rsidRPr="00B13B9A">
        <w:rPr>
          <w:rFonts w:asciiTheme="majorHAnsi" w:hAnsiTheme="majorHAnsi" w:cstheme="majorHAnsi"/>
          <w:sz w:val="24"/>
          <w:szCs w:val="24"/>
          <w:lang w:val="ro-MD"/>
        </w:rPr>
        <w:t>ș</w:t>
      </w:r>
      <w:r w:rsidR="00272014" w:rsidRPr="00B13B9A">
        <w:rPr>
          <w:rFonts w:asciiTheme="majorHAnsi" w:hAnsiTheme="majorHAnsi" w:cstheme="majorHAnsi"/>
          <w:sz w:val="24"/>
          <w:szCs w:val="24"/>
          <w:lang w:val="ro-MD"/>
        </w:rPr>
        <w:t>i valoare</w:t>
      </w:r>
      <w:r w:rsidR="0011361D" w:rsidRPr="00B13B9A">
        <w:rPr>
          <w:rFonts w:asciiTheme="majorHAnsi" w:hAnsiTheme="majorHAnsi" w:cstheme="majorHAnsi"/>
          <w:sz w:val="24"/>
          <w:szCs w:val="24"/>
          <w:lang w:val="ro-MD"/>
        </w:rPr>
        <w:t>a</w:t>
      </w:r>
      <w:r w:rsidR="00272014" w:rsidRPr="00B13B9A">
        <w:rPr>
          <w:rFonts w:asciiTheme="majorHAnsi" w:hAnsiTheme="majorHAnsi" w:cstheme="majorHAnsi"/>
          <w:sz w:val="24"/>
          <w:szCs w:val="24"/>
          <w:lang w:val="ro-MD"/>
        </w:rPr>
        <w:t xml:space="preserve"> de bilan</w:t>
      </w:r>
      <w:r w:rsidR="00B13B9A" w:rsidRPr="00B13B9A">
        <w:rPr>
          <w:rFonts w:asciiTheme="majorHAnsi" w:hAnsiTheme="majorHAnsi" w:cstheme="majorHAnsi"/>
          <w:sz w:val="24"/>
          <w:szCs w:val="24"/>
          <w:lang w:val="ro-MD"/>
        </w:rPr>
        <w:t>ț</w:t>
      </w:r>
      <w:r w:rsidR="00272014" w:rsidRPr="00B13B9A">
        <w:rPr>
          <w:rFonts w:asciiTheme="majorHAnsi" w:hAnsiTheme="majorHAnsi" w:cstheme="majorHAnsi"/>
          <w:sz w:val="24"/>
          <w:szCs w:val="24"/>
          <w:lang w:val="ro-MD"/>
        </w:rPr>
        <w:t xml:space="preserve"> în sumă de 42,1 mii lei</w:t>
      </w:r>
      <w:r w:rsidRPr="00B13B9A">
        <w:rPr>
          <w:rFonts w:asciiTheme="majorHAnsi" w:hAnsiTheme="majorHAnsi" w:cstheme="majorHAnsi"/>
          <w:sz w:val="24"/>
          <w:szCs w:val="24"/>
          <w:lang w:val="ro-MD"/>
        </w:rPr>
        <w:t>, care de</w:t>
      </w:r>
      <w:r w:rsidR="00B13B9A" w:rsidRPr="00B13B9A">
        <w:rPr>
          <w:rFonts w:asciiTheme="majorHAnsi" w:hAnsiTheme="majorHAnsi" w:cstheme="majorHAnsi"/>
          <w:sz w:val="24"/>
          <w:szCs w:val="24"/>
          <w:lang w:val="ro-MD"/>
        </w:rPr>
        <w:t>ș</w:t>
      </w:r>
      <w:r w:rsidRPr="00B13B9A">
        <w:rPr>
          <w:rFonts w:asciiTheme="majorHAnsi" w:hAnsiTheme="majorHAnsi" w:cstheme="majorHAnsi"/>
          <w:sz w:val="24"/>
          <w:szCs w:val="24"/>
          <w:lang w:val="ro-MD"/>
        </w:rPr>
        <w:t>i nu sunt func</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 xml:space="preserve">ionale </w:t>
      </w:r>
      <w:r w:rsidR="00B13B9A" w:rsidRPr="00B13B9A">
        <w:rPr>
          <w:rFonts w:asciiTheme="majorHAnsi" w:hAnsiTheme="majorHAnsi" w:cstheme="majorHAnsi"/>
          <w:sz w:val="24"/>
          <w:szCs w:val="24"/>
          <w:lang w:val="ro-MD"/>
        </w:rPr>
        <w:t>ș</w:t>
      </w:r>
      <w:r w:rsidRPr="00B13B9A">
        <w:rPr>
          <w:rFonts w:asciiTheme="majorHAnsi" w:hAnsiTheme="majorHAnsi" w:cstheme="majorHAnsi"/>
          <w:sz w:val="24"/>
          <w:szCs w:val="24"/>
          <w:lang w:val="ro-MD"/>
        </w:rPr>
        <w:t>i/sau</w:t>
      </w:r>
      <w:r w:rsidR="00E7729C" w:rsidRPr="00B13B9A">
        <w:rPr>
          <w:rFonts w:asciiTheme="majorHAnsi" w:hAnsiTheme="majorHAnsi" w:cstheme="majorHAnsi"/>
          <w:sz w:val="24"/>
          <w:szCs w:val="24"/>
          <w:lang w:val="ro-MD"/>
        </w:rPr>
        <w:t xml:space="preserve"> sunt</w:t>
      </w:r>
      <w:r w:rsidRPr="00B13B9A">
        <w:rPr>
          <w:rFonts w:asciiTheme="majorHAnsi" w:hAnsiTheme="majorHAnsi" w:cstheme="majorHAnsi"/>
          <w:sz w:val="24"/>
          <w:szCs w:val="24"/>
          <w:lang w:val="ro-MD"/>
        </w:rPr>
        <w:t xml:space="preserve"> uzate, sunt păstrate în sec</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 xml:space="preserve">ie, nu au fost înaintate </w:t>
      </w:r>
      <w:r w:rsidR="00B13B9A" w:rsidRPr="00B13B9A">
        <w:rPr>
          <w:rFonts w:asciiTheme="majorHAnsi" w:hAnsiTheme="majorHAnsi" w:cstheme="majorHAnsi"/>
          <w:sz w:val="24"/>
          <w:szCs w:val="24"/>
          <w:lang w:val="ro-MD"/>
        </w:rPr>
        <w:t>ș</w:t>
      </w:r>
      <w:r w:rsidRPr="00B13B9A">
        <w:rPr>
          <w:rFonts w:asciiTheme="majorHAnsi" w:hAnsiTheme="majorHAnsi" w:cstheme="majorHAnsi"/>
          <w:sz w:val="24"/>
          <w:szCs w:val="24"/>
          <w:lang w:val="ro-MD"/>
        </w:rPr>
        <w:t xml:space="preserve">i incluse în lista de casare </w:t>
      </w:r>
      <w:r w:rsidR="0011361D" w:rsidRPr="00B13B9A">
        <w:rPr>
          <w:rFonts w:asciiTheme="majorHAnsi" w:hAnsiTheme="majorHAnsi" w:cstheme="majorHAnsi"/>
          <w:sz w:val="24"/>
          <w:szCs w:val="24"/>
          <w:lang w:val="ro-MD"/>
        </w:rPr>
        <w:t xml:space="preserve">întocmită </w:t>
      </w:r>
      <w:r w:rsidR="00E7729C" w:rsidRPr="00B13B9A">
        <w:rPr>
          <w:rFonts w:asciiTheme="majorHAnsi" w:hAnsiTheme="majorHAnsi" w:cstheme="majorHAnsi"/>
          <w:sz w:val="24"/>
          <w:szCs w:val="24"/>
          <w:lang w:val="ro-MD"/>
        </w:rPr>
        <w:t>pe parcursul desfă</w:t>
      </w:r>
      <w:r w:rsidR="00B13B9A" w:rsidRPr="00B13B9A">
        <w:rPr>
          <w:rFonts w:asciiTheme="majorHAnsi" w:hAnsiTheme="majorHAnsi" w:cstheme="majorHAnsi"/>
          <w:sz w:val="24"/>
          <w:szCs w:val="24"/>
          <w:lang w:val="ro-MD"/>
        </w:rPr>
        <w:t>ș</w:t>
      </w:r>
      <w:r w:rsidR="00E7729C" w:rsidRPr="00B13B9A">
        <w:rPr>
          <w:rFonts w:asciiTheme="majorHAnsi" w:hAnsiTheme="majorHAnsi" w:cstheme="majorHAnsi"/>
          <w:sz w:val="24"/>
          <w:szCs w:val="24"/>
          <w:lang w:val="ro-MD"/>
        </w:rPr>
        <w:t>urării misiunii de audit</w:t>
      </w:r>
      <w:r w:rsidRPr="00B13B9A">
        <w:rPr>
          <w:rFonts w:asciiTheme="majorHAnsi" w:hAnsiTheme="majorHAnsi" w:cstheme="majorHAnsi"/>
          <w:sz w:val="24"/>
          <w:szCs w:val="24"/>
          <w:lang w:val="ro-MD"/>
        </w:rPr>
        <w:t>, fiind în</w:t>
      </w:r>
      <w:r w:rsidR="00830BBE" w:rsidRPr="00B13B9A">
        <w:rPr>
          <w:rFonts w:asciiTheme="majorHAnsi" w:hAnsiTheme="majorHAnsi" w:cstheme="majorHAnsi"/>
          <w:sz w:val="24"/>
          <w:szCs w:val="24"/>
          <w:lang w:val="ro-MD"/>
        </w:rPr>
        <w:t xml:space="preserve"> continuare păstrate în eviden</w:t>
      </w:r>
      <w:r w:rsidR="00B13B9A" w:rsidRPr="00B13B9A">
        <w:rPr>
          <w:rFonts w:asciiTheme="majorHAnsi" w:hAnsiTheme="majorHAnsi" w:cstheme="majorHAnsi"/>
          <w:sz w:val="24"/>
          <w:szCs w:val="24"/>
          <w:lang w:val="ro-MD"/>
        </w:rPr>
        <w:t>ț</w:t>
      </w:r>
      <w:r w:rsidR="00830BBE" w:rsidRPr="00B13B9A">
        <w:rPr>
          <w:rFonts w:asciiTheme="majorHAnsi" w:hAnsiTheme="majorHAnsi" w:cstheme="majorHAnsi"/>
          <w:sz w:val="24"/>
          <w:szCs w:val="24"/>
          <w:lang w:val="ro-MD"/>
        </w:rPr>
        <w:t>ă</w:t>
      </w:r>
      <w:r w:rsidRPr="00B13B9A">
        <w:rPr>
          <w:rFonts w:asciiTheme="majorHAnsi" w:hAnsiTheme="majorHAnsi" w:cstheme="majorHAnsi"/>
          <w:sz w:val="24"/>
          <w:szCs w:val="24"/>
          <w:lang w:val="ro-MD"/>
        </w:rPr>
        <w:t>. Astfel, contrar prevederilor legale</w:t>
      </w:r>
      <w:r w:rsidRPr="00B13B9A">
        <w:rPr>
          <w:rStyle w:val="a9"/>
          <w:rFonts w:asciiTheme="majorHAnsi" w:hAnsiTheme="majorHAnsi" w:cstheme="majorHAnsi"/>
          <w:sz w:val="24"/>
          <w:szCs w:val="24"/>
          <w:lang w:val="ro-MD"/>
        </w:rPr>
        <w:footnoteReference w:id="42"/>
      </w:r>
      <w:r w:rsidRPr="00B13B9A">
        <w:rPr>
          <w:rFonts w:asciiTheme="majorHAnsi" w:hAnsiTheme="majorHAnsi" w:cstheme="majorHAnsi"/>
          <w:sz w:val="24"/>
          <w:szCs w:val="24"/>
          <w:lang w:val="ro-MD"/>
        </w:rPr>
        <w:t>, entitatea nu de</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 xml:space="preserve">ine o listă de inventariere separată a imobilizărilor corporale care nu sunt utilizate din diverse motive </w:t>
      </w:r>
      <w:r w:rsidR="00B13B9A" w:rsidRPr="00B13B9A">
        <w:rPr>
          <w:rFonts w:asciiTheme="majorHAnsi" w:hAnsiTheme="majorHAnsi" w:cstheme="majorHAnsi"/>
          <w:sz w:val="24"/>
          <w:szCs w:val="24"/>
          <w:lang w:val="ro-MD"/>
        </w:rPr>
        <w:t>ș</w:t>
      </w:r>
      <w:r w:rsidRPr="00B13B9A">
        <w:rPr>
          <w:rFonts w:asciiTheme="majorHAnsi" w:hAnsiTheme="majorHAnsi" w:cstheme="majorHAnsi"/>
          <w:sz w:val="24"/>
          <w:szCs w:val="24"/>
          <w:lang w:val="ro-MD"/>
        </w:rPr>
        <w:t>i/sau nu se supun restabilirii</w:t>
      </w:r>
      <w:r w:rsidR="00415065" w:rsidRPr="00B13B9A">
        <w:rPr>
          <w:rFonts w:asciiTheme="majorHAnsi" w:hAnsiTheme="majorHAnsi" w:cstheme="majorHAnsi"/>
          <w:sz w:val="24"/>
          <w:szCs w:val="24"/>
          <w:lang w:val="ro-MD"/>
        </w:rPr>
        <w:t>,</w:t>
      </w:r>
      <w:r w:rsidRPr="00B13B9A">
        <w:rPr>
          <w:rFonts w:asciiTheme="majorHAnsi" w:hAnsiTheme="majorHAnsi" w:cstheme="majorHAnsi"/>
          <w:sz w:val="24"/>
          <w:szCs w:val="24"/>
          <w:lang w:val="ro-MD"/>
        </w:rPr>
        <w:t xml:space="preserve"> cu indicarea motivelor care au cauzat neutilizarea lor (deteriorarea, uzura completă etc.).</w:t>
      </w:r>
    </w:p>
    <w:p w14:paraId="280E4678" w14:textId="126BAB31" w:rsidR="0039787E" w:rsidRPr="00B13B9A" w:rsidRDefault="0039787E" w:rsidP="0039787E">
      <w:pPr>
        <w:shd w:val="clear" w:color="auto" w:fill="FFFFFF" w:themeFill="background1"/>
        <w:jc w:val="both"/>
        <w:rPr>
          <w:rFonts w:asciiTheme="majorHAnsi" w:hAnsiTheme="majorHAnsi" w:cstheme="majorHAnsi"/>
          <w:sz w:val="24"/>
          <w:szCs w:val="24"/>
          <w:lang w:val="ro-MD"/>
        </w:rPr>
      </w:pPr>
      <w:r w:rsidRPr="00B13B9A">
        <w:rPr>
          <w:rFonts w:asciiTheme="majorHAnsi" w:hAnsiTheme="majorHAnsi" w:cstheme="majorHAnsi"/>
          <w:sz w:val="24"/>
          <w:szCs w:val="24"/>
          <w:lang w:val="ro-MD"/>
        </w:rPr>
        <w:t>Spre exemplu, entitatea păstrează în sec</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ie un complex radiodiagnostic Sirescop CX nefunc</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ional, în valoare de 2 481,4 mii lei, pus în func</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 xml:space="preserve">iune </w:t>
      </w:r>
      <w:r w:rsidR="00AB4A85" w:rsidRPr="00B13B9A">
        <w:rPr>
          <w:rFonts w:asciiTheme="majorHAnsi" w:hAnsiTheme="majorHAnsi" w:cstheme="majorHAnsi"/>
          <w:sz w:val="24"/>
          <w:szCs w:val="24"/>
          <w:lang w:val="ro-MD"/>
        </w:rPr>
        <w:t>la</w:t>
      </w:r>
      <w:r w:rsidRPr="00B13B9A">
        <w:rPr>
          <w:rFonts w:asciiTheme="majorHAnsi" w:hAnsiTheme="majorHAnsi" w:cstheme="majorHAnsi"/>
          <w:sz w:val="24"/>
          <w:szCs w:val="24"/>
          <w:lang w:val="ro-MD"/>
        </w:rPr>
        <w:t xml:space="preserve"> 01.01.1998. Activitatea la acest aparat a fost stopată încă în anul 2018, din cauza nefunc</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ionalită</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 xml:space="preserve">ii acestuia în </w:t>
      </w:r>
      <w:r w:rsidR="00644DA2" w:rsidRPr="00B13B9A">
        <w:rPr>
          <w:rFonts w:asciiTheme="majorHAnsi" w:hAnsiTheme="majorHAnsi" w:cstheme="majorHAnsi"/>
          <w:sz w:val="24"/>
          <w:szCs w:val="24"/>
          <w:lang w:val="ro-MD"/>
        </w:rPr>
        <w:t xml:space="preserve">urma </w:t>
      </w:r>
      <w:r w:rsidRPr="00B13B9A">
        <w:rPr>
          <w:rFonts w:asciiTheme="majorHAnsi" w:hAnsiTheme="majorHAnsi" w:cstheme="majorHAnsi"/>
          <w:sz w:val="24"/>
          <w:szCs w:val="24"/>
          <w:lang w:val="ro-MD"/>
        </w:rPr>
        <w:t>defectării unei piese componente. Complexul radiodiagnostic, conform raportului tehnic</w:t>
      </w:r>
      <w:r w:rsidR="00AB4A85" w:rsidRPr="00B13B9A">
        <w:rPr>
          <w:rFonts w:asciiTheme="majorHAnsi" w:hAnsiTheme="majorHAnsi" w:cstheme="majorHAnsi"/>
          <w:sz w:val="24"/>
          <w:szCs w:val="24"/>
          <w:lang w:val="ro-MD"/>
        </w:rPr>
        <w:t>,</w:t>
      </w:r>
      <w:r w:rsidRPr="00B13B9A">
        <w:rPr>
          <w:rFonts w:asciiTheme="majorHAnsi" w:hAnsiTheme="majorHAnsi" w:cstheme="majorHAnsi"/>
          <w:sz w:val="24"/>
          <w:szCs w:val="24"/>
          <w:lang w:val="ro-MD"/>
        </w:rPr>
        <w:t xml:space="preserve"> nu se supune repara</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 xml:space="preserve">iei </w:t>
      </w:r>
      <w:r w:rsidR="00B13B9A" w:rsidRPr="00B13B9A">
        <w:rPr>
          <w:rFonts w:asciiTheme="majorHAnsi" w:hAnsiTheme="majorHAnsi" w:cstheme="majorHAnsi"/>
          <w:sz w:val="24"/>
          <w:szCs w:val="24"/>
          <w:lang w:val="ro-MD"/>
        </w:rPr>
        <w:t>ș</w:t>
      </w:r>
      <w:r w:rsidRPr="00B13B9A">
        <w:rPr>
          <w:rFonts w:asciiTheme="majorHAnsi" w:hAnsiTheme="majorHAnsi" w:cstheme="majorHAnsi"/>
          <w:sz w:val="24"/>
          <w:szCs w:val="24"/>
          <w:lang w:val="ro-MD"/>
        </w:rPr>
        <w:t>i urma a fi inclus în list</w:t>
      </w:r>
      <w:r w:rsidR="00AB4A85" w:rsidRPr="00B13B9A">
        <w:rPr>
          <w:rFonts w:asciiTheme="majorHAnsi" w:hAnsiTheme="majorHAnsi" w:cstheme="majorHAnsi"/>
          <w:sz w:val="24"/>
          <w:szCs w:val="24"/>
          <w:lang w:val="ro-MD"/>
        </w:rPr>
        <w:t>ă</w:t>
      </w:r>
      <w:r w:rsidRPr="00B13B9A">
        <w:rPr>
          <w:rFonts w:asciiTheme="majorHAnsi" w:hAnsiTheme="majorHAnsi" w:cstheme="majorHAnsi"/>
          <w:sz w:val="24"/>
          <w:szCs w:val="24"/>
          <w:lang w:val="ro-MD"/>
        </w:rPr>
        <w:t xml:space="preserve"> spre casare.</w:t>
      </w:r>
    </w:p>
    <w:p w14:paraId="46B229A8" w14:textId="60605EE5" w:rsidR="0039787E" w:rsidRPr="00B13B9A" w:rsidRDefault="00830BBE" w:rsidP="0039787E">
      <w:pPr>
        <w:shd w:val="clear" w:color="auto" w:fill="FFFFFF" w:themeFill="background1"/>
        <w:jc w:val="both"/>
        <w:rPr>
          <w:rFonts w:asciiTheme="majorHAnsi" w:hAnsiTheme="majorHAnsi" w:cstheme="majorHAnsi"/>
          <w:sz w:val="24"/>
          <w:szCs w:val="24"/>
          <w:lang w:val="ro-MD"/>
        </w:rPr>
      </w:pPr>
      <w:r w:rsidRPr="00B13B9A">
        <w:rPr>
          <w:rFonts w:asciiTheme="majorHAnsi" w:hAnsiTheme="majorHAnsi" w:cstheme="majorHAnsi"/>
          <w:sz w:val="24"/>
          <w:szCs w:val="24"/>
          <w:lang w:val="ro-MD"/>
        </w:rPr>
        <w:t>De asemenea,</w:t>
      </w:r>
      <w:r w:rsidR="0039787E" w:rsidRPr="00B13B9A">
        <w:rPr>
          <w:rFonts w:asciiTheme="majorHAnsi" w:hAnsiTheme="majorHAnsi" w:cstheme="majorHAnsi"/>
          <w:sz w:val="24"/>
          <w:szCs w:val="24"/>
          <w:lang w:val="ro-MD"/>
        </w:rPr>
        <w:t xml:space="preserve"> în cadrul Laboratorului Na</w:t>
      </w:r>
      <w:r w:rsidR="00B13B9A" w:rsidRPr="00B13B9A">
        <w:rPr>
          <w:rFonts w:asciiTheme="majorHAnsi" w:hAnsiTheme="majorHAnsi" w:cstheme="majorHAnsi"/>
          <w:sz w:val="24"/>
          <w:szCs w:val="24"/>
          <w:lang w:val="ro-MD"/>
        </w:rPr>
        <w:t>ț</w:t>
      </w:r>
      <w:r w:rsidR="0039787E" w:rsidRPr="00B13B9A">
        <w:rPr>
          <w:rFonts w:asciiTheme="majorHAnsi" w:hAnsiTheme="majorHAnsi" w:cstheme="majorHAnsi"/>
          <w:sz w:val="24"/>
          <w:szCs w:val="24"/>
          <w:lang w:val="ro-MD"/>
        </w:rPr>
        <w:t>ional de Referin</w:t>
      </w:r>
      <w:r w:rsidR="00B13B9A" w:rsidRPr="00B13B9A">
        <w:rPr>
          <w:rFonts w:asciiTheme="majorHAnsi" w:hAnsiTheme="majorHAnsi" w:cstheme="majorHAnsi"/>
          <w:sz w:val="24"/>
          <w:szCs w:val="24"/>
          <w:lang w:val="ro-MD"/>
        </w:rPr>
        <w:t>ț</w:t>
      </w:r>
      <w:r w:rsidR="0039787E" w:rsidRPr="00B13B9A">
        <w:rPr>
          <w:rFonts w:asciiTheme="majorHAnsi" w:hAnsiTheme="majorHAnsi" w:cstheme="majorHAnsi"/>
          <w:sz w:val="24"/>
          <w:szCs w:val="24"/>
          <w:lang w:val="ro-MD"/>
        </w:rPr>
        <w:t xml:space="preserve">ă a fost identificată o </w:t>
      </w:r>
      <w:r w:rsidR="00AB4A85" w:rsidRPr="00B13B9A">
        <w:rPr>
          <w:rFonts w:asciiTheme="majorHAnsi" w:hAnsiTheme="majorHAnsi" w:cstheme="majorHAnsi"/>
          <w:sz w:val="24"/>
          <w:szCs w:val="24"/>
          <w:lang w:val="ro-MD"/>
        </w:rPr>
        <w:t>c</w:t>
      </w:r>
      <w:r w:rsidR="0039787E" w:rsidRPr="00B13B9A">
        <w:rPr>
          <w:rFonts w:asciiTheme="majorHAnsi" w:hAnsiTheme="majorHAnsi" w:cstheme="majorHAnsi"/>
          <w:sz w:val="24"/>
          <w:szCs w:val="24"/>
          <w:lang w:val="ro-MD"/>
        </w:rPr>
        <w:t>entrifugă Eppendorf în valoarea de 111,1 mii lei, pusă în func</w:t>
      </w:r>
      <w:r w:rsidR="00B13B9A" w:rsidRPr="00B13B9A">
        <w:rPr>
          <w:rFonts w:asciiTheme="majorHAnsi" w:hAnsiTheme="majorHAnsi" w:cstheme="majorHAnsi"/>
          <w:sz w:val="24"/>
          <w:szCs w:val="24"/>
          <w:lang w:val="ro-MD"/>
        </w:rPr>
        <w:t>ț</w:t>
      </w:r>
      <w:r w:rsidR="0039787E" w:rsidRPr="00B13B9A">
        <w:rPr>
          <w:rFonts w:asciiTheme="majorHAnsi" w:hAnsiTheme="majorHAnsi" w:cstheme="majorHAnsi"/>
          <w:sz w:val="24"/>
          <w:szCs w:val="24"/>
          <w:lang w:val="ro-MD"/>
        </w:rPr>
        <w:t xml:space="preserve">iune în anul 2003, </w:t>
      </w:r>
      <w:r w:rsidRPr="00B13B9A">
        <w:rPr>
          <w:rFonts w:asciiTheme="majorHAnsi" w:hAnsiTheme="majorHAnsi" w:cstheme="majorHAnsi"/>
          <w:sz w:val="24"/>
          <w:szCs w:val="24"/>
          <w:lang w:val="ro-MD"/>
        </w:rPr>
        <w:t xml:space="preserve">care </w:t>
      </w:r>
      <w:r w:rsidR="0039787E" w:rsidRPr="00B13B9A">
        <w:rPr>
          <w:rFonts w:asciiTheme="majorHAnsi" w:hAnsiTheme="majorHAnsi" w:cstheme="majorHAnsi"/>
          <w:sz w:val="24"/>
          <w:szCs w:val="24"/>
          <w:lang w:val="ro-MD"/>
        </w:rPr>
        <w:t>de</w:t>
      </w:r>
      <w:r w:rsidR="00B13B9A" w:rsidRPr="00B13B9A">
        <w:rPr>
          <w:rFonts w:asciiTheme="majorHAnsi" w:hAnsiTheme="majorHAnsi" w:cstheme="majorHAnsi"/>
          <w:sz w:val="24"/>
          <w:szCs w:val="24"/>
          <w:lang w:val="ro-MD"/>
        </w:rPr>
        <w:t>ș</w:t>
      </w:r>
      <w:r w:rsidR="0039787E" w:rsidRPr="00B13B9A">
        <w:rPr>
          <w:rFonts w:asciiTheme="majorHAnsi" w:hAnsiTheme="majorHAnsi" w:cstheme="majorHAnsi"/>
          <w:sz w:val="24"/>
          <w:szCs w:val="24"/>
          <w:lang w:val="ro-MD"/>
        </w:rPr>
        <w:t>i nu este func</w:t>
      </w:r>
      <w:r w:rsidR="00B13B9A" w:rsidRPr="00B13B9A">
        <w:rPr>
          <w:rFonts w:asciiTheme="majorHAnsi" w:hAnsiTheme="majorHAnsi" w:cstheme="majorHAnsi"/>
          <w:sz w:val="24"/>
          <w:szCs w:val="24"/>
          <w:lang w:val="ro-MD"/>
        </w:rPr>
        <w:t>ț</w:t>
      </w:r>
      <w:r w:rsidR="0039787E" w:rsidRPr="00B13B9A">
        <w:rPr>
          <w:rFonts w:asciiTheme="majorHAnsi" w:hAnsiTheme="majorHAnsi" w:cstheme="majorHAnsi"/>
          <w:sz w:val="24"/>
          <w:szCs w:val="24"/>
          <w:lang w:val="ro-MD"/>
        </w:rPr>
        <w:t>ională din anul 2009 conform fi</w:t>
      </w:r>
      <w:r w:rsidR="00B13B9A" w:rsidRPr="00B13B9A">
        <w:rPr>
          <w:rFonts w:asciiTheme="majorHAnsi" w:hAnsiTheme="majorHAnsi" w:cstheme="majorHAnsi"/>
          <w:sz w:val="24"/>
          <w:szCs w:val="24"/>
          <w:lang w:val="ro-MD"/>
        </w:rPr>
        <w:t>ș</w:t>
      </w:r>
      <w:r w:rsidR="0039787E" w:rsidRPr="00B13B9A">
        <w:rPr>
          <w:rFonts w:asciiTheme="majorHAnsi" w:hAnsiTheme="majorHAnsi" w:cstheme="majorHAnsi"/>
          <w:sz w:val="24"/>
          <w:szCs w:val="24"/>
          <w:lang w:val="ro-MD"/>
        </w:rPr>
        <w:t xml:space="preserve">ei tehnice, </w:t>
      </w:r>
      <w:r w:rsidR="001D625E" w:rsidRPr="00B13B9A">
        <w:rPr>
          <w:rFonts w:asciiTheme="majorHAnsi" w:hAnsiTheme="majorHAnsi" w:cstheme="majorHAnsi"/>
          <w:sz w:val="24"/>
          <w:szCs w:val="24"/>
          <w:lang w:val="ro-MD"/>
        </w:rPr>
        <w:t>rămâne păstrată în sec</w:t>
      </w:r>
      <w:r w:rsidR="00B13B9A" w:rsidRPr="00B13B9A">
        <w:rPr>
          <w:rFonts w:asciiTheme="majorHAnsi" w:hAnsiTheme="majorHAnsi" w:cstheme="majorHAnsi"/>
          <w:sz w:val="24"/>
          <w:szCs w:val="24"/>
          <w:lang w:val="ro-MD"/>
        </w:rPr>
        <w:t>ț</w:t>
      </w:r>
      <w:r w:rsidR="001D625E" w:rsidRPr="00B13B9A">
        <w:rPr>
          <w:rFonts w:asciiTheme="majorHAnsi" w:hAnsiTheme="majorHAnsi" w:cstheme="majorHAnsi"/>
          <w:sz w:val="24"/>
          <w:szCs w:val="24"/>
          <w:lang w:val="ro-MD"/>
        </w:rPr>
        <w:t xml:space="preserve">ie </w:t>
      </w:r>
      <w:r w:rsidR="00B13B9A" w:rsidRPr="00B13B9A">
        <w:rPr>
          <w:rFonts w:asciiTheme="majorHAnsi" w:hAnsiTheme="majorHAnsi" w:cstheme="majorHAnsi"/>
          <w:sz w:val="24"/>
          <w:szCs w:val="24"/>
          <w:lang w:val="ro-MD"/>
        </w:rPr>
        <w:t>ș</w:t>
      </w:r>
      <w:r w:rsidR="001D625E" w:rsidRPr="00B13B9A">
        <w:rPr>
          <w:rFonts w:asciiTheme="majorHAnsi" w:hAnsiTheme="majorHAnsi" w:cstheme="majorHAnsi"/>
          <w:sz w:val="24"/>
          <w:szCs w:val="24"/>
          <w:lang w:val="ro-MD"/>
        </w:rPr>
        <w:t xml:space="preserve">i înregistrată </w:t>
      </w:r>
      <w:r w:rsidRPr="00B13B9A">
        <w:rPr>
          <w:rFonts w:asciiTheme="majorHAnsi" w:hAnsiTheme="majorHAnsi" w:cstheme="majorHAnsi"/>
          <w:sz w:val="24"/>
          <w:szCs w:val="24"/>
          <w:lang w:val="ro-MD"/>
        </w:rPr>
        <w:t>în eviden</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ă până la momentul actual</w:t>
      </w:r>
      <w:r w:rsidR="0039787E" w:rsidRPr="00B13B9A">
        <w:rPr>
          <w:rFonts w:asciiTheme="majorHAnsi" w:hAnsiTheme="majorHAnsi" w:cstheme="majorHAnsi"/>
          <w:sz w:val="24"/>
          <w:szCs w:val="24"/>
          <w:lang w:val="ro-MD"/>
        </w:rPr>
        <w:t>.</w:t>
      </w:r>
    </w:p>
    <w:p w14:paraId="3BF4F77C" w14:textId="21D04893" w:rsidR="0039787E" w:rsidRPr="00B13B9A" w:rsidRDefault="0039787E" w:rsidP="0039787E">
      <w:pPr>
        <w:shd w:val="clear" w:color="auto" w:fill="FFFFFF" w:themeFill="background1"/>
        <w:jc w:val="both"/>
        <w:rPr>
          <w:rFonts w:asciiTheme="majorHAnsi" w:hAnsiTheme="majorHAnsi" w:cstheme="majorHAnsi"/>
          <w:sz w:val="24"/>
          <w:szCs w:val="24"/>
          <w:lang w:val="ro-MD"/>
        </w:rPr>
      </w:pPr>
      <w:r w:rsidRPr="00B13B9A">
        <w:rPr>
          <w:rFonts w:asciiTheme="majorHAnsi" w:hAnsiTheme="majorHAnsi" w:cstheme="majorHAnsi"/>
          <w:sz w:val="24"/>
          <w:szCs w:val="24"/>
          <w:lang w:val="ro-MD"/>
        </w:rPr>
        <w:t xml:space="preserve">Conform </w:t>
      </w:r>
      <w:r w:rsidR="00830BBE" w:rsidRPr="00B13B9A">
        <w:rPr>
          <w:rFonts w:asciiTheme="majorHAnsi" w:hAnsiTheme="majorHAnsi" w:cstheme="majorHAnsi"/>
          <w:sz w:val="24"/>
          <w:szCs w:val="24"/>
          <w:lang w:val="ro-MD"/>
        </w:rPr>
        <w:t>motiva</w:t>
      </w:r>
      <w:r w:rsidR="00B13B9A" w:rsidRPr="00B13B9A">
        <w:rPr>
          <w:rFonts w:asciiTheme="majorHAnsi" w:hAnsiTheme="majorHAnsi" w:cstheme="majorHAnsi"/>
          <w:sz w:val="24"/>
          <w:szCs w:val="24"/>
          <w:lang w:val="ro-MD"/>
        </w:rPr>
        <w:t>ț</w:t>
      </w:r>
      <w:r w:rsidR="00830BBE" w:rsidRPr="00B13B9A">
        <w:rPr>
          <w:rFonts w:asciiTheme="majorHAnsi" w:hAnsiTheme="majorHAnsi" w:cstheme="majorHAnsi"/>
          <w:sz w:val="24"/>
          <w:szCs w:val="24"/>
          <w:lang w:val="ro-MD"/>
        </w:rPr>
        <w:t>iil</w:t>
      </w:r>
      <w:r w:rsidRPr="00B13B9A">
        <w:rPr>
          <w:rFonts w:asciiTheme="majorHAnsi" w:hAnsiTheme="majorHAnsi" w:cstheme="majorHAnsi"/>
          <w:sz w:val="24"/>
          <w:szCs w:val="24"/>
          <w:lang w:val="ro-MD"/>
        </w:rPr>
        <w:t xml:space="preserve">or persoanei responsabile, entitatea va întocmi o listă suplimentară </w:t>
      </w:r>
      <w:r w:rsidR="00AB4A85" w:rsidRPr="00B13B9A">
        <w:rPr>
          <w:rFonts w:asciiTheme="majorHAnsi" w:hAnsiTheme="majorHAnsi" w:cstheme="majorHAnsi"/>
          <w:sz w:val="24"/>
          <w:szCs w:val="24"/>
          <w:lang w:val="ro-MD"/>
        </w:rPr>
        <w:t>cu</w:t>
      </w:r>
      <w:r w:rsidRPr="00B13B9A">
        <w:rPr>
          <w:rFonts w:asciiTheme="majorHAnsi" w:hAnsiTheme="majorHAnsi" w:cstheme="majorHAnsi"/>
          <w:sz w:val="24"/>
          <w:szCs w:val="24"/>
          <w:lang w:val="ro-MD"/>
        </w:rPr>
        <w:t xml:space="preserve"> dispozitivel</w:t>
      </w:r>
      <w:r w:rsidR="00AB4A85" w:rsidRPr="00B13B9A">
        <w:rPr>
          <w:rFonts w:asciiTheme="majorHAnsi" w:hAnsiTheme="majorHAnsi" w:cstheme="majorHAnsi"/>
          <w:sz w:val="24"/>
          <w:szCs w:val="24"/>
          <w:lang w:val="ro-MD"/>
        </w:rPr>
        <w:t>e</w:t>
      </w:r>
      <w:r w:rsidRPr="00B13B9A">
        <w:rPr>
          <w:rFonts w:asciiTheme="majorHAnsi" w:hAnsiTheme="majorHAnsi" w:cstheme="majorHAnsi"/>
          <w:sz w:val="24"/>
          <w:szCs w:val="24"/>
          <w:lang w:val="ro-MD"/>
        </w:rPr>
        <w:t xml:space="preserve"> medicale uzate/defecte/ne</w:t>
      </w:r>
      <w:r w:rsidR="00830BBE" w:rsidRPr="00B13B9A">
        <w:rPr>
          <w:rFonts w:asciiTheme="majorHAnsi" w:hAnsiTheme="majorHAnsi" w:cstheme="majorHAnsi"/>
          <w:sz w:val="24"/>
          <w:szCs w:val="24"/>
          <w:lang w:val="ro-MD"/>
        </w:rPr>
        <w:t>func</w:t>
      </w:r>
      <w:r w:rsidR="00B13B9A" w:rsidRPr="00B13B9A">
        <w:rPr>
          <w:rFonts w:asciiTheme="majorHAnsi" w:hAnsiTheme="majorHAnsi" w:cstheme="majorHAnsi"/>
          <w:sz w:val="24"/>
          <w:szCs w:val="24"/>
          <w:lang w:val="ro-MD"/>
        </w:rPr>
        <w:t>ț</w:t>
      </w:r>
      <w:r w:rsidR="00830BBE" w:rsidRPr="00B13B9A">
        <w:rPr>
          <w:rFonts w:asciiTheme="majorHAnsi" w:hAnsiTheme="majorHAnsi" w:cstheme="majorHAnsi"/>
          <w:sz w:val="24"/>
          <w:szCs w:val="24"/>
          <w:lang w:val="ro-MD"/>
        </w:rPr>
        <w:t>ionale păstrate în sec</w:t>
      </w:r>
      <w:r w:rsidR="00B13B9A" w:rsidRPr="00B13B9A">
        <w:rPr>
          <w:rFonts w:asciiTheme="majorHAnsi" w:hAnsiTheme="majorHAnsi" w:cstheme="majorHAnsi"/>
          <w:sz w:val="24"/>
          <w:szCs w:val="24"/>
          <w:lang w:val="ro-MD"/>
        </w:rPr>
        <w:t>ț</w:t>
      </w:r>
      <w:r w:rsidR="00830BBE" w:rsidRPr="00B13B9A">
        <w:rPr>
          <w:rFonts w:asciiTheme="majorHAnsi" w:hAnsiTheme="majorHAnsi" w:cstheme="majorHAnsi"/>
          <w:sz w:val="24"/>
          <w:szCs w:val="24"/>
          <w:lang w:val="ro-MD"/>
        </w:rPr>
        <w:t>ii</w:t>
      </w:r>
      <w:r w:rsidR="00AB4A85" w:rsidRPr="00B13B9A">
        <w:rPr>
          <w:rFonts w:asciiTheme="majorHAnsi" w:hAnsiTheme="majorHAnsi" w:cstheme="majorHAnsi"/>
          <w:sz w:val="24"/>
          <w:szCs w:val="24"/>
          <w:lang w:val="ro-MD"/>
        </w:rPr>
        <w:t>, care</w:t>
      </w:r>
      <w:r w:rsidRPr="00B13B9A">
        <w:rPr>
          <w:rFonts w:asciiTheme="majorHAnsi" w:hAnsiTheme="majorHAnsi" w:cstheme="majorHAnsi"/>
          <w:sz w:val="24"/>
          <w:szCs w:val="24"/>
          <w:lang w:val="ro-MD"/>
        </w:rPr>
        <w:t xml:space="preserve"> vor fi înaintate spre casare, în scopul excluderii acestora </w:t>
      </w:r>
      <w:r w:rsidR="00830BBE" w:rsidRPr="00B13B9A">
        <w:rPr>
          <w:rFonts w:asciiTheme="majorHAnsi" w:hAnsiTheme="majorHAnsi" w:cstheme="majorHAnsi"/>
          <w:sz w:val="24"/>
          <w:szCs w:val="24"/>
          <w:lang w:val="ro-MD"/>
        </w:rPr>
        <w:t>din eviden</w:t>
      </w:r>
      <w:r w:rsidR="00B13B9A" w:rsidRPr="00B13B9A">
        <w:rPr>
          <w:rFonts w:asciiTheme="majorHAnsi" w:hAnsiTheme="majorHAnsi" w:cstheme="majorHAnsi"/>
          <w:sz w:val="24"/>
          <w:szCs w:val="24"/>
          <w:lang w:val="ro-MD"/>
        </w:rPr>
        <w:t>ț</w:t>
      </w:r>
      <w:r w:rsidR="00830BBE" w:rsidRPr="00B13B9A">
        <w:rPr>
          <w:rFonts w:asciiTheme="majorHAnsi" w:hAnsiTheme="majorHAnsi" w:cstheme="majorHAnsi"/>
          <w:sz w:val="24"/>
          <w:szCs w:val="24"/>
          <w:lang w:val="ro-MD"/>
        </w:rPr>
        <w:t>ă, ceea ce va oferi informa</w:t>
      </w:r>
      <w:r w:rsidR="00B13B9A" w:rsidRPr="00B13B9A">
        <w:rPr>
          <w:rFonts w:asciiTheme="majorHAnsi" w:hAnsiTheme="majorHAnsi" w:cstheme="majorHAnsi"/>
          <w:sz w:val="24"/>
          <w:szCs w:val="24"/>
          <w:lang w:val="ro-MD"/>
        </w:rPr>
        <w:t>ț</w:t>
      </w:r>
      <w:r w:rsidR="00830BBE" w:rsidRPr="00B13B9A">
        <w:rPr>
          <w:rFonts w:asciiTheme="majorHAnsi" w:hAnsiTheme="majorHAnsi" w:cstheme="majorHAnsi"/>
          <w:sz w:val="24"/>
          <w:szCs w:val="24"/>
          <w:lang w:val="ro-MD"/>
        </w:rPr>
        <w:t>ii reale</w:t>
      </w:r>
      <w:r w:rsidRPr="00B13B9A">
        <w:rPr>
          <w:rFonts w:asciiTheme="majorHAnsi" w:hAnsiTheme="majorHAnsi" w:cstheme="majorHAnsi"/>
          <w:sz w:val="24"/>
          <w:szCs w:val="24"/>
          <w:lang w:val="ro-MD"/>
        </w:rPr>
        <w:t>.</w:t>
      </w:r>
    </w:p>
    <w:p w14:paraId="3FC727A3" w14:textId="1DC134C1" w:rsidR="0039787E" w:rsidRPr="00B13B9A" w:rsidRDefault="0039787E" w:rsidP="0039787E">
      <w:pPr>
        <w:shd w:val="clear" w:color="auto" w:fill="FFFFFF" w:themeFill="background1"/>
        <w:jc w:val="both"/>
        <w:rPr>
          <w:rFonts w:asciiTheme="majorHAnsi" w:hAnsiTheme="majorHAnsi" w:cstheme="majorHAnsi"/>
          <w:sz w:val="24"/>
          <w:szCs w:val="24"/>
          <w:lang w:val="ro-MD"/>
        </w:rPr>
      </w:pPr>
      <w:r w:rsidRPr="00B13B9A">
        <w:rPr>
          <w:rFonts w:asciiTheme="majorHAnsi" w:hAnsiTheme="majorHAnsi" w:cstheme="majorHAnsi"/>
          <w:sz w:val="24"/>
          <w:szCs w:val="24"/>
          <w:lang w:val="ro-MD"/>
        </w:rPr>
        <w:t xml:space="preserve">Astfel, </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 xml:space="preserve">inerea </w:t>
      </w:r>
      <w:r w:rsidR="00AB4A85" w:rsidRPr="00B13B9A">
        <w:rPr>
          <w:rFonts w:asciiTheme="majorHAnsi" w:hAnsiTheme="majorHAnsi" w:cstheme="majorHAnsi"/>
          <w:sz w:val="24"/>
          <w:szCs w:val="24"/>
          <w:lang w:val="ro-MD"/>
        </w:rPr>
        <w:t>în</w:t>
      </w:r>
      <w:r w:rsidRPr="00B13B9A">
        <w:rPr>
          <w:rFonts w:asciiTheme="majorHAnsi" w:hAnsiTheme="majorHAnsi" w:cstheme="majorHAnsi"/>
          <w:sz w:val="24"/>
          <w:szCs w:val="24"/>
          <w:lang w:val="ro-MD"/>
        </w:rPr>
        <w:t xml:space="preserve"> eviden</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ă a utilajului medical în sumă de 3 650,1 mii lei, care se află în stare nefunc</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ională/uzată, majorează neîntemeiat soldul mijloacelor fixe raportate.</w:t>
      </w:r>
    </w:p>
    <w:p w14:paraId="56487F04" w14:textId="74B55538" w:rsidR="007619BC" w:rsidRPr="00B13B9A" w:rsidRDefault="007619BC" w:rsidP="00241AB3">
      <w:pPr>
        <w:pStyle w:val="a7"/>
        <w:numPr>
          <w:ilvl w:val="2"/>
          <w:numId w:val="10"/>
        </w:numPr>
        <w:shd w:val="clear" w:color="auto" w:fill="FFFFFF" w:themeFill="background1"/>
        <w:spacing w:line="276" w:lineRule="auto"/>
        <w:ind w:left="0" w:firstLine="0"/>
        <w:jc w:val="both"/>
        <w:outlineLvl w:val="2"/>
        <w:rPr>
          <w:rFonts w:asciiTheme="majorHAnsi" w:hAnsiTheme="majorHAnsi" w:cstheme="majorHAnsi"/>
          <w:b/>
          <w:sz w:val="24"/>
          <w:szCs w:val="24"/>
          <w:lang w:val="ro-MD"/>
        </w:rPr>
      </w:pPr>
      <w:bookmarkStart w:id="30" w:name="_Toc154562505"/>
      <w:r w:rsidRPr="00B13B9A">
        <w:rPr>
          <w:rFonts w:asciiTheme="majorHAnsi" w:hAnsiTheme="majorHAnsi" w:cstheme="majorHAnsi"/>
          <w:b/>
          <w:sz w:val="24"/>
          <w:szCs w:val="24"/>
          <w:lang w:val="ro-MD"/>
        </w:rPr>
        <w:t>Unele dispozitive medicale puse în func</w:t>
      </w:r>
      <w:r w:rsidR="00B13B9A" w:rsidRPr="00B13B9A">
        <w:rPr>
          <w:rFonts w:asciiTheme="majorHAnsi" w:hAnsiTheme="majorHAnsi" w:cstheme="majorHAnsi"/>
          <w:b/>
          <w:sz w:val="24"/>
          <w:szCs w:val="24"/>
          <w:lang w:val="ro-MD"/>
        </w:rPr>
        <w:t>ț</w:t>
      </w:r>
      <w:r w:rsidRPr="00B13B9A">
        <w:rPr>
          <w:rFonts w:asciiTheme="majorHAnsi" w:hAnsiTheme="majorHAnsi" w:cstheme="majorHAnsi"/>
          <w:b/>
          <w:sz w:val="24"/>
          <w:szCs w:val="24"/>
          <w:lang w:val="ro-MD"/>
        </w:rPr>
        <w:t>iune nu au fost supuse verificărilor periodice obligatorii, fiind utilizate în activitate.</w:t>
      </w:r>
      <w:bookmarkEnd w:id="30"/>
    </w:p>
    <w:p w14:paraId="363D9E63" w14:textId="27E4A3C4" w:rsidR="00E20A1C" w:rsidRDefault="007619BC" w:rsidP="007619BC">
      <w:pPr>
        <w:shd w:val="clear" w:color="auto" w:fill="FFFFFF" w:themeFill="background1"/>
        <w:spacing w:line="276" w:lineRule="auto"/>
        <w:jc w:val="both"/>
        <w:rPr>
          <w:rFonts w:asciiTheme="majorHAnsi" w:hAnsiTheme="majorHAnsi" w:cstheme="majorHAnsi"/>
          <w:sz w:val="24"/>
          <w:szCs w:val="24"/>
          <w:lang w:val="ro-MD"/>
        </w:rPr>
      </w:pPr>
      <w:r w:rsidRPr="00B13B9A">
        <w:rPr>
          <w:rFonts w:asciiTheme="majorHAnsi" w:hAnsiTheme="majorHAnsi" w:cstheme="majorHAnsi"/>
          <w:sz w:val="24"/>
          <w:szCs w:val="24"/>
          <w:lang w:val="ro-MD"/>
        </w:rPr>
        <w:t xml:space="preserve">Verificarea periodică a utilajului medical pus în </w:t>
      </w:r>
      <w:r w:rsidR="00830BBE" w:rsidRPr="00B13B9A">
        <w:rPr>
          <w:rFonts w:asciiTheme="majorHAnsi" w:hAnsiTheme="majorHAnsi" w:cstheme="majorHAnsi"/>
          <w:sz w:val="24"/>
          <w:szCs w:val="24"/>
          <w:lang w:val="ro-MD"/>
        </w:rPr>
        <w:t>func</w:t>
      </w:r>
      <w:r w:rsidR="00B13B9A" w:rsidRPr="00B13B9A">
        <w:rPr>
          <w:rFonts w:asciiTheme="majorHAnsi" w:hAnsiTheme="majorHAnsi" w:cstheme="majorHAnsi"/>
          <w:sz w:val="24"/>
          <w:szCs w:val="24"/>
          <w:lang w:val="ro-MD"/>
        </w:rPr>
        <w:t>ț</w:t>
      </w:r>
      <w:r w:rsidR="00830BBE" w:rsidRPr="00B13B9A">
        <w:rPr>
          <w:rFonts w:asciiTheme="majorHAnsi" w:hAnsiTheme="majorHAnsi" w:cstheme="majorHAnsi"/>
          <w:sz w:val="24"/>
          <w:szCs w:val="24"/>
          <w:lang w:val="ro-MD"/>
        </w:rPr>
        <w:t xml:space="preserve">iune </w:t>
      </w:r>
      <w:r w:rsidR="00B13B9A" w:rsidRPr="00B13B9A">
        <w:rPr>
          <w:rFonts w:asciiTheme="majorHAnsi" w:hAnsiTheme="majorHAnsi" w:cstheme="majorHAnsi"/>
          <w:sz w:val="24"/>
          <w:szCs w:val="24"/>
          <w:lang w:val="ro-MD"/>
        </w:rPr>
        <w:t>ș</w:t>
      </w:r>
      <w:r w:rsidR="00830BBE" w:rsidRPr="00B13B9A">
        <w:rPr>
          <w:rFonts w:asciiTheme="majorHAnsi" w:hAnsiTheme="majorHAnsi" w:cstheme="majorHAnsi"/>
          <w:sz w:val="24"/>
          <w:szCs w:val="24"/>
          <w:lang w:val="ro-MD"/>
        </w:rPr>
        <w:t>i aflat în utilizare,</w:t>
      </w:r>
      <w:r w:rsidRPr="00B13B9A">
        <w:rPr>
          <w:rFonts w:asciiTheme="majorHAnsi" w:hAnsiTheme="majorHAnsi" w:cstheme="majorHAnsi"/>
          <w:sz w:val="24"/>
          <w:szCs w:val="24"/>
          <w:lang w:val="ro-MD"/>
        </w:rPr>
        <w:t xml:space="preserve"> se efectuează în scopul evaluării unor caracteristici stabilite de producător, prin testarea parametril</w:t>
      </w:r>
      <w:r w:rsidR="00830BBE" w:rsidRPr="00B13B9A">
        <w:rPr>
          <w:rFonts w:asciiTheme="majorHAnsi" w:hAnsiTheme="majorHAnsi" w:cstheme="majorHAnsi"/>
          <w:sz w:val="24"/>
          <w:szCs w:val="24"/>
          <w:lang w:val="ro-MD"/>
        </w:rPr>
        <w:t xml:space="preserve">or de securitate </w:t>
      </w:r>
      <w:r w:rsidR="00B13B9A" w:rsidRPr="00B13B9A">
        <w:rPr>
          <w:rFonts w:asciiTheme="majorHAnsi" w:hAnsiTheme="majorHAnsi" w:cstheme="majorHAnsi"/>
          <w:sz w:val="24"/>
          <w:szCs w:val="24"/>
          <w:lang w:val="ro-MD"/>
        </w:rPr>
        <w:t>ș</w:t>
      </w:r>
      <w:r w:rsidR="00830BBE" w:rsidRPr="00B13B9A">
        <w:rPr>
          <w:rFonts w:asciiTheme="majorHAnsi" w:hAnsiTheme="majorHAnsi" w:cstheme="majorHAnsi"/>
          <w:sz w:val="24"/>
          <w:szCs w:val="24"/>
          <w:lang w:val="ro-MD"/>
        </w:rPr>
        <w:t>i performan</w:t>
      </w:r>
      <w:r w:rsidR="00B13B9A" w:rsidRPr="00B13B9A">
        <w:rPr>
          <w:rFonts w:asciiTheme="majorHAnsi" w:hAnsiTheme="majorHAnsi" w:cstheme="majorHAnsi"/>
          <w:sz w:val="24"/>
          <w:szCs w:val="24"/>
          <w:lang w:val="ro-MD"/>
        </w:rPr>
        <w:t>ț</w:t>
      </w:r>
      <w:r w:rsidR="00830BBE" w:rsidRPr="00B13B9A">
        <w:rPr>
          <w:rFonts w:asciiTheme="majorHAnsi" w:hAnsiTheme="majorHAnsi" w:cstheme="majorHAnsi"/>
          <w:sz w:val="24"/>
          <w:szCs w:val="24"/>
          <w:lang w:val="ro-MD"/>
        </w:rPr>
        <w:t>ă la acordarea serviciilor pacien</w:t>
      </w:r>
      <w:r w:rsidR="00B13B9A" w:rsidRPr="00B13B9A">
        <w:rPr>
          <w:rFonts w:asciiTheme="majorHAnsi" w:hAnsiTheme="majorHAnsi" w:cstheme="majorHAnsi"/>
          <w:sz w:val="24"/>
          <w:szCs w:val="24"/>
          <w:lang w:val="ro-MD"/>
        </w:rPr>
        <w:t>ț</w:t>
      </w:r>
      <w:r w:rsidR="00830BBE" w:rsidRPr="00B13B9A">
        <w:rPr>
          <w:rFonts w:asciiTheme="majorHAnsi" w:hAnsiTheme="majorHAnsi" w:cstheme="majorHAnsi"/>
          <w:sz w:val="24"/>
          <w:szCs w:val="24"/>
          <w:lang w:val="ro-MD"/>
        </w:rPr>
        <w:t>ilor.</w:t>
      </w:r>
      <w:r w:rsidRPr="00B13B9A">
        <w:rPr>
          <w:rFonts w:asciiTheme="majorHAnsi" w:hAnsiTheme="majorHAnsi" w:cstheme="majorHAnsi"/>
          <w:sz w:val="24"/>
          <w:szCs w:val="24"/>
          <w:lang w:val="ro-MD"/>
        </w:rPr>
        <w:t xml:space="preserve"> Astfel, în gestiunea entită</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ii au fost identificate dispozitive medicale care se supun unor astfel de verificări periodice obligatorii. În scopul evaluării conformită</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 xml:space="preserve">ii </w:t>
      </w:r>
      <w:r w:rsidR="00AB35F5" w:rsidRPr="00B13B9A">
        <w:rPr>
          <w:rFonts w:asciiTheme="majorHAnsi" w:hAnsiTheme="majorHAnsi" w:cstheme="majorHAnsi"/>
          <w:sz w:val="24"/>
          <w:szCs w:val="24"/>
          <w:lang w:val="ro-MD"/>
        </w:rPr>
        <w:t xml:space="preserve">privind </w:t>
      </w:r>
      <w:r w:rsidRPr="00B13B9A">
        <w:rPr>
          <w:rFonts w:asciiTheme="majorHAnsi" w:hAnsiTheme="majorHAnsi" w:cstheme="majorHAnsi"/>
          <w:sz w:val="24"/>
          <w:szCs w:val="24"/>
          <w:lang w:val="ro-MD"/>
        </w:rPr>
        <w:t>asigur</w:t>
      </w:r>
      <w:r w:rsidR="00AB35F5" w:rsidRPr="00B13B9A">
        <w:rPr>
          <w:rFonts w:asciiTheme="majorHAnsi" w:hAnsiTheme="majorHAnsi" w:cstheme="majorHAnsi"/>
          <w:sz w:val="24"/>
          <w:szCs w:val="24"/>
          <w:lang w:val="ro-MD"/>
        </w:rPr>
        <w:t>area</w:t>
      </w:r>
      <w:r w:rsidRPr="00B13B9A">
        <w:rPr>
          <w:rFonts w:asciiTheme="majorHAnsi" w:hAnsiTheme="majorHAnsi" w:cstheme="majorHAnsi"/>
          <w:sz w:val="24"/>
          <w:szCs w:val="24"/>
          <w:lang w:val="ro-MD"/>
        </w:rPr>
        <w:t xml:space="preserve"> verificărilor periodice a utilajului</w:t>
      </w:r>
      <w:r w:rsidR="00AB4A85" w:rsidRPr="00B13B9A">
        <w:rPr>
          <w:rFonts w:asciiTheme="majorHAnsi" w:hAnsiTheme="majorHAnsi" w:cstheme="majorHAnsi"/>
          <w:sz w:val="24"/>
          <w:szCs w:val="24"/>
          <w:lang w:val="ro-MD"/>
        </w:rPr>
        <w:t>,</w:t>
      </w:r>
      <w:r w:rsidRPr="00B13B9A">
        <w:rPr>
          <w:rFonts w:asciiTheme="majorHAnsi" w:hAnsiTheme="majorHAnsi" w:cstheme="majorHAnsi"/>
          <w:sz w:val="24"/>
          <w:szCs w:val="24"/>
          <w:lang w:val="ro-MD"/>
        </w:rPr>
        <w:t xml:space="preserve"> au fost solicitate buletinele de verificare periodică eliberate de organismele acreditate în domeniu pentru 22 </w:t>
      </w:r>
      <w:r w:rsidR="00AB35F5" w:rsidRPr="00B13B9A">
        <w:rPr>
          <w:rFonts w:asciiTheme="majorHAnsi" w:hAnsiTheme="majorHAnsi" w:cstheme="majorHAnsi"/>
          <w:sz w:val="24"/>
          <w:szCs w:val="24"/>
          <w:lang w:val="ro-MD"/>
        </w:rPr>
        <w:t xml:space="preserve">de </w:t>
      </w:r>
      <w:r w:rsidRPr="00B13B9A">
        <w:rPr>
          <w:rFonts w:asciiTheme="majorHAnsi" w:hAnsiTheme="majorHAnsi" w:cstheme="majorHAnsi"/>
          <w:sz w:val="24"/>
          <w:szCs w:val="24"/>
          <w:lang w:val="ro-MD"/>
        </w:rPr>
        <w:t xml:space="preserve">dispozitive medicale. În </w:t>
      </w:r>
      <w:r w:rsidR="00AB35F5" w:rsidRPr="00B13B9A">
        <w:rPr>
          <w:rFonts w:asciiTheme="majorHAnsi" w:hAnsiTheme="majorHAnsi" w:cstheme="majorHAnsi"/>
          <w:sz w:val="24"/>
          <w:szCs w:val="24"/>
          <w:lang w:val="ro-MD"/>
        </w:rPr>
        <w:t xml:space="preserve">urma </w:t>
      </w:r>
      <w:r w:rsidRPr="00B13B9A">
        <w:rPr>
          <w:rFonts w:asciiTheme="majorHAnsi" w:hAnsiTheme="majorHAnsi" w:cstheme="majorHAnsi"/>
          <w:sz w:val="24"/>
          <w:szCs w:val="24"/>
          <w:lang w:val="ro-MD"/>
        </w:rPr>
        <w:t>evaluării certificatelor, auditul a stabilit că</w:t>
      </w:r>
      <w:r w:rsidR="00E20A1C" w:rsidRPr="00B13B9A">
        <w:rPr>
          <w:rFonts w:asciiTheme="majorHAnsi" w:hAnsiTheme="majorHAnsi" w:cstheme="majorHAnsi"/>
          <w:sz w:val="24"/>
          <w:szCs w:val="24"/>
          <w:lang w:val="ro-MD"/>
        </w:rPr>
        <w:t xml:space="preserve"> pentru 7 dispozitive</w:t>
      </w:r>
      <w:r w:rsidRPr="00B13B9A">
        <w:rPr>
          <w:rFonts w:asciiTheme="majorHAnsi" w:hAnsiTheme="majorHAnsi" w:cstheme="majorHAnsi"/>
          <w:sz w:val="24"/>
          <w:szCs w:val="24"/>
          <w:lang w:val="ro-MD"/>
        </w:rPr>
        <w:t xml:space="preserve"> entitatea nu a</w:t>
      </w:r>
      <w:r w:rsidR="00E20A1C" w:rsidRPr="00B13B9A">
        <w:rPr>
          <w:rFonts w:asciiTheme="majorHAnsi" w:hAnsiTheme="majorHAnsi" w:cstheme="majorHAnsi"/>
          <w:sz w:val="24"/>
          <w:szCs w:val="24"/>
          <w:lang w:val="ro-MD"/>
        </w:rPr>
        <w:t xml:space="preserve"> asigurat</w:t>
      </w:r>
      <w:r w:rsidRPr="00B13B9A">
        <w:rPr>
          <w:rFonts w:asciiTheme="majorHAnsi" w:hAnsiTheme="majorHAnsi" w:cstheme="majorHAnsi"/>
          <w:sz w:val="24"/>
          <w:szCs w:val="24"/>
          <w:lang w:val="ro-MD"/>
        </w:rPr>
        <w:t xml:space="preserve"> proceduri de verificare periodică </w:t>
      </w:r>
      <w:r w:rsidR="00E20A1C" w:rsidRPr="00B13B9A">
        <w:rPr>
          <w:rFonts w:asciiTheme="majorHAnsi" w:hAnsiTheme="majorHAnsi" w:cstheme="majorHAnsi"/>
          <w:sz w:val="24"/>
          <w:szCs w:val="24"/>
          <w:lang w:val="ro-MD"/>
        </w:rPr>
        <w:t>de către organismele acreditate.</w:t>
      </w:r>
    </w:p>
    <w:p w14:paraId="096B530C" w14:textId="246308CF" w:rsidR="00A477F5" w:rsidRDefault="00A477F5" w:rsidP="007619BC">
      <w:pPr>
        <w:shd w:val="clear" w:color="auto" w:fill="FFFFFF" w:themeFill="background1"/>
        <w:spacing w:line="276" w:lineRule="auto"/>
        <w:jc w:val="both"/>
        <w:rPr>
          <w:rFonts w:asciiTheme="majorHAnsi" w:hAnsiTheme="majorHAnsi" w:cstheme="majorHAnsi"/>
          <w:sz w:val="24"/>
          <w:szCs w:val="24"/>
          <w:lang w:val="ro-MD"/>
        </w:rPr>
      </w:pPr>
    </w:p>
    <w:p w14:paraId="0655A566" w14:textId="083E18B5" w:rsidR="00A477F5" w:rsidRDefault="00A477F5" w:rsidP="007619BC">
      <w:pPr>
        <w:shd w:val="clear" w:color="auto" w:fill="FFFFFF" w:themeFill="background1"/>
        <w:spacing w:line="276" w:lineRule="auto"/>
        <w:jc w:val="both"/>
        <w:rPr>
          <w:rFonts w:asciiTheme="majorHAnsi" w:hAnsiTheme="majorHAnsi" w:cstheme="majorHAnsi"/>
          <w:sz w:val="24"/>
          <w:szCs w:val="24"/>
          <w:lang w:val="ro-MD"/>
        </w:rPr>
      </w:pPr>
    </w:p>
    <w:p w14:paraId="51469FD6" w14:textId="600F783E" w:rsidR="00A477F5" w:rsidRDefault="00A477F5" w:rsidP="007619BC">
      <w:pPr>
        <w:shd w:val="clear" w:color="auto" w:fill="FFFFFF" w:themeFill="background1"/>
        <w:spacing w:line="276" w:lineRule="auto"/>
        <w:jc w:val="both"/>
        <w:rPr>
          <w:rFonts w:asciiTheme="majorHAnsi" w:hAnsiTheme="majorHAnsi" w:cstheme="majorHAnsi"/>
          <w:sz w:val="24"/>
          <w:szCs w:val="24"/>
          <w:lang w:val="ro-MD"/>
        </w:rPr>
      </w:pPr>
    </w:p>
    <w:p w14:paraId="4C84D22B" w14:textId="77777777" w:rsidR="00A477F5" w:rsidRPr="00B13B9A" w:rsidRDefault="00A477F5" w:rsidP="007619BC">
      <w:pPr>
        <w:shd w:val="clear" w:color="auto" w:fill="FFFFFF" w:themeFill="background1"/>
        <w:spacing w:line="276" w:lineRule="auto"/>
        <w:jc w:val="both"/>
        <w:rPr>
          <w:rFonts w:asciiTheme="majorHAnsi" w:hAnsiTheme="majorHAnsi" w:cstheme="majorHAnsi"/>
          <w:sz w:val="24"/>
          <w:szCs w:val="24"/>
          <w:lang w:val="ro-MD"/>
        </w:rPr>
      </w:pPr>
    </w:p>
    <w:p w14:paraId="74F1FEF3" w14:textId="77777777" w:rsidR="00E20A1C" w:rsidRPr="00B13B9A" w:rsidRDefault="00E20A1C" w:rsidP="00E20A1C">
      <w:pPr>
        <w:rPr>
          <w:rFonts w:asciiTheme="majorHAnsi" w:hAnsiTheme="majorHAnsi" w:cstheme="majorHAnsi"/>
          <w:b/>
          <w:i/>
          <w:color w:val="2E74B5" w:themeColor="accent1" w:themeShade="BF"/>
          <w:sz w:val="24"/>
          <w:u w:val="single"/>
          <w:lang w:val="ro-MD"/>
        </w:rPr>
      </w:pPr>
      <w:r w:rsidRPr="00B13B9A">
        <w:rPr>
          <w:rFonts w:asciiTheme="majorHAnsi" w:hAnsiTheme="majorHAnsi" w:cstheme="majorHAnsi"/>
          <w:b/>
          <w:i/>
          <w:color w:val="2E74B5" w:themeColor="accent1" w:themeShade="BF"/>
          <w:sz w:val="24"/>
          <w:u w:val="single"/>
          <w:lang w:val="ro-MD"/>
        </w:rPr>
        <w:t>Obiectivul de audit nr. 2</w:t>
      </w:r>
    </w:p>
    <w:p w14:paraId="02CE98F5" w14:textId="7E5550E8" w:rsidR="00E20A1C" w:rsidRPr="00B13B9A" w:rsidRDefault="00E20A1C" w:rsidP="00E20A1C">
      <w:pPr>
        <w:jc w:val="both"/>
        <w:rPr>
          <w:rFonts w:asciiTheme="majorHAnsi" w:hAnsiTheme="majorHAnsi" w:cstheme="majorHAnsi"/>
          <w:b/>
          <w:sz w:val="24"/>
          <w:lang w:val="ro-MD"/>
        </w:rPr>
      </w:pPr>
      <w:r w:rsidRPr="00B13B9A">
        <w:rPr>
          <w:rFonts w:asciiTheme="majorHAnsi" w:hAnsiTheme="majorHAnsi" w:cstheme="majorHAnsi"/>
          <w:b/>
          <w:color w:val="000000" w:themeColor="text1"/>
          <w:sz w:val="24"/>
          <w:lang w:val="ro-MD"/>
        </w:rPr>
        <w:t xml:space="preserve">Resursele financiare primite </w:t>
      </w:r>
      <w:r w:rsidR="00B13B9A" w:rsidRPr="00B13B9A">
        <w:rPr>
          <w:rFonts w:asciiTheme="majorHAnsi" w:hAnsiTheme="majorHAnsi" w:cstheme="majorHAnsi"/>
          <w:b/>
          <w:color w:val="000000" w:themeColor="text1"/>
          <w:sz w:val="24"/>
          <w:lang w:val="ro-MD"/>
        </w:rPr>
        <w:t>ș</w:t>
      </w:r>
      <w:r w:rsidRPr="00B13B9A">
        <w:rPr>
          <w:rFonts w:asciiTheme="majorHAnsi" w:hAnsiTheme="majorHAnsi" w:cstheme="majorHAnsi"/>
          <w:b/>
          <w:color w:val="000000" w:themeColor="text1"/>
          <w:sz w:val="24"/>
          <w:lang w:val="ro-MD"/>
        </w:rPr>
        <w:t>i de</w:t>
      </w:r>
      <w:r w:rsidR="00B13B9A" w:rsidRPr="00B13B9A">
        <w:rPr>
          <w:rFonts w:asciiTheme="majorHAnsi" w:hAnsiTheme="majorHAnsi" w:cstheme="majorHAnsi"/>
          <w:b/>
          <w:color w:val="000000" w:themeColor="text1"/>
          <w:sz w:val="24"/>
          <w:lang w:val="ro-MD"/>
        </w:rPr>
        <w:t>ț</w:t>
      </w:r>
      <w:r w:rsidRPr="00B13B9A">
        <w:rPr>
          <w:rFonts w:asciiTheme="majorHAnsi" w:hAnsiTheme="majorHAnsi" w:cstheme="majorHAnsi"/>
          <w:b/>
          <w:color w:val="000000" w:themeColor="text1"/>
          <w:sz w:val="24"/>
          <w:lang w:val="ro-MD"/>
        </w:rPr>
        <w:t xml:space="preserve">inute de IMSP </w:t>
      </w:r>
      <w:r w:rsidR="00BF45AF" w:rsidRPr="00B13B9A">
        <w:rPr>
          <w:rFonts w:asciiTheme="majorHAnsi" w:hAnsiTheme="majorHAnsi" w:cstheme="majorHAnsi"/>
          <w:b/>
          <w:color w:val="000000" w:themeColor="text1"/>
          <w:sz w:val="24"/>
          <w:lang w:val="ro-MD"/>
        </w:rPr>
        <w:t xml:space="preserve">IFP </w:t>
      </w:r>
      <w:r w:rsidR="00BF45AF" w:rsidRPr="00B13B9A">
        <w:rPr>
          <w:rFonts w:asciiTheme="majorHAnsi" w:hAnsiTheme="majorHAnsi" w:cstheme="majorHAnsi"/>
          <w:b/>
          <w:sz w:val="24"/>
          <w:szCs w:val="24"/>
          <w:lang w:val="ro-MD"/>
        </w:rPr>
        <w:t xml:space="preserve">„Chiril Draganiuc” </w:t>
      </w:r>
      <w:r w:rsidRPr="00B13B9A">
        <w:rPr>
          <w:rFonts w:asciiTheme="majorHAnsi" w:hAnsiTheme="majorHAnsi" w:cstheme="majorHAnsi"/>
          <w:b/>
          <w:color w:val="000000" w:themeColor="text1"/>
          <w:sz w:val="24"/>
          <w:lang w:val="ro-MD"/>
        </w:rPr>
        <w:t xml:space="preserve">au fost gestionate corespunzător, în conformitate cu cadrul legal </w:t>
      </w:r>
      <w:r w:rsidRPr="00B13B9A">
        <w:rPr>
          <w:rFonts w:asciiTheme="majorHAnsi" w:hAnsiTheme="majorHAnsi" w:cstheme="majorHAnsi"/>
          <w:b/>
          <w:sz w:val="24"/>
          <w:lang w:val="ro-MD"/>
        </w:rPr>
        <w:t>aplicabil?</w:t>
      </w:r>
    </w:p>
    <w:p w14:paraId="4ACE990A" w14:textId="5B056CAF" w:rsidR="00EF1983" w:rsidRPr="00B13B9A" w:rsidRDefault="00EF1983" w:rsidP="00241AB3">
      <w:pPr>
        <w:pStyle w:val="cn"/>
        <w:numPr>
          <w:ilvl w:val="1"/>
          <w:numId w:val="10"/>
        </w:numPr>
        <w:spacing w:line="276" w:lineRule="auto"/>
        <w:ind w:right="71"/>
        <w:jc w:val="both"/>
        <w:outlineLvl w:val="1"/>
        <w:rPr>
          <w:rFonts w:asciiTheme="majorHAnsi" w:eastAsiaTheme="minorHAnsi" w:hAnsiTheme="majorHAnsi" w:cstheme="majorHAnsi"/>
          <w:b/>
          <w:lang w:val="ro-MD" w:eastAsia="en-US"/>
        </w:rPr>
      </w:pPr>
      <w:bookmarkStart w:id="31" w:name="_Toc154562506"/>
      <w:r w:rsidRPr="00B13B9A">
        <w:rPr>
          <w:rFonts w:asciiTheme="majorHAnsi" w:eastAsiaTheme="minorHAnsi" w:hAnsiTheme="majorHAnsi" w:cstheme="majorHAnsi"/>
          <w:b/>
          <w:lang w:val="ro-MD" w:eastAsia="en-US"/>
        </w:rPr>
        <w:t>Mecanism</w:t>
      </w:r>
      <w:r w:rsidR="004B4356" w:rsidRPr="00B13B9A">
        <w:rPr>
          <w:rFonts w:asciiTheme="majorHAnsi" w:eastAsiaTheme="minorHAnsi" w:hAnsiTheme="majorHAnsi" w:cstheme="majorHAnsi"/>
          <w:b/>
          <w:lang w:val="ro-MD" w:eastAsia="en-US"/>
        </w:rPr>
        <w:t xml:space="preserve">ele de control intern aferente utilizării resurselor financiare urmează a fi elaborate, aprobate </w:t>
      </w:r>
      <w:r w:rsidR="00B13B9A" w:rsidRPr="00B13B9A">
        <w:rPr>
          <w:rFonts w:asciiTheme="majorHAnsi" w:eastAsiaTheme="minorHAnsi" w:hAnsiTheme="majorHAnsi" w:cstheme="majorHAnsi"/>
          <w:b/>
          <w:lang w:val="ro-MD" w:eastAsia="en-US"/>
        </w:rPr>
        <w:t>ș</w:t>
      </w:r>
      <w:r w:rsidR="004B4356" w:rsidRPr="00B13B9A">
        <w:rPr>
          <w:rFonts w:asciiTheme="majorHAnsi" w:eastAsiaTheme="minorHAnsi" w:hAnsiTheme="majorHAnsi" w:cstheme="majorHAnsi"/>
          <w:b/>
          <w:lang w:val="ro-MD" w:eastAsia="en-US"/>
        </w:rPr>
        <w:t xml:space="preserve">i fortificate în scopul consolidării </w:t>
      </w:r>
      <w:r w:rsidR="00B13B9A" w:rsidRPr="00B13B9A">
        <w:rPr>
          <w:rFonts w:asciiTheme="majorHAnsi" w:eastAsiaTheme="minorHAnsi" w:hAnsiTheme="majorHAnsi" w:cstheme="majorHAnsi"/>
          <w:b/>
          <w:lang w:val="ro-MD" w:eastAsia="en-US"/>
        </w:rPr>
        <w:t>ș</w:t>
      </w:r>
      <w:r w:rsidR="004B4356" w:rsidRPr="00B13B9A">
        <w:rPr>
          <w:rFonts w:asciiTheme="majorHAnsi" w:eastAsiaTheme="minorHAnsi" w:hAnsiTheme="majorHAnsi" w:cstheme="majorHAnsi"/>
          <w:b/>
          <w:lang w:val="ro-MD" w:eastAsia="en-US"/>
        </w:rPr>
        <w:t>i aplicării conforme a normelor ce reglementează procesele de salarizare, achizi</w:t>
      </w:r>
      <w:r w:rsidR="00B13B9A" w:rsidRPr="00B13B9A">
        <w:rPr>
          <w:rFonts w:asciiTheme="majorHAnsi" w:eastAsiaTheme="minorHAnsi" w:hAnsiTheme="majorHAnsi" w:cstheme="majorHAnsi"/>
          <w:b/>
          <w:lang w:val="ro-MD" w:eastAsia="en-US"/>
        </w:rPr>
        <w:t>ț</w:t>
      </w:r>
      <w:r w:rsidR="004B4356" w:rsidRPr="00B13B9A">
        <w:rPr>
          <w:rFonts w:asciiTheme="majorHAnsi" w:eastAsiaTheme="minorHAnsi" w:hAnsiTheme="majorHAnsi" w:cstheme="majorHAnsi"/>
          <w:b/>
          <w:lang w:val="ro-MD" w:eastAsia="en-US"/>
        </w:rPr>
        <w:t>ii, alimenta</w:t>
      </w:r>
      <w:r w:rsidR="00B13B9A" w:rsidRPr="00B13B9A">
        <w:rPr>
          <w:rFonts w:asciiTheme="majorHAnsi" w:eastAsiaTheme="minorHAnsi" w:hAnsiTheme="majorHAnsi" w:cstheme="majorHAnsi"/>
          <w:b/>
          <w:lang w:val="ro-MD" w:eastAsia="en-US"/>
        </w:rPr>
        <w:t>ț</w:t>
      </w:r>
      <w:r w:rsidR="004B4356" w:rsidRPr="00B13B9A">
        <w:rPr>
          <w:rFonts w:asciiTheme="majorHAnsi" w:eastAsiaTheme="minorHAnsi" w:hAnsiTheme="majorHAnsi" w:cstheme="majorHAnsi"/>
          <w:b/>
          <w:lang w:val="ro-MD" w:eastAsia="en-US"/>
        </w:rPr>
        <w:t>ie care participă la formarea costurilor</w:t>
      </w:r>
      <w:r w:rsidR="00BF45AF" w:rsidRPr="00B13B9A">
        <w:rPr>
          <w:rFonts w:asciiTheme="majorHAnsi" w:eastAsiaTheme="minorHAnsi" w:hAnsiTheme="majorHAnsi" w:cstheme="majorHAnsi"/>
          <w:b/>
          <w:lang w:val="ro-MD" w:eastAsia="en-US"/>
        </w:rPr>
        <w:t>.</w:t>
      </w:r>
      <w:bookmarkEnd w:id="31"/>
    </w:p>
    <w:p w14:paraId="72D1EAA6" w14:textId="255D5D05" w:rsidR="00E20A1C" w:rsidRPr="00B13B9A" w:rsidRDefault="00E20A1C" w:rsidP="00EF1983">
      <w:pPr>
        <w:spacing w:before="240" w:after="0" w:line="276" w:lineRule="auto"/>
        <w:jc w:val="both"/>
        <w:rPr>
          <w:rFonts w:asciiTheme="majorHAnsi" w:hAnsiTheme="majorHAnsi" w:cstheme="majorHAnsi"/>
          <w:sz w:val="24"/>
          <w:szCs w:val="24"/>
          <w:lang w:val="ro-MD"/>
        </w:rPr>
      </w:pPr>
      <w:r w:rsidRPr="00B13B9A">
        <w:rPr>
          <w:rFonts w:asciiTheme="majorHAnsi" w:hAnsiTheme="majorHAnsi" w:cstheme="majorHAnsi"/>
          <w:sz w:val="24"/>
          <w:szCs w:val="24"/>
          <w:lang w:val="ro-MD"/>
        </w:rPr>
        <w:t>Activita</w:t>
      </w:r>
      <w:r w:rsidR="00A37B6F" w:rsidRPr="00B13B9A">
        <w:rPr>
          <w:rFonts w:asciiTheme="majorHAnsi" w:hAnsiTheme="majorHAnsi" w:cstheme="majorHAnsi"/>
          <w:sz w:val="24"/>
          <w:szCs w:val="24"/>
          <w:lang w:val="ro-MD"/>
        </w:rPr>
        <w:t>tea entită</w:t>
      </w:r>
      <w:r w:rsidR="00B13B9A" w:rsidRPr="00B13B9A">
        <w:rPr>
          <w:rFonts w:asciiTheme="majorHAnsi" w:hAnsiTheme="majorHAnsi" w:cstheme="majorHAnsi"/>
          <w:sz w:val="24"/>
          <w:szCs w:val="24"/>
          <w:lang w:val="ro-MD"/>
        </w:rPr>
        <w:t>ț</w:t>
      </w:r>
      <w:r w:rsidR="00A37B6F" w:rsidRPr="00B13B9A">
        <w:rPr>
          <w:rFonts w:asciiTheme="majorHAnsi" w:hAnsiTheme="majorHAnsi" w:cstheme="majorHAnsi"/>
          <w:sz w:val="24"/>
          <w:szCs w:val="24"/>
          <w:lang w:val="ro-MD"/>
        </w:rPr>
        <w:t>ii este afectată de</w:t>
      </w:r>
      <w:r w:rsidRPr="00B13B9A">
        <w:rPr>
          <w:rFonts w:asciiTheme="majorHAnsi" w:hAnsiTheme="majorHAnsi" w:cstheme="majorHAnsi"/>
          <w:sz w:val="24"/>
          <w:szCs w:val="24"/>
          <w:lang w:val="ro-MD"/>
        </w:rPr>
        <w:t xml:space="preserve"> neîncadrarea personalului potrivit unită</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 xml:space="preserve">ilor aprobate, care în </w:t>
      </w:r>
      <w:r w:rsidR="00A37B6F" w:rsidRPr="00B13B9A">
        <w:rPr>
          <w:rFonts w:asciiTheme="majorHAnsi" w:hAnsiTheme="majorHAnsi" w:cstheme="majorHAnsi"/>
          <w:sz w:val="24"/>
          <w:szCs w:val="24"/>
          <w:lang w:val="ro-MD"/>
        </w:rPr>
        <w:t xml:space="preserve">anul 2023 (6 luni) a fost la nivel de doar 72,4%. Neelaborarea </w:t>
      </w:r>
      <w:r w:rsidR="00B13B9A" w:rsidRPr="00B13B9A">
        <w:rPr>
          <w:rFonts w:asciiTheme="majorHAnsi" w:hAnsiTheme="majorHAnsi" w:cstheme="majorHAnsi"/>
          <w:sz w:val="24"/>
          <w:szCs w:val="24"/>
          <w:lang w:val="ro-MD"/>
        </w:rPr>
        <w:t>ș</w:t>
      </w:r>
      <w:r w:rsidR="00A37B6F" w:rsidRPr="00B13B9A">
        <w:rPr>
          <w:rFonts w:asciiTheme="majorHAnsi" w:hAnsiTheme="majorHAnsi" w:cstheme="majorHAnsi"/>
          <w:sz w:val="24"/>
          <w:szCs w:val="24"/>
          <w:lang w:val="ro-MD"/>
        </w:rPr>
        <w:t xml:space="preserve">i neaprobarea proceselor de control intern la acest capitol, ce ar specifica etapele </w:t>
      </w:r>
      <w:r w:rsidR="00B13B9A" w:rsidRPr="00B13B9A">
        <w:rPr>
          <w:rFonts w:asciiTheme="majorHAnsi" w:hAnsiTheme="majorHAnsi" w:cstheme="majorHAnsi"/>
          <w:sz w:val="24"/>
          <w:szCs w:val="24"/>
          <w:lang w:val="ro-MD"/>
        </w:rPr>
        <w:t>ș</w:t>
      </w:r>
      <w:r w:rsidR="00A37B6F" w:rsidRPr="00B13B9A">
        <w:rPr>
          <w:rFonts w:asciiTheme="majorHAnsi" w:hAnsiTheme="majorHAnsi" w:cstheme="majorHAnsi"/>
          <w:sz w:val="24"/>
          <w:szCs w:val="24"/>
          <w:lang w:val="ro-MD"/>
        </w:rPr>
        <w:t>i persoanele responsabile de realizarea atribu</w:t>
      </w:r>
      <w:r w:rsidR="00B13B9A" w:rsidRPr="00B13B9A">
        <w:rPr>
          <w:rFonts w:asciiTheme="majorHAnsi" w:hAnsiTheme="majorHAnsi" w:cstheme="majorHAnsi"/>
          <w:sz w:val="24"/>
          <w:szCs w:val="24"/>
          <w:lang w:val="ro-MD"/>
        </w:rPr>
        <w:t>ț</w:t>
      </w:r>
      <w:r w:rsidR="00A37B6F" w:rsidRPr="00B13B9A">
        <w:rPr>
          <w:rFonts w:asciiTheme="majorHAnsi" w:hAnsiTheme="majorHAnsi" w:cstheme="majorHAnsi"/>
          <w:sz w:val="24"/>
          <w:szCs w:val="24"/>
          <w:lang w:val="ro-MD"/>
        </w:rPr>
        <w:t xml:space="preserve">iilor la angajare, tabelare, calculare </w:t>
      </w:r>
      <w:r w:rsidR="00B13B9A" w:rsidRPr="00B13B9A">
        <w:rPr>
          <w:rFonts w:asciiTheme="majorHAnsi" w:hAnsiTheme="majorHAnsi" w:cstheme="majorHAnsi"/>
          <w:sz w:val="24"/>
          <w:szCs w:val="24"/>
          <w:lang w:val="ro-MD"/>
        </w:rPr>
        <w:t>ș</w:t>
      </w:r>
      <w:r w:rsidR="00A37B6F" w:rsidRPr="00B13B9A">
        <w:rPr>
          <w:rFonts w:asciiTheme="majorHAnsi" w:hAnsiTheme="majorHAnsi" w:cstheme="majorHAnsi"/>
          <w:sz w:val="24"/>
          <w:szCs w:val="24"/>
          <w:lang w:val="ro-MD"/>
        </w:rPr>
        <w:t>i achitare a remunerării muncii, cu specificarea activită</w:t>
      </w:r>
      <w:r w:rsidR="00B13B9A" w:rsidRPr="00B13B9A">
        <w:rPr>
          <w:rFonts w:asciiTheme="majorHAnsi" w:hAnsiTheme="majorHAnsi" w:cstheme="majorHAnsi"/>
          <w:sz w:val="24"/>
          <w:szCs w:val="24"/>
          <w:lang w:val="ro-MD"/>
        </w:rPr>
        <w:t>ț</w:t>
      </w:r>
      <w:r w:rsidR="00A37B6F" w:rsidRPr="00B13B9A">
        <w:rPr>
          <w:rFonts w:asciiTheme="majorHAnsi" w:hAnsiTheme="majorHAnsi" w:cstheme="majorHAnsi"/>
          <w:sz w:val="24"/>
          <w:szCs w:val="24"/>
          <w:lang w:val="ro-MD"/>
        </w:rPr>
        <w:t>ilor concrete privind  verificarea conformită</w:t>
      </w:r>
      <w:r w:rsidR="00B13B9A" w:rsidRPr="00B13B9A">
        <w:rPr>
          <w:rFonts w:asciiTheme="majorHAnsi" w:hAnsiTheme="majorHAnsi" w:cstheme="majorHAnsi"/>
          <w:sz w:val="24"/>
          <w:szCs w:val="24"/>
          <w:lang w:val="ro-MD"/>
        </w:rPr>
        <w:t>ț</w:t>
      </w:r>
      <w:r w:rsidR="00A37B6F" w:rsidRPr="00B13B9A">
        <w:rPr>
          <w:rFonts w:asciiTheme="majorHAnsi" w:hAnsiTheme="majorHAnsi" w:cstheme="majorHAnsi"/>
          <w:sz w:val="24"/>
          <w:szCs w:val="24"/>
          <w:lang w:val="ro-MD"/>
        </w:rPr>
        <w:t>ii datelor, a determ</w:t>
      </w:r>
      <w:r w:rsidR="00142200" w:rsidRPr="00B13B9A">
        <w:rPr>
          <w:rFonts w:asciiTheme="majorHAnsi" w:hAnsiTheme="majorHAnsi" w:cstheme="majorHAnsi"/>
          <w:sz w:val="24"/>
          <w:szCs w:val="24"/>
          <w:lang w:val="ro-MD"/>
        </w:rPr>
        <w:t>inat unele</w:t>
      </w:r>
      <w:r w:rsidR="00A37B6F" w:rsidRPr="00B13B9A">
        <w:rPr>
          <w:rFonts w:asciiTheme="majorHAnsi" w:hAnsiTheme="majorHAnsi" w:cstheme="majorHAnsi"/>
          <w:sz w:val="24"/>
          <w:szCs w:val="24"/>
          <w:lang w:val="ro-MD"/>
        </w:rPr>
        <w:t xml:space="preserve"> neconformită</w:t>
      </w:r>
      <w:r w:rsidR="00B13B9A" w:rsidRPr="00B13B9A">
        <w:rPr>
          <w:rFonts w:asciiTheme="majorHAnsi" w:hAnsiTheme="majorHAnsi" w:cstheme="majorHAnsi"/>
          <w:sz w:val="24"/>
          <w:szCs w:val="24"/>
          <w:lang w:val="ro-MD"/>
        </w:rPr>
        <w:t>ț</w:t>
      </w:r>
      <w:r w:rsidR="00A37B6F" w:rsidRPr="00B13B9A">
        <w:rPr>
          <w:rFonts w:asciiTheme="majorHAnsi" w:hAnsiTheme="majorHAnsi" w:cstheme="majorHAnsi"/>
          <w:sz w:val="24"/>
          <w:szCs w:val="24"/>
          <w:lang w:val="ro-MD"/>
        </w:rPr>
        <w:t>i.</w:t>
      </w:r>
    </w:p>
    <w:p w14:paraId="7A23E739" w14:textId="20A0BF2D" w:rsidR="007D147F" w:rsidRPr="00B13B9A" w:rsidRDefault="003324EC" w:rsidP="004B4356">
      <w:pPr>
        <w:spacing w:after="0" w:line="276" w:lineRule="auto"/>
        <w:jc w:val="both"/>
        <w:rPr>
          <w:rFonts w:asciiTheme="majorHAnsi" w:hAnsiTheme="majorHAnsi" w:cstheme="majorHAnsi"/>
          <w:sz w:val="24"/>
          <w:szCs w:val="24"/>
          <w:lang w:val="ro-MD"/>
        </w:rPr>
      </w:pPr>
      <w:r w:rsidRPr="00B13B9A">
        <w:rPr>
          <w:rFonts w:asciiTheme="majorHAnsi" w:hAnsiTheme="majorHAnsi" w:cstheme="majorHAnsi"/>
          <w:sz w:val="24"/>
          <w:szCs w:val="24"/>
          <w:lang w:val="ro-MD"/>
        </w:rPr>
        <w:t>A</w:t>
      </w:r>
      <w:r w:rsidR="007D147F" w:rsidRPr="00B13B9A">
        <w:rPr>
          <w:rFonts w:asciiTheme="majorHAnsi" w:hAnsiTheme="majorHAnsi" w:cstheme="majorHAnsi"/>
          <w:sz w:val="24"/>
          <w:szCs w:val="24"/>
          <w:lang w:val="ro-MD"/>
        </w:rPr>
        <w:t>chizi</w:t>
      </w:r>
      <w:r w:rsidR="00B13B9A" w:rsidRPr="00B13B9A">
        <w:rPr>
          <w:rFonts w:asciiTheme="majorHAnsi" w:hAnsiTheme="majorHAnsi" w:cstheme="majorHAnsi"/>
          <w:sz w:val="24"/>
          <w:szCs w:val="24"/>
          <w:lang w:val="ro-MD"/>
        </w:rPr>
        <w:t>ț</w:t>
      </w:r>
      <w:r w:rsidR="007D147F" w:rsidRPr="00B13B9A">
        <w:rPr>
          <w:rFonts w:asciiTheme="majorHAnsi" w:hAnsiTheme="majorHAnsi" w:cstheme="majorHAnsi"/>
          <w:sz w:val="24"/>
          <w:szCs w:val="24"/>
          <w:lang w:val="ro-MD"/>
        </w:rPr>
        <w:t xml:space="preserve">iile publice </w:t>
      </w:r>
      <w:r w:rsidR="00B13B9A" w:rsidRPr="00B13B9A">
        <w:rPr>
          <w:rFonts w:asciiTheme="majorHAnsi" w:hAnsiTheme="majorHAnsi" w:cstheme="majorHAnsi"/>
          <w:sz w:val="24"/>
          <w:szCs w:val="24"/>
          <w:lang w:val="ro-MD"/>
        </w:rPr>
        <w:t>ș</w:t>
      </w:r>
      <w:r w:rsidR="004B4356" w:rsidRPr="00B13B9A">
        <w:rPr>
          <w:rFonts w:asciiTheme="majorHAnsi" w:hAnsiTheme="majorHAnsi" w:cstheme="majorHAnsi"/>
          <w:sz w:val="24"/>
          <w:szCs w:val="24"/>
          <w:lang w:val="ro-MD"/>
        </w:rPr>
        <w:t xml:space="preserve">i procesul de alimentare </w:t>
      </w:r>
      <w:r w:rsidR="007D147F" w:rsidRPr="00B13B9A">
        <w:rPr>
          <w:rFonts w:asciiTheme="majorHAnsi" w:hAnsiTheme="majorHAnsi" w:cstheme="majorHAnsi"/>
          <w:sz w:val="24"/>
          <w:szCs w:val="24"/>
          <w:lang w:val="ro-MD"/>
        </w:rPr>
        <w:t>au fost efectuate</w:t>
      </w:r>
      <w:r w:rsidR="009D7A6B" w:rsidRPr="00B13B9A">
        <w:rPr>
          <w:rFonts w:asciiTheme="majorHAnsi" w:hAnsiTheme="majorHAnsi" w:cstheme="majorHAnsi"/>
          <w:sz w:val="24"/>
          <w:szCs w:val="24"/>
          <w:lang w:val="ro-MD"/>
        </w:rPr>
        <w:t>,</w:t>
      </w:r>
      <w:r w:rsidR="007D147F" w:rsidRPr="00B13B9A">
        <w:rPr>
          <w:rFonts w:asciiTheme="majorHAnsi" w:hAnsiTheme="majorHAnsi" w:cstheme="majorHAnsi"/>
          <w:sz w:val="24"/>
          <w:szCs w:val="24"/>
          <w:lang w:val="ro-MD"/>
        </w:rPr>
        <w:t xml:space="preserve"> în mare parte</w:t>
      </w:r>
      <w:r w:rsidR="009D7A6B" w:rsidRPr="00B13B9A">
        <w:rPr>
          <w:rFonts w:asciiTheme="majorHAnsi" w:hAnsiTheme="majorHAnsi" w:cstheme="majorHAnsi"/>
          <w:sz w:val="24"/>
          <w:szCs w:val="24"/>
          <w:lang w:val="ro-MD"/>
        </w:rPr>
        <w:t>,</w:t>
      </w:r>
      <w:r w:rsidR="007D147F" w:rsidRPr="00B13B9A">
        <w:rPr>
          <w:rFonts w:asciiTheme="majorHAnsi" w:hAnsiTheme="majorHAnsi" w:cstheme="majorHAnsi"/>
          <w:sz w:val="24"/>
          <w:szCs w:val="24"/>
          <w:lang w:val="ro-MD"/>
        </w:rPr>
        <w:t xml:space="preserve"> cu respectarea actelor normative în vigoare, în </w:t>
      </w:r>
      <w:r w:rsidRPr="00B13B9A">
        <w:rPr>
          <w:rFonts w:asciiTheme="majorHAnsi" w:hAnsiTheme="majorHAnsi" w:cstheme="majorHAnsi"/>
          <w:sz w:val="24"/>
          <w:szCs w:val="24"/>
          <w:lang w:val="ro-MD"/>
        </w:rPr>
        <w:t>acela</w:t>
      </w:r>
      <w:r w:rsidR="00B13B9A" w:rsidRPr="00B13B9A">
        <w:rPr>
          <w:rFonts w:asciiTheme="majorHAnsi" w:hAnsiTheme="majorHAnsi" w:cstheme="majorHAnsi"/>
          <w:sz w:val="24"/>
          <w:szCs w:val="24"/>
          <w:lang w:val="ro-MD"/>
        </w:rPr>
        <w:t>ș</w:t>
      </w:r>
      <w:r w:rsidRPr="00B13B9A">
        <w:rPr>
          <w:rFonts w:asciiTheme="majorHAnsi" w:hAnsiTheme="majorHAnsi" w:cstheme="majorHAnsi"/>
          <w:sz w:val="24"/>
          <w:szCs w:val="24"/>
          <w:lang w:val="ro-MD"/>
        </w:rPr>
        <w:t xml:space="preserve">i timp </w:t>
      </w:r>
      <w:r w:rsidR="007D147F" w:rsidRPr="00B13B9A">
        <w:rPr>
          <w:rFonts w:asciiTheme="majorHAnsi" w:hAnsiTheme="majorHAnsi" w:cstheme="majorHAnsi"/>
          <w:sz w:val="24"/>
          <w:szCs w:val="24"/>
          <w:lang w:val="ro-MD"/>
        </w:rPr>
        <w:t>planificarea acestora s-a desfă</w:t>
      </w:r>
      <w:r w:rsidR="00B13B9A" w:rsidRPr="00B13B9A">
        <w:rPr>
          <w:rFonts w:asciiTheme="majorHAnsi" w:hAnsiTheme="majorHAnsi" w:cstheme="majorHAnsi"/>
          <w:sz w:val="24"/>
          <w:szCs w:val="24"/>
          <w:lang w:val="ro-MD"/>
        </w:rPr>
        <w:t>ș</w:t>
      </w:r>
      <w:r w:rsidR="007D147F" w:rsidRPr="00B13B9A">
        <w:rPr>
          <w:rFonts w:asciiTheme="majorHAnsi" w:hAnsiTheme="majorHAnsi" w:cstheme="majorHAnsi"/>
          <w:sz w:val="24"/>
          <w:szCs w:val="24"/>
          <w:lang w:val="ro-MD"/>
        </w:rPr>
        <w:t xml:space="preserve">urat neconform </w:t>
      </w:r>
      <w:r w:rsidR="00B13B9A" w:rsidRPr="00B13B9A">
        <w:rPr>
          <w:rFonts w:asciiTheme="majorHAnsi" w:hAnsiTheme="majorHAnsi" w:cstheme="majorHAnsi"/>
          <w:sz w:val="24"/>
          <w:szCs w:val="24"/>
          <w:lang w:val="ro-MD"/>
        </w:rPr>
        <w:t>ș</w:t>
      </w:r>
      <w:r w:rsidR="007D147F" w:rsidRPr="00B13B9A">
        <w:rPr>
          <w:rFonts w:asciiTheme="majorHAnsi" w:hAnsiTheme="majorHAnsi" w:cstheme="majorHAnsi"/>
          <w:sz w:val="24"/>
          <w:szCs w:val="24"/>
          <w:lang w:val="ro-MD"/>
        </w:rPr>
        <w:t xml:space="preserve">i nu a fost asigurată cu calcule </w:t>
      </w:r>
      <w:r w:rsidR="00B13B9A" w:rsidRPr="00B13B9A">
        <w:rPr>
          <w:rFonts w:asciiTheme="majorHAnsi" w:hAnsiTheme="majorHAnsi" w:cstheme="majorHAnsi"/>
          <w:sz w:val="24"/>
          <w:szCs w:val="24"/>
          <w:lang w:val="ro-MD"/>
        </w:rPr>
        <w:t>ș</w:t>
      </w:r>
      <w:r w:rsidR="007D147F" w:rsidRPr="00B13B9A">
        <w:rPr>
          <w:rFonts w:asciiTheme="majorHAnsi" w:hAnsiTheme="majorHAnsi" w:cstheme="majorHAnsi"/>
          <w:sz w:val="24"/>
          <w:szCs w:val="24"/>
          <w:lang w:val="ro-MD"/>
        </w:rPr>
        <w:t>i informa</w:t>
      </w:r>
      <w:r w:rsidR="00B13B9A" w:rsidRPr="00B13B9A">
        <w:rPr>
          <w:rFonts w:asciiTheme="majorHAnsi" w:hAnsiTheme="majorHAnsi" w:cstheme="majorHAnsi"/>
          <w:sz w:val="24"/>
          <w:szCs w:val="24"/>
          <w:lang w:val="ro-MD"/>
        </w:rPr>
        <w:t>ț</w:t>
      </w:r>
      <w:r w:rsidR="007D147F" w:rsidRPr="00B13B9A">
        <w:rPr>
          <w:rFonts w:asciiTheme="majorHAnsi" w:hAnsiTheme="majorHAnsi" w:cstheme="majorHAnsi"/>
          <w:sz w:val="24"/>
          <w:szCs w:val="24"/>
          <w:lang w:val="ro-MD"/>
        </w:rPr>
        <w:t>ii reale privind necesită</w:t>
      </w:r>
      <w:r w:rsidR="00B13B9A" w:rsidRPr="00B13B9A">
        <w:rPr>
          <w:rFonts w:asciiTheme="majorHAnsi" w:hAnsiTheme="majorHAnsi" w:cstheme="majorHAnsi"/>
          <w:sz w:val="24"/>
          <w:szCs w:val="24"/>
          <w:lang w:val="ro-MD"/>
        </w:rPr>
        <w:t>ț</w:t>
      </w:r>
      <w:r w:rsidR="007D147F" w:rsidRPr="00B13B9A">
        <w:rPr>
          <w:rFonts w:asciiTheme="majorHAnsi" w:hAnsiTheme="majorHAnsi" w:cstheme="majorHAnsi"/>
          <w:sz w:val="24"/>
          <w:szCs w:val="24"/>
          <w:lang w:val="ro-MD"/>
        </w:rPr>
        <w:t xml:space="preserve">ile prioritare. </w:t>
      </w:r>
      <w:r w:rsidRPr="00B13B9A">
        <w:rPr>
          <w:rFonts w:asciiTheme="majorHAnsi" w:hAnsiTheme="majorHAnsi" w:cstheme="majorHAnsi"/>
          <w:sz w:val="24"/>
          <w:szCs w:val="24"/>
          <w:lang w:val="ro-MD"/>
        </w:rPr>
        <w:t>L</w:t>
      </w:r>
      <w:r w:rsidR="007D147F" w:rsidRPr="00B13B9A">
        <w:rPr>
          <w:rFonts w:asciiTheme="majorHAnsi" w:hAnsiTheme="majorHAnsi" w:cstheme="majorHAnsi"/>
          <w:sz w:val="24"/>
          <w:szCs w:val="24"/>
          <w:lang w:val="ro-MD"/>
        </w:rPr>
        <w:t>a etapa evaluării planului de achizi</w:t>
      </w:r>
      <w:r w:rsidR="00B13B9A" w:rsidRPr="00B13B9A">
        <w:rPr>
          <w:rFonts w:asciiTheme="majorHAnsi" w:hAnsiTheme="majorHAnsi" w:cstheme="majorHAnsi"/>
          <w:sz w:val="24"/>
          <w:szCs w:val="24"/>
          <w:lang w:val="ro-MD"/>
        </w:rPr>
        <w:t>ț</w:t>
      </w:r>
      <w:r w:rsidR="007D147F" w:rsidRPr="00B13B9A">
        <w:rPr>
          <w:rFonts w:asciiTheme="majorHAnsi" w:hAnsiTheme="majorHAnsi" w:cstheme="majorHAnsi"/>
          <w:sz w:val="24"/>
          <w:szCs w:val="24"/>
          <w:lang w:val="ro-MD"/>
        </w:rPr>
        <w:t>ii, a necesită</w:t>
      </w:r>
      <w:r w:rsidR="00B13B9A" w:rsidRPr="00B13B9A">
        <w:rPr>
          <w:rFonts w:asciiTheme="majorHAnsi" w:hAnsiTheme="majorHAnsi" w:cstheme="majorHAnsi"/>
          <w:sz w:val="24"/>
          <w:szCs w:val="24"/>
          <w:lang w:val="ro-MD"/>
        </w:rPr>
        <w:t>ț</w:t>
      </w:r>
      <w:r w:rsidR="007D147F" w:rsidRPr="00B13B9A">
        <w:rPr>
          <w:rFonts w:asciiTheme="majorHAnsi" w:hAnsiTheme="majorHAnsi" w:cstheme="majorHAnsi"/>
          <w:sz w:val="24"/>
          <w:szCs w:val="24"/>
          <w:lang w:val="ro-MD"/>
        </w:rPr>
        <w:t xml:space="preserve">ilor de bunuri, lucrări </w:t>
      </w:r>
      <w:r w:rsidR="00B13B9A" w:rsidRPr="00B13B9A">
        <w:rPr>
          <w:rFonts w:asciiTheme="majorHAnsi" w:hAnsiTheme="majorHAnsi" w:cstheme="majorHAnsi"/>
          <w:sz w:val="24"/>
          <w:szCs w:val="24"/>
          <w:lang w:val="ro-MD"/>
        </w:rPr>
        <w:t>ș</w:t>
      </w:r>
      <w:r w:rsidR="007D147F" w:rsidRPr="00B13B9A">
        <w:rPr>
          <w:rFonts w:asciiTheme="majorHAnsi" w:hAnsiTheme="majorHAnsi" w:cstheme="majorHAnsi"/>
          <w:sz w:val="24"/>
          <w:szCs w:val="24"/>
          <w:lang w:val="ro-MD"/>
        </w:rPr>
        <w:t>i servicii, entitatea nu a asigurat identificarea exactă a necesită</w:t>
      </w:r>
      <w:r w:rsidR="00B13B9A" w:rsidRPr="00B13B9A">
        <w:rPr>
          <w:rFonts w:asciiTheme="majorHAnsi" w:hAnsiTheme="majorHAnsi" w:cstheme="majorHAnsi"/>
          <w:sz w:val="24"/>
          <w:szCs w:val="24"/>
          <w:lang w:val="ro-MD"/>
        </w:rPr>
        <w:t>ț</w:t>
      </w:r>
      <w:r w:rsidR="007D147F" w:rsidRPr="00B13B9A">
        <w:rPr>
          <w:rFonts w:asciiTheme="majorHAnsi" w:hAnsiTheme="majorHAnsi" w:cstheme="majorHAnsi"/>
          <w:sz w:val="24"/>
          <w:szCs w:val="24"/>
          <w:lang w:val="ro-MD"/>
        </w:rPr>
        <w:t>ilor pentru efectuarea achizi</w:t>
      </w:r>
      <w:r w:rsidR="00B13B9A" w:rsidRPr="00B13B9A">
        <w:rPr>
          <w:rFonts w:asciiTheme="majorHAnsi" w:hAnsiTheme="majorHAnsi" w:cstheme="majorHAnsi"/>
          <w:sz w:val="24"/>
          <w:szCs w:val="24"/>
          <w:lang w:val="ro-MD"/>
        </w:rPr>
        <w:t>ț</w:t>
      </w:r>
      <w:r w:rsidR="007D147F" w:rsidRPr="00B13B9A">
        <w:rPr>
          <w:rFonts w:asciiTheme="majorHAnsi" w:hAnsiTheme="majorHAnsi" w:cstheme="majorHAnsi"/>
          <w:sz w:val="24"/>
          <w:szCs w:val="24"/>
          <w:lang w:val="ro-MD"/>
        </w:rPr>
        <w:t>iilor publice în condi</w:t>
      </w:r>
      <w:r w:rsidR="00B13B9A" w:rsidRPr="00B13B9A">
        <w:rPr>
          <w:rFonts w:asciiTheme="majorHAnsi" w:hAnsiTheme="majorHAnsi" w:cstheme="majorHAnsi"/>
          <w:sz w:val="24"/>
          <w:szCs w:val="24"/>
          <w:lang w:val="ro-MD"/>
        </w:rPr>
        <w:t>ț</w:t>
      </w:r>
      <w:r w:rsidR="007D147F" w:rsidRPr="00B13B9A">
        <w:rPr>
          <w:rFonts w:asciiTheme="majorHAnsi" w:hAnsiTheme="majorHAnsi" w:cstheme="majorHAnsi"/>
          <w:sz w:val="24"/>
          <w:szCs w:val="24"/>
          <w:lang w:val="ro-MD"/>
        </w:rPr>
        <w:t>ii de transparen</w:t>
      </w:r>
      <w:r w:rsidR="00B13B9A" w:rsidRPr="00B13B9A">
        <w:rPr>
          <w:rFonts w:asciiTheme="majorHAnsi" w:hAnsiTheme="majorHAnsi" w:cstheme="majorHAnsi"/>
          <w:sz w:val="24"/>
          <w:szCs w:val="24"/>
          <w:lang w:val="ro-MD"/>
        </w:rPr>
        <w:t>ț</w:t>
      </w:r>
      <w:r w:rsidR="007D147F" w:rsidRPr="00B13B9A">
        <w:rPr>
          <w:rFonts w:asciiTheme="majorHAnsi" w:hAnsiTheme="majorHAnsi" w:cstheme="majorHAnsi"/>
          <w:sz w:val="24"/>
          <w:szCs w:val="24"/>
          <w:lang w:val="ro-MD"/>
        </w:rPr>
        <w:t xml:space="preserve">ă </w:t>
      </w:r>
      <w:r w:rsidR="00B13B9A" w:rsidRPr="00B13B9A">
        <w:rPr>
          <w:rFonts w:asciiTheme="majorHAnsi" w:hAnsiTheme="majorHAnsi" w:cstheme="majorHAnsi"/>
          <w:sz w:val="24"/>
          <w:szCs w:val="24"/>
          <w:lang w:val="ro-MD"/>
        </w:rPr>
        <w:t>ș</w:t>
      </w:r>
      <w:r w:rsidR="007D147F" w:rsidRPr="00B13B9A">
        <w:rPr>
          <w:rFonts w:asciiTheme="majorHAnsi" w:hAnsiTheme="majorHAnsi" w:cstheme="majorHAnsi"/>
          <w:sz w:val="24"/>
          <w:szCs w:val="24"/>
          <w:lang w:val="ro-MD"/>
        </w:rPr>
        <w:t>i atribuire a contractelor de achizi</w:t>
      </w:r>
      <w:r w:rsidR="00B13B9A" w:rsidRPr="00B13B9A">
        <w:rPr>
          <w:rFonts w:asciiTheme="majorHAnsi" w:hAnsiTheme="majorHAnsi" w:cstheme="majorHAnsi"/>
          <w:sz w:val="24"/>
          <w:szCs w:val="24"/>
          <w:lang w:val="ro-MD"/>
        </w:rPr>
        <w:t>ț</w:t>
      </w:r>
      <w:r w:rsidR="007D147F" w:rsidRPr="00B13B9A">
        <w:rPr>
          <w:rFonts w:asciiTheme="majorHAnsi" w:hAnsiTheme="majorHAnsi" w:cstheme="majorHAnsi"/>
          <w:sz w:val="24"/>
          <w:szCs w:val="24"/>
          <w:lang w:val="ro-MD"/>
        </w:rPr>
        <w:t>ii publice.</w:t>
      </w:r>
      <w:r w:rsidR="004B4356" w:rsidRPr="00B13B9A">
        <w:rPr>
          <w:rFonts w:asciiTheme="majorHAnsi" w:hAnsiTheme="majorHAnsi" w:cstheme="majorHAnsi"/>
          <w:sz w:val="24"/>
          <w:szCs w:val="24"/>
          <w:lang w:val="ro-MD"/>
        </w:rPr>
        <w:t xml:space="preserve"> De asemenea, procesul de </w:t>
      </w:r>
      <w:r w:rsidR="004B4356" w:rsidRPr="00B13B9A">
        <w:rPr>
          <w:rFonts w:asciiTheme="majorHAnsi" w:hAnsiTheme="majorHAnsi" w:cstheme="majorHAnsi"/>
          <w:color w:val="333333"/>
          <w:sz w:val="24"/>
          <w:szCs w:val="24"/>
          <w:shd w:val="clear" w:color="auto" w:fill="FFFFFF"/>
          <w:lang w:val="ro-MD"/>
        </w:rPr>
        <w:t>a</w:t>
      </w:r>
      <w:r w:rsidR="004B4356" w:rsidRPr="00B13B9A">
        <w:rPr>
          <w:rFonts w:asciiTheme="majorHAnsi" w:hAnsiTheme="majorHAnsi" w:cstheme="majorHAnsi"/>
          <w:sz w:val="24"/>
          <w:szCs w:val="24"/>
          <w:lang w:val="ro-MD"/>
        </w:rPr>
        <w:t>limenta</w:t>
      </w:r>
      <w:r w:rsidR="00B13B9A" w:rsidRPr="00B13B9A">
        <w:rPr>
          <w:rFonts w:asciiTheme="majorHAnsi" w:hAnsiTheme="majorHAnsi" w:cstheme="majorHAnsi"/>
          <w:sz w:val="24"/>
          <w:szCs w:val="24"/>
          <w:lang w:val="ro-MD"/>
        </w:rPr>
        <w:t>ț</w:t>
      </w:r>
      <w:r w:rsidR="004B4356" w:rsidRPr="00B13B9A">
        <w:rPr>
          <w:rFonts w:asciiTheme="majorHAnsi" w:hAnsiTheme="majorHAnsi" w:cstheme="majorHAnsi"/>
          <w:sz w:val="24"/>
          <w:szCs w:val="24"/>
          <w:lang w:val="ro-MD"/>
        </w:rPr>
        <w:t xml:space="preserve">ie necesită a fi fortificat în scopul asigurării bolnavilor de tuberculoză </w:t>
      </w:r>
      <w:r w:rsidR="004B4356" w:rsidRPr="00B13B9A">
        <w:rPr>
          <w:rFonts w:asciiTheme="majorHAnsi" w:hAnsiTheme="majorHAnsi" w:cstheme="majorHAnsi"/>
          <w:color w:val="333333"/>
          <w:sz w:val="24"/>
          <w:szCs w:val="24"/>
          <w:shd w:val="clear" w:color="auto" w:fill="FFFFFF"/>
          <w:lang w:val="ro-MD"/>
        </w:rPr>
        <w:t>cu cantitatea sporită de proteine.</w:t>
      </w:r>
    </w:p>
    <w:p w14:paraId="4E6A7EE6" w14:textId="0D854C05" w:rsidR="00EF1983" w:rsidRPr="00B13B9A" w:rsidRDefault="00EF1983" w:rsidP="00241AB3">
      <w:pPr>
        <w:pStyle w:val="a7"/>
        <w:numPr>
          <w:ilvl w:val="2"/>
          <w:numId w:val="10"/>
        </w:numPr>
        <w:shd w:val="clear" w:color="auto" w:fill="FFFFFF"/>
        <w:spacing w:before="240" w:after="0" w:line="276" w:lineRule="auto"/>
        <w:ind w:left="0" w:firstLine="0"/>
        <w:jc w:val="both"/>
        <w:outlineLvl w:val="2"/>
        <w:rPr>
          <w:rFonts w:asciiTheme="majorHAnsi" w:eastAsia="Times New Roman" w:hAnsiTheme="majorHAnsi" w:cstheme="majorHAnsi"/>
          <w:b/>
          <w:color w:val="000000"/>
          <w:sz w:val="24"/>
          <w:szCs w:val="24"/>
          <w:lang w:val="ro-MD"/>
        </w:rPr>
      </w:pPr>
      <w:bookmarkStart w:id="32" w:name="_Toc154562507"/>
      <w:r w:rsidRPr="00B13B9A">
        <w:rPr>
          <w:rFonts w:asciiTheme="majorHAnsi" w:eastAsia="Times New Roman" w:hAnsiTheme="majorHAnsi" w:cstheme="majorHAnsi"/>
          <w:b/>
          <w:color w:val="000000"/>
          <w:sz w:val="24"/>
          <w:szCs w:val="24"/>
          <w:shd w:val="clear" w:color="auto" w:fill="FFFFFF"/>
          <w:lang w:val="ro-MD"/>
        </w:rPr>
        <w:t>Insuficien</w:t>
      </w:r>
      <w:r w:rsidR="00B13B9A" w:rsidRPr="00B13B9A">
        <w:rPr>
          <w:rFonts w:asciiTheme="majorHAnsi" w:eastAsia="Times New Roman" w:hAnsiTheme="majorHAnsi" w:cstheme="majorHAnsi"/>
          <w:b/>
          <w:color w:val="000000"/>
          <w:sz w:val="24"/>
          <w:szCs w:val="24"/>
          <w:shd w:val="clear" w:color="auto" w:fill="FFFFFF"/>
          <w:lang w:val="ro-MD"/>
        </w:rPr>
        <w:t>ț</w:t>
      </w:r>
      <w:r w:rsidRPr="00B13B9A">
        <w:rPr>
          <w:rFonts w:asciiTheme="majorHAnsi" w:eastAsia="Times New Roman" w:hAnsiTheme="majorHAnsi" w:cstheme="majorHAnsi"/>
          <w:b/>
          <w:color w:val="000000"/>
          <w:sz w:val="24"/>
          <w:szCs w:val="24"/>
          <w:shd w:val="clear" w:color="auto" w:fill="FFFFFF"/>
          <w:lang w:val="ro-MD"/>
        </w:rPr>
        <w:t>a mecanismelor institu</w:t>
      </w:r>
      <w:r w:rsidR="00B13B9A" w:rsidRPr="00B13B9A">
        <w:rPr>
          <w:rFonts w:asciiTheme="majorHAnsi" w:eastAsia="Times New Roman" w:hAnsiTheme="majorHAnsi" w:cstheme="majorHAnsi"/>
          <w:b/>
          <w:color w:val="000000"/>
          <w:sz w:val="24"/>
          <w:szCs w:val="24"/>
          <w:shd w:val="clear" w:color="auto" w:fill="FFFFFF"/>
          <w:lang w:val="ro-MD"/>
        </w:rPr>
        <w:t>ț</w:t>
      </w:r>
      <w:r w:rsidRPr="00B13B9A">
        <w:rPr>
          <w:rFonts w:asciiTheme="majorHAnsi" w:eastAsia="Times New Roman" w:hAnsiTheme="majorHAnsi" w:cstheme="majorHAnsi"/>
          <w:b/>
          <w:color w:val="000000"/>
          <w:sz w:val="24"/>
          <w:szCs w:val="24"/>
          <w:shd w:val="clear" w:color="auto" w:fill="FFFFFF"/>
          <w:lang w:val="ro-MD"/>
        </w:rPr>
        <w:t xml:space="preserve">ionale de control în cadrul IMSP, a cauzat calcularea </w:t>
      </w:r>
      <w:r w:rsidR="00B13B9A" w:rsidRPr="00B13B9A">
        <w:rPr>
          <w:rFonts w:asciiTheme="majorHAnsi" w:eastAsia="Times New Roman" w:hAnsiTheme="majorHAnsi" w:cstheme="majorHAnsi"/>
          <w:b/>
          <w:color w:val="000000"/>
          <w:sz w:val="24"/>
          <w:szCs w:val="24"/>
          <w:shd w:val="clear" w:color="auto" w:fill="FFFFFF"/>
          <w:lang w:val="ro-MD"/>
        </w:rPr>
        <w:t>ș</w:t>
      </w:r>
      <w:r w:rsidRPr="00B13B9A">
        <w:rPr>
          <w:rFonts w:asciiTheme="majorHAnsi" w:eastAsia="Times New Roman" w:hAnsiTheme="majorHAnsi" w:cstheme="majorHAnsi"/>
          <w:b/>
          <w:color w:val="000000"/>
          <w:sz w:val="24"/>
          <w:szCs w:val="24"/>
          <w:shd w:val="clear" w:color="auto" w:fill="FFFFFF"/>
          <w:lang w:val="ro-MD"/>
        </w:rPr>
        <w:t xml:space="preserve">i achitarea neregulamentară a salariilor pentru unele persoane ce nu se aflau pe teritoriul Republicii Moldova </w:t>
      </w:r>
      <w:r w:rsidR="00B13B9A" w:rsidRPr="00B13B9A">
        <w:rPr>
          <w:rFonts w:asciiTheme="majorHAnsi" w:eastAsia="Times New Roman" w:hAnsiTheme="majorHAnsi" w:cstheme="majorHAnsi"/>
          <w:b/>
          <w:color w:val="000000"/>
          <w:sz w:val="24"/>
          <w:szCs w:val="24"/>
          <w:shd w:val="clear" w:color="auto" w:fill="FFFFFF"/>
          <w:lang w:val="ro-MD"/>
        </w:rPr>
        <w:t>ș</w:t>
      </w:r>
      <w:r w:rsidRPr="00B13B9A">
        <w:rPr>
          <w:rFonts w:asciiTheme="majorHAnsi" w:eastAsia="Times New Roman" w:hAnsiTheme="majorHAnsi" w:cstheme="majorHAnsi"/>
          <w:b/>
          <w:color w:val="000000"/>
          <w:sz w:val="24"/>
          <w:szCs w:val="24"/>
          <w:shd w:val="clear" w:color="auto" w:fill="FFFFFF"/>
          <w:lang w:val="ro-MD"/>
        </w:rPr>
        <w:t>i, respec</w:t>
      </w:r>
      <w:r w:rsidR="00F12CC8" w:rsidRPr="00B13B9A">
        <w:rPr>
          <w:rFonts w:asciiTheme="majorHAnsi" w:eastAsia="Times New Roman" w:hAnsiTheme="majorHAnsi" w:cstheme="majorHAnsi"/>
          <w:b/>
          <w:color w:val="000000"/>
          <w:sz w:val="24"/>
          <w:szCs w:val="24"/>
          <w:shd w:val="clear" w:color="auto" w:fill="FFFFFF"/>
          <w:lang w:val="ro-MD"/>
        </w:rPr>
        <w:t>tiv, la locul de muncă</w:t>
      </w:r>
      <w:r w:rsidR="009D7A6B" w:rsidRPr="00B13B9A">
        <w:rPr>
          <w:rFonts w:asciiTheme="majorHAnsi" w:eastAsia="Times New Roman" w:hAnsiTheme="majorHAnsi" w:cstheme="majorHAnsi"/>
          <w:b/>
          <w:color w:val="000000"/>
          <w:sz w:val="24"/>
          <w:szCs w:val="24"/>
          <w:shd w:val="clear" w:color="auto" w:fill="FFFFFF"/>
          <w:lang w:val="ro-MD"/>
        </w:rPr>
        <w:t>,</w:t>
      </w:r>
      <w:r w:rsidR="00F12CC8" w:rsidRPr="00B13B9A">
        <w:rPr>
          <w:rFonts w:asciiTheme="majorHAnsi" w:eastAsia="Times New Roman" w:hAnsiTheme="majorHAnsi" w:cstheme="majorHAnsi"/>
          <w:b/>
          <w:color w:val="000000"/>
          <w:sz w:val="24"/>
          <w:szCs w:val="24"/>
          <w:shd w:val="clear" w:color="auto" w:fill="FFFFFF"/>
          <w:lang w:val="ro-MD"/>
        </w:rPr>
        <w:t xml:space="preserve"> ceea ce a determinat </w:t>
      </w:r>
      <w:r w:rsidRPr="00B13B9A">
        <w:rPr>
          <w:rFonts w:asciiTheme="majorHAnsi" w:eastAsia="Times New Roman" w:hAnsiTheme="majorHAnsi" w:cstheme="majorHAnsi"/>
          <w:b/>
          <w:color w:val="000000"/>
          <w:sz w:val="24"/>
          <w:szCs w:val="24"/>
          <w:shd w:val="clear" w:color="auto" w:fill="FFFFFF"/>
          <w:lang w:val="ro-MD"/>
        </w:rPr>
        <w:t>cheltuieli nejustificate în sumă de 47</w:t>
      </w:r>
      <w:r w:rsidR="00F12CC8" w:rsidRPr="00B13B9A">
        <w:rPr>
          <w:rFonts w:asciiTheme="majorHAnsi" w:eastAsia="Times New Roman" w:hAnsiTheme="majorHAnsi" w:cstheme="majorHAnsi"/>
          <w:b/>
          <w:color w:val="000000"/>
          <w:sz w:val="24"/>
          <w:szCs w:val="24"/>
          <w:shd w:val="clear" w:color="auto" w:fill="FFFFFF"/>
          <w:lang w:val="ro-MD"/>
        </w:rPr>
        <w:t>,1</w:t>
      </w:r>
      <w:r w:rsidRPr="00B13B9A">
        <w:rPr>
          <w:rFonts w:asciiTheme="majorHAnsi" w:eastAsia="Times New Roman" w:hAnsiTheme="majorHAnsi" w:cstheme="majorHAnsi"/>
          <w:b/>
          <w:color w:val="000000"/>
          <w:sz w:val="24"/>
          <w:szCs w:val="24"/>
          <w:shd w:val="clear" w:color="auto" w:fill="FFFFFF"/>
          <w:lang w:val="ro-MD"/>
        </w:rPr>
        <w:t xml:space="preserve"> mii lei.</w:t>
      </w:r>
      <w:bookmarkEnd w:id="32"/>
    </w:p>
    <w:p w14:paraId="66932DDF" w14:textId="08FFE7CF" w:rsidR="003343A7" w:rsidRPr="00B13B9A" w:rsidRDefault="003343A7" w:rsidP="00142200">
      <w:pPr>
        <w:spacing w:before="240" w:after="0" w:line="276" w:lineRule="auto"/>
        <w:jc w:val="both"/>
        <w:rPr>
          <w:rFonts w:asciiTheme="majorHAnsi" w:hAnsiTheme="majorHAnsi" w:cstheme="majorHAnsi"/>
          <w:sz w:val="24"/>
          <w:szCs w:val="24"/>
          <w:lang w:val="ro-MD"/>
        </w:rPr>
      </w:pPr>
      <w:r w:rsidRPr="00B13B9A">
        <w:rPr>
          <w:rFonts w:asciiTheme="majorHAnsi" w:hAnsiTheme="majorHAnsi" w:cstheme="majorHAnsi"/>
          <w:sz w:val="24"/>
          <w:szCs w:val="24"/>
          <w:lang w:val="ro-MD"/>
        </w:rPr>
        <w:t>Situa</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ia cadrelor în perioada 2021-2023 denotă că numărul real de func</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ii ocupate, comparativ cu unită</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ile aprobate, constituie de la 66,8% în anul 2021 până la 72,4% în anul 2023 (6 luni), ceea ce indică o rată de aproximativ 30% de unită</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 xml:space="preserve">i vacante </w:t>
      </w:r>
      <w:r w:rsidR="00B13B9A" w:rsidRPr="00B13B9A">
        <w:rPr>
          <w:rFonts w:asciiTheme="majorHAnsi" w:hAnsiTheme="majorHAnsi" w:cstheme="majorHAnsi"/>
          <w:sz w:val="24"/>
          <w:szCs w:val="24"/>
          <w:lang w:val="ro-MD"/>
        </w:rPr>
        <w:t>ș</w:t>
      </w:r>
      <w:r w:rsidRPr="00B13B9A">
        <w:rPr>
          <w:rFonts w:asciiTheme="majorHAnsi" w:hAnsiTheme="majorHAnsi" w:cstheme="majorHAnsi"/>
          <w:sz w:val="24"/>
          <w:szCs w:val="24"/>
          <w:lang w:val="ro-MD"/>
        </w:rPr>
        <w:t>i poate determina situa</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ii de risc în activitatea entită</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ii reie</w:t>
      </w:r>
      <w:r w:rsidR="00B13B9A" w:rsidRPr="00B13B9A">
        <w:rPr>
          <w:rFonts w:asciiTheme="majorHAnsi" w:hAnsiTheme="majorHAnsi" w:cstheme="majorHAnsi"/>
          <w:sz w:val="24"/>
          <w:szCs w:val="24"/>
          <w:lang w:val="ro-MD"/>
        </w:rPr>
        <w:t>ș</w:t>
      </w:r>
      <w:r w:rsidRPr="00B13B9A">
        <w:rPr>
          <w:rFonts w:asciiTheme="majorHAnsi" w:hAnsiTheme="majorHAnsi" w:cstheme="majorHAnsi"/>
          <w:sz w:val="24"/>
          <w:szCs w:val="24"/>
          <w:lang w:val="ro-MD"/>
        </w:rPr>
        <w:t>ind din specificul serviciilor acordate. Informa</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iile privind completarea statelor de personal al</w:t>
      </w:r>
      <w:r w:rsidR="009D7A6B" w:rsidRPr="00B13B9A">
        <w:rPr>
          <w:rFonts w:asciiTheme="majorHAnsi" w:hAnsiTheme="majorHAnsi" w:cstheme="majorHAnsi"/>
          <w:sz w:val="24"/>
          <w:szCs w:val="24"/>
          <w:lang w:val="ro-MD"/>
        </w:rPr>
        <w:t>e</w:t>
      </w:r>
      <w:r w:rsidRPr="00B13B9A">
        <w:rPr>
          <w:rFonts w:asciiTheme="majorHAnsi" w:hAnsiTheme="majorHAnsi" w:cstheme="majorHAnsi"/>
          <w:sz w:val="24"/>
          <w:szCs w:val="24"/>
          <w:lang w:val="ro-MD"/>
        </w:rPr>
        <w:t xml:space="preserve"> </w:t>
      </w:r>
      <w:r w:rsidR="007321FB" w:rsidRPr="00B13B9A">
        <w:rPr>
          <w:rFonts w:asciiTheme="majorHAnsi" w:hAnsiTheme="majorHAnsi" w:cstheme="majorHAnsi"/>
          <w:color w:val="000000" w:themeColor="text1"/>
          <w:sz w:val="24"/>
          <w:szCs w:val="24"/>
          <w:lang w:val="ro-MD"/>
        </w:rPr>
        <w:t xml:space="preserve">IMSP IFP </w:t>
      </w:r>
      <w:r w:rsidR="007321FB" w:rsidRPr="00B13B9A">
        <w:rPr>
          <w:rFonts w:asciiTheme="majorHAnsi" w:hAnsiTheme="majorHAnsi" w:cstheme="majorHAnsi"/>
          <w:sz w:val="24"/>
          <w:szCs w:val="24"/>
          <w:lang w:val="ro-MD"/>
        </w:rPr>
        <w:t>„Chiril Draganiuc”</w:t>
      </w:r>
      <w:r w:rsidRPr="00B13B9A">
        <w:rPr>
          <w:rFonts w:asciiTheme="majorHAnsi" w:hAnsiTheme="majorHAnsi" w:cstheme="majorHAnsi"/>
          <w:sz w:val="24"/>
          <w:szCs w:val="24"/>
          <w:lang w:val="ro-MD"/>
        </w:rPr>
        <w:t xml:space="preserve"> pentru perioada 2021-2023 (6 luni) sunt redate în Anexa </w:t>
      </w:r>
      <w:r w:rsidR="009D7A6B" w:rsidRPr="00B13B9A">
        <w:rPr>
          <w:rFonts w:asciiTheme="majorHAnsi" w:hAnsiTheme="majorHAnsi" w:cstheme="majorHAnsi"/>
          <w:sz w:val="24"/>
          <w:szCs w:val="24"/>
          <w:lang w:val="ro-MD"/>
        </w:rPr>
        <w:t>nr.</w:t>
      </w:r>
      <w:r w:rsidR="00A02394" w:rsidRPr="00B13B9A">
        <w:rPr>
          <w:rFonts w:asciiTheme="majorHAnsi" w:hAnsiTheme="majorHAnsi" w:cstheme="majorHAnsi"/>
          <w:sz w:val="24"/>
          <w:szCs w:val="24"/>
          <w:lang w:val="ro-MD"/>
        </w:rPr>
        <w:t>19</w:t>
      </w:r>
      <w:r w:rsidR="009D7A6B" w:rsidRPr="00B13B9A">
        <w:rPr>
          <w:rFonts w:asciiTheme="majorHAnsi" w:hAnsiTheme="majorHAnsi" w:cstheme="majorHAnsi"/>
          <w:sz w:val="24"/>
          <w:szCs w:val="24"/>
          <w:lang w:val="ro-MD"/>
        </w:rPr>
        <w:t xml:space="preserve"> la prezentul Raport de audit</w:t>
      </w:r>
      <w:r w:rsidRPr="00B13B9A">
        <w:rPr>
          <w:rFonts w:asciiTheme="majorHAnsi" w:hAnsiTheme="majorHAnsi" w:cstheme="majorHAnsi"/>
          <w:sz w:val="24"/>
          <w:szCs w:val="24"/>
          <w:lang w:val="ro-MD"/>
        </w:rPr>
        <w:t>.</w:t>
      </w:r>
      <w:r w:rsidR="00142200" w:rsidRPr="00B13B9A">
        <w:rPr>
          <w:rFonts w:asciiTheme="majorHAnsi" w:hAnsiTheme="majorHAnsi" w:cstheme="majorHAnsi"/>
          <w:sz w:val="24"/>
          <w:szCs w:val="24"/>
          <w:lang w:val="ro-MD"/>
        </w:rPr>
        <w:t xml:space="preserve"> </w:t>
      </w:r>
      <w:r w:rsidRPr="00B13B9A">
        <w:rPr>
          <w:rFonts w:asciiTheme="majorHAnsi" w:hAnsiTheme="majorHAnsi" w:cstheme="majorHAnsi"/>
          <w:sz w:val="24"/>
          <w:szCs w:val="24"/>
          <w:lang w:val="ro-MD" w:eastAsia="ro-RO"/>
        </w:rPr>
        <w:t>Cheltuielile pentru retribuirea muncii pentru anul 2021 constituie 107 695,6 mii lei, în anul 2022 – 98 261,7 mii lei</w:t>
      </w:r>
      <w:r w:rsidR="009D7A6B" w:rsidRPr="00B13B9A">
        <w:rPr>
          <w:rFonts w:asciiTheme="majorHAnsi" w:hAnsiTheme="majorHAnsi" w:cstheme="majorHAnsi"/>
          <w:sz w:val="24"/>
          <w:szCs w:val="24"/>
          <w:lang w:val="ro-MD" w:eastAsia="ro-RO"/>
        </w:rPr>
        <w:t>,</w:t>
      </w:r>
      <w:r w:rsidRPr="00B13B9A">
        <w:rPr>
          <w:rFonts w:asciiTheme="majorHAnsi" w:hAnsiTheme="majorHAnsi" w:cstheme="majorHAnsi"/>
          <w:sz w:val="24"/>
          <w:szCs w:val="24"/>
          <w:lang w:val="ro-MD" w:eastAsia="ro-RO"/>
        </w:rPr>
        <w:t xml:space="preserve"> </w:t>
      </w:r>
      <w:r w:rsidR="00B13B9A" w:rsidRPr="00B13B9A">
        <w:rPr>
          <w:rFonts w:asciiTheme="majorHAnsi" w:hAnsiTheme="majorHAnsi" w:cstheme="majorHAnsi"/>
          <w:sz w:val="24"/>
          <w:szCs w:val="24"/>
          <w:lang w:val="ro-MD" w:eastAsia="ro-RO"/>
        </w:rPr>
        <w:t>ș</w:t>
      </w:r>
      <w:r w:rsidRPr="00B13B9A">
        <w:rPr>
          <w:rFonts w:asciiTheme="majorHAnsi" w:hAnsiTheme="majorHAnsi" w:cstheme="majorHAnsi"/>
          <w:sz w:val="24"/>
          <w:szCs w:val="24"/>
          <w:lang w:val="ro-MD" w:eastAsia="ro-RO"/>
        </w:rPr>
        <w:t>i în anul 2023 (6 luni) – 52 495,9 mii lei. Astfel, în anul 2021 aceste cheltuieli au fost mai mari fa</w:t>
      </w:r>
      <w:r w:rsidR="00B13B9A" w:rsidRPr="00B13B9A">
        <w:rPr>
          <w:rFonts w:asciiTheme="majorHAnsi" w:hAnsiTheme="majorHAnsi" w:cstheme="majorHAnsi"/>
          <w:sz w:val="24"/>
          <w:szCs w:val="24"/>
          <w:lang w:val="ro-MD" w:eastAsia="ro-RO"/>
        </w:rPr>
        <w:t>ț</w:t>
      </w:r>
      <w:r w:rsidRPr="00B13B9A">
        <w:rPr>
          <w:rFonts w:asciiTheme="majorHAnsi" w:hAnsiTheme="majorHAnsi" w:cstheme="majorHAnsi"/>
          <w:sz w:val="24"/>
          <w:szCs w:val="24"/>
          <w:lang w:val="ro-MD" w:eastAsia="ro-RO"/>
        </w:rPr>
        <w:t xml:space="preserve">ă de anul 2022 cu 9 433,9 mii lei, </w:t>
      </w:r>
      <w:r w:rsidR="003717AE">
        <w:rPr>
          <w:rFonts w:asciiTheme="majorHAnsi" w:hAnsiTheme="majorHAnsi" w:cstheme="majorHAnsi"/>
          <w:sz w:val="24"/>
          <w:szCs w:val="24"/>
          <w:lang w:val="ro-MD" w:eastAsia="ro-RO"/>
        </w:rPr>
        <w:t xml:space="preserve">ceea ce se explică prin </w:t>
      </w:r>
      <w:r w:rsidRPr="00B13B9A">
        <w:rPr>
          <w:rFonts w:asciiTheme="majorHAnsi" w:hAnsiTheme="majorHAnsi" w:cstheme="majorHAnsi"/>
          <w:sz w:val="24"/>
          <w:szCs w:val="24"/>
          <w:lang w:val="ro-MD" w:eastAsia="ro-RO"/>
        </w:rPr>
        <w:t xml:space="preserve"> achitarea suplimentului pentru îndeplinirea indicatorului de performan</w:t>
      </w:r>
      <w:r w:rsidR="00B13B9A" w:rsidRPr="00B13B9A">
        <w:rPr>
          <w:rFonts w:asciiTheme="majorHAnsi" w:hAnsiTheme="majorHAnsi" w:cstheme="majorHAnsi"/>
          <w:sz w:val="24"/>
          <w:szCs w:val="24"/>
          <w:lang w:val="ro-MD" w:eastAsia="ro-RO"/>
        </w:rPr>
        <w:t>ț</w:t>
      </w:r>
      <w:r w:rsidRPr="00B13B9A">
        <w:rPr>
          <w:rFonts w:asciiTheme="majorHAnsi" w:hAnsiTheme="majorHAnsi" w:cstheme="majorHAnsi"/>
          <w:sz w:val="24"/>
          <w:szCs w:val="24"/>
          <w:lang w:val="ro-MD" w:eastAsia="ro-RO"/>
        </w:rPr>
        <w:t xml:space="preserve">ă profesională COVID-19 în anul respectiv. </w:t>
      </w:r>
    </w:p>
    <w:p w14:paraId="3753A891" w14:textId="7F7E0F20" w:rsidR="00EF1983" w:rsidRPr="00B13B9A" w:rsidRDefault="00E20A1C" w:rsidP="00EF1983">
      <w:pPr>
        <w:spacing w:after="0" w:line="276" w:lineRule="auto"/>
        <w:jc w:val="both"/>
        <w:rPr>
          <w:rFonts w:asciiTheme="majorHAnsi" w:eastAsia="SimSun" w:hAnsiTheme="majorHAnsi" w:cstheme="majorHAnsi"/>
          <w:sz w:val="24"/>
          <w:szCs w:val="24"/>
          <w:lang w:val="ro-MD"/>
        </w:rPr>
      </w:pPr>
      <w:r w:rsidRPr="00B13B9A">
        <w:rPr>
          <w:rFonts w:asciiTheme="majorHAnsi" w:hAnsiTheme="majorHAnsi" w:cstheme="majorHAnsi"/>
          <w:sz w:val="24"/>
          <w:szCs w:val="24"/>
          <w:lang w:val="ro-MD"/>
        </w:rPr>
        <w:t xml:space="preserve">În procesul de retribuire a personalului, </w:t>
      </w:r>
      <w:r w:rsidRPr="00B13B9A">
        <w:rPr>
          <w:rFonts w:asciiTheme="majorHAnsi" w:hAnsiTheme="majorHAnsi" w:cstheme="majorHAnsi"/>
          <w:sz w:val="24"/>
          <w:szCs w:val="24"/>
          <w:lang w:val="ro-MD" w:eastAsia="ro-RO"/>
        </w:rPr>
        <w:t>salariul de func</w:t>
      </w:r>
      <w:r w:rsidR="00B13B9A" w:rsidRPr="00B13B9A">
        <w:rPr>
          <w:rFonts w:asciiTheme="majorHAnsi" w:hAnsiTheme="majorHAnsi" w:cstheme="majorHAnsi"/>
          <w:sz w:val="24"/>
          <w:szCs w:val="24"/>
          <w:lang w:val="ro-MD" w:eastAsia="ro-RO"/>
        </w:rPr>
        <w:t>ț</w:t>
      </w:r>
      <w:r w:rsidRPr="00B13B9A">
        <w:rPr>
          <w:rFonts w:asciiTheme="majorHAnsi" w:hAnsiTheme="majorHAnsi" w:cstheme="majorHAnsi"/>
          <w:sz w:val="24"/>
          <w:szCs w:val="24"/>
          <w:lang w:val="ro-MD" w:eastAsia="ro-RO"/>
        </w:rPr>
        <w:t>ie se stabile</w:t>
      </w:r>
      <w:r w:rsidR="00B13B9A" w:rsidRPr="00B13B9A">
        <w:rPr>
          <w:rFonts w:asciiTheme="majorHAnsi" w:hAnsiTheme="majorHAnsi" w:cstheme="majorHAnsi"/>
          <w:sz w:val="24"/>
          <w:szCs w:val="24"/>
          <w:lang w:val="ro-MD" w:eastAsia="ro-RO"/>
        </w:rPr>
        <w:t>ș</w:t>
      </w:r>
      <w:r w:rsidRPr="00B13B9A">
        <w:rPr>
          <w:rFonts w:asciiTheme="majorHAnsi" w:hAnsiTheme="majorHAnsi" w:cstheme="majorHAnsi"/>
          <w:sz w:val="24"/>
          <w:szCs w:val="24"/>
          <w:lang w:val="ro-MD" w:eastAsia="ro-RO"/>
        </w:rPr>
        <w:t>te individual, pentru fiecare angajat în parte, în func</w:t>
      </w:r>
      <w:r w:rsidR="00B13B9A" w:rsidRPr="00B13B9A">
        <w:rPr>
          <w:rFonts w:asciiTheme="majorHAnsi" w:hAnsiTheme="majorHAnsi" w:cstheme="majorHAnsi"/>
          <w:sz w:val="24"/>
          <w:szCs w:val="24"/>
          <w:lang w:val="ro-MD" w:eastAsia="ro-RO"/>
        </w:rPr>
        <w:t>ț</w:t>
      </w:r>
      <w:r w:rsidRPr="00B13B9A">
        <w:rPr>
          <w:rFonts w:asciiTheme="majorHAnsi" w:hAnsiTheme="majorHAnsi" w:cstheme="majorHAnsi"/>
          <w:sz w:val="24"/>
          <w:szCs w:val="24"/>
          <w:lang w:val="ro-MD" w:eastAsia="ro-RO"/>
        </w:rPr>
        <w:t>ie de vechimea în specialitate, func</w:t>
      </w:r>
      <w:r w:rsidR="00B13B9A" w:rsidRPr="00B13B9A">
        <w:rPr>
          <w:rFonts w:asciiTheme="majorHAnsi" w:hAnsiTheme="majorHAnsi" w:cstheme="majorHAnsi"/>
          <w:sz w:val="24"/>
          <w:szCs w:val="24"/>
          <w:lang w:val="ro-MD" w:eastAsia="ro-RO"/>
        </w:rPr>
        <w:t>ț</w:t>
      </w:r>
      <w:r w:rsidRPr="00B13B9A">
        <w:rPr>
          <w:rFonts w:asciiTheme="majorHAnsi" w:hAnsiTheme="majorHAnsi" w:cstheme="majorHAnsi"/>
          <w:sz w:val="24"/>
          <w:szCs w:val="24"/>
          <w:lang w:val="ro-MD" w:eastAsia="ro-RO"/>
        </w:rPr>
        <w:t>ia de</w:t>
      </w:r>
      <w:r w:rsidR="00B13B9A" w:rsidRPr="00B13B9A">
        <w:rPr>
          <w:rFonts w:asciiTheme="majorHAnsi" w:hAnsiTheme="majorHAnsi" w:cstheme="majorHAnsi"/>
          <w:sz w:val="24"/>
          <w:szCs w:val="24"/>
          <w:lang w:val="ro-MD" w:eastAsia="ro-RO"/>
        </w:rPr>
        <w:t>ț</w:t>
      </w:r>
      <w:r w:rsidRPr="00B13B9A">
        <w:rPr>
          <w:rFonts w:asciiTheme="majorHAnsi" w:hAnsiTheme="majorHAnsi" w:cstheme="majorHAnsi"/>
          <w:sz w:val="24"/>
          <w:szCs w:val="24"/>
          <w:lang w:val="ro-MD" w:eastAsia="ro-RO"/>
        </w:rPr>
        <w:t xml:space="preserve">inută </w:t>
      </w:r>
      <w:r w:rsidR="00B13B9A" w:rsidRPr="00B13B9A">
        <w:rPr>
          <w:rFonts w:asciiTheme="majorHAnsi" w:hAnsiTheme="majorHAnsi" w:cstheme="majorHAnsi"/>
          <w:sz w:val="24"/>
          <w:szCs w:val="24"/>
          <w:lang w:val="ro-MD" w:eastAsia="ro-RO"/>
        </w:rPr>
        <w:t>ș</w:t>
      </w:r>
      <w:r w:rsidRPr="00B13B9A">
        <w:rPr>
          <w:rFonts w:asciiTheme="majorHAnsi" w:hAnsiTheme="majorHAnsi" w:cstheme="majorHAnsi"/>
          <w:sz w:val="24"/>
          <w:szCs w:val="24"/>
          <w:lang w:val="ro-MD" w:eastAsia="ro-RO"/>
        </w:rPr>
        <w:t>i specificul de activitate</w:t>
      </w:r>
      <w:r w:rsidRPr="00B13B9A">
        <w:rPr>
          <w:rStyle w:val="a9"/>
          <w:rFonts w:asciiTheme="majorHAnsi" w:hAnsiTheme="majorHAnsi" w:cstheme="majorHAnsi"/>
          <w:sz w:val="24"/>
          <w:szCs w:val="24"/>
          <w:lang w:val="ro-MD" w:eastAsia="ro-RO"/>
        </w:rPr>
        <w:footnoteReference w:id="43"/>
      </w:r>
      <w:r w:rsidRPr="00B13B9A">
        <w:rPr>
          <w:rFonts w:asciiTheme="majorHAnsi" w:hAnsiTheme="majorHAnsi" w:cstheme="majorHAnsi"/>
          <w:sz w:val="24"/>
          <w:szCs w:val="24"/>
          <w:lang w:val="ro-MD" w:eastAsia="ro-RO"/>
        </w:rPr>
        <w:t xml:space="preserve">. </w:t>
      </w:r>
      <w:r w:rsidRPr="00B13B9A">
        <w:rPr>
          <w:rFonts w:asciiTheme="majorHAnsi" w:hAnsiTheme="majorHAnsi" w:cstheme="majorHAnsi"/>
          <w:sz w:val="24"/>
          <w:szCs w:val="24"/>
          <w:lang w:val="ro-MD"/>
        </w:rPr>
        <w:t xml:space="preserve"> </w:t>
      </w:r>
      <w:r w:rsidR="00EF1983" w:rsidRPr="00B13B9A">
        <w:rPr>
          <w:rFonts w:asciiTheme="majorHAnsi" w:eastAsia="SimSun" w:hAnsiTheme="majorHAnsi" w:cstheme="majorHAnsi"/>
          <w:sz w:val="24"/>
          <w:szCs w:val="24"/>
          <w:lang w:val="ro-MD"/>
        </w:rPr>
        <w:t>Pentru asigurarea conformită</w:t>
      </w:r>
      <w:r w:rsidR="00B13B9A" w:rsidRPr="00B13B9A">
        <w:rPr>
          <w:rFonts w:asciiTheme="majorHAnsi" w:eastAsia="SimSun" w:hAnsiTheme="majorHAnsi" w:cstheme="majorHAnsi"/>
          <w:sz w:val="24"/>
          <w:szCs w:val="24"/>
          <w:lang w:val="ro-MD"/>
        </w:rPr>
        <w:t>ț</w:t>
      </w:r>
      <w:r w:rsidR="00EF1983" w:rsidRPr="00B13B9A">
        <w:rPr>
          <w:rFonts w:asciiTheme="majorHAnsi" w:eastAsia="SimSun" w:hAnsiTheme="majorHAnsi" w:cstheme="majorHAnsi"/>
          <w:sz w:val="24"/>
          <w:szCs w:val="24"/>
          <w:lang w:val="ro-MD"/>
        </w:rPr>
        <w:t xml:space="preserve">ii respectării timpului de muncă, auditorul a solicitat de la </w:t>
      </w:r>
      <w:r w:rsidR="00EF1983" w:rsidRPr="00B13B9A">
        <w:rPr>
          <w:rFonts w:asciiTheme="majorHAnsi" w:hAnsiTheme="majorHAnsi" w:cstheme="majorHAnsi"/>
          <w:bCs/>
          <w:sz w:val="24"/>
          <w:szCs w:val="24"/>
          <w:lang w:val="ro-MD"/>
        </w:rPr>
        <w:t>Inspectoratul General al Poli</w:t>
      </w:r>
      <w:r w:rsidR="00B13B9A" w:rsidRPr="00B13B9A">
        <w:rPr>
          <w:rFonts w:asciiTheme="majorHAnsi" w:hAnsiTheme="majorHAnsi" w:cstheme="majorHAnsi"/>
          <w:bCs/>
          <w:sz w:val="24"/>
          <w:szCs w:val="24"/>
          <w:lang w:val="ro-MD"/>
        </w:rPr>
        <w:t>ț</w:t>
      </w:r>
      <w:r w:rsidR="00EF1983" w:rsidRPr="00B13B9A">
        <w:rPr>
          <w:rFonts w:asciiTheme="majorHAnsi" w:hAnsiTheme="majorHAnsi" w:cstheme="majorHAnsi"/>
          <w:bCs/>
          <w:sz w:val="24"/>
          <w:szCs w:val="24"/>
          <w:lang w:val="ro-MD"/>
        </w:rPr>
        <w:t>iei de Frontieră</w:t>
      </w:r>
      <w:r w:rsidR="00EF1983" w:rsidRPr="00B13B9A">
        <w:rPr>
          <w:rFonts w:asciiTheme="majorHAnsi" w:eastAsia="SimSun" w:hAnsiTheme="majorHAnsi" w:cstheme="majorHAnsi"/>
          <w:sz w:val="24"/>
          <w:szCs w:val="24"/>
          <w:lang w:val="ro-MD"/>
        </w:rPr>
        <w:t xml:space="preserve"> informa</w:t>
      </w:r>
      <w:r w:rsidR="00B13B9A" w:rsidRPr="00B13B9A">
        <w:rPr>
          <w:rFonts w:asciiTheme="majorHAnsi" w:eastAsia="SimSun" w:hAnsiTheme="majorHAnsi" w:cstheme="majorHAnsi"/>
          <w:sz w:val="24"/>
          <w:szCs w:val="24"/>
          <w:lang w:val="ro-MD"/>
        </w:rPr>
        <w:t>ț</w:t>
      </w:r>
      <w:r w:rsidR="00EF1983" w:rsidRPr="00B13B9A">
        <w:rPr>
          <w:rFonts w:asciiTheme="majorHAnsi" w:eastAsia="SimSun" w:hAnsiTheme="majorHAnsi" w:cstheme="majorHAnsi"/>
          <w:sz w:val="24"/>
          <w:szCs w:val="24"/>
          <w:lang w:val="ro-MD"/>
        </w:rPr>
        <w:t xml:space="preserve">ii </w:t>
      </w:r>
      <w:r w:rsidR="00EF1983" w:rsidRPr="00B13B9A">
        <w:rPr>
          <w:rFonts w:asciiTheme="majorHAnsi" w:hAnsiTheme="majorHAnsi" w:cstheme="majorHAnsi"/>
          <w:sz w:val="24"/>
          <w:szCs w:val="24"/>
          <w:lang w:val="ro-MD"/>
        </w:rPr>
        <w:t>privind traversările frontierei de stat (intrare, ie</w:t>
      </w:r>
      <w:r w:rsidR="00B13B9A" w:rsidRPr="00B13B9A">
        <w:rPr>
          <w:rFonts w:asciiTheme="majorHAnsi" w:hAnsiTheme="majorHAnsi" w:cstheme="majorHAnsi"/>
          <w:sz w:val="24"/>
          <w:szCs w:val="24"/>
          <w:lang w:val="ro-MD"/>
        </w:rPr>
        <w:t>ș</w:t>
      </w:r>
      <w:r w:rsidR="00EF1983" w:rsidRPr="00B13B9A">
        <w:rPr>
          <w:rFonts w:asciiTheme="majorHAnsi" w:hAnsiTheme="majorHAnsi" w:cstheme="majorHAnsi"/>
          <w:sz w:val="24"/>
          <w:szCs w:val="24"/>
          <w:lang w:val="ro-MD"/>
        </w:rPr>
        <w:t>ire) în perioada 01.01.2021 – 20.09.2023 pentru 399 de angaja</w:t>
      </w:r>
      <w:r w:rsidR="00B13B9A" w:rsidRPr="00B13B9A">
        <w:rPr>
          <w:rFonts w:asciiTheme="majorHAnsi" w:hAnsiTheme="majorHAnsi" w:cstheme="majorHAnsi"/>
          <w:sz w:val="24"/>
          <w:szCs w:val="24"/>
          <w:lang w:val="ro-MD"/>
        </w:rPr>
        <w:t>ț</w:t>
      </w:r>
      <w:r w:rsidR="00EF1983" w:rsidRPr="00B13B9A">
        <w:rPr>
          <w:rFonts w:asciiTheme="majorHAnsi" w:hAnsiTheme="majorHAnsi" w:cstheme="majorHAnsi"/>
          <w:sz w:val="24"/>
          <w:szCs w:val="24"/>
          <w:lang w:val="ro-MD"/>
        </w:rPr>
        <w:t>i ai entită</w:t>
      </w:r>
      <w:r w:rsidR="00B13B9A" w:rsidRPr="00B13B9A">
        <w:rPr>
          <w:rFonts w:asciiTheme="majorHAnsi" w:hAnsiTheme="majorHAnsi" w:cstheme="majorHAnsi"/>
          <w:sz w:val="24"/>
          <w:szCs w:val="24"/>
          <w:lang w:val="ro-MD"/>
        </w:rPr>
        <w:t>ț</w:t>
      </w:r>
      <w:r w:rsidR="00EF1983" w:rsidRPr="00B13B9A">
        <w:rPr>
          <w:rFonts w:asciiTheme="majorHAnsi" w:hAnsiTheme="majorHAnsi" w:cstheme="majorHAnsi"/>
          <w:sz w:val="24"/>
          <w:szCs w:val="24"/>
          <w:lang w:val="ro-MD"/>
        </w:rPr>
        <w:t xml:space="preserve">ii auditate. </w:t>
      </w:r>
      <w:r w:rsidR="00F12CC8" w:rsidRPr="00B13B9A">
        <w:rPr>
          <w:rFonts w:asciiTheme="majorHAnsi" w:eastAsia="SimSun" w:hAnsiTheme="majorHAnsi" w:cstheme="majorHAnsi"/>
          <w:sz w:val="24"/>
          <w:szCs w:val="24"/>
          <w:lang w:val="ro-MD"/>
        </w:rPr>
        <w:t>Astfel, s-a constatat</w:t>
      </w:r>
      <w:r w:rsidR="00EF1983" w:rsidRPr="00B13B9A">
        <w:rPr>
          <w:rFonts w:asciiTheme="majorHAnsi" w:eastAsia="SimSun" w:hAnsiTheme="majorHAnsi" w:cstheme="majorHAnsi"/>
          <w:sz w:val="24"/>
          <w:szCs w:val="24"/>
          <w:lang w:val="ro-MD"/>
        </w:rPr>
        <w:t xml:space="preserve"> că </w:t>
      </w:r>
      <w:r w:rsidR="00F12CC8" w:rsidRPr="00B13B9A">
        <w:rPr>
          <w:rFonts w:asciiTheme="majorHAnsi" w:eastAsia="SimSun" w:hAnsiTheme="majorHAnsi" w:cstheme="majorHAnsi"/>
          <w:sz w:val="24"/>
          <w:szCs w:val="24"/>
          <w:lang w:val="ro-MD"/>
        </w:rPr>
        <w:t xml:space="preserve">pentru </w:t>
      </w:r>
      <w:r w:rsidR="00F12CC8" w:rsidRPr="00B13B9A">
        <w:rPr>
          <w:rFonts w:asciiTheme="majorHAnsi" w:hAnsiTheme="majorHAnsi" w:cstheme="majorHAnsi"/>
          <w:sz w:val="24"/>
          <w:szCs w:val="24"/>
          <w:lang w:val="ro-MD"/>
        </w:rPr>
        <w:t xml:space="preserve">34 </w:t>
      </w:r>
      <w:r w:rsidR="009D7A6B" w:rsidRPr="00B13B9A">
        <w:rPr>
          <w:rFonts w:asciiTheme="majorHAnsi" w:hAnsiTheme="majorHAnsi" w:cstheme="majorHAnsi"/>
          <w:sz w:val="24"/>
          <w:szCs w:val="24"/>
          <w:lang w:val="ro-MD"/>
        </w:rPr>
        <w:t xml:space="preserve">de </w:t>
      </w:r>
      <w:r w:rsidR="00F12CC8" w:rsidRPr="00B13B9A">
        <w:rPr>
          <w:rFonts w:asciiTheme="majorHAnsi" w:hAnsiTheme="majorHAnsi" w:cstheme="majorHAnsi"/>
          <w:sz w:val="24"/>
          <w:szCs w:val="24"/>
          <w:lang w:val="ro-MD"/>
        </w:rPr>
        <w:t>angaja</w:t>
      </w:r>
      <w:r w:rsidR="00B13B9A" w:rsidRPr="00B13B9A">
        <w:rPr>
          <w:rFonts w:asciiTheme="majorHAnsi" w:hAnsiTheme="majorHAnsi" w:cstheme="majorHAnsi"/>
          <w:sz w:val="24"/>
          <w:szCs w:val="24"/>
          <w:lang w:val="ro-MD"/>
        </w:rPr>
        <w:t>ț</w:t>
      </w:r>
      <w:r w:rsidR="00F12CC8" w:rsidRPr="00B13B9A">
        <w:rPr>
          <w:rFonts w:asciiTheme="majorHAnsi" w:hAnsiTheme="majorHAnsi" w:cstheme="majorHAnsi"/>
          <w:sz w:val="24"/>
          <w:szCs w:val="24"/>
          <w:lang w:val="ro-MD"/>
        </w:rPr>
        <w:t>i au fost achitate 52 de plă</w:t>
      </w:r>
      <w:r w:rsidR="00B13B9A" w:rsidRPr="00B13B9A">
        <w:rPr>
          <w:rFonts w:asciiTheme="majorHAnsi" w:hAnsiTheme="majorHAnsi" w:cstheme="majorHAnsi"/>
          <w:sz w:val="24"/>
          <w:szCs w:val="24"/>
          <w:lang w:val="ro-MD"/>
        </w:rPr>
        <w:t>ț</w:t>
      </w:r>
      <w:r w:rsidR="00F12CC8" w:rsidRPr="00B13B9A">
        <w:rPr>
          <w:rFonts w:asciiTheme="majorHAnsi" w:hAnsiTheme="majorHAnsi" w:cstheme="majorHAnsi"/>
          <w:sz w:val="24"/>
          <w:szCs w:val="24"/>
          <w:lang w:val="ro-MD"/>
        </w:rPr>
        <w:t>i salariale în sumă</w:t>
      </w:r>
      <w:r w:rsidR="00137557" w:rsidRPr="00B13B9A">
        <w:rPr>
          <w:rFonts w:asciiTheme="majorHAnsi" w:hAnsiTheme="majorHAnsi" w:cstheme="majorHAnsi"/>
          <w:sz w:val="24"/>
          <w:szCs w:val="24"/>
          <w:lang w:val="ro-MD"/>
        </w:rPr>
        <w:t xml:space="preserve"> de 47,1 </w:t>
      </w:r>
      <w:r w:rsidR="00EF1983" w:rsidRPr="00B13B9A">
        <w:rPr>
          <w:rFonts w:asciiTheme="majorHAnsi" w:hAnsiTheme="majorHAnsi" w:cstheme="majorHAnsi"/>
          <w:sz w:val="24"/>
          <w:szCs w:val="24"/>
          <w:lang w:val="ro-MD"/>
        </w:rPr>
        <w:t>mii lei efectuate neregulamentar, în timp ce angaja</w:t>
      </w:r>
      <w:r w:rsidR="00B13B9A" w:rsidRPr="00B13B9A">
        <w:rPr>
          <w:rFonts w:asciiTheme="majorHAnsi" w:hAnsiTheme="majorHAnsi" w:cstheme="majorHAnsi"/>
          <w:sz w:val="24"/>
          <w:szCs w:val="24"/>
          <w:lang w:val="ro-MD"/>
        </w:rPr>
        <w:t>ț</w:t>
      </w:r>
      <w:r w:rsidR="00EF1983" w:rsidRPr="00B13B9A">
        <w:rPr>
          <w:rFonts w:asciiTheme="majorHAnsi" w:hAnsiTheme="majorHAnsi" w:cstheme="majorHAnsi"/>
          <w:sz w:val="24"/>
          <w:szCs w:val="24"/>
          <w:lang w:val="ro-MD"/>
        </w:rPr>
        <w:t>ii nu se aflau în Republica Moldova. Mai mult decât atât, 10 angaja</w:t>
      </w:r>
      <w:r w:rsidR="00B13B9A" w:rsidRPr="00B13B9A">
        <w:rPr>
          <w:rFonts w:asciiTheme="majorHAnsi" w:hAnsiTheme="majorHAnsi" w:cstheme="majorHAnsi"/>
          <w:sz w:val="24"/>
          <w:szCs w:val="24"/>
          <w:lang w:val="ro-MD"/>
        </w:rPr>
        <w:t>ț</w:t>
      </w:r>
      <w:r w:rsidR="00EF1983" w:rsidRPr="00B13B9A">
        <w:rPr>
          <w:rFonts w:asciiTheme="majorHAnsi" w:hAnsiTheme="majorHAnsi" w:cstheme="majorHAnsi"/>
          <w:sz w:val="24"/>
          <w:szCs w:val="24"/>
          <w:lang w:val="ro-MD"/>
        </w:rPr>
        <w:t>i au fost tabela</w:t>
      </w:r>
      <w:r w:rsidR="00B13B9A" w:rsidRPr="00B13B9A">
        <w:rPr>
          <w:rFonts w:asciiTheme="majorHAnsi" w:hAnsiTheme="majorHAnsi" w:cstheme="majorHAnsi"/>
          <w:sz w:val="24"/>
          <w:szCs w:val="24"/>
          <w:lang w:val="ro-MD"/>
        </w:rPr>
        <w:t>ț</w:t>
      </w:r>
      <w:r w:rsidR="00EF1983" w:rsidRPr="00B13B9A">
        <w:rPr>
          <w:rFonts w:asciiTheme="majorHAnsi" w:hAnsiTheme="majorHAnsi" w:cstheme="majorHAnsi"/>
          <w:sz w:val="24"/>
          <w:szCs w:val="24"/>
          <w:lang w:val="ro-MD"/>
        </w:rPr>
        <w:t>i, de</w:t>
      </w:r>
      <w:r w:rsidR="00B13B9A" w:rsidRPr="00B13B9A">
        <w:rPr>
          <w:rFonts w:asciiTheme="majorHAnsi" w:hAnsiTheme="majorHAnsi" w:cstheme="majorHAnsi"/>
          <w:sz w:val="24"/>
          <w:szCs w:val="24"/>
          <w:lang w:val="ro-MD"/>
        </w:rPr>
        <w:t>ș</w:t>
      </w:r>
      <w:r w:rsidR="00EF1983" w:rsidRPr="00B13B9A">
        <w:rPr>
          <w:rFonts w:asciiTheme="majorHAnsi" w:hAnsiTheme="majorHAnsi" w:cstheme="majorHAnsi"/>
          <w:sz w:val="24"/>
          <w:szCs w:val="24"/>
          <w:lang w:val="ro-MD"/>
        </w:rPr>
        <w:t xml:space="preserve">i s-au aflat de mai multe ori în afara </w:t>
      </w:r>
      <w:r w:rsidR="00B13B9A" w:rsidRPr="00B13B9A">
        <w:rPr>
          <w:rFonts w:asciiTheme="majorHAnsi" w:hAnsiTheme="majorHAnsi" w:cstheme="majorHAnsi"/>
          <w:sz w:val="24"/>
          <w:szCs w:val="24"/>
          <w:lang w:val="ro-MD"/>
        </w:rPr>
        <w:t>ț</w:t>
      </w:r>
      <w:r w:rsidR="00EF1983" w:rsidRPr="00B13B9A">
        <w:rPr>
          <w:rFonts w:asciiTheme="majorHAnsi" w:hAnsiTheme="majorHAnsi" w:cstheme="majorHAnsi"/>
          <w:sz w:val="24"/>
          <w:szCs w:val="24"/>
          <w:lang w:val="ro-MD"/>
        </w:rPr>
        <w:t xml:space="preserve">ării. Numărul de zile aflate în afara </w:t>
      </w:r>
      <w:r w:rsidR="00B13B9A" w:rsidRPr="00B13B9A">
        <w:rPr>
          <w:rFonts w:asciiTheme="majorHAnsi" w:hAnsiTheme="majorHAnsi" w:cstheme="majorHAnsi"/>
          <w:sz w:val="24"/>
          <w:szCs w:val="24"/>
          <w:lang w:val="ro-MD"/>
        </w:rPr>
        <w:t>ț</w:t>
      </w:r>
      <w:r w:rsidR="00EF1983" w:rsidRPr="00B13B9A">
        <w:rPr>
          <w:rFonts w:asciiTheme="majorHAnsi" w:hAnsiTheme="majorHAnsi" w:cstheme="majorHAnsi"/>
          <w:sz w:val="24"/>
          <w:szCs w:val="24"/>
          <w:lang w:val="ro-MD"/>
        </w:rPr>
        <w:t xml:space="preserve">ării au variat de la 1 zi până la 12 zile, corelat cu numărul de ore </w:t>
      </w:r>
      <w:r w:rsidR="00A65275" w:rsidRPr="00B13B9A">
        <w:rPr>
          <w:rFonts w:asciiTheme="majorHAnsi" w:hAnsiTheme="majorHAnsi" w:cstheme="majorHAnsi"/>
          <w:sz w:val="24"/>
          <w:szCs w:val="24"/>
          <w:lang w:val="ro-MD"/>
        </w:rPr>
        <w:t>nelucrate</w:t>
      </w:r>
      <w:r w:rsidR="00EF1983" w:rsidRPr="00B13B9A">
        <w:rPr>
          <w:rFonts w:asciiTheme="majorHAnsi" w:hAnsiTheme="majorHAnsi" w:cstheme="majorHAnsi"/>
          <w:sz w:val="24"/>
          <w:szCs w:val="24"/>
          <w:lang w:val="ro-MD"/>
        </w:rPr>
        <w:t xml:space="preserve">, </w:t>
      </w:r>
      <w:r w:rsidR="00F12CC8" w:rsidRPr="00B13B9A">
        <w:rPr>
          <w:rFonts w:asciiTheme="majorHAnsi" w:hAnsiTheme="majorHAnsi" w:cstheme="majorHAnsi"/>
          <w:sz w:val="24"/>
          <w:szCs w:val="24"/>
          <w:lang w:val="ro-MD"/>
        </w:rPr>
        <w:t>care</w:t>
      </w:r>
      <w:r w:rsidR="00EF1983" w:rsidRPr="00B13B9A">
        <w:rPr>
          <w:rFonts w:asciiTheme="majorHAnsi" w:hAnsiTheme="majorHAnsi" w:cstheme="majorHAnsi"/>
          <w:sz w:val="24"/>
          <w:szCs w:val="24"/>
          <w:lang w:val="ro-MD"/>
        </w:rPr>
        <w:t xml:space="preserve"> variază de la 1,75 ore până la 78 </w:t>
      </w:r>
      <w:r w:rsidR="009D7A6B" w:rsidRPr="00B13B9A">
        <w:rPr>
          <w:rFonts w:asciiTheme="majorHAnsi" w:hAnsiTheme="majorHAnsi" w:cstheme="majorHAnsi"/>
          <w:sz w:val="24"/>
          <w:szCs w:val="24"/>
          <w:lang w:val="ro-MD"/>
        </w:rPr>
        <w:t xml:space="preserve">de </w:t>
      </w:r>
      <w:r w:rsidR="00EF1983" w:rsidRPr="00B13B9A">
        <w:rPr>
          <w:rFonts w:asciiTheme="majorHAnsi" w:hAnsiTheme="majorHAnsi" w:cstheme="majorHAnsi"/>
          <w:sz w:val="24"/>
          <w:szCs w:val="24"/>
          <w:lang w:val="ro-MD"/>
        </w:rPr>
        <w:t>ore. De men</w:t>
      </w:r>
      <w:r w:rsidR="00B13B9A" w:rsidRPr="00B13B9A">
        <w:rPr>
          <w:rFonts w:asciiTheme="majorHAnsi" w:hAnsiTheme="majorHAnsi" w:cstheme="majorHAnsi"/>
          <w:sz w:val="24"/>
          <w:szCs w:val="24"/>
          <w:lang w:val="ro-MD"/>
        </w:rPr>
        <w:t>ț</w:t>
      </w:r>
      <w:r w:rsidR="00EF1983" w:rsidRPr="00B13B9A">
        <w:rPr>
          <w:rFonts w:asciiTheme="majorHAnsi" w:hAnsiTheme="majorHAnsi" w:cstheme="majorHAnsi"/>
          <w:sz w:val="24"/>
          <w:szCs w:val="24"/>
          <w:lang w:val="ro-MD"/>
        </w:rPr>
        <w:t xml:space="preserve">ionat că numărul orelor nelucrate constituie ora intrării în </w:t>
      </w:r>
      <w:r w:rsidR="00B13B9A" w:rsidRPr="00B13B9A">
        <w:rPr>
          <w:rFonts w:asciiTheme="majorHAnsi" w:hAnsiTheme="majorHAnsi" w:cstheme="majorHAnsi"/>
          <w:sz w:val="24"/>
          <w:szCs w:val="24"/>
          <w:lang w:val="ro-MD"/>
        </w:rPr>
        <w:t>ț</w:t>
      </w:r>
      <w:r w:rsidR="00EF1983" w:rsidRPr="00B13B9A">
        <w:rPr>
          <w:rFonts w:asciiTheme="majorHAnsi" w:hAnsiTheme="majorHAnsi" w:cstheme="majorHAnsi"/>
          <w:sz w:val="24"/>
          <w:szCs w:val="24"/>
          <w:lang w:val="ro-MD"/>
        </w:rPr>
        <w:t>ară, ceea ce indică că</w:t>
      </w:r>
      <w:r w:rsidR="00A65275" w:rsidRPr="00B13B9A">
        <w:rPr>
          <w:rFonts w:asciiTheme="majorHAnsi" w:hAnsiTheme="majorHAnsi" w:cstheme="majorHAnsi"/>
          <w:sz w:val="24"/>
          <w:szCs w:val="24"/>
          <w:lang w:val="ro-MD"/>
        </w:rPr>
        <w:t>,</w:t>
      </w:r>
      <w:r w:rsidR="00EF1983" w:rsidRPr="00B13B9A">
        <w:rPr>
          <w:rFonts w:asciiTheme="majorHAnsi" w:hAnsiTheme="majorHAnsi" w:cstheme="majorHAnsi"/>
          <w:sz w:val="24"/>
          <w:szCs w:val="24"/>
          <w:lang w:val="ro-MD"/>
        </w:rPr>
        <w:t xml:space="preserve"> până la prezen</w:t>
      </w:r>
      <w:r w:rsidR="00B13B9A" w:rsidRPr="00B13B9A">
        <w:rPr>
          <w:rFonts w:asciiTheme="majorHAnsi" w:hAnsiTheme="majorHAnsi" w:cstheme="majorHAnsi"/>
          <w:sz w:val="24"/>
          <w:szCs w:val="24"/>
          <w:lang w:val="ro-MD"/>
        </w:rPr>
        <w:t>ț</w:t>
      </w:r>
      <w:r w:rsidR="00EF1983" w:rsidRPr="00B13B9A">
        <w:rPr>
          <w:rFonts w:asciiTheme="majorHAnsi" w:hAnsiTheme="majorHAnsi" w:cstheme="majorHAnsi"/>
          <w:sz w:val="24"/>
          <w:szCs w:val="24"/>
          <w:lang w:val="ro-MD"/>
        </w:rPr>
        <w:t>a la locul de muncă durează ore suplimentare, care de asemenea au fost achitate, dar neluate în calcul de audit.</w:t>
      </w:r>
    </w:p>
    <w:p w14:paraId="1F769360" w14:textId="35F8556A" w:rsidR="00EF1983" w:rsidRPr="00B13B9A" w:rsidRDefault="00EF1983" w:rsidP="00EF1983">
      <w:pPr>
        <w:spacing w:after="0" w:line="276" w:lineRule="auto"/>
        <w:jc w:val="both"/>
        <w:rPr>
          <w:rFonts w:asciiTheme="majorHAnsi" w:eastAsia="SimSun" w:hAnsiTheme="majorHAnsi" w:cstheme="majorHAnsi"/>
          <w:sz w:val="24"/>
          <w:szCs w:val="24"/>
          <w:lang w:val="ro-MD"/>
        </w:rPr>
      </w:pPr>
      <w:r w:rsidRPr="00B13B9A">
        <w:rPr>
          <w:rFonts w:asciiTheme="majorHAnsi" w:eastAsia="SimSun" w:hAnsiTheme="majorHAnsi" w:cstheme="majorHAnsi"/>
          <w:sz w:val="24"/>
          <w:szCs w:val="24"/>
          <w:lang w:val="ro-MD"/>
        </w:rPr>
        <w:t xml:space="preserve">În acest context, auditul denotă că mecanismele de control intern necesită a fi consolidate </w:t>
      </w:r>
      <w:r w:rsidR="00B13B9A" w:rsidRPr="00B13B9A">
        <w:rPr>
          <w:rFonts w:asciiTheme="majorHAnsi" w:eastAsia="SimSun" w:hAnsiTheme="majorHAnsi" w:cstheme="majorHAnsi"/>
          <w:sz w:val="24"/>
          <w:szCs w:val="24"/>
          <w:lang w:val="ro-MD"/>
        </w:rPr>
        <w:t>ș</w:t>
      </w:r>
      <w:r w:rsidRPr="00B13B9A">
        <w:rPr>
          <w:rFonts w:asciiTheme="majorHAnsi" w:eastAsia="SimSun" w:hAnsiTheme="majorHAnsi" w:cstheme="majorHAnsi"/>
          <w:sz w:val="24"/>
          <w:szCs w:val="24"/>
          <w:lang w:val="ro-MD"/>
        </w:rPr>
        <w:t>i îmbunătă</w:t>
      </w:r>
      <w:r w:rsidR="00B13B9A" w:rsidRPr="00B13B9A">
        <w:rPr>
          <w:rFonts w:asciiTheme="majorHAnsi" w:eastAsia="SimSun" w:hAnsiTheme="majorHAnsi" w:cstheme="majorHAnsi"/>
          <w:sz w:val="24"/>
          <w:szCs w:val="24"/>
          <w:lang w:val="ro-MD"/>
        </w:rPr>
        <w:t>ț</w:t>
      </w:r>
      <w:r w:rsidRPr="00B13B9A">
        <w:rPr>
          <w:rFonts w:asciiTheme="majorHAnsi" w:eastAsia="SimSun" w:hAnsiTheme="majorHAnsi" w:cstheme="majorHAnsi"/>
          <w:sz w:val="24"/>
          <w:szCs w:val="24"/>
          <w:lang w:val="ro-MD"/>
        </w:rPr>
        <w:t>ite în scopul asigurării conforme a procesului de salarizare.</w:t>
      </w:r>
    </w:p>
    <w:p w14:paraId="23009568" w14:textId="2A5DDE75" w:rsidR="00495592" w:rsidRPr="00B13B9A" w:rsidRDefault="00495592" w:rsidP="00EF1983">
      <w:pPr>
        <w:spacing w:after="0" w:line="276" w:lineRule="auto"/>
        <w:jc w:val="both"/>
        <w:rPr>
          <w:rFonts w:asciiTheme="majorHAnsi" w:eastAsia="SimSun" w:hAnsiTheme="majorHAnsi" w:cstheme="majorHAnsi"/>
          <w:i/>
          <w:sz w:val="24"/>
          <w:szCs w:val="24"/>
          <w:lang w:val="ro-MD"/>
        </w:rPr>
      </w:pPr>
      <w:r w:rsidRPr="000B206B">
        <w:rPr>
          <w:rFonts w:asciiTheme="majorHAnsi" w:eastAsia="SimSun" w:hAnsiTheme="majorHAnsi" w:cstheme="majorHAnsi"/>
          <w:i/>
          <w:sz w:val="24"/>
          <w:szCs w:val="24"/>
          <w:lang w:val="ro-MD"/>
        </w:rPr>
        <w:t>*Notă: Pe parcursul misiunii de audit, entitatea a colectat cereri de la angaja</w:t>
      </w:r>
      <w:r w:rsidR="00B13B9A" w:rsidRPr="000B206B">
        <w:rPr>
          <w:rFonts w:asciiTheme="majorHAnsi" w:eastAsia="SimSun" w:hAnsiTheme="majorHAnsi" w:cstheme="majorHAnsi"/>
          <w:i/>
          <w:sz w:val="24"/>
          <w:szCs w:val="24"/>
          <w:lang w:val="ro-MD"/>
        </w:rPr>
        <w:t>ț</w:t>
      </w:r>
      <w:r w:rsidRPr="000B206B">
        <w:rPr>
          <w:rFonts w:asciiTheme="majorHAnsi" w:eastAsia="SimSun" w:hAnsiTheme="majorHAnsi" w:cstheme="majorHAnsi"/>
          <w:i/>
          <w:sz w:val="24"/>
          <w:szCs w:val="24"/>
          <w:lang w:val="ro-MD"/>
        </w:rPr>
        <w:t>i privind re</w:t>
      </w:r>
      <w:r w:rsidR="00B13B9A" w:rsidRPr="000B206B">
        <w:rPr>
          <w:rFonts w:asciiTheme="majorHAnsi" w:eastAsia="SimSun" w:hAnsiTheme="majorHAnsi" w:cstheme="majorHAnsi"/>
          <w:i/>
          <w:sz w:val="24"/>
          <w:szCs w:val="24"/>
          <w:lang w:val="ro-MD"/>
        </w:rPr>
        <w:t>ț</w:t>
      </w:r>
      <w:r w:rsidRPr="000B206B">
        <w:rPr>
          <w:rFonts w:asciiTheme="majorHAnsi" w:eastAsia="SimSun" w:hAnsiTheme="majorHAnsi" w:cstheme="majorHAnsi"/>
          <w:i/>
          <w:sz w:val="24"/>
          <w:szCs w:val="24"/>
          <w:lang w:val="ro-MD"/>
        </w:rPr>
        <w:t xml:space="preserve">inerea din salariu </w:t>
      </w:r>
      <w:r w:rsidR="008B0C9D" w:rsidRPr="000B206B">
        <w:rPr>
          <w:rFonts w:asciiTheme="majorHAnsi" w:eastAsia="SimSun" w:hAnsiTheme="majorHAnsi" w:cstheme="majorHAnsi"/>
          <w:i/>
          <w:sz w:val="24"/>
          <w:szCs w:val="24"/>
          <w:lang w:val="ro-MD"/>
        </w:rPr>
        <w:t>a sumelor achitate necuvenit</w:t>
      </w:r>
      <w:r w:rsidR="00E73BD8" w:rsidRPr="000B206B">
        <w:rPr>
          <w:rFonts w:asciiTheme="majorHAnsi" w:eastAsia="SimSun" w:hAnsiTheme="majorHAnsi" w:cstheme="majorHAnsi"/>
          <w:i/>
          <w:sz w:val="24"/>
          <w:szCs w:val="24"/>
          <w:lang w:val="ro-MD"/>
        </w:rPr>
        <w:t>,</w:t>
      </w:r>
      <w:r w:rsidR="008B0C9D" w:rsidRPr="000B206B">
        <w:rPr>
          <w:rFonts w:asciiTheme="majorHAnsi" w:eastAsia="SimSun" w:hAnsiTheme="majorHAnsi" w:cstheme="majorHAnsi"/>
          <w:i/>
          <w:sz w:val="24"/>
          <w:szCs w:val="24"/>
          <w:lang w:val="ro-MD"/>
        </w:rPr>
        <w:t xml:space="preserve"> în baza Ordinului </w:t>
      </w:r>
      <w:r w:rsidR="00031D88" w:rsidRPr="000B206B">
        <w:rPr>
          <w:rFonts w:asciiTheme="majorHAnsi" w:eastAsia="SimSun" w:hAnsiTheme="majorHAnsi" w:cstheme="majorHAnsi"/>
          <w:i/>
          <w:sz w:val="24"/>
          <w:szCs w:val="24"/>
          <w:lang w:val="ro-MD"/>
        </w:rPr>
        <w:t xml:space="preserve">directorului </w:t>
      </w:r>
      <w:r w:rsidR="00031D88" w:rsidRPr="000B206B">
        <w:rPr>
          <w:rFonts w:asciiTheme="majorHAnsi" w:hAnsiTheme="majorHAnsi" w:cstheme="majorHAnsi"/>
          <w:i/>
          <w:sz w:val="24"/>
          <w:szCs w:val="24"/>
          <w:lang w:val="ro-MD"/>
        </w:rPr>
        <w:t>IMSP IFP „Chiril Draganiuc”</w:t>
      </w:r>
      <w:r w:rsidR="00031D88" w:rsidRPr="000B206B">
        <w:rPr>
          <w:rFonts w:cstheme="majorHAnsi"/>
          <w:lang w:val="ro-MD"/>
        </w:rPr>
        <w:t xml:space="preserve"> </w:t>
      </w:r>
      <w:r w:rsidR="008B0C9D" w:rsidRPr="000B206B">
        <w:rPr>
          <w:rFonts w:asciiTheme="majorHAnsi" w:eastAsia="SimSun" w:hAnsiTheme="majorHAnsi" w:cstheme="majorHAnsi"/>
          <w:i/>
          <w:sz w:val="24"/>
          <w:szCs w:val="24"/>
          <w:lang w:val="ro-MD"/>
        </w:rPr>
        <w:t xml:space="preserve"> nr</w:t>
      </w:r>
      <w:r w:rsidR="00137557" w:rsidRPr="000B206B">
        <w:rPr>
          <w:rFonts w:asciiTheme="majorHAnsi" w:eastAsia="SimSun" w:hAnsiTheme="majorHAnsi" w:cstheme="majorHAnsi"/>
          <w:i/>
          <w:sz w:val="24"/>
          <w:szCs w:val="24"/>
          <w:lang w:val="ro-MD"/>
        </w:rPr>
        <w:t xml:space="preserve">.113 din 07.12.2023. </w:t>
      </w:r>
      <w:r w:rsidR="00980A00" w:rsidRPr="000B206B">
        <w:rPr>
          <w:rFonts w:asciiTheme="majorHAnsi" w:eastAsia="SimSun" w:hAnsiTheme="majorHAnsi" w:cstheme="majorHAnsi"/>
          <w:i/>
          <w:sz w:val="24"/>
          <w:szCs w:val="24"/>
          <w:lang w:val="ro-MD"/>
        </w:rPr>
        <w:t>De la</w:t>
      </w:r>
      <w:r w:rsidR="00B1642D" w:rsidRPr="000B206B">
        <w:rPr>
          <w:rFonts w:asciiTheme="majorHAnsi" w:eastAsia="SimSun" w:hAnsiTheme="majorHAnsi" w:cstheme="majorHAnsi"/>
          <w:i/>
          <w:sz w:val="24"/>
          <w:szCs w:val="24"/>
          <w:lang w:val="ro-MD"/>
        </w:rPr>
        <w:t xml:space="preserve"> 7 persoane au fost recuperate 7,6</w:t>
      </w:r>
      <w:r w:rsidR="00137557" w:rsidRPr="000B206B">
        <w:rPr>
          <w:rFonts w:asciiTheme="majorHAnsi" w:eastAsia="SimSun" w:hAnsiTheme="majorHAnsi" w:cstheme="majorHAnsi"/>
          <w:i/>
          <w:sz w:val="24"/>
          <w:szCs w:val="24"/>
          <w:lang w:val="ro-MD"/>
        </w:rPr>
        <w:t xml:space="preserve"> mii lei, iar</w:t>
      </w:r>
      <w:r w:rsidR="00980A00" w:rsidRPr="000B206B">
        <w:rPr>
          <w:rFonts w:asciiTheme="majorHAnsi" w:eastAsia="SimSun" w:hAnsiTheme="majorHAnsi" w:cstheme="majorHAnsi"/>
          <w:i/>
          <w:sz w:val="24"/>
          <w:szCs w:val="24"/>
          <w:lang w:val="ro-MD"/>
        </w:rPr>
        <w:t xml:space="preserve"> de la</w:t>
      </w:r>
      <w:r w:rsidR="00B1642D" w:rsidRPr="000B206B">
        <w:rPr>
          <w:rFonts w:asciiTheme="majorHAnsi" w:eastAsia="SimSun" w:hAnsiTheme="majorHAnsi" w:cstheme="majorHAnsi"/>
          <w:i/>
          <w:sz w:val="24"/>
          <w:szCs w:val="24"/>
          <w:lang w:val="ro-MD"/>
        </w:rPr>
        <w:t xml:space="preserve"> 27</w:t>
      </w:r>
      <w:r w:rsidR="00137557" w:rsidRPr="000B206B">
        <w:rPr>
          <w:rFonts w:asciiTheme="majorHAnsi" w:eastAsia="SimSun" w:hAnsiTheme="majorHAnsi" w:cstheme="majorHAnsi"/>
          <w:i/>
          <w:sz w:val="24"/>
          <w:szCs w:val="24"/>
          <w:lang w:val="ro-MD"/>
        </w:rPr>
        <w:t xml:space="preserve"> </w:t>
      </w:r>
      <w:r w:rsidR="00980A00" w:rsidRPr="000B206B">
        <w:rPr>
          <w:rFonts w:asciiTheme="majorHAnsi" w:eastAsia="SimSun" w:hAnsiTheme="majorHAnsi" w:cstheme="majorHAnsi"/>
          <w:i/>
          <w:sz w:val="24"/>
          <w:szCs w:val="24"/>
          <w:lang w:val="ro-MD"/>
        </w:rPr>
        <w:t xml:space="preserve">de </w:t>
      </w:r>
      <w:r w:rsidR="00137557" w:rsidRPr="000B206B">
        <w:rPr>
          <w:rFonts w:asciiTheme="majorHAnsi" w:eastAsia="SimSun" w:hAnsiTheme="majorHAnsi" w:cstheme="majorHAnsi"/>
          <w:i/>
          <w:sz w:val="24"/>
          <w:szCs w:val="24"/>
          <w:lang w:val="ro-MD"/>
        </w:rPr>
        <w:t>angaja</w:t>
      </w:r>
      <w:r w:rsidR="00B13B9A" w:rsidRPr="000B206B">
        <w:rPr>
          <w:rFonts w:asciiTheme="majorHAnsi" w:eastAsia="SimSun" w:hAnsiTheme="majorHAnsi" w:cstheme="majorHAnsi"/>
          <w:i/>
          <w:sz w:val="24"/>
          <w:szCs w:val="24"/>
          <w:lang w:val="ro-MD"/>
        </w:rPr>
        <w:t>ț</w:t>
      </w:r>
      <w:r w:rsidR="00137557" w:rsidRPr="000B206B">
        <w:rPr>
          <w:rFonts w:asciiTheme="majorHAnsi" w:eastAsia="SimSun" w:hAnsiTheme="majorHAnsi" w:cstheme="majorHAnsi"/>
          <w:i/>
          <w:sz w:val="24"/>
          <w:szCs w:val="24"/>
          <w:lang w:val="ro-MD"/>
        </w:rPr>
        <w:t xml:space="preserve">i </w:t>
      </w:r>
      <w:r w:rsidRPr="000B206B">
        <w:rPr>
          <w:rFonts w:asciiTheme="majorHAnsi" w:eastAsia="SimSun" w:hAnsiTheme="majorHAnsi" w:cstheme="majorHAnsi"/>
          <w:i/>
          <w:sz w:val="24"/>
          <w:szCs w:val="24"/>
          <w:lang w:val="ro-MD"/>
        </w:rPr>
        <w:t>urmează a fi re</w:t>
      </w:r>
      <w:r w:rsidR="00667422" w:rsidRPr="000B206B">
        <w:rPr>
          <w:rFonts w:asciiTheme="majorHAnsi" w:eastAsia="SimSun" w:hAnsiTheme="majorHAnsi" w:cstheme="majorHAnsi"/>
          <w:i/>
          <w:sz w:val="24"/>
          <w:szCs w:val="24"/>
          <w:lang w:val="ro-MD"/>
        </w:rPr>
        <w:t>turnată</w:t>
      </w:r>
      <w:r w:rsidR="00137557" w:rsidRPr="000B206B">
        <w:rPr>
          <w:rFonts w:asciiTheme="majorHAnsi" w:eastAsia="SimSun" w:hAnsiTheme="majorHAnsi" w:cstheme="majorHAnsi"/>
          <w:i/>
          <w:sz w:val="24"/>
          <w:szCs w:val="24"/>
          <w:lang w:val="ro-MD"/>
        </w:rPr>
        <w:t xml:space="preserve"> suma </w:t>
      </w:r>
      <w:r w:rsidR="00980A00" w:rsidRPr="000B206B">
        <w:rPr>
          <w:rFonts w:asciiTheme="majorHAnsi" w:eastAsia="SimSun" w:hAnsiTheme="majorHAnsi" w:cstheme="majorHAnsi"/>
          <w:i/>
          <w:sz w:val="24"/>
          <w:szCs w:val="24"/>
          <w:lang w:val="ro-MD"/>
        </w:rPr>
        <w:t>d</w:t>
      </w:r>
      <w:r w:rsidR="00B1642D" w:rsidRPr="000B206B">
        <w:rPr>
          <w:rFonts w:asciiTheme="majorHAnsi" w:eastAsia="SimSun" w:hAnsiTheme="majorHAnsi" w:cstheme="majorHAnsi"/>
          <w:i/>
          <w:sz w:val="24"/>
          <w:szCs w:val="24"/>
          <w:lang w:val="ro-MD"/>
        </w:rPr>
        <w:t>e 39,5</w:t>
      </w:r>
      <w:r w:rsidR="00137557" w:rsidRPr="000B206B">
        <w:rPr>
          <w:rFonts w:asciiTheme="majorHAnsi" w:eastAsia="SimSun" w:hAnsiTheme="majorHAnsi" w:cstheme="majorHAnsi"/>
          <w:i/>
          <w:sz w:val="24"/>
          <w:szCs w:val="24"/>
          <w:lang w:val="ro-MD"/>
        </w:rPr>
        <w:t xml:space="preserve"> mii lei</w:t>
      </w:r>
      <w:r w:rsidR="00120E5E" w:rsidRPr="000B206B">
        <w:rPr>
          <w:rFonts w:asciiTheme="majorHAnsi" w:eastAsia="SimSun" w:hAnsiTheme="majorHAnsi" w:cstheme="majorHAnsi"/>
          <w:i/>
          <w:sz w:val="24"/>
          <w:szCs w:val="24"/>
          <w:lang w:val="ro-MD"/>
        </w:rPr>
        <w:t>.</w:t>
      </w:r>
      <w:r w:rsidR="00980A00" w:rsidRPr="00B13B9A">
        <w:rPr>
          <w:rFonts w:asciiTheme="majorHAnsi" w:eastAsia="SimSun" w:hAnsiTheme="majorHAnsi" w:cstheme="majorHAnsi"/>
          <w:i/>
          <w:sz w:val="24"/>
          <w:szCs w:val="24"/>
          <w:lang w:val="ro-MD"/>
        </w:rPr>
        <w:t xml:space="preserve"> </w:t>
      </w:r>
    </w:p>
    <w:p w14:paraId="68706DDA" w14:textId="77777777" w:rsidR="00EF1983" w:rsidRPr="00B13B9A" w:rsidRDefault="00EF1983" w:rsidP="00EF1983">
      <w:pPr>
        <w:spacing w:after="0" w:line="276" w:lineRule="auto"/>
        <w:jc w:val="both"/>
        <w:rPr>
          <w:rFonts w:asciiTheme="majorHAnsi" w:eastAsia="SimSun" w:hAnsiTheme="majorHAnsi" w:cstheme="majorHAnsi"/>
          <w:sz w:val="24"/>
          <w:szCs w:val="24"/>
          <w:lang w:val="ro-MD"/>
        </w:rPr>
      </w:pPr>
    </w:p>
    <w:p w14:paraId="3C333171" w14:textId="2612291E" w:rsidR="00EF1983" w:rsidRPr="00B13B9A" w:rsidRDefault="00EF1983" w:rsidP="00241AB3">
      <w:pPr>
        <w:pStyle w:val="3"/>
        <w:numPr>
          <w:ilvl w:val="2"/>
          <w:numId w:val="10"/>
        </w:numPr>
        <w:spacing w:line="276" w:lineRule="auto"/>
        <w:ind w:left="0" w:firstLine="0"/>
        <w:jc w:val="both"/>
        <w:rPr>
          <w:rFonts w:cstheme="majorHAnsi"/>
          <w:b/>
          <w:i/>
          <w:color w:val="auto"/>
          <w:lang w:eastAsia="ro-RO"/>
        </w:rPr>
      </w:pPr>
      <w:bookmarkStart w:id="33" w:name="_Toc95406293"/>
      <w:bookmarkStart w:id="34" w:name="_Toc154562508"/>
      <w:r w:rsidRPr="00B13B9A">
        <w:rPr>
          <w:rFonts w:cstheme="majorHAnsi"/>
          <w:b/>
          <w:color w:val="auto"/>
          <w:lang w:eastAsia="ro-RO"/>
        </w:rPr>
        <w:t xml:space="preserve">Managerul </w:t>
      </w:r>
      <w:r w:rsidR="007321FB" w:rsidRPr="00B13B9A">
        <w:rPr>
          <w:rFonts w:cstheme="majorHAnsi"/>
          <w:b/>
          <w:color w:val="auto"/>
        </w:rPr>
        <w:t>IMSP IFP „Chiril Draganiuc”</w:t>
      </w:r>
      <w:r w:rsidR="007321FB" w:rsidRPr="00B13B9A">
        <w:rPr>
          <w:rFonts w:cstheme="majorHAnsi"/>
          <w:color w:val="auto"/>
        </w:rPr>
        <w:t xml:space="preserve"> </w:t>
      </w:r>
      <w:r w:rsidRPr="00B13B9A">
        <w:rPr>
          <w:rFonts w:cstheme="majorHAnsi"/>
          <w:b/>
          <w:color w:val="auto"/>
          <w:lang w:eastAsia="ro-RO"/>
        </w:rPr>
        <w:t xml:space="preserve">nu a asigurat în totalitate desemnarea prin ordine a </w:t>
      </w:r>
      <w:r w:rsidRPr="00B13B9A">
        <w:rPr>
          <w:rFonts w:cstheme="majorHAnsi"/>
          <w:b/>
          <w:bCs/>
          <w:color w:val="auto"/>
          <w:lang w:eastAsia="ro-RO"/>
        </w:rPr>
        <w:t>personalului antrenat nemijlocit în tratamentul pacien</w:t>
      </w:r>
      <w:r w:rsidR="00B13B9A" w:rsidRPr="00B13B9A">
        <w:rPr>
          <w:rFonts w:cstheme="majorHAnsi"/>
          <w:b/>
          <w:bCs/>
          <w:color w:val="auto"/>
          <w:lang w:eastAsia="ro-RO"/>
        </w:rPr>
        <w:t>ț</w:t>
      </w:r>
      <w:r w:rsidRPr="00B13B9A">
        <w:rPr>
          <w:rFonts w:cstheme="majorHAnsi"/>
          <w:b/>
          <w:bCs/>
          <w:color w:val="auto"/>
          <w:lang w:eastAsia="ro-RO"/>
        </w:rPr>
        <w:t>ilor infecta</w:t>
      </w:r>
      <w:r w:rsidR="00B13B9A" w:rsidRPr="00B13B9A">
        <w:rPr>
          <w:rFonts w:cstheme="majorHAnsi"/>
          <w:b/>
          <w:bCs/>
          <w:color w:val="auto"/>
          <w:lang w:eastAsia="ro-RO"/>
        </w:rPr>
        <w:t>ț</w:t>
      </w:r>
      <w:r w:rsidRPr="00B13B9A">
        <w:rPr>
          <w:rFonts w:cstheme="majorHAnsi"/>
          <w:b/>
          <w:bCs/>
          <w:color w:val="auto"/>
          <w:lang w:eastAsia="ro-RO"/>
        </w:rPr>
        <w:t>i cu COVID-19</w:t>
      </w:r>
      <w:r w:rsidRPr="00B13B9A">
        <w:rPr>
          <w:rFonts w:cstheme="majorHAnsi"/>
          <w:b/>
          <w:color w:val="auto"/>
          <w:lang w:eastAsia="ro-RO"/>
        </w:rPr>
        <w:t xml:space="preserve">, ceea ce a determinat </w:t>
      </w:r>
      <w:r w:rsidRPr="00B13B9A">
        <w:rPr>
          <w:rFonts w:cstheme="majorHAnsi"/>
          <w:b/>
          <w:color w:val="auto"/>
          <w:szCs w:val="28"/>
        </w:rPr>
        <w:t xml:space="preserve">raportarea necorespunzătoare, solicitarea </w:t>
      </w:r>
      <w:r w:rsidR="00B13B9A" w:rsidRPr="00B13B9A">
        <w:rPr>
          <w:rFonts w:cstheme="majorHAnsi"/>
          <w:b/>
          <w:color w:val="auto"/>
          <w:szCs w:val="28"/>
        </w:rPr>
        <w:t>ș</w:t>
      </w:r>
      <w:r w:rsidRPr="00B13B9A">
        <w:rPr>
          <w:rFonts w:cstheme="majorHAnsi"/>
          <w:b/>
          <w:color w:val="auto"/>
          <w:szCs w:val="28"/>
        </w:rPr>
        <w:t xml:space="preserve">i alocarea de mijloace financiare </w:t>
      </w:r>
      <w:r w:rsidR="006625ED" w:rsidRPr="00B13B9A">
        <w:rPr>
          <w:rFonts w:cstheme="majorHAnsi"/>
          <w:b/>
          <w:color w:val="auto"/>
          <w:szCs w:val="28"/>
        </w:rPr>
        <w:t xml:space="preserve">suplimentare </w:t>
      </w:r>
      <w:r w:rsidRPr="00B13B9A">
        <w:rPr>
          <w:rFonts w:cstheme="majorHAnsi"/>
          <w:b/>
          <w:color w:val="auto"/>
          <w:szCs w:val="28"/>
        </w:rPr>
        <w:t xml:space="preserve">din FAOAM în sumă de </w:t>
      </w:r>
      <w:r w:rsidRPr="00B13B9A">
        <w:rPr>
          <w:rFonts w:cstheme="majorHAnsi"/>
          <w:b/>
          <w:bCs/>
          <w:color w:val="auto"/>
          <w:szCs w:val="28"/>
          <w:lang w:eastAsia="ro-RO"/>
        </w:rPr>
        <w:t>110</w:t>
      </w:r>
      <w:r w:rsidR="00943312" w:rsidRPr="00B13B9A">
        <w:rPr>
          <w:rFonts w:cstheme="majorHAnsi"/>
          <w:b/>
          <w:bCs/>
          <w:color w:val="auto"/>
          <w:szCs w:val="28"/>
          <w:lang w:eastAsia="ro-RO"/>
        </w:rPr>
        <w:t>,0</w:t>
      </w:r>
      <w:r w:rsidRPr="00B13B9A">
        <w:rPr>
          <w:rFonts w:cstheme="majorHAnsi"/>
          <w:b/>
          <w:bCs/>
          <w:color w:val="auto"/>
          <w:szCs w:val="28"/>
          <w:lang w:eastAsia="ro-RO"/>
        </w:rPr>
        <w:t xml:space="preserve"> mii</w:t>
      </w:r>
      <w:r w:rsidRPr="00B13B9A">
        <w:rPr>
          <w:rFonts w:cstheme="majorHAnsi"/>
          <w:b/>
          <w:color w:val="auto"/>
          <w:szCs w:val="28"/>
        </w:rPr>
        <w:t xml:space="preserve"> lei</w:t>
      </w:r>
      <w:bookmarkEnd w:id="33"/>
      <w:r w:rsidR="006625ED" w:rsidRPr="00B13B9A">
        <w:rPr>
          <w:rFonts w:cstheme="majorHAnsi"/>
          <w:b/>
          <w:color w:val="auto"/>
          <w:szCs w:val="28"/>
        </w:rPr>
        <w:t>.</w:t>
      </w:r>
      <w:bookmarkEnd w:id="34"/>
      <w:r w:rsidRPr="00B13B9A">
        <w:rPr>
          <w:rFonts w:cstheme="majorHAnsi"/>
          <w:b/>
          <w:color w:val="auto"/>
          <w:szCs w:val="28"/>
        </w:rPr>
        <w:t xml:space="preserve"> </w:t>
      </w:r>
      <w:r w:rsidRPr="00B13B9A">
        <w:rPr>
          <w:rFonts w:cstheme="majorHAnsi"/>
          <w:b/>
          <w:color w:val="auto"/>
          <w:sz w:val="28"/>
          <w:lang w:eastAsia="ro-RO"/>
        </w:rPr>
        <w:t xml:space="preserve"> </w:t>
      </w:r>
    </w:p>
    <w:p w14:paraId="12FC8F73" w14:textId="7313A6B2" w:rsidR="00EF1983" w:rsidRPr="00B13B9A" w:rsidRDefault="00EF1983" w:rsidP="00EF1983">
      <w:pPr>
        <w:spacing w:after="0" w:line="276" w:lineRule="auto"/>
        <w:jc w:val="both"/>
        <w:rPr>
          <w:rFonts w:asciiTheme="majorHAnsi" w:hAnsiTheme="majorHAnsi" w:cstheme="majorHAnsi"/>
          <w:bCs/>
          <w:sz w:val="24"/>
          <w:szCs w:val="24"/>
          <w:lang w:val="ro-MD" w:eastAsia="ro-RO"/>
        </w:rPr>
      </w:pPr>
      <w:r w:rsidRPr="00B13B9A">
        <w:rPr>
          <w:rFonts w:asciiTheme="majorHAnsi" w:hAnsiTheme="majorHAnsi" w:cstheme="majorHAnsi"/>
          <w:bCs/>
          <w:sz w:val="24"/>
          <w:szCs w:val="24"/>
          <w:lang w:val="ro-MD" w:eastAsia="ro-RO"/>
        </w:rPr>
        <w:t>În scopul consolidării ac</w:t>
      </w:r>
      <w:r w:rsidR="00B13B9A" w:rsidRPr="00B13B9A">
        <w:rPr>
          <w:rFonts w:asciiTheme="majorHAnsi" w:hAnsiTheme="majorHAnsi" w:cstheme="majorHAnsi"/>
          <w:bCs/>
          <w:sz w:val="24"/>
          <w:szCs w:val="24"/>
          <w:lang w:val="ro-MD" w:eastAsia="ro-RO"/>
        </w:rPr>
        <w:t>ț</w:t>
      </w:r>
      <w:r w:rsidRPr="00B13B9A">
        <w:rPr>
          <w:rFonts w:asciiTheme="majorHAnsi" w:hAnsiTheme="majorHAnsi" w:cstheme="majorHAnsi"/>
          <w:bCs/>
          <w:sz w:val="24"/>
          <w:szCs w:val="24"/>
          <w:lang w:val="ro-MD" w:eastAsia="ro-RO"/>
        </w:rPr>
        <w:t xml:space="preserve">iunilor de prevenire </w:t>
      </w:r>
      <w:r w:rsidR="00B13B9A" w:rsidRPr="00B13B9A">
        <w:rPr>
          <w:rFonts w:asciiTheme="majorHAnsi" w:hAnsiTheme="majorHAnsi" w:cstheme="majorHAnsi"/>
          <w:bCs/>
          <w:sz w:val="24"/>
          <w:szCs w:val="24"/>
          <w:lang w:val="ro-MD" w:eastAsia="ro-RO"/>
        </w:rPr>
        <w:t>ș</w:t>
      </w:r>
      <w:r w:rsidRPr="00B13B9A">
        <w:rPr>
          <w:rFonts w:asciiTheme="majorHAnsi" w:hAnsiTheme="majorHAnsi" w:cstheme="majorHAnsi"/>
          <w:bCs/>
          <w:sz w:val="24"/>
          <w:szCs w:val="24"/>
          <w:lang w:val="ro-MD" w:eastAsia="ro-RO"/>
        </w:rPr>
        <w:t>i control al infec</w:t>
      </w:r>
      <w:r w:rsidR="00B13B9A" w:rsidRPr="00B13B9A">
        <w:rPr>
          <w:rFonts w:asciiTheme="majorHAnsi" w:hAnsiTheme="majorHAnsi" w:cstheme="majorHAnsi"/>
          <w:bCs/>
          <w:sz w:val="24"/>
          <w:szCs w:val="24"/>
          <w:lang w:val="ro-MD" w:eastAsia="ro-RO"/>
        </w:rPr>
        <w:t>ț</w:t>
      </w:r>
      <w:r w:rsidRPr="00B13B9A">
        <w:rPr>
          <w:rFonts w:asciiTheme="majorHAnsi" w:hAnsiTheme="majorHAnsi" w:cstheme="majorHAnsi"/>
          <w:bCs/>
          <w:sz w:val="24"/>
          <w:szCs w:val="24"/>
          <w:lang w:val="ro-MD" w:eastAsia="ro-RO"/>
        </w:rPr>
        <w:t xml:space="preserve">iei COVID-19, precum </w:t>
      </w:r>
      <w:r w:rsidR="00B13B9A" w:rsidRPr="00B13B9A">
        <w:rPr>
          <w:rFonts w:asciiTheme="majorHAnsi" w:hAnsiTheme="majorHAnsi" w:cstheme="majorHAnsi"/>
          <w:bCs/>
          <w:sz w:val="24"/>
          <w:szCs w:val="24"/>
          <w:lang w:val="ro-MD" w:eastAsia="ro-RO"/>
        </w:rPr>
        <w:t>ș</w:t>
      </w:r>
      <w:r w:rsidRPr="00B13B9A">
        <w:rPr>
          <w:rFonts w:asciiTheme="majorHAnsi" w:hAnsiTheme="majorHAnsi" w:cstheme="majorHAnsi"/>
          <w:bCs/>
          <w:sz w:val="24"/>
          <w:szCs w:val="24"/>
          <w:lang w:val="ro-MD" w:eastAsia="ro-RO"/>
        </w:rPr>
        <w:t>i în legătură cu evolu</w:t>
      </w:r>
      <w:r w:rsidR="00B13B9A" w:rsidRPr="00B13B9A">
        <w:rPr>
          <w:rFonts w:asciiTheme="majorHAnsi" w:hAnsiTheme="majorHAnsi" w:cstheme="majorHAnsi"/>
          <w:bCs/>
          <w:sz w:val="24"/>
          <w:szCs w:val="24"/>
          <w:lang w:val="ro-MD" w:eastAsia="ro-RO"/>
        </w:rPr>
        <w:t>ț</w:t>
      </w:r>
      <w:r w:rsidRPr="00B13B9A">
        <w:rPr>
          <w:rFonts w:asciiTheme="majorHAnsi" w:hAnsiTheme="majorHAnsi" w:cstheme="majorHAnsi"/>
          <w:bCs/>
          <w:sz w:val="24"/>
          <w:szCs w:val="24"/>
          <w:lang w:val="ro-MD" w:eastAsia="ro-RO"/>
        </w:rPr>
        <w:t>ia epidemiologic</w:t>
      </w:r>
      <w:r w:rsidR="00943312" w:rsidRPr="00B13B9A">
        <w:rPr>
          <w:rFonts w:asciiTheme="majorHAnsi" w:hAnsiTheme="majorHAnsi" w:cstheme="majorHAnsi"/>
          <w:bCs/>
          <w:sz w:val="24"/>
          <w:szCs w:val="24"/>
          <w:lang w:val="ro-MD" w:eastAsia="ro-RO"/>
        </w:rPr>
        <w:t>ă a infec</w:t>
      </w:r>
      <w:r w:rsidR="00B13B9A" w:rsidRPr="00B13B9A">
        <w:rPr>
          <w:rFonts w:asciiTheme="majorHAnsi" w:hAnsiTheme="majorHAnsi" w:cstheme="majorHAnsi"/>
          <w:bCs/>
          <w:sz w:val="24"/>
          <w:szCs w:val="24"/>
          <w:lang w:val="ro-MD" w:eastAsia="ro-RO"/>
        </w:rPr>
        <w:t>ț</w:t>
      </w:r>
      <w:r w:rsidR="00943312" w:rsidRPr="00B13B9A">
        <w:rPr>
          <w:rFonts w:asciiTheme="majorHAnsi" w:hAnsiTheme="majorHAnsi" w:cstheme="majorHAnsi"/>
          <w:bCs/>
          <w:sz w:val="24"/>
          <w:szCs w:val="24"/>
          <w:lang w:val="ro-MD" w:eastAsia="ro-RO"/>
        </w:rPr>
        <w:t>iei cu COVID-19, ministerul</w:t>
      </w:r>
      <w:r w:rsidRPr="00B13B9A">
        <w:rPr>
          <w:rFonts w:asciiTheme="majorHAnsi" w:hAnsiTheme="majorHAnsi" w:cstheme="majorHAnsi"/>
          <w:bCs/>
          <w:sz w:val="24"/>
          <w:szCs w:val="24"/>
          <w:lang w:val="ro-MD" w:eastAsia="ro-RO"/>
        </w:rPr>
        <w:t xml:space="preserve"> a aprobat</w:t>
      </w:r>
      <w:r w:rsidRPr="00B13B9A">
        <w:rPr>
          <w:rStyle w:val="a9"/>
          <w:rFonts w:asciiTheme="majorHAnsi" w:hAnsiTheme="majorHAnsi" w:cstheme="majorHAnsi"/>
          <w:bCs/>
          <w:sz w:val="24"/>
          <w:szCs w:val="24"/>
          <w:lang w:val="ro-MD" w:eastAsia="ro-RO"/>
        </w:rPr>
        <w:footnoteReference w:id="44"/>
      </w:r>
      <w:r w:rsidRPr="00B13B9A">
        <w:rPr>
          <w:rFonts w:asciiTheme="majorHAnsi" w:hAnsiTheme="majorHAnsi" w:cstheme="majorHAnsi"/>
          <w:bCs/>
          <w:sz w:val="24"/>
          <w:szCs w:val="24"/>
          <w:lang w:val="ro-MD" w:eastAsia="ro-RO"/>
        </w:rPr>
        <w:t xml:space="preserve"> lista institu</w:t>
      </w:r>
      <w:r w:rsidR="00B13B9A" w:rsidRPr="00B13B9A">
        <w:rPr>
          <w:rFonts w:asciiTheme="majorHAnsi" w:hAnsiTheme="majorHAnsi" w:cstheme="majorHAnsi"/>
          <w:bCs/>
          <w:sz w:val="24"/>
          <w:szCs w:val="24"/>
          <w:lang w:val="ro-MD" w:eastAsia="ro-RO"/>
        </w:rPr>
        <w:t>ț</w:t>
      </w:r>
      <w:r w:rsidRPr="00B13B9A">
        <w:rPr>
          <w:rFonts w:asciiTheme="majorHAnsi" w:hAnsiTheme="majorHAnsi" w:cstheme="majorHAnsi"/>
          <w:bCs/>
          <w:sz w:val="24"/>
          <w:szCs w:val="24"/>
          <w:lang w:val="ro-MD" w:eastAsia="ro-RO"/>
        </w:rPr>
        <w:t>iilor medico-sanitare publice spitalice</w:t>
      </w:r>
      <w:r w:rsidR="00B13B9A" w:rsidRPr="00B13B9A">
        <w:rPr>
          <w:rFonts w:asciiTheme="majorHAnsi" w:hAnsiTheme="majorHAnsi" w:cstheme="majorHAnsi"/>
          <w:bCs/>
          <w:sz w:val="24"/>
          <w:szCs w:val="24"/>
          <w:lang w:val="ro-MD" w:eastAsia="ro-RO"/>
        </w:rPr>
        <w:t>ș</w:t>
      </w:r>
      <w:r w:rsidRPr="00B13B9A">
        <w:rPr>
          <w:rFonts w:asciiTheme="majorHAnsi" w:hAnsiTheme="majorHAnsi" w:cstheme="majorHAnsi"/>
          <w:bCs/>
          <w:sz w:val="24"/>
          <w:szCs w:val="24"/>
          <w:lang w:val="ro-MD" w:eastAsia="ro-RO"/>
        </w:rPr>
        <w:t>ti destinate internării pacien</w:t>
      </w:r>
      <w:r w:rsidR="00B13B9A" w:rsidRPr="00B13B9A">
        <w:rPr>
          <w:rFonts w:asciiTheme="majorHAnsi" w:hAnsiTheme="majorHAnsi" w:cstheme="majorHAnsi"/>
          <w:bCs/>
          <w:sz w:val="24"/>
          <w:szCs w:val="24"/>
          <w:lang w:val="ro-MD" w:eastAsia="ro-RO"/>
        </w:rPr>
        <w:t>ț</w:t>
      </w:r>
      <w:r w:rsidRPr="00B13B9A">
        <w:rPr>
          <w:rFonts w:asciiTheme="majorHAnsi" w:hAnsiTheme="majorHAnsi" w:cstheme="majorHAnsi"/>
          <w:bCs/>
          <w:sz w:val="24"/>
          <w:szCs w:val="24"/>
          <w:lang w:val="ro-MD" w:eastAsia="ro-RO"/>
        </w:rPr>
        <w:t>ilor care întrunesc criteriile defini</w:t>
      </w:r>
      <w:r w:rsidR="00B13B9A" w:rsidRPr="00B13B9A">
        <w:rPr>
          <w:rFonts w:asciiTheme="majorHAnsi" w:hAnsiTheme="majorHAnsi" w:cstheme="majorHAnsi"/>
          <w:bCs/>
          <w:sz w:val="24"/>
          <w:szCs w:val="24"/>
          <w:lang w:val="ro-MD" w:eastAsia="ro-RO"/>
        </w:rPr>
        <w:t>ț</w:t>
      </w:r>
      <w:r w:rsidRPr="00B13B9A">
        <w:rPr>
          <w:rFonts w:asciiTheme="majorHAnsi" w:hAnsiTheme="majorHAnsi" w:cstheme="majorHAnsi"/>
          <w:bCs/>
          <w:sz w:val="24"/>
          <w:szCs w:val="24"/>
          <w:lang w:val="ro-MD" w:eastAsia="ro-RO"/>
        </w:rPr>
        <w:t>iei de caz pentru COVID-19. Conducătorii institu</w:t>
      </w:r>
      <w:r w:rsidR="00B13B9A" w:rsidRPr="00B13B9A">
        <w:rPr>
          <w:rFonts w:asciiTheme="majorHAnsi" w:hAnsiTheme="majorHAnsi" w:cstheme="majorHAnsi"/>
          <w:bCs/>
          <w:sz w:val="24"/>
          <w:szCs w:val="24"/>
          <w:lang w:val="ro-MD" w:eastAsia="ro-RO"/>
        </w:rPr>
        <w:t>ț</w:t>
      </w:r>
      <w:r w:rsidRPr="00B13B9A">
        <w:rPr>
          <w:rFonts w:asciiTheme="majorHAnsi" w:hAnsiTheme="majorHAnsi" w:cstheme="majorHAnsi"/>
          <w:bCs/>
          <w:sz w:val="24"/>
          <w:szCs w:val="24"/>
          <w:lang w:val="ro-MD" w:eastAsia="ro-RO"/>
        </w:rPr>
        <w:t>iilor medico-sanitare publice urmau să asigure actualizarea planurilor de contingen</w:t>
      </w:r>
      <w:r w:rsidR="00B13B9A" w:rsidRPr="00B13B9A">
        <w:rPr>
          <w:rFonts w:asciiTheme="majorHAnsi" w:hAnsiTheme="majorHAnsi" w:cstheme="majorHAnsi"/>
          <w:bCs/>
          <w:sz w:val="24"/>
          <w:szCs w:val="24"/>
          <w:lang w:val="ro-MD" w:eastAsia="ro-RO"/>
        </w:rPr>
        <w:t>ț</w:t>
      </w:r>
      <w:r w:rsidRPr="00B13B9A">
        <w:rPr>
          <w:rFonts w:asciiTheme="majorHAnsi" w:hAnsiTheme="majorHAnsi" w:cstheme="majorHAnsi"/>
          <w:bCs/>
          <w:sz w:val="24"/>
          <w:szCs w:val="24"/>
          <w:lang w:val="ro-MD" w:eastAsia="ro-RO"/>
        </w:rPr>
        <w:t>ă institu</w:t>
      </w:r>
      <w:r w:rsidR="00B13B9A" w:rsidRPr="00B13B9A">
        <w:rPr>
          <w:rFonts w:asciiTheme="majorHAnsi" w:hAnsiTheme="majorHAnsi" w:cstheme="majorHAnsi"/>
          <w:bCs/>
          <w:sz w:val="24"/>
          <w:szCs w:val="24"/>
          <w:lang w:val="ro-MD" w:eastAsia="ro-RO"/>
        </w:rPr>
        <w:t>ț</w:t>
      </w:r>
      <w:r w:rsidRPr="00B13B9A">
        <w:rPr>
          <w:rFonts w:asciiTheme="majorHAnsi" w:hAnsiTheme="majorHAnsi" w:cstheme="majorHAnsi"/>
          <w:bCs/>
          <w:sz w:val="24"/>
          <w:szCs w:val="24"/>
          <w:lang w:val="ro-MD" w:eastAsia="ro-RO"/>
        </w:rPr>
        <w:t>ionale, cu accentul pe rezerva de cadre, echipamente de protec</w:t>
      </w:r>
      <w:r w:rsidR="00B13B9A" w:rsidRPr="00B13B9A">
        <w:rPr>
          <w:rFonts w:asciiTheme="majorHAnsi" w:hAnsiTheme="majorHAnsi" w:cstheme="majorHAnsi"/>
          <w:bCs/>
          <w:sz w:val="24"/>
          <w:szCs w:val="24"/>
          <w:lang w:val="ro-MD" w:eastAsia="ro-RO"/>
        </w:rPr>
        <w:t>ț</w:t>
      </w:r>
      <w:r w:rsidRPr="00B13B9A">
        <w:rPr>
          <w:rFonts w:asciiTheme="majorHAnsi" w:hAnsiTheme="majorHAnsi" w:cstheme="majorHAnsi"/>
          <w:bCs/>
          <w:sz w:val="24"/>
          <w:szCs w:val="24"/>
          <w:lang w:val="ro-MD" w:eastAsia="ro-RO"/>
        </w:rPr>
        <w:t xml:space="preserve">ie, consumabile </w:t>
      </w:r>
      <w:r w:rsidR="00B13B9A" w:rsidRPr="00B13B9A">
        <w:rPr>
          <w:rFonts w:asciiTheme="majorHAnsi" w:hAnsiTheme="majorHAnsi" w:cstheme="majorHAnsi"/>
          <w:bCs/>
          <w:sz w:val="24"/>
          <w:szCs w:val="24"/>
          <w:lang w:val="ro-MD" w:eastAsia="ro-RO"/>
        </w:rPr>
        <w:t>ș</w:t>
      </w:r>
      <w:r w:rsidRPr="00B13B9A">
        <w:rPr>
          <w:rFonts w:asciiTheme="majorHAnsi" w:hAnsiTheme="majorHAnsi" w:cstheme="majorHAnsi"/>
          <w:bCs/>
          <w:sz w:val="24"/>
          <w:szCs w:val="24"/>
          <w:lang w:val="ro-MD" w:eastAsia="ro-RO"/>
        </w:rPr>
        <w:t>i medicamente. Totodată, pentru motivarea personalului antrenat în tratamentul pacien</w:t>
      </w:r>
      <w:r w:rsidR="00B13B9A" w:rsidRPr="00B13B9A">
        <w:rPr>
          <w:rFonts w:asciiTheme="majorHAnsi" w:hAnsiTheme="majorHAnsi" w:cstheme="majorHAnsi"/>
          <w:bCs/>
          <w:sz w:val="24"/>
          <w:szCs w:val="24"/>
          <w:lang w:val="ro-MD" w:eastAsia="ro-RO"/>
        </w:rPr>
        <w:t>ț</w:t>
      </w:r>
      <w:r w:rsidRPr="00B13B9A">
        <w:rPr>
          <w:rFonts w:asciiTheme="majorHAnsi" w:hAnsiTheme="majorHAnsi" w:cstheme="majorHAnsi"/>
          <w:bCs/>
          <w:sz w:val="24"/>
          <w:szCs w:val="24"/>
          <w:lang w:val="ro-MD" w:eastAsia="ro-RO"/>
        </w:rPr>
        <w:t>ilor cu COVID-19 a fost aprobat un supliment în mărime de 100% la salariul de func</w:t>
      </w:r>
      <w:r w:rsidR="00B13B9A" w:rsidRPr="00B13B9A">
        <w:rPr>
          <w:rFonts w:asciiTheme="majorHAnsi" w:hAnsiTheme="majorHAnsi" w:cstheme="majorHAnsi"/>
          <w:bCs/>
          <w:sz w:val="24"/>
          <w:szCs w:val="24"/>
          <w:lang w:val="ro-MD" w:eastAsia="ro-RO"/>
        </w:rPr>
        <w:t>ț</w:t>
      </w:r>
      <w:r w:rsidRPr="00B13B9A">
        <w:rPr>
          <w:rFonts w:asciiTheme="majorHAnsi" w:hAnsiTheme="majorHAnsi" w:cstheme="majorHAnsi"/>
          <w:bCs/>
          <w:sz w:val="24"/>
          <w:szCs w:val="24"/>
          <w:lang w:val="ro-MD" w:eastAsia="ro-RO"/>
        </w:rPr>
        <w:t>ie</w:t>
      </w:r>
      <w:r w:rsidRPr="00B13B9A">
        <w:rPr>
          <w:rStyle w:val="a9"/>
          <w:rFonts w:asciiTheme="majorHAnsi" w:hAnsiTheme="majorHAnsi" w:cstheme="majorHAnsi"/>
          <w:bCs/>
          <w:sz w:val="24"/>
          <w:szCs w:val="24"/>
          <w:lang w:val="ro-MD" w:eastAsia="ro-RO"/>
        </w:rPr>
        <w:footnoteReference w:id="45"/>
      </w:r>
      <w:r w:rsidRPr="00B13B9A">
        <w:rPr>
          <w:rFonts w:asciiTheme="majorHAnsi" w:hAnsiTheme="majorHAnsi" w:cstheme="majorHAnsi"/>
          <w:bCs/>
          <w:sz w:val="24"/>
          <w:szCs w:val="24"/>
          <w:lang w:val="ro-MD" w:eastAsia="ro-RO"/>
        </w:rPr>
        <w:t>, achitat conform timpului real implicat în acordarea asisten</w:t>
      </w:r>
      <w:r w:rsidR="00B13B9A" w:rsidRPr="00B13B9A">
        <w:rPr>
          <w:rFonts w:asciiTheme="majorHAnsi" w:hAnsiTheme="majorHAnsi" w:cstheme="majorHAnsi"/>
          <w:bCs/>
          <w:sz w:val="24"/>
          <w:szCs w:val="24"/>
          <w:lang w:val="ro-MD" w:eastAsia="ro-RO"/>
        </w:rPr>
        <w:t>ț</w:t>
      </w:r>
      <w:r w:rsidRPr="00B13B9A">
        <w:rPr>
          <w:rFonts w:asciiTheme="majorHAnsi" w:hAnsiTheme="majorHAnsi" w:cstheme="majorHAnsi"/>
          <w:bCs/>
          <w:sz w:val="24"/>
          <w:szCs w:val="24"/>
          <w:lang w:val="ro-MD" w:eastAsia="ro-RO"/>
        </w:rPr>
        <w:t>ei medicale pacien</w:t>
      </w:r>
      <w:r w:rsidR="00B13B9A" w:rsidRPr="00B13B9A">
        <w:rPr>
          <w:rFonts w:asciiTheme="majorHAnsi" w:hAnsiTheme="majorHAnsi" w:cstheme="majorHAnsi"/>
          <w:bCs/>
          <w:sz w:val="24"/>
          <w:szCs w:val="24"/>
          <w:lang w:val="ro-MD" w:eastAsia="ro-RO"/>
        </w:rPr>
        <w:t>ț</w:t>
      </w:r>
      <w:r w:rsidRPr="00B13B9A">
        <w:rPr>
          <w:rFonts w:asciiTheme="majorHAnsi" w:hAnsiTheme="majorHAnsi" w:cstheme="majorHAnsi"/>
          <w:bCs/>
          <w:sz w:val="24"/>
          <w:szCs w:val="24"/>
          <w:lang w:val="ro-MD" w:eastAsia="ro-RO"/>
        </w:rPr>
        <w:t>ilor cu COVID-19.</w:t>
      </w:r>
    </w:p>
    <w:p w14:paraId="7E17E89E" w14:textId="633DF73B" w:rsidR="00EF1983" w:rsidRPr="00B13B9A" w:rsidRDefault="00943312" w:rsidP="00EF1983">
      <w:pPr>
        <w:spacing w:before="240" w:after="0" w:line="276" w:lineRule="auto"/>
        <w:jc w:val="both"/>
        <w:rPr>
          <w:rFonts w:asciiTheme="majorHAnsi" w:hAnsiTheme="majorHAnsi" w:cstheme="majorHAnsi"/>
          <w:bCs/>
          <w:sz w:val="24"/>
          <w:szCs w:val="24"/>
          <w:lang w:val="ro-MD" w:eastAsia="ro-RO"/>
        </w:rPr>
      </w:pPr>
      <w:r w:rsidRPr="00B13B9A">
        <w:rPr>
          <w:rFonts w:asciiTheme="majorHAnsi" w:hAnsiTheme="majorHAnsi" w:cstheme="majorHAnsi"/>
          <w:bCs/>
          <w:sz w:val="24"/>
          <w:szCs w:val="24"/>
          <w:lang w:val="ro-MD" w:eastAsia="ro-RO"/>
        </w:rPr>
        <w:t>Potrivit</w:t>
      </w:r>
      <w:r w:rsidR="00EF1983" w:rsidRPr="00B13B9A">
        <w:rPr>
          <w:rFonts w:asciiTheme="majorHAnsi" w:hAnsiTheme="majorHAnsi" w:cstheme="majorHAnsi"/>
          <w:bCs/>
          <w:sz w:val="24"/>
          <w:szCs w:val="24"/>
          <w:lang w:val="ro-MD" w:eastAsia="ro-RO"/>
        </w:rPr>
        <w:t xml:space="preserve"> cadrului normativ, CNAM asigură gestionarea mijloacelor fondurilor asigurării obligatorii de asisten</w:t>
      </w:r>
      <w:r w:rsidR="00B13B9A" w:rsidRPr="00B13B9A">
        <w:rPr>
          <w:rFonts w:asciiTheme="majorHAnsi" w:hAnsiTheme="majorHAnsi" w:cstheme="majorHAnsi"/>
          <w:bCs/>
          <w:sz w:val="24"/>
          <w:szCs w:val="24"/>
          <w:lang w:val="ro-MD" w:eastAsia="ro-RO"/>
        </w:rPr>
        <w:t>ț</w:t>
      </w:r>
      <w:r w:rsidR="00EF1983" w:rsidRPr="00B13B9A">
        <w:rPr>
          <w:rFonts w:asciiTheme="majorHAnsi" w:hAnsiTheme="majorHAnsi" w:cstheme="majorHAnsi"/>
          <w:bCs/>
          <w:sz w:val="24"/>
          <w:szCs w:val="24"/>
          <w:lang w:val="ro-MD" w:eastAsia="ro-RO"/>
        </w:rPr>
        <w:t>ă medicală în conformitate cu principiile bunei guvernări</w:t>
      </w:r>
      <w:r w:rsidR="00EF1983" w:rsidRPr="00B13B9A">
        <w:rPr>
          <w:rStyle w:val="a9"/>
          <w:rFonts w:asciiTheme="majorHAnsi" w:hAnsiTheme="majorHAnsi" w:cstheme="majorHAnsi"/>
          <w:bCs/>
          <w:sz w:val="24"/>
          <w:szCs w:val="24"/>
          <w:lang w:val="ro-MD" w:eastAsia="ro-RO"/>
        </w:rPr>
        <w:footnoteReference w:id="46"/>
      </w:r>
      <w:r w:rsidR="00EF1983" w:rsidRPr="00B13B9A">
        <w:rPr>
          <w:rFonts w:asciiTheme="majorHAnsi" w:hAnsiTheme="majorHAnsi" w:cstheme="majorHAnsi"/>
          <w:bCs/>
          <w:sz w:val="24"/>
          <w:szCs w:val="24"/>
          <w:lang w:val="ro-MD" w:eastAsia="ro-RO"/>
        </w:rPr>
        <w:t>, are dreptul să elaboreze instruc</w:t>
      </w:r>
      <w:r w:rsidR="00B13B9A" w:rsidRPr="00B13B9A">
        <w:rPr>
          <w:rFonts w:asciiTheme="majorHAnsi" w:hAnsiTheme="majorHAnsi" w:cstheme="majorHAnsi"/>
          <w:bCs/>
          <w:sz w:val="24"/>
          <w:szCs w:val="24"/>
          <w:lang w:val="ro-MD" w:eastAsia="ro-RO"/>
        </w:rPr>
        <w:t>ț</w:t>
      </w:r>
      <w:r w:rsidR="00EF1983" w:rsidRPr="00B13B9A">
        <w:rPr>
          <w:rFonts w:asciiTheme="majorHAnsi" w:hAnsiTheme="majorHAnsi" w:cstheme="majorHAnsi"/>
          <w:bCs/>
          <w:sz w:val="24"/>
          <w:szCs w:val="24"/>
          <w:lang w:val="ro-MD" w:eastAsia="ro-RO"/>
        </w:rPr>
        <w:t xml:space="preserve">iuni </w:t>
      </w:r>
      <w:r w:rsidR="00B13B9A" w:rsidRPr="00B13B9A">
        <w:rPr>
          <w:rFonts w:asciiTheme="majorHAnsi" w:hAnsiTheme="majorHAnsi" w:cstheme="majorHAnsi"/>
          <w:bCs/>
          <w:sz w:val="24"/>
          <w:szCs w:val="24"/>
          <w:lang w:val="ro-MD" w:eastAsia="ro-RO"/>
        </w:rPr>
        <w:t>ș</w:t>
      </w:r>
      <w:r w:rsidR="00EF1983" w:rsidRPr="00B13B9A">
        <w:rPr>
          <w:rFonts w:asciiTheme="majorHAnsi" w:hAnsiTheme="majorHAnsi" w:cstheme="majorHAnsi"/>
          <w:bCs/>
          <w:sz w:val="24"/>
          <w:szCs w:val="24"/>
          <w:lang w:val="ro-MD" w:eastAsia="ro-RO"/>
        </w:rPr>
        <w:t>i să emită dispozi</w:t>
      </w:r>
      <w:r w:rsidR="00B13B9A" w:rsidRPr="00B13B9A">
        <w:rPr>
          <w:rFonts w:asciiTheme="majorHAnsi" w:hAnsiTheme="majorHAnsi" w:cstheme="majorHAnsi"/>
          <w:bCs/>
          <w:sz w:val="24"/>
          <w:szCs w:val="24"/>
          <w:lang w:val="ro-MD" w:eastAsia="ro-RO"/>
        </w:rPr>
        <w:t>ț</w:t>
      </w:r>
      <w:r w:rsidR="00EF1983" w:rsidRPr="00B13B9A">
        <w:rPr>
          <w:rFonts w:asciiTheme="majorHAnsi" w:hAnsiTheme="majorHAnsi" w:cstheme="majorHAnsi"/>
          <w:bCs/>
          <w:sz w:val="24"/>
          <w:szCs w:val="24"/>
          <w:lang w:val="ro-MD" w:eastAsia="ro-RO"/>
        </w:rPr>
        <w:t xml:space="preserve">ii ce </w:t>
      </w:r>
      <w:r w:rsidR="00B13B9A" w:rsidRPr="00B13B9A">
        <w:rPr>
          <w:rFonts w:asciiTheme="majorHAnsi" w:hAnsiTheme="majorHAnsi" w:cstheme="majorHAnsi"/>
          <w:bCs/>
          <w:sz w:val="24"/>
          <w:szCs w:val="24"/>
          <w:lang w:val="ro-MD" w:eastAsia="ro-RO"/>
        </w:rPr>
        <w:t>ț</w:t>
      </w:r>
      <w:r w:rsidR="00EF1983" w:rsidRPr="00B13B9A">
        <w:rPr>
          <w:rFonts w:asciiTheme="majorHAnsi" w:hAnsiTheme="majorHAnsi" w:cstheme="majorHAnsi"/>
          <w:bCs/>
          <w:sz w:val="24"/>
          <w:szCs w:val="24"/>
          <w:lang w:val="ro-MD" w:eastAsia="ro-RO"/>
        </w:rPr>
        <w:t>in de reglementarea activită</w:t>
      </w:r>
      <w:r w:rsidR="00B13B9A" w:rsidRPr="00B13B9A">
        <w:rPr>
          <w:rFonts w:asciiTheme="majorHAnsi" w:hAnsiTheme="majorHAnsi" w:cstheme="majorHAnsi"/>
          <w:bCs/>
          <w:sz w:val="24"/>
          <w:szCs w:val="24"/>
          <w:lang w:val="ro-MD" w:eastAsia="ro-RO"/>
        </w:rPr>
        <w:t>ț</w:t>
      </w:r>
      <w:r w:rsidR="00EF1983" w:rsidRPr="00B13B9A">
        <w:rPr>
          <w:rFonts w:asciiTheme="majorHAnsi" w:hAnsiTheme="majorHAnsi" w:cstheme="majorHAnsi"/>
          <w:bCs/>
          <w:sz w:val="24"/>
          <w:szCs w:val="24"/>
          <w:lang w:val="ro-MD" w:eastAsia="ro-RO"/>
        </w:rPr>
        <w:t>ii sale</w:t>
      </w:r>
      <w:r w:rsidR="00EF1983" w:rsidRPr="00B13B9A">
        <w:rPr>
          <w:rStyle w:val="a9"/>
          <w:rFonts w:asciiTheme="majorHAnsi" w:hAnsiTheme="majorHAnsi" w:cstheme="majorHAnsi"/>
          <w:bCs/>
          <w:sz w:val="24"/>
          <w:szCs w:val="24"/>
          <w:lang w:val="ro-MD" w:eastAsia="ro-RO"/>
        </w:rPr>
        <w:footnoteReference w:id="47"/>
      </w:r>
      <w:r w:rsidR="00EF1983" w:rsidRPr="00B13B9A">
        <w:rPr>
          <w:rFonts w:asciiTheme="majorHAnsi" w:hAnsiTheme="majorHAnsi" w:cstheme="majorHAnsi"/>
          <w:bCs/>
          <w:sz w:val="24"/>
          <w:szCs w:val="24"/>
          <w:lang w:val="ro-MD" w:eastAsia="ro-RO"/>
        </w:rPr>
        <w:t>.</w:t>
      </w:r>
    </w:p>
    <w:p w14:paraId="7643FE4A" w14:textId="74C1CC12" w:rsidR="00EF1983" w:rsidRPr="00B13B9A" w:rsidRDefault="00EF1983" w:rsidP="00EF1983">
      <w:pPr>
        <w:spacing w:before="240" w:after="0" w:line="276" w:lineRule="auto"/>
        <w:jc w:val="both"/>
        <w:rPr>
          <w:rFonts w:asciiTheme="majorHAnsi" w:hAnsiTheme="majorHAnsi" w:cstheme="majorHAnsi"/>
          <w:bCs/>
          <w:sz w:val="24"/>
          <w:szCs w:val="24"/>
          <w:lang w:val="ro-MD" w:eastAsia="ro-RO"/>
        </w:rPr>
      </w:pPr>
      <w:r w:rsidRPr="00B13B9A">
        <w:rPr>
          <w:rFonts w:asciiTheme="majorHAnsi" w:hAnsiTheme="majorHAnsi" w:cstheme="majorHAnsi"/>
          <w:bCs/>
          <w:sz w:val="24"/>
          <w:szCs w:val="24"/>
          <w:lang w:val="ro-MD" w:eastAsia="ro-RO"/>
        </w:rPr>
        <w:t xml:space="preserve">Potrivit demersului CNAM </w:t>
      </w:r>
      <w:r w:rsidRPr="00B13B9A">
        <w:rPr>
          <w:rFonts w:asciiTheme="majorHAnsi" w:hAnsiTheme="majorHAnsi" w:cstheme="majorHAnsi"/>
          <w:sz w:val="24"/>
          <w:szCs w:val="24"/>
          <w:lang w:val="ro-MD"/>
        </w:rPr>
        <w:t>din 30.04.2020</w:t>
      </w:r>
      <w:r w:rsidRPr="00B13B9A">
        <w:rPr>
          <w:rStyle w:val="a9"/>
          <w:rFonts w:asciiTheme="majorHAnsi" w:hAnsiTheme="majorHAnsi" w:cstheme="majorHAnsi"/>
          <w:sz w:val="24"/>
          <w:szCs w:val="24"/>
          <w:lang w:val="ro-MD"/>
        </w:rPr>
        <w:footnoteReference w:id="48"/>
      </w:r>
      <w:r w:rsidRPr="00B13B9A">
        <w:rPr>
          <w:rFonts w:asciiTheme="majorHAnsi" w:hAnsiTheme="majorHAnsi" w:cstheme="majorHAnsi"/>
          <w:sz w:val="24"/>
          <w:szCs w:val="24"/>
          <w:lang w:val="ro-MD"/>
        </w:rPr>
        <w:t>, în vederea acoperirii cheltuielilor aferente suplimentului la salariu pentru realizarea indicatorului de performan</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ă profesională „Acordarea asisten</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ei medicale pacien</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 xml:space="preserve">ilor cu COVID-19”, </w:t>
      </w:r>
      <w:r w:rsidRPr="00B13B9A">
        <w:rPr>
          <w:rFonts w:asciiTheme="majorHAnsi" w:hAnsiTheme="majorHAnsi" w:cstheme="majorHAnsi"/>
          <w:bCs/>
          <w:sz w:val="24"/>
          <w:szCs w:val="24"/>
          <w:lang w:val="ro-MD" w:eastAsia="ro-RO"/>
        </w:rPr>
        <w:t>institu</w:t>
      </w:r>
      <w:r w:rsidR="00B13B9A" w:rsidRPr="00B13B9A">
        <w:rPr>
          <w:rFonts w:asciiTheme="majorHAnsi" w:hAnsiTheme="majorHAnsi" w:cstheme="majorHAnsi"/>
          <w:bCs/>
          <w:sz w:val="24"/>
          <w:szCs w:val="24"/>
          <w:lang w:val="ro-MD" w:eastAsia="ro-RO"/>
        </w:rPr>
        <w:t>ț</w:t>
      </w:r>
      <w:r w:rsidRPr="00B13B9A">
        <w:rPr>
          <w:rFonts w:asciiTheme="majorHAnsi" w:hAnsiTheme="majorHAnsi" w:cstheme="majorHAnsi"/>
          <w:bCs/>
          <w:sz w:val="24"/>
          <w:szCs w:val="24"/>
          <w:lang w:val="ro-MD" w:eastAsia="ro-RO"/>
        </w:rPr>
        <w:t xml:space="preserve">iile medico-sanitare publice urmau să aprobe </w:t>
      </w:r>
      <w:r w:rsidR="00B13B9A" w:rsidRPr="00B13B9A">
        <w:rPr>
          <w:rFonts w:asciiTheme="majorHAnsi" w:hAnsiTheme="majorHAnsi" w:cstheme="majorHAnsi"/>
          <w:bCs/>
          <w:sz w:val="24"/>
          <w:szCs w:val="24"/>
          <w:lang w:val="ro-MD" w:eastAsia="ro-RO"/>
        </w:rPr>
        <w:t>ș</w:t>
      </w:r>
      <w:r w:rsidRPr="00B13B9A">
        <w:rPr>
          <w:rFonts w:asciiTheme="majorHAnsi" w:hAnsiTheme="majorHAnsi" w:cstheme="majorHAnsi"/>
          <w:bCs/>
          <w:sz w:val="24"/>
          <w:szCs w:val="24"/>
          <w:lang w:val="ro-MD" w:eastAsia="ro-RO"/>
        </w:rPr>
        <w:t>i să prezinte CNAM deciziile/ordinele interne ale conducătorului institu</w:t>
      </w:r>
      <w:r w:rsidR="00B13B9A" w:rsidRPr="00B13B9A">
        <w:rPr>
          <w:rFonts w:asciiTheme="majorHAnsi" w:hAnsiTheme="majorHAnsi" w:cstheme="majorHAnsi"/>
          <w:bCs/>
          <w:sz w:val="24"/>
          <w:szCs w:val="24"/>
          <w:lang w:val="ro-MD" w:eastAsia="ro-RO"/>
        </w:rPr>
        <w:t>ț</w:t>
      </w:r>
      <w:r w:rsidRPr="00B13B9A">
        <w:rPr>
          <w:rFonts w:asciiTheme="majorHAnsi" w:hAnsiTheme="majorHAnsi" w:cstheme="majorHAnsi"/>
          <w:bCs/>
          <w:sz w:val="24"/>
          <w:szCs w:val="24"/>
          <w:lang w:val="ro-MD" w:eastAsia="ro-RO"/>
        </w:rPr>
        <w:t xml:space="preserve">iei privind reprofilarea paturilor </w:t>
      </w:r>
      <w:r w:rsidR="00943312" w:rsidRPr="00B13B9A">
        <w:rPr>
          <w:rFonts w:asciiTheme="majorHAnsi" w:hAnsiTheme="majorHAnsi" w:cstheme="majorHAnsi"/>
          <w:bCs/>
          <w:sz w:val="24"/>
          <w:szCs w:val="24"/>
          <w:lang w:val="ro-MD" w:eastAsia="ro-RO"/>
        </w:rPr>
        <w:t>destinate serviciilor de tratare a infec</w:t>
      </w:r>
      <w:r w:rsidR="00B13B9A" w:rsidRPr="00B13B9A">
        <w:rPr>
          <w:rFonts w:asciiTheme="majorHAnsi" w:hAnsiTheme="majorHAnsi" w:cstheme="majorHAnsi"/>
          <w:bCs/>
          <w:sz w:val="24"/>
          <w:szCs w:val="24"/>
          <w:lang w:val="ro-MD" w:eastAsia="ro-RO"/>
        </w:rPr>
        <w:t>ț</w:t>
      </w:r>
      <w:r w:rsidR="00943312" w:rsidRPr="00B13B9A">
        <w:rPr>
          <w:rFonts w:asciiTheme="majorHAnsi" w:hAnsiTheme="majorHAnsi" w:cstheme="majorHAnsi"/>
          <w:bCs/>
          <w:sz w:val="24"/>
          <w:szCs w:val="24"/>
          <w:lang w:val="ro-MD" w:eastAsia="ro-RO"/>
        </w:rPr>
        <w:t>ie</w:t>
      </w:r>
      <w:r w:rsidRPr="00B13B9A">
        <w:rPr>
          <w:rFonts w:asciiTheme="majorHAnsi" w:hAnsiTheme="majorHAnsi" w:cstheme="majorHAnsi"/>
          <w:bCs/>
          <w:sz w:val="24"/>
          <w:szCs w:val="24"/>
          <w:lang w:val="ro-MD" w:eastAsia="ro-RO"/>
        </w:rPr>
        <w:t xml:space="preserve"> COVID-19 </w:t>
      </w:r>
      <w:r w:rsidR="00B13B9A" w:rsidRPr="00B13B9A">
        <w:rPr>
          <w:rFonts w:asciiTheme="majorHAnsi" w:hAnsiTheme="majorHAnsi" w:cstheme="majorHAnsi"/>
          <w:bCs/>
          <w:sz w:val="24"/>
          <w:szCs w:val="24"/>
          <w:lang w:val="ro-MD" w:eastAsia="ro-RO"/>
        </w:rPr>
        <w:t>ș</w:t>
      </w:r>
      <w:r w:rsidRPr="00B13B9A">
        <w:rPr>
          <w:rFonts w:asciiTheme="majorHAnsi" w:hAnsiTheme="majorHAnsi" w:cstheme="majorHAnsi"/>
          <w:bCs/>
          <w:sz w:val="24"/>
          <w:szCs w:val="24"/>
          <w:lang w:val="ro-MD" w:eastAsia="ro-RO"/>
        </w:rPr>
        <w:t>i desemnarea nominală</w:t>
      </w:r>
      <w:r w:rsidRPr="00B13B9A">
        <w:rPr>
          <w:rStyle w:val="a9"/>
          <w:rFonts w:asciiTheme="majorHAnsi" w:hAnsiTheme="majorHAnsi" w:cstheme="majorHAnsi"/>
          <w:bCs/>
          <w:sz w:val="24"/>
          <w:szCs w:val="24"/>
          <w:lang w:val="ro-MD" w:eastAsia="ro-RO"/>
        </w:rPr>
        <w:footnoteReference w:id="49"/>
      </w:r>
      <w:r w:rsidRPr="00B13B9A">
        <w:rPr>
          <w:rFonts w:asciiTheme="majorHAnsi" w:hAnsiTheme="majorHAnsi" w:cstheme="majorHAnsi"/>
          <w:bCs/>
          <w:sz w:val="24"/>
          <w:szCs w:val="24"/>
          <w:lang w:val="ro-MD" w:eastAsia="ro-RO"/>
        </w:rPr>
        <w:t xml:space="preserve"> a personalului implicat nemijlocit în realizarea indicatorului de performan</w:t>
      </w:r>
      <w:r w:rsidR="00B13B9A" w:rsidRPr="00B13B9A">
        <w:rPr>
          <w:rFonts w:asciiTheme="majorHAnsi" w:hAnsiTheme="majorHAnsi" w:cstheme="majorHAnsi"/>
          <w:bCs/>
          <w:sz w:val="24"/>
          <w:szCs w:val="24"/>
          <w:lang w:val="ro-MD" w:eastAsia="ro-RO"/>
        </w:rPr>
        <w:t>ț</w:t>
      </w:r>
      <w:r w:rsidRPr="00B13B9A">
        <w:rPr>
          <w:rFonts w:asciiTheme="majorHAnsi" w:hAnsiTheme="majorHAnsi" w:cstheme="majorHAnsi"/>
          <w:bCs/>
          <w:sz w:val="24"/>
          <w:szCs w:val="24"/>
          <w:lang w:val="ro-MD" w:eastAsia="ro-RO"/>
        </w:rPr>
        <w:t xml:space="preserve">ă profesională. Astfel, în cazul a 20 </w:t>
      </w:r>
      <w:r w:rsidR="006625ED" w:rsidRPr="00B13B9A">
        <w:rPr>
          <w:rFonts w:asciiTheme="majorHAnsi" w:hAnsiTheme="majorHAnsi" w:cstheme="majorHAnsi"/>
          <w:bCs/>
          <w:sz w:val="24"/>
          <w:szCs w:val="24"/>
          <w:lang w:val="ro-MD" w:eastAsia="ro-RO"/>
        </w:rPr>
        <w:t xml:space="preserve">de </w:t>
      </w:r>
      <w:r w:rsidRPr="00B13B9A">
        <w:rPr>
          <w:rFonts w:asciiTheme="majorHAnsi" w:hAnsiTheme="majorHAnsi" w:cstheme="majorHAnsi"/>
          <w:bCs/>
          <w:sz w:val="24"/>
          <w:szCs w:val="24"/>
          <w:lang w:val="ro-MD" w:eastAsia="ro-RO"/>
        </w:rPr>
        <w:t>plă</w:t>
      </w:r>
      <w:r w:rsidR="00B13B9A" w:rsidRPr="00B13B9A">
        <w:rPr>
          <w:rFonts w:asciiTheme="majorHAnsi" w:hAnsiTheme="majorHAnsi" w:cstheme="majorHAnsi"/>
          <w:bCs/>
          <w:sz w:val="24"/>
          <w:szCs w:val="24"/>
          <w:lang w:val="ro-MD" w:eastAsia="ro-RO"/>
        </w:rPr>
        <w:t>ț</w:t>
      </w:r>
      <w:r w:rsidRPr="00B13B9A">
        <w:rPr>
          <w:rFonts w:asciiTheme="majorHAnsi" w:hAnsiTheme="majorHAnsi" w:cstheme="majorHAnsi"/>
          <w:bCs/>
          <w:sz w:val="24"/>
          <w:szCs w:val="24"/>
          <w:lang w:val="ro-MD" w:eastAsia="ro-RO"/>
        </w:rPr>
        <w:t>i lunare stimulatorii pentru 9 angaja</w:t>
      </w:r>
      <w:r w:rsidR="00B13B9A" w:rsidRPr="00B13B9A">
        <w:rPr>
          <w:rFonts w:asciiTheme="majorHAnsi" w:hAnsiTheme="majorHAnsi" w:cstheme="majorHAnsi"/>
          <w:bCs/>
          <w:sz w:val="24"/>
          <w:szCs w:val="24"/>
          <w:lang w:val="ro-MD" w:eastAsia="ro-RO"/>
        </w:rPr>
        <w:t>ț</w:t>
      </w:r>
      <w:r w:rsidRPr="00B13B9A">
        <w:rPr>
          <w:rFonts w:asciiTheme="majorHAnsi" w:hAnsiTheme="majorHAnsi" w:cstheme="majorHAnsi"/>
          <w:bCs/>
          <w:sz w:val="24"/>
          <w:szCs w:val="24"/>
          <w:lang w:val="ro-MD" w:eastAsia="ro-RO"/>
        </w:rPr>
        <w:t>i implica</w:t>
      </w:r>
      <w:r w:rsidR="00B13B9A" w:rsidRPr="00B13B9A">
        <w:rPr>
          <w:rFonts w:asciiTheme="majorHAnsi" w:hAnsiTheme="majorHAnsi" w:cstheme="majorHAnsi"/>
          <w:bCs/>
          <w:sz w:val="24"/>
          <w:szCs w:val="24"/>
          <w:lang w:val="ro-MD" w:eastAsia="ro-RO"/>
        </w:rPr>
        <w:t>ț</w:t>
      </w:r>
      <w:r w:rsidRPr="00B13B9A">
        <w:rPr>
          <w:rFonts w:asciiTheme="majorHAnsi" w:hAnsiTheme="majorHAnsi" w:cstheme="majorHAnsi"/>
          <w:bCs/>
          <w:sz w:val="24"/>
          <w:szCs w:val="24"/>
          <w:lang w:val="ro-MD" w:eastAsia="ro-RO"/>
        </w:rPr>
        <w:t>i</w:t>
      </w:r>
      <w:r w:rsidR="006625ED" w:rsidRPr="00B13B9A">
        <w:rPr>
          <w:rFonts w:asciiTheme="majorHAnsi" w:hAnsiTheme="majorHAnsi" w:cstheme="majorHAnsi"/>
          <w:bCs/>
          <w:sz w:val="24"/>
          <w:szCs w:val="24"/>
          <w:lang w:val="ro-MD" w:eastAsia="ro-RO"/>
        </w:rPr>
        <w:t>,</w:t>
      </w:r>
      <w:r w:rsidRPr="00B13B9A">
        <w:rPr>
          <w:rFonts w:asciiTheme="majorHAnsi" w:hAnsiTheme="majorHAnsi" w:cstheme="majorHAnsi"/>
          <w:bCs/>
          <w:sz w:val="24"/>
          <w:szCs w:val="24"/>
          <w:lang w:val="ro-MD" w:eastAsia="ro-RO"/>
        </w:rPr>
        <w:t xml:space="preserve"> în sumă de </w:t>
      </w:r>
      <w:r w:rsidRPr="00B13B9A">
        <w:rPr>
          <w:rFonts w:asciiTheme="majorHAnsi" w:hAnsiTheme="majorHAnsi" w:cstheme="majorHAnsi"/>
          <w:bCs/>
          <w:sz w:val="24"/>
          <w:szCs w:val="28"/>
          <w:lang w:val="ro-MD" w:eastAsia="ro-RO"/>
        </w:rPr>
        <w:t>110</w:t>
      </w:r>
      <w:r w:rsidR="00943312" w:rsidRPr="00B13B9A">
        <w:rPr>
          <w:rFonts w:asciiTheme="majorHAnsi" w:hAnsiTheme="majorHAnsi" w:cstheme="majorHAnsi"/>
          <w:bCs/>
          <w:sz w:val="24"/>
          <w:szCs w:val="28"/>
          <w:lang w:val="ro-MD" w:eastAsia="ro-RO"/>
        </w:rPr>
        <w:t>,0</w:t>
      </w:r>
      <w:r w:rsidRPr="00B13B9A">
        <w:rPr>
          <w:rFonts w:asciiTheme="majorHAnsi" w:hAnsiTheme="majorHAnsi" w:cstheme="majorHAnsi"/>
          <w:bCs/>
          <w:sz w:val="24"/>
          <w:szCs w:val="28"/>
          <w:lang w:val="ro-MD" w:eastAsia="ro-RO"/>
        </w:rPr>
        <w:t xml:space="preserve"> mii </w:t>
      </w:r>
      <w:r w:rsidRPr="00B13B9A">
        <w:rPr>
          <w:rFonts w:asciiTheme="majorHAnsi" w:hAnsiTheme="majorHAnsi" w:cstheme="majorHAnsi"/>
          <w:bCs/>
          <w:sz w:val="24"/>
          <w:szCs w:val="24"/>
          <w:lang w:val="ro-MD" w:eastAsia="ro-RO"/>
        </w:rPr>
        <w:t>lei, nu au fost prezentate ordinele conducătorului de desemnare a angaja</w:t>
      </w:r>
      <w:r w:rsidR="00B13B9A" w:rsidRPr="00B13B9A">
        <w:rPr>
          <w:rFonts w:asciiTheme="majorHAnsi" w:hAnsiTheme="majorHAnsi" w:cstheme="majorHAnsi"/>
          <w:bCs/>
          <w:sz w:val="24"/>
          <w:szCs w:val="24"/>
          <w:lang w:val="ro-MD" w:eastAsia="ro-RO"/>
        </w:rPr>
        <w:t>ț</w:t>
      </w:r>
      <w:r w:rsidRPr="00B13B9A">
        <w:rPr>
          <w:rFonts w:asciiTheme="majorHAnsi" w:hAnsiTheme="majorHAnsi" w:cstheme="majorHAnsi"/>
          <w:bCs/>
          <w:sz w:val="24"/>
          <w:szCs w:val="24"/>
          <w:lang w:val="ro-MD" w:eastAsia="ro-RO"/>
        </w:rPr>
        <w:t>ilor antrena</w:t>
      </w:r>
      <w:r w:rsidR="00B13B9A" w:rsidRPr="00B13B9A">
        <w:rPr>
          <w:rFonts w:asciiTheme="majorHAnsi" w:hAnsiTheme="majorHAnsi" w:cstheme="majorHAnsi"/>
          <w:bCs/>
          <w:sz w:val="24"/>
          <w:szCs w:val="24"/>
          <w:lang w:val="ro-MD" w:eastAsia="ro-RO"/>
        </w:rPr>
        <w:t>ț</w:t>
      </w:r>
      <w:r w:rsidRPr="00B13B9A">
        <w:rPr>
          <w:rFonts w:asciiTheme="majorHAnsi" w:hAnsiTheme="majorHAnsi" w:cstheme="majorHAnsi"/>
          <w:bCs/>
          <w:sz w:val="24"/>
          <w:szCs w:val="24"/>
          <w:lang w:val="ro-MD" w:eastAsia="ro-RO"/>
        </w:rPr>
        <w:t>i în acest</w:t>
      </w:r>
      <w:r w:rsidR="0073662F" w:rsidRPr="00B13B9A">
        <w:rPr>
          <w:rFonts w:asciiTheme="majorHAnsi" w:hAnsiTheme="majorHAnsi" w:cstheme="majorHAnsi"/>
          <w:bCs/>
          <w:sz w:val="24"/>
          <w:szCs w:val="24"/>
          <w:lang w:val="ro-MD" w:eastAsia="ro-RO"/>
        </w:rPr>
        <w:t xml:space="preserve"> proces</w:t>
      </w:r>
      <w:r w:rsidRPr="00B13B9A">
        <w:rPr>
          <w:rFonts w:asciiTheme="majorHAnsi" w:hAnsiTheme="majorHAnsi" w:cstheme="majorHAnsi"/>
          <w:bCs/>
          <w:sz w:val="24"/>
          <w:szCs w:val="24"/>
          <w:lang w:val="ro-MD" w:eastAsia="ro-RO"/>
        </w:rPr>
        <w:t>.</w:t>
      </w:r>
    </w:p>
    <w:p w14:paraId="297F57B1" w14:textId="1C72E61B" w:rsidR="006E4551" w:rsidRPr="00B13B9A" w:rsidRDefault="00EF1983" w:rsidP="006E4551">
      <w:pPr>
        <w:spacing w:before="240" w:after="0" w:line="276" w:lineRule="auto"/>
        <w:jc w:val="both"/>
        <w:rPr>
          <w:rFonts w:asciiTheme="majorHAnsi" w:hAnsiTheme="majorHAnsi" w:cstheme="majorHAnsi"/>
          <w:bCs/>
          <w:sz w:val="24"/>
          <w:szCs w:val="24"/>
          <w:lang w:val="ro-MD" w:eastAsia="ro-RO"/>
        </w:rPr>
      </w:pPr>
      <w:r w:rsidRPr="00B13B9A">
        <w:rPr>
          <w:rFonts w:asciiTheme="majorHAnsi" w:hAnsiTheme="majorHAnsi" w:cstheme="majorHAnsi"/>
          <w:bCs/>
          <w:sz w:val="24"/>
          <w:szCs w:val="24"/>
          <w:lang w:val="ro-MD" w:eastAsia="ro-RO"/>
        </w:rPr>
        <w:t>În urma analizei situa</w:t>
      </w:r>
      <w:r w:rsidR="00B13B9A" w:rsidRPr="00B13B9A">
        <w:rPr>
          <w:rFonts w:asciiTheme="majorHAnsi" w:hAnsiTheme="majorHAnsi" w:cstheme="majorHAnsi"/>
          <w:bCs/>
          <w:sz w:val="24"/>
          <w:szCs w:val="24"/>
          <w:lang w:val="ro-MD" w:eastAsia="ro-RO"/>
        </w:rPr>
        <w:t>ț</w:t>
      </w:r>
      <w:r w:rsidRPr="00B13B9A">
        <w:rPr>
          <w:rFonts w:asciiTheme="majorHAnsi" w:hAnsiTheme="majorHAnsi" w:cstheme="majorHAnsi"/>
          <w:bCs/>
          <w:sz w:val="24"/>
          <w:szCs w:val="24"/>
          <w:lang w:val="ro-MD" w:eastAsia="ro-RO"/>
        </w:rPr>
        <w:t xml:space="preserve">iei constatate, auditul concluzionează că, din cauza lacunelor existente în sistemul de control intern în cadrul </w:t>
      </w:r>
      <w:r w:rsidR="00F431A2" w:rsidRPr="00B13B9A">
        <w:rPr>
          <w:rFonts w:asciiTheme="majorHAnsi" w:hAnsiTheme="majorHAnsi" w:cstheme="majorHAnsi"/>
          <w:color w:val="000000" w:themeColor="text1"/>
          <w:sz w:val="24"/>
          <w:szCs w:val="24"/>
          <w:lang w:val="ro-MD"/>
        </w:rPr>
        <w:t xml:space="preserve">IMSP IFP </w:t>
      </w:r>
      <w:r w:rsidR="00F431A2" w:rsidRPr="00B13B9A">
        <w:rPr>
          <w:rFonts w:asciiTheme="majorHAnsi" w:hAnsiTheme="majorHAnsi" w:cstheme="majorHAnsi"/>
          <w:sz w:val="24"/>
          <w:szCs w:val="24"/>
          <w:lang w:val="ro-MD"/>
        </w:rPr>
        <w:t>„Chiril Draganiuc”</w:t>
      </w:r>
      <w:r w:rsidRPr="00B13B9A">
        <w:rPr>
          <w:rFonts w:asciiTheme="majorHAnsi" w:hAnsiTheme="majorHAnsi" w:cstheme="majorHAnsi"/>
          <w:bCs/>
          <w:sz w:val="24"/>
          <w:szCs w:val="24"/>
          <w:lang w:val="ro-MD" w:eastAsia="ro-RO"/>
        </w:rPr>
        <w:t>, a fost afectată alocarea conformă a resurselor financiare pentru motivarea personalului antrenat în acordarea asisten</w:t>
      </w:r>
      <w:r w:rsidR="00B13B9A" w:rsidRPr="00B13B9A">
        <w:rPr>
          <w:rFonts w:asciiTheme="majorHAnsi" w:hAnsiTheme="majorHAnsi" w:cstheme="majorHAnsi"/>
          <w:bCs/>
          <w:sz w:val="24"/>
          <w:szCs w:val="24"/>
          <w:lang w:val="ro-MD" w:eastAsia="ro-RO"/>
        </w:rPr>
        <w:t>ț</w:t>
      </w:r>
      <w:r w:rsidRPr="00B13B9A">
        <w:rPr>
          <w:rFonts w:asciiTheme="majorHAnsi" w:hAnsiTheme="majorHAnsi" w:cstheme="majorHAnsi"/>
          <w:bCs/>
          <w:sz w:val="24"/>
          <w:szCs w:val="24"/>
          <w:lang w:val="ro-MD" w:eastAsia="ro-RO"/>
        </w:rPr>
        <w:t>ei medicale pacien</w:t>
      </w:r>
      <w:r w:rsidR="00B13B9A" w:rsidRPr="00B13B9A">
        <w:rPr>
          <w:rFonts w:asciiTheme="majorHAnsi" w:hAnsiTheme="majorHAnsi" w:cstheme="majorHAnsi"/>
          <w:bCs/>
          <w:sz w:val="24"/>
          <w:szCs w:val="24"/>
          <w:lang w:val="ro-MD" w:eastAsia="ro-RO"/>
        </w:rPr>
        <w:t>ț</w:t>
      </w:r>
      <w:r w:rsidRPr="00B13B9A">
        <w:rPr>
          <w:rFonts w:asciiTheme="majorHAnsi" w:hAnsiTheme="majorHAnsi" w:cstheme="majorHAnsi"/>
          <w:bCs/>
          <w:sz w:val="24"/>
          <w:szCs w:val="24"/>
          <w:lang w:val="ro-MD" w:eastAsia="ro-RO"/>
        </w:rPr>
        <w:t>ilor cu COVID-19, prin neasigurarea actualizării ordin</w:t>
      </w:r>
      <w:r w:rsidR="006625ED" w:rsidRPr="00B13B9A">
        <w:rPr>
          <w:rFonts w:asciiTheme="majorHAnsi" w:hAnsiTheme="majorHAnsi" w:cstheme="majorHAnsi"/>
          <w:bCs/>
          <w:sz w:val="24"/>
          <w:szCs w:val="24"/>
          <w:lang w:val="ro-MD" w:eastAsia="ro-RO"/>
        </w:rPr>
        <w:t>e</w:t>
      </w:r>
      <w:r w:rsidRPr="00B13B9A">
        <w:rPr>
          <w:rFonts w:asciiTheme="majorHAnsi" w:hAnsiTheme="majorHAnsi" w:cstheme="majorHAnsi"/>
          <w:bCs/>
          <w:sz w:val="24"/>
          <w:szCs w:val="24"/>
          <w:lang w:val="ro-MD" w:eastAsia="ro-RO"/>
        </w:rPr>
        <w:t>lor de desemnare.</w:t>
      </w:r>
      <w:bookmarkStart w:id="35" w:name="_Toc95406294"/>
    </w:p>
    <w:p w14:paraId="71D8B559" w14:textId="3E43F04A" w:rsidR="006D5701" w:rsidRPr="00B13B9A" w:rsidRDefault="006D5701" w:rsidP="006E4551">
      <w:pPr>
        <w:spacing w:before="240" w:after="0" w:line="276" w:lineRule="auto"/>
        <w:jc w:val="both"/>
        <w:rPr>
          <w:rFonts w:asciiTheme="majorHAnsi" w:hAnsiTheme="majorHAnsi" w:cstheme="majorHAnsi"/>
          <w:bCs/>
          <w:sz w:val="24"/>
          <w:szCs w:val="24"/>
          <w:lang w:val="ro-MD" w:eastAsia="ro-RO"/>
        </w:rPr>
      </w:pPr>
      <w:r w:rsidRPr="00516931">
        <w:rPr>
          <w:rFonts w:asciiTheme="majorHAnsi" w:hAnsiTheme="majorHAnsi" w:cstheme="majorHAnsi"/>
          <w:bCs/>
          <w:sz w:val="24"/>
          <w:szCs w:val="24"/>
          <w:lang w:val="ro-MD" w:eastAsia="ro-RO"/>
        </w:rPr>
        <w:t>Notă:</w:t>
      </w:r>
      <w:r w:rsidR="00B400DA" w:rsidRPr="00516931">
        <w:rPr>
          <w:rFonts w:asciiTheme="majorHAnsi" w:hAnsiTheme="majorHAnsi" w:cstheme="majorHAnsi"/>
          <w:bCs/>
          <w:sz w:val="24"/>
          <w:szCs w:val="24"/>
          <w:lang w:val="ro-MD" w:eastAsia="ro-RO"/>
        </w:rPr>
        <w:t xml:space="preserve"> Entitatea a întreprins măsuri de remediere </w:t>
      </w:r>
      <w:r w:rsidR="00B13B9A" w:rsidRPr="00516931">
        <w:rPr>
          <w:rFonts w:asciiTheme="majorHAnsi" w:hAnsiTheme="majorHAnsi" w:cstheme="majorHAnsi"/>
          <w:bCs/>
          <w:sz w:val="24"/>
          <w:szCs w:val="24"/>
          <w:lang w:val="ro-MD" w:eastAsia="ro-RO"/>
        </w:rPr>
        <w:t>ș</w:t>
      </w:r>
      <w:r w:rsidR="00B400DA" w:rsidRPr="00516931">
        <w:rPr>
          <w:rFonts w:asciiTheme="majorHAnsi" w:hAnsiTheme="majorHAnsi" w:cstheme="majorHAnsi"/>
          <w:bCs/>
          <w:sz w:val="24"/>
          <w:szCs w:val="24"/>
          <w:lang w:val="ro-MD" w:eastAsia="ro-RO"/>
        </w:rPr>
        <w:t xml:space="preserve">i de eficientizare a proceselor de control intern cu organizarea </w:t>
      </w:r>
      <w:r w:rsidR="00B13B9A" w:rsidRPr="00516931">
        <w:rPr>
          <w:rFonts w:asciiTheme="majorHAnsi" w:hAnsiTheme="majorHAnsi" w:cstheme="majorHAnsi"/>
          <w:bCs/>
          <w:sz w:val="24"/>
          <w:szCs w:val="24"/>
          <w:lang w:val="ro-MD" w:eastAsia="ro-RO"/>
        </w:rPr>
        <w:t>ș</w:t>
      </w:r>
      <w:r w:rsidR="00B400DA" w:rsidRPr="00516931">
        <w:rPr>
          <w:rFonts w:asciiTheme="majorHAnsi" w:hAnsiTheme="majorHAnsi" w:cstheme="majorHAnsi"/>
          <w:bCs/>
          <w:sz w:val="24"/>
          <w:szCs w:val="24"/>
          <w:lang w:val="ro-MD" w:eastAsia="ro-RO"/>
        </w:rPr>
        <w:t>i desfă</w:t>
      </w:r>
      <w:r w:rsidR="00B13B9A" w:rsidRPr="00516931">
        <w:rPr>
          <w:rFonts w:asciiTheme="majorHAnsi" w:hAnsiTheme="majorHAnsi" w:cstheme="majorHAnsi"/>
          <w:bCs/>
          <w:sz w:val="24"/>
          <w:szCs w:val="24"/>
          <w:lang w:val="ro-MD" w:eastAsia="ro-RO"/>
        </w:rPr>
        <w:t>ș</w:t>
      </w:r>
      <w:r w:rsidR="00B400DA" w:rsidRPr="00516931">
        <w:rPr>
          <w:rFonts w:asciiTheme="majorHAnsi" w:hAnsiTheme="majorHAnsi" w:cstheme="majorHAnsi"/>
          <w:bCs/>
          <w:sz w:val="24"/>
          <w:szCs w:val="24"/>
          <w:lang w:val="ro-MD" w:eastAsia="ro-RO"/>
        </w:rPr>
        <w:t xml:space="preserve">urarea </w:t>
      </w:r>
      <w:r w:rsidR="00B13B9A" w:rsidRPr="00516931">
        <w:rPr>
          <w:rFonts w:asciiTheme="majorHAnsi" w:hAnsiTheme="majorHAnsi" w:cstheme="majorHAnsi"/>
          <w:bCs/>
          <w:sz w:val="24"/>
          <w:szCs w:val="24"/>
          <w:lang w:val="ro-MD" w:eastAsia="ro-RO"/>
        </w:rPr>
        <w:t>ș</w:t>
      </w:r>
      <w:r w:rsidR="00B400DA" w:rsidRPr="00516931">
        <w:rPr>
          <w:rFonts w:asciiTheme="majorHAnsi" w:hAnsiTheme="majorHAnsi" w:cstheme="majorHAnsi"/>
          <w:bCs/>
          <w:sz w:val="24"/>
          <w:szCs w:val="24"/>
          <w:lang w:val="ro-MD" w:eastAsia="ro-RO"/>
        </w:rPr>
        <w:t>edin</w:t>
      </w:r>
      <w:r w:rsidR="00B13B9A" w:rsidRPr="00516931">
        <w:rPr>
          <w:rFonts w:asciiTheme="majorHAnsi" w:hAnsiTheme="majorHAnsi" w:cstheme="majorHAnsi"/>
          <w:bCs/>
          <w:sz w:val="24"/>
          <w:szCs w:val="24"/>
          <w:lang w:val="ro-MD" w:eastAsia="ro-RO"/>
        </w:rPr>
        <w:t>ț</w:t>
      </w:r>
      <w:r w:rsidR="00B400DA" w:rsidRPr="00516931">
        <w:rPr>
          <w:rFonts w:asciiTheme="majorHAnsi" w:hAnsiTheme="majorHAnsi" w:cstheme="majorHAnsi"/>
          <w:bCs/>
          <w:sz w:val="24"/>
          <w:szCs w:val="24"/>
          <w:lang w:val="ro-MD" w:eastAsia="ro-RO"/>
        </w:rPr>
        <w:t xml:space="preserve">elor de informare cu </w:t>
      </w:r>
      <w:r w:rsidR="00B13B9A" w:rsidRPr="00516931">
        <w:rPr>
          <w:rFonts w:asciiTheme="majorHAnsi" w:hAnsiTheme="majorHAnsi" w:cstheme="majorHAnsi"/>
          <w:bCs/>
          <w:sz w:val="24"/>
          <w:szCs w:val="24"/>
          <w:lang w:val="ro-MD" w:eastAsia="ro-RO"/>
        </w:rPr>
        <w:t>ș</w:t>
      </w:r>
      <w:r w:rsidR="00B400DA" w:rsidRPr="00516931">
        <w:rPr>
          <w:rFonts w:asciiTheme="majorHAnsi" w:hAnsiTheme="majorHAnsi" w:cstheme="majorHAnsi"/>
          <w:bCs/>
          <w:sz w:val="24"/>
          <w:szCs w:val="24"/>
          <w:lang w:val="ro-MD" w:eastAsia="ro-RO"/>
        </w:rPr>
        <w:t>efii de subdiviziuni privind constatările auditului, fiind aten</w:t>
      </w:r>
      <w:r w:rsidR="00B13B9A" w:rsidRPr="00516931">
        <w:rPr>
          <w:rFonts w:asciiTheme="majorHAnsi" w:hAnsiTheme="majorHAnsi" w:cstheme="majorHAnsi"/>
          <w:bCs/>
          <w:sz w:val="24"/>
          <w:szCs w:val="24"/>
          <w:lang w:val="ro-MD" w:eastAsia="ro-RO"/>
        </w:rPr>
        <w:t>ț</w:t>
      </w:r>
      <w:r w:rsidR="00B400DA" w:rsidRPr="00516931">
        <w:rPr>
          <w:rFonts w:asciiTheme="majorHAnsi" w:hAnsiTheme="majorHAnsi" w:cstheme="majorHAnsi"/>
          <w:bCs/>
          <w:sz w:val="24"/>
          <w:szCs w:val="24"/>
          <w:lang w:val="ro-MD" w:eastAsia="ro-RO"/>
        </w:rPr>
        <w:t>ionate persoanele</w:t>
      </w:r>
      <w:r w:rsidR="009B6A20" w:rsidRPr="00516931">
        <w:rPr>
          <w:rFonts w:asciiTheme="majorHAnsi" w:hAnsiTheme="majorHAnsi" w:cstheme="majorHAnsi"/>
          <w:bCs/>
          <w:sz w:val="24"/>
          <w:szCs w:val="24"/>
          <w:lang w:val="ro-MD" w:eastAsia="ro-RO"/>
        </w:rPr>
        <w:t xml:space="preserve"> </w:t>
      </w:r>
      <w:r w:rsidR="00B400DA" w:rsidRPr="00516931">
        <w:rPr>
          <w:rFonts w:asciiTheme="majorHAnsi" w:hAnsiTheme="majorHAnsi" w:cstheme="majorHAnsi"/>
          <w:bCs/>
          <w:sz w:val="24"/>
          <w:szCs w:val="24"/>
          <w:lang w:val="ro-MD" w:eastAsia="ro-RO"/>
        </w:rPr>
        <w:t>responsabile</w:t>
      </w:r>
      <w:r w:rsidR="005B5F6E" w:rsidRPr="00516931">
        <w:rPr>
          <w:rFonts w:asciiTheme="majorHAnsi" w:hAnsiTheme="majorHAnsi" w:cstheme="majorHAnsi"/>
          <w:bCs/>
          <w:sz w:val="24"/>
          <w:szCs w:val="24"/>
          <w:lang w:val="ro-MD" w:eastAsia="ro-RO"/>
        </w:rPr>
        <w:t xml:space="preserve"> asupra înlăturării neajunsurilor </w:t>
      </w:r>
      <w:r w:rsidR="00B400DA" w:rsidRPr="00516931">
        <w:rPr>
          <w:rFonts w:asciiTheme="majorHAnsi" w:hAnsiTheme="majorHAnsi" w:cstheme="majorHAnsi"/>
          <w:bCs/>
          <w:sz w:val="24"/>
          <w:szCs w:val="24"/>
          <w:lang w:val="ro-MD" w:eastAsia="ro-RO"/>
        </w:rPr>
        <w:t xml:space="preserve"> (</w:t>
      </w:r>
      <w:r w:rsidR="009B6A20" w:rsidRPr="00516931">
        <w:rPr>
          <w:rFonts w:asciiTheme="majorHAnsi" w:hAnsiTheme="majorHAnsi" w:cstheme="majorHAnsi"/>
          <w:bCs/>
          <w:sz w:val="24"/>
          <w:szCs w:val="24"/>
          <w:lang w:val="ro-MD" w:eastAsia="ro-RO"/>
        </w:rPr>
        <w:t>Proces-v</w:t>
      </w:r>
      <w:r w:rsidR="00B400DA" w:rsidRPr="00516931">
        <w:rPr>
          <w:rFonts w:asciiTheme="majorHAnsi" w:hAnsiTheme="majorHAnsi" w:cstheme="majorHAnsi"/>
          <w:bCs/>
          <w:sz w:val="24"/>
          <w:szCs w:val="24"/>
          <w:lang w:val="ro-MD" w:eastAsia="ro-RO"/>
        </w:rPr>
        <w:t xml:space="preserve">erbal nr.59/23 din 12.12.2023, Ordinul directorului IMSP IFP </w:t>
      </w:r>
      <w:r w:rsidR="00B400DA" w:rsidRPr="00516931">
        <w:rPr>
          <w:rFonts w:asciiTheme="majorHAnsi" w:hAnsiTheme="majorHAnsi" w:cstheme="majorHAnsi"/>
          <w:sz w:val="24"/>
          <w:szCs w:val="24"/>
          <w:lang w:val="ro-MD"/>
        </w:rPr>
        <w:t>„Chiril Draganiuc”</w:t>
      </w:r>
      <w:r w:rsidR="009B6A20" w:rsidRPr="00516931">
        <w:rPr>
          <w:rFonts w:asciiTheme="majorHAnsi" w:hAnsiTheme="majorHAnsi" w:cstheme="majorHAnsi"/>
          <w:bCs/>
          <w:sz w:val="24"/>
          <w:szCs w:val="24"/>
          <w:lang w:val="ro-MD" w:eastAsia="ro-RO"/>
        </w:rPr>
        <w:t xml:space="preserve"> nr</w:t>
      </w:r>
      <w:r w:rsidR="006B03E4" w:rsidRPr="00516931">
        <w:rPr>
          <w:rFonts w:asciiTheme="majorHAnsi" w:hAnsiTheme="majorHAnsi" w:cstheme="majorHAnsi"/>
          <w:bCs/>
          <w:sz w:val="24"/>
          <w:szCs w:val="24"/>
          <w:lang w:val="ro-MD" w:eastAsia="ro-RO"/>
        </w:rPr>
        <w:t>.</w:t>
      </w:r>
      <w:r w:rsidR="009B6A20" w:rsidRPr="00516931">
        <w:rPr>
          <w:rFonts w:asciiTheme="majorHAnsi" w:hAnsiTheme="majorHAnsi" w:cstheme="majorHAnsi"/>
          <w:bCs/>
          <w:sz w:val="24"/>
          <w:szCs w:val="24"/>
          <w:lang w:val="ro-MD" w:eastAsia="ro-RO"/>
        </w:rPr>
        <w:t xml:space="preserve"> 114 din 13.12.2023 cu privire la aten</w:t>
      </w:r>
      <w:r w:rsidR="00B13B9A" w:rsidRPr="00516931">
        <w:rPr>
          <w:rFonts w:asciiTheme="majorHAnsi" w:hAnsiTheme="majorHAnsi" w:cstheme="majorHAnsi"/>
          <w:bCs/>
          <w:sz w:val="24"/>
          <w:szCs w:val="24"/>
          <w:lang w:val="ro-MD" w:eastAsia="ro-RO"/>
        </w:rPr>
        <w:t>ț</w:t>
      </w:r>
      <w:r w:rsidR="009B6A20" w:rsidRPr="00516931">
        <w:rPr>
          <w:rFonts w:asciiTheme="majorHAnsi" w:hAnsiTheme="majorHAnsi" w:cstheme="majorHAnsi"/>
          <w:bCs/>
          <w:sz w:val="24"/>
          <w:szCs w:val="24"/>
          <w:lang w:val="ro-MD" w:eastAsia="ro-RO"/>
        </w:rPr>
        <w:t>ionarea personalului</w:t>
      </w:r>
      <w:r w:rsidR="00B400DA" w:rsidRPr="00516931">
        <w:rPr>
          <w:rFonts w:asciiTheme="majorHAnsi" w:hAnsiTheme="majorHAnsi" w:cstheme="majorHAnsi"/>
          <w:bCs/>
          <w:sz w:val="24"/>
          <w:szCs w:val="24"/>
          <w:lang w:val="ro-MD" w:eastAsia="ro-RO"/>
        </w:rPr>
        <w:t>).</w:t>
      </w:r>
      <w:r w:rsidR="00031D88" w:rsidRPr="00B13B9A">
        <w:rPr>
          <w:rFonts w:asciiTheme="majorHAnsi" w:hAnsiTheme="majorHAnsi" w:cstheme="majorHAnsi"/>
          <w:bCs/>
          <w:sz w:val="24"/>
          <w:szCs w:val="24"/>
          <w:lang w:val="ro-MD" w:eastAsia="ro-RO"/>
        </w:rPr>
        <w:t xml:space="preserve"> </w:t>
      </w:r>
    </w:p>
    <w:p w14:paraId="1553F00E" w14:textId="1358E3EF" w:rsidR="00EF1983" w:rsidRPr="00B13B9A" w:rsidRDefault="006E4551" w:rsidP="006E4551">
      <w:pPr>
        <w:spacing w:before="240" w:after="0" w:line="276" w:lineRule="auto"/>
        <w:jc w:val="both"/>
        <w:rPr>
          <w:rFonts w:asciiTheme="majorHAnsi" w:hAnsiTheme="majorHAnsi" w:cstheme="majorHAnsi"/>
          <w:b/>
          <w:bCs/>
          <w:sz w:val="24"/>
          <w:szCs w:val="24"/>
          <w:lang w:val="ro-MD" w:eastAsia="ro-RO"/>
        </w:rPr>
      </w:pPr>
      <w:r w:rsidRPr="00B13B9A">
        <w:rPr>
          <w:rFonts w:asciiTheme="majorHAnsi" w:hAnsiTheme="majorHAnsi" w:cstheme="majorHAnsi"/>
          <w:b/>
          <w:bCs/>
          <w:sz w:val="24"/>
          <w:szCs w:val="24"/>
          <w:lang w:val="ro-MD" w:eastAsia="ro-RO"/>
        </w:rPr>
        <w:t>De asemenea</w:t>
      </w:r>
      <w:r w:rsidR="006625ED" w:rsidRPr="00B13B9A">
        <w:rPr>
          <w:rFonts w:asciiTheme="majorHAnsi" w:hAnsiTheme="majorHAnsi" w:cstheme="majorHAnsi"/>
          <w:b/>
          <w:bCs/>
          <w:sz w:val="24"/>
          <w:szCs w:val="24"/>
          <w:lang w:val="ro-MD" w:eastAsia="ro-RO"/>
        </w:rPr>
        <w:t>,</w:t>
      </w:r>
      <w:r w:rsidRPr="00B13B9A">
        <w:rPr>
          <w:rFonts w:asciiTheme="majorHAnsi" w:hAnsiTheme="majorHAnsi" w:cstheme="majorHAnsi"/>
          <w:b/>
          <w:bCs/>
          <w:sz w:val="24"/>
          <w:szCs w:val="24"/>
          <w:lang w:val="ro-MD" w:eastAsia="ro-RO"/>
        </w:rPr>
        <w:t xml:space="preserve"> p</w:t>
      </w:r>
      <w:r w:rsidR="00EF1983" w:rsidRPr="00B13B9A">
        <w:rPr>
          <w:rFonts w:asciiTheme="majorHAnsi" w:hAnsiTheme="majorHAnsi" w:cstheme="majorHAnsi"/>
          <w:b/>
          <w:sz w:val="24"/>
          <w:szCs w:val="24"/>
          <w:lang w:val="ro-MD"/>
        </w:rPr>
        <w:t>rocesul de evaluare a indicatorului de performan</w:t>
      </w:r>
      <w:r w:rsidR="00B13B9A" w:rsidRPr="00B13B9A">
        <w:rPr>
          <w:rFonts w:asciiTheme="majorHAnsi" w:hAnsiTheme="majorHAnsi" w:cstheme="majorHAnsi"/>
          <w:b/>
          <w:sz w:val="24"/>
          <w:szCs w:val="24"/>
          <w:lang w:val="ro-MD"/>
        </w:rPr>
        <w:t>ț</w:t>
      </w:r>
      <w:r w:rsidR="00EF1983" w:rsidRPr="00B13B9A">
        <w:rPr>
          <w:rFonts w:asciiTheme="majorHAnsi" w:hAnsiTheme="majorHAnsi" w:cstheme="majorHAnsi"/>
          <w:b/>
          <w:sz w:val="24"/>
          <w:szCs w:val="24"/>
          <w:lang w:val="ro-MD"/>
        </w:rPr>
        <w:t xml:space="preserve">ă profesională </w:t>
      </w:r>
      <w:r w:rsidR="00B13B9A" w:rsidRPr="00B13B9A">
        <w:rPr>
          <w:rFonts w:asciiTheme="majorHAnsi" w:hAnsiTheme="majorHAnsi" w:cstheme="majorHAnsi"/>
          <w:b/>
          <w:sz w:val="24"/>
          <w:szCs w:val="24"/>
          <w:lang w:val="ro-MD"/>
        </w:rPr>
        <w:t>ș</w:t>
      </w:r>
      <w:r w:rsidR="00EF1983" w:rsidRPr="00B13B9A">
        <w:rPr>
          <w:rFonts w:asciiTheme="majorHAnsi" w:hAnsiTheme="majorHAnsi" w:cstheme="majorHAnsi"/>
          <w:b/>
          <w:sz w:val="24"/>
          <w:szCs w:val="24"/>
          <w:lang w:val="ro-MD"/>
        </w:rPr>
        <w:t>i de acordare a sporului de compensare pentru munca prestată în condi</w:t>
      </w:r>
      <w:r w:rsidR="00B13B9A" w:rsidRPr="00B13B9A">
        <w:rPr>
          <w:rFonts w:asciiTheme="majorHAnsi" w:hAnsiTheme="majorHAnsi" w:cstheme="majorHAnsi"/>
          <w:b/>
          <w:sz w:val="24"/>
          <w:szCs w:val="24"/>
          <w:lang w:val="ro-MD"/>
        </w:rPr>
        <w:t>ț</w:t>
      </w:r>
      <w:r w:rsidR="00EF1983" w:rsidRPr="00B13B9A">
        <w:rPr>
          <w:rFonts w:asciiTheme="majorHAnsi" w:hAnsiTheme="majorHAnsi" w:cstheme="majorHAnsi"/>
          <w:b/>
          <w:sz w:val="24"/>
          <w:szCs w:val="24"/>
          <w:lang w:val="ro-MD"/>
        </w:rPr>
        <w:t xml:space="preserve">ii de risc sporit pentru sănătate </w:t>
      </w:r>
      <w:r w:rsidR="008807AF" w:rsidRPr="00B13B9A">
        <w:rPr>
          <w:rFonts w:asciiTheme="majorHAnsi" w:hAnsiTheme="majorHAnsi" w:cstheme="majorHAnsi"/>
          <w:b/>
          <w:sz w:val="24"/>
          <w:szCs w:val="24"/>
          <w:lang w:val="ro-MD"/>
        </w:rPr>
        <w:t xml:space="preserve">nu </w:t>
      </w:r>
      <w:r w:rsidR="00EF1983" w:rsidRPr="00B13B9A">
        <w:rPr>
          <w:rFonts w:asciiTheme="majorHAnsi" w:hAnsiTheme="majorHAnsi" w:cstheme="majorHAnsi"/>
          <w:b/>
          <w:sz w:val="24"/>
          <w:szCs w:val="24"/>
          <w:lang w:val="ro-MD"/>
        </w:rPr>
        <w:t xml:space="preserve">a fost </w:t>
      </w:r>
      <w:r w:rsidR="008807AF" w:rsidRPr="00B13B9A">
        <w:rPr>
          <w:rFonts w:asciiTheme="majorHAnsi" w:hAnsiTheme="majorHAnsi" w:cstheme="majorHAnsi"/>
          <w:b/>
          <w:sz w:val="24"/>
          <w:szCs w:val="24"/>
          <w:lang w:val="ro-MD"/>
        </w:rPr>
        <w:t xml:space="preserve">pe deplin documentat, </w:t>
      </w:r>
      <w:r w:rsidR="00EF1983" w:rsidRPr="00B13B9A">
        <w:rPr>
          <w:rFonts w:asciiTheme="majorHAnsi" w:hAnsiTheme="majorHAnsi" w:cstheme="majorHAnsi"/>
          <w:b/>
          <w:sz w:val="24"/>
          <w:szCs w:val="24"/>
          <w:lang w:val="ro-MD"/>
        </w:rPr>
        <w:t xml:space="preserve">ceea ce a permis acordarea </w:t>
      </w:r>
      <w:r w:rsidR="006625ED" w:rsidRPr="00B13B9A">
        <w:rPr>
          <w:rFonts w:asciiTheme="majorHAnsi" w:hAnsiTheme="majorHAnsi" w:cstheme="majorHAnsi"/>
          <w:b/>
          <w:sz w:val="24"/>
          <w:szCs w:val="24"/>
          <w:lang w:val="ro-MD"/>
        </w:rPr>
        <w:t xml:space="preserve">neconformă </w:t>
      </w:r>
      <w:r w:rsidR="00EF1983" w:rsidRPr="00B13B9A">
        <w:rPr>
          <w:rFonts w:asciiTheme="majorHAnsi" w:hAnsiTheme="majorHAnsi" w:cstheme="majorHAnsi"/>
          <w:b/>
          <w:sz w:val="24"/>
          <w:szCs w:val="24"/>
          <w:lang w:val="ro-MD"/>
        </w:rPr>
        <w:t xml:space="preserve">de către entitate a mijloacelor financiare în sumă de </w:t>
      </w:r>
      <w:r w:rsidR="00EF1983" w:rsidRPr="00B13B9A">
        <w:rPr>
          <w:rFonts w:asciiTheme="majorHAnsi" w:hAnsiTheme="majorHAnsi" w:cstheme="majorHAnsi"/>
          <w:b/>
          <w:bCs/>
          <w:sz w:val="24"/>
          <w:szCs w:val="24"/>
          <w:lang w:val="ro-MD" w:eastAsia="ro-RO"/>
        </w:rPr>
        <w:t xml:space="preserve">24 199,1 mii </w:t>
      </w:r>
      <w:r w:rsidR="00EF1983" w:rsidRPr="00B13B9A">
        <w:rPr>
          <w:rFonts w:asciiTheme="majorHAnsi" w:hAnsiTheme="majorHAnsi" w:cstheme="majorHAnsi"/>
          <w:b/>
          <w:sz w:val="24"/>
          <w:szCs w:val="24"/>
          <w:lang w:val="ro-MD"/>
        </w:rPr>
        <w:t>lei</w:t>
      </w:r>
      <w:bookmarkEnd w:id="35"/>
      <w:r w:rsidR="006625ED" w:rsidRPr="00B13B9A">
        <w:rPr>
          <w:rFonts w:asciiTheme="majorHAnsi" w:hAnsiTheme="majorHAnsi" w:cstheme="majorHAnsi"/>
          <w:b/>
          <w:sz w:val="24"/>
          <w:szCs w:val="24"/>
          <w:lang w:val="ro-MD"/>
        </w:rPr>
        <w:t>.</w:t>
      </w:r>
    </w:p>
    <w:p w14:paraId="502CF8E4" w14:textId="6431A88D" w:rsidR="00EF1983" w:rsidRPr="00B13B9A" w:rsidRDefault="00EF1983" w:rsidP="00EF1983">
      <w:pPr>
        <w:tabs>
          <w:tab w:val="left" w:pos="0"/>
        </w:tabs>
        <w:spacing w:after="0" w:line="276" w:lineRule="auto"/>
        <w:jc w:val="both"/>
        <w:rPr>
          <w:rFonts w:asciiTheme="majorHAnsi" w:hAnsiTheme="majorHAnsi" w:cstheme="majorHAnsi"/>
          <w:bCs/>
          <w:sz w:val="24"/>
          <w:szCs w:val="24"/>
          <w:lang w:val="ro-MD" w:eastAsia="ro-RO"/>
        </w:rPr>
      </w:pPr>
      <w:r w:rsidRPr="00B13B9A">
        <w:rPr>
          <w:rFonts w:asciiTheme="majorHAnsi" w:hAnsiTheme="majorHAnsi" w:cstheme="majorHAnsi"/>
          <w:bCs/>
          <w:sz w:val="24"/>
          <w:szCs w:val="24"/>
          <w:lang w:val="ro-MD" w:eastAsia="ro-RO"/>
        </w:rPr>
        <w:t xml:space="preserve">Conform reglementărilor </w:t>
      </w:r>
      <w:r w:rsidR="00AD1E36">
        <w:rPr>
          <w:rFonts w:asciiTheme="majorHAnsi" w:hAnsiTheme="majorHAnsi" w:cstheme="majorHAnsi"/>
          <w:bCs/>
          <w:sz w:val="24"/>
          <w:szCs w:val="24"/>
          <w:lang w:val="ro-MD" w:eastAsia="ro-RO"/>
        </w:rPr>
        <w:t>MS</w:t>
      </w:r>
      <w:r w:rsidRPr="00B13B9A">
        <w:rPr>
          <w:rStyle w:val="a9"/>
          <w:rFonts w:asciiTheme="majorHAnsi" w:hAnsiTheme="majorHAnsi" w:cstheme="majorHAnsi"/>
          <w:bCs/>
          <w:sz w:val="24"/>
          <w:szCs w:val="24"/>
          <w:lang w:val="ro-MD" w:eastAsia="ro-RO"/>
        </w:rPr>
        <w:footnoteReference w:id="50"/>
      </w:r>
      <w:r w:rsidRPr="00B13B9A">
        <w:rPr>
          <w:rFonts w:asciiTheme="majorHAnsi" w:hAnsiTheme="majorHAnsi" w:cstheme="majorHAnsi"/>
          <w:bCs/>
          <w:sz w:val="24"/>
          <w:szCs w:val="24"/>
          <w:lang w:val="ro-MD" w:eastAsia="ro-RO"/>
        </w:rPr>
        <w:t>, motivarea financiară a personalului implicat nemijlocit în realizarea indicatorului de performan</w:t>
      </w:r>
      <w:r w:rsidR="00B13B9A" w:rsidRPr="00B13B9A">
        <w:rPr>
          <w:rFonts w:asciiTheme="majorHAnsi" w:hAnsiTheme="majorHAnsi" w:cstheme="majorHAnsi"/>
          <w:bCs/>
          <w:sz w:val="24"/>
          <w:szCs w:val="24"/>
          <w:lang w:val="ro-MD" w:eastAsia="ro-RO"/>
        </w:rPr>
        <w:t>ț</w:t>
      </w:r>
      <w:r w:rsidRPr="00B13B9A">
        <w:rPr>
          <w:rFonts w:asciiTheme="majorHAnsi" w:hAnsiTheme="majorHAnsi" w:cstheme="majorHAnsi"/>
          <w:bCs/>
          <w:sz w:val="24"/>
          <w:szCs w:val="24"/>
          <w:lang w:val="ro-MD" w:eastAsia="ro-RO"/>
        </w:rPr>
        <w:t>ă profesională „Acordarea asisten</w:t>
      </w:r>
      <w:r w:rsidR="00B13B9A" w:rsidRPr="00B13B9A">
        <w:rPr>
          <w:rFonts w:asciiTheme="majorHAnsi" w:hAnsiTheme="majorHAnsi" w:cstheme="majorHAnsi"/>
          <w:bCs/>
          <w:sz w:val="24"/>
          <w:szCs w:val="24"/>
          <w:lang w:val="ro-MD" w:eastAsia="ro-RO"/>
        </w:rPr>
        <w:t>ț</w:t>
      </w:r>
      <w:r w:rsidRPr="00B13B9A">
        <w:rPr>
          <w:rFonts w:asciiTheme="majorHAnsi" w:hAnsiTheme="majorHAnsi" w:cstheme="majorHAnsi"/>
          <w:bCs/>
          <w:sz w:val="24"/>
          <w:szCs w:val="24"/>
          <w:lang w:val="ro-MD" w:eastAsia="ro-RO"/>
        </w:rPr>
        <w:t>ei medicale pacien</w:t>
      </w:r>
      <w:r w:rsidR="00B13B9A" w:rsidRPr="00B13B9A">
        <w:rPr>
          <w:rFonts w:asciiTheme="majorHAnsi" w:hAnsiTheme="majorHAnsi" w:cstheme="majorHAnsi"/>
          <w:bCs/>
          <w:sz w:val="24"/>
          <w:szCs w:val="24"/>
          <w:lang w:val="ro-MD" w:eastAsia="ro-RO"/>
        </w:rPr>
        <w:t>ț</w:t>
      </w:r>
      <w:r w:rsidRPr="00B13B9A">
        <w:rPr>
          <w:rFonts w:asciiTheme="majorHAnsi" w:hAnsiTheme="majorHAnsi" w:cstheme="majorHAnsi"/>
          <w:bCs/>
          <w:sz w:val="24"/>
          <w:szCs w:val="24"/>
          <w:lang w:val="ro-MD" w:eastAsia="ro-RO"/>
        </w:rPr>
        <w:t>ilor cu COVID-19, în baza defini</w:t>
      </w:r>
      <w:r w:rsidR="00B13B9A" w:rsidRPr="00B13B9A">
        <w:rPr>
          <w:rFonts w:asciiTheme="majorHAnsi" w:hAnsiTheme="majorHAnsi" w:cstheme="majorHAnsi"/>
          <w:bCs/>
          <w:sz w:val="24"/>
          <w:szCs w:val="24"/>
          <w:lang w:val="ro-MD" w:eastAsia="ro-RO"/>
        </w:rPr>
        <w:t>ț</w:t>
      </w:r>
      <w:r w:rsidRPr="00B13B9A">
        <w:rPr>
          <w:rFonts w:asciiTheme="majorHAnsi" w:hAnsiTheme="majorHAnsi" w:cstheme="majorHAnsi"/>
          <w:bCs/>
          <w:sz w:val="24"/>
          <w:szCs w:val="24"/>
          <w:lang w:val="ro-MD" w:eastAsia="ro-RO"/>
        </w:rPr>
        <w:t>iei de caz contact/suspect/probabil/confirmat” se realizează sub responsabilitatea personală a conducătorului institu</w:t>
      </w:r>
      <w:r w:rsidR="00B13B9A" w:rsidRPr="00B13B9A">
        <w:rPr>
          <w:rFonts w:asciiTheme="majorHAnsi" w:hAnsiTheme="majorHAnsi" w:cstheme="majorHAnsi"/>
          <w:bCs/>
          <w:sz w:val="24"/>
          <w:szCs w:val="24"/>
          <w:lang w:val="ro-MD" w:eastAsia="ro-RO"/>
        </w:rPr>
        <w:t>ț</w:t>
      </w:r>
      <w:r w:rsidRPr="00B13B9A">
        <w:rPr>
          <w:rFonts w:asciiTheme="majorHAnsi" w:hAnsiTheme="majorHAnsi" w:cstheme="majorHAnsi"/>
          <w:bCs/>
          <w:sz w:val="24"/>
          <w:szCs w:val="24"/>
          <w:lang w:val="ro-MD" w:eastAsia="ro-RO"/>
        </w:rPr>
        <w:t>iei. De asemenea, managerul institu</w:t>
      </w:r>
      <w:r w:rsidR="00B13B9A" w:rsidRPr="00B13B9A">
        <w:rPr>
          <w:rFonts w:asciiTheme="majorHAnsi" w:hAnsiTheme="majorHAnsi" w:cstheme="majorHAnsi"/>
          <w:bCs/>
          <w:sz w:val="24"/>
          <w:szCs w:val="24"/>
          <w:lang w:val="ro-MD" w:eastAsia="ro-RO"/>
        </w:rPr>
        <w:t>ț</w:t>
      </w:r>
      <w:r w:rsidRPr="00B13B9A">
        <w:rPr>
          <w:rFonts w:asciiTheme="majorHAnsi" w:hAnsiTheme="majorHAnsi" w:cstheme="majorHAnsi"/>
          <w:bCs/>
          <w:sz w:val="24"/>
          <w:szCs w:val="24"/>
          <w:lang w:val="ro-MD" w:eastAsia="ro-RO"/>
        </w:rPr>
        <w:t>iei conduce activitatea operativă curentă, este abilitat cu dreptul de gestionare economică a institu</w:t>
      </w:r>
      <w:r w:rsidR="00B13B9A" w:rsidRPr="00B13B9A">
        <w:rPr>
          <w:rFonts w:asciiTheme="majorHAnsi" w:hAnsiTheme="majorHAnsi" w:cstheme="majorHAnsi"/>
          <w:bCs/>
          <w:sz w:val="24"/>
          <w:szCs w:val="24"/>
          <w:lang w:val="ro-MD" w:eastAsia="ro-RO"/>
        </w:rPr>
        <w:t>ț</w:t>
      </w:r>
      <w:r w:rsidRPr="00B13B9A">
        <w:rPr>
          <w:rFonts w:asciiTheme="majorHAnsi" w:hAnsiTheme="majorHAnsi" w:cstheme="majorHAnsi"/>
          <w:bCs/>
          <w:sz w:val="24"/>
          <w:szCs w:val="24"/>
          <w:lang w:val="ro-MD" w:eastAsia="ro-RO"/>
        </w:rPr>
        <w:t xml:space="preserve">iei </w:t>
      </w:r>
      <w:r w:rsidR="00B13B9A" w:rsidRPr="00B13B9A">
        <w:rPr>
          <w:rFonts w:asciiTheme="majorHAnsi" w:hAnsiTheme="majorHAnsi" w:cstheme="majorHAnsi"/>
          <w:bCs/>
          <w:sz w:val="24"/>
          <w:szCs w:val="24"/>
          <w:lang w:val="ro-MD" w:eastAsia="ro-RO"/>
        </w:rPr>
        <w:t>ș</w:t>
      </w:r>
      <w:r w:rsidRPr="00B13B9A">
        <w:rPr>
          <w:rFonts w:asciiTheme="majorHAnsi" w:hAnsiTheme="majorHAnsi" w:cstheme="majorHAnsi"/>
          <w:bCs/>
          <w:sz w:val="24"/>
          <w:szCs w:val="24"/>
          <w:lang w:val="ro-MD" w:eastAsia="ro-RO"/>
        </w:rPr>
        <w:t xml:space="preserve">i asigură executarea actelor normative </w:t>
      </w:r>
      <w:r w:rsidR="00B13B9A" w:rsidRPr="00B13B9A">
        <w:rPr>
          <w:rFonts w:asciiTheme="majorHAnsi" w:hAnsiTheme="majorHAnsi" w:cstheme="majorHAnsi"/>
          <w:bCs/>
          <w:sz w:val="24"/>
          <w:szCs w:val="24"/>
          <w:lang w:val="ro-MD" w:eastAsia="ro-RO"/>
        </w:rPr>
        <w:t>ș</w:t>
      </w:r>
      <w:r w:rsidRPr="00B13B9A">
        <w:rPr>
          <w:rFonts w:asciiTheme="majorHAnsi" w:hAnsiTheme="majorHAnsi" w:cstheme="majorHAnsi"/>
          <w:bCs/>
          <w:sz w:val="24"/>
          <w:szCs w:val="24"/>
          <w:lang w:val="ro-MD" w:eastAsia="ro-RO"/>
        </w:rPr>
        <w:t>i a ordinelor Ministerului Sănătă</w:t>
      </w:r>
      <w:r w:rsidR="00B13B9A" w:rsidRPr="00B13B9A">
        <w:rPr>
          <w:rFonts w:asciiTheme="majorHAnsi" w:hAnsiTheme="majorHAnsi" w:cstheme="majorHAnsi"/>
          <w:bCs/>
          <w:sz w:val="24"/>
          <w:szCs w:val="24"/>
          <w:lang w:val="ro-MD" w:eastAsia="ro-RO"/>
        </w:rPr>
        <w:t>ț</w:t>
      </w:r>
      <w:r w:rsidRPr="00B13B9A">
        <w:rPr>
          <w:rFonts w:asciiTheme="majorHAnsi" w:hAnsiTheme="majorHAnsi" w:cstheme="majorHAnsi"/>
          <w:bCs/>
          <w:sz w:val="24"/>
          <w:szCs w:val="24"/>
          <w:lang w:val="ro-MD" w:eastAsia="ro-RO"/>
        </w:rPr>
        <w:t>ii. Conducătorul emite un act administrativ privind sporul de performan</w:t>
      </w:r>
      <w:r w:rsidR="00B13B9A" w:rsidRPr="00B13B9A">
        <w:rPr>
          <w:rFonts w:asciiTheme="majorHAnsi" w:hAnsiTheme="majorHAnsi" w:cstheme="majorHAnsi"/>
          <w:bCs/>
          <w:sz w:val="24"/>
          <w:szCs w:val="24"/>
          <w:lang w:val="ro-MD" w:eastAsia="ro-RO"/>
        </w:rPr>
        <w:t>ț</w:t>
      </w:r>
      <w:r w:rsidRPr="00B13B9A">
        <w:rPr>
          <w:rFonts w:asciiTheme="majorHAnsi" w:hAnsiTheme="majorHAnsi" w:cstheme="majorHAnsi"/>
          <w:bCs/>
          <w:sz w:val="24"/>
          <w:szCs w:val="24"/>
          <w:lang w:val="ro-MD" w:eastAsia="ro-RO"/>
        </w:rPr>
        <w:t>ă acordat lunar fiecărui angajat</w:t>
      </w:r>
      <w:r w:rsidRPr="00B13B9A">
        <w:rPr>
          <w:rStyle w:val="a9"/>
          <w:rFonts w:asciiTheme="majorHAnsi" w:hAnsiTheme="majorHAnsi" w:cstheme="majorHAnsi"/>
          <w:bCs/>
          <w:sz w:val="24"/>
          <w:szCs w:val="24"/>
          <w:lang w:val="ro-MD" w:eastAsia="ro-RO"/>
        </w:rPr>
        <w:footnoteReference w:id="51"/>
      </w:r>
      <w:r w:rsidRPr="00B13B9A">
        <w:rPr>
          <w:rFonts w:asciiTheme="majorHAnsi" w:hAnsiTheme="majorHAnsi" w:cstheme="majorHAnsi"/>
          <w:bCs/>
          <w:sz w:val="24"/>
          <w:szCs w:val="24"/>
          <w:lang w:val="ro-MD" w:eastAsia="ro-RO"/>
        </w:rPr>
        <w:t>.</w:t>
      </w:r>
    </w:p>
    <w:p w14:paraId="68551852" w14:textId="45C92E46" w:rsidR="00EF1983" w:rsidRPr="00B13B9A" w:rsidRDefault="00EF1983" w:rsidP="00EF1983">
      <w:pPr>
        <w:tabs>
          <w:tab w:val="left" w:pos="0"/>
        </w:tabs>
        <w:spacing w:after="0" w:line="276" w:lineRule="auto"/>
        <w:jc w:val="both"/>
        <w:rPr>
          <w:rFonts w:asciiTheme="majorHAnsi" w:hAnsiTheme="majorHAnsi" w:cstheme="majorHAnsi"/>
          <w:bCs/>
          <w:sz w:val="24"/>
          <w:szCs w:val="24"/>
          <w:lang w:val="ro-MD" w:eastAsia="ro-RO"/>
        </w:rPr>
      </w:pPr>
      <w:r w:rsidRPr="00B13B9A">
        <w:rPr>
          <w:rFonts w:asciiTheme="majorHAnsi" w:hAnsiTheme="majorHAnsi" w:cstheme="majorHAnsi"/>
          <w:bCs/>
          <w:sz w:val="24"/>
          <w:szCs w:val="24"/>
          <w:lang w:val="ro-MD" w:eastAsia="ro-RO"/>
        </w:rPr>
        <w:t>Verificările de audit asupra conformită</w:t>
      </w:r>
      <w:r w:rsidR="00B13B9A" w:rsidRPr="00B13B9A">
        <w:rPr>
          <w:rFonts w:asciiTheme="majorHAnsi" w:hAnsiTheme="majorHAnsi" w:cstheme="majorHAnsi"/>
          <w:bCs/>
          <w:sz w:val="24"/>
          <w:szCs w:val="24"/>
          <w:lang w:val="ro-MD" w:eastAsia="ro-RO"/>
        </w:rPr>
        <w:t>ț</w:t>
      </w:r>
      <w:r w:rsidRPr="00B13B9A">
        <w:rPr>
          <w:rFonts w:asciiTheme="majorHAnsi" w:hAnsiTheme="majorHAnsi" w:cstheme="majorHAnsi"/>
          <w:bCs/>
          <w:sz w:val="24"/>
          <w:szCs w:val="24"/>
          <w:lang w:val="ro-MD" w:eastAsia="ro-RO"/>
        </w:rPr>
        <w:t>ii procesului de acordare a suplimentelor la salariu pentru personalul implicat în tratamentul pacien</w:t>
      </w:r>
      <w:r w:rsidR="00B13B9A" w:rsidRPr="00B13B9A">
        <w:rPr>
          <w:rFonts w:asciiTheme="majorHAnsi" w:hAnsiTheme="majorHAnsi" w:cstheme="majorHAnsi"/>
          <w:bCs/>
          <w:sz w:val="24"/>
          <w:szCs w:val="24"/>
          <w:lang w:val="ro-MD" w:eastAsia="ro-RO"/>
        </w:rPr>
        <w:t>ț</w:t>
      </w:r>
      <w:r w:rsidRPr="00B13B9A">
        <w:rPr>
          <w:rFonts w:asciiTheme="majorHAnsi" w:hAnsiTheme="majorHAnsi" w:cstheme="majorHAnsi"/>
          <w:bCs/>
          <w:sz w:val="24"/>
          <w:szCs w:val="24"/>
          <w:lang w:val="ro-MD" w:eastAsia="ro-RO"/>
        </w:rPr>
        <w:t xml:space="preserve">ilor cu COVID-19 a atestat că în cadrul </w:t>
      </w:r>
      <w:r w:rsidR="00F431A2" w:rsidRPr="00B13B9A">
        <w:rPr>
          <w:rFonts w:asciiTheme="majorHAnsi" w:hAnsiTheme="majorHAnsi" w:cstheme="majorHAnsi"/>
          <w:color w:val="000000" w:themeColor="text1"/>
          <w:sz w:val="24"/>
          <w:szCs w:val="24"/>
          <w:lang w:val="ro-MD"/>
        </w:rPr>
        <w:t xml:space="preserve">IMSP IFP </w:t>
      </w:r>
      <w:r w:rsidR="00F431A2" w:rsidRPr="00B13B9A">
        <w:rPr>
          <w:rFonts w:asciiTheme="majorHAnsi" w:hAnsiTheme="majorHAnsi" w:cstheme="majorHAnsi"/>
          <w:sz w:val="24"/>
          <w:szCs w:val="24"/>
          <w:lang w:val="ro-MD"/>
        </w:rPr>
        <w:t>„Chiril Draganiuc”</w:t>
      </w:r>
      <w:r w:rsidRPr="00B13B9A">
        <w:rPr>
          <w:rFonts w:asciiTheme="majorHAnsi" w:hAnsiTheme="majorHAnsi" w:cstheme="majorHAnsi"/>
          <w:bCs/>
          <w:sz w:val="24"/>
          <w:szCs w:val="24"/>
          <w:lang w:val="ro-MD" w:eastAsia="ro-RO"/>
        </w:rPr>
        <w:t xml:space="preserve"> lipsesc ordinele conducătorilor cu privire la stabilirea lunară a acestui supliment. </w:t>
      </w:r>
    </w:p>
    <w:p w14:paraId="2392E54C" w14:textId="6D25032A" w:rsidR="00EF1983" w:rsidRPr="00B13B9A" w:rsidRDefault="00EF1983" w:rsidP="00EF1983">
      <w:pPr>
        <w:spacing w:line="276" w:lineRule="auto"/>
        <w:jc w:val="both"/>
        <w:rPr>
          <w:rFonts w:asciiTheme="majorHAnsi" w:hAnsiTheme="majorHAnsi" w:cstheme="majorHAnsi"/>
          <w:bCs/>
          <w:sz w:val="24"/>
          <w:szCs w:val="24"/>
          <w:lang w:val="ro-MD" w:eastAsia="ro-RO"/>
        </w:rPr>
      </w:pPr>
      <w:r w:rsidRPr="00B13B9A">
        <w:rPr>
          <w:rFonts w:asciiTheme="majorHAnsi" w:hAnsiTheme="majorHAnsi" w:cstheme="majorHAnsi"/>
          <w:bCs/>
          <w:sz w:val="24"/>
          <w:szCs w:val="24"/>
          <w:lang w:val="ro-MD" w:eastAsia="ro-RO"/>
        </w:rPr>
        <w:t>Concomitent, actele normative</w:t>
      </w:r>
      <w:r w:rsidRPr="00B13B9A">
        <w:rPr>
          <w:rStyle w:val="a9"/>
          <w:rFonts w:asciiTheme="majorHAnsi" w:hAnsiTheme="majorHAnsi" w:cstheme="majorHAnsi"/>
          <w:bCs/>
          <w:sz w:val="24"/>
          <w:szCs w:val="24"/>
          <w:lang w:val="ro-MD" w:eastAsia="ro-RO"/>
        </w:rPr>
        <w:footnoteReference w:id="52"/>
      </w:r>
      <w:r w:rsidRPr="00B13B9A">
        <w:rPr>
          <w:rFonts w:asciiTheme="majorHAnsi" w:hAnsiTheme="majorHAnsi" w:cstheme="majorHAnsi"/>
          <w:bCs/>
          <w:sz w:val="24"/>
          <w:szCs w:val="24"/>
          <w:lang w:val="ro-MD" w:eastAsia="ro-RO"/>
        </w:rPr>
        <w:t xml:space="preserve"> stabilesc că achitarea suplimentului la salariu pentru performan</w:t>
      </w:r>
      <w:r w:rsidR="00B13B9A" w:rsidRPr="00B13B9A">
        <w:rPr>
          <w:rFonts w:asciiTheme="majorHAnsi" w:hAnsiTheme="majorHAnsi" w:cstheme="majorHAnsi"/>
          <w:bCs/>
          <w:sz w:val="24"/>
          <w:szCs w:val="24"/>
          <w:lang w:val="ro-MD" w:eastAsia="ro-RO"/>
        </w:rPr>
        <w:t>ț</w:t>
      </w:r>
      <w:r w:rsidRPr="00B13B9A">
        <w:rPr>
          <w:rFonts w:asciiTheme="majorHAnsi" w:hAnsiTheme="majorHAnsi" w:cstheme="majorHAnsi"/>
          <w:bCs/>
          <w:sz w:val="24"/>
          <w:szCs w:val="24"/>
          <w:lang w:val="ro-MD" w:eastAsia="ro-RO"/>
        </w:rPr>
        <w:t>ele profesionale individuale în muncă se efectuează lunar în baza rezultatelor constatate în urma evaluării performan</w:t>
      </w:r>
      <w:r w:rsidR="00B13B9A" w:rsidRPr="00B13B9A">
        <w:rPr>
          <w:rFonts w:asciiTheme="majorHAnsi" w:hAnsiTheme="majorHAnsi" w:cstheme="majorHAnsi"/>
          <w:bCs/>
          <w:sz w:val="24"/>
          <w:szCs w:val="24"/>
          <w:lang w:val="ro-MD" w:eastAsia="ro-RO"/>
        </w:rPr>
        <w:t>ț</w:t>
      </w:r>
      <w:r w:rsidRPr="00B13B9A">
        <w:rPr>
          <w:rFonts w:asciiTheme="majorHAnsi" w:hAnsiTheme="majorHAnsi" w:cstheme="majorHAnsi"/>
          <w:bCs/>
          <w:sz w:val="24"/>
          <w:szCs w:val="24"/>
          <w:lang w:val="ro-MD" w:eastAsia="ro-RO"/>
        </w:rPr>
        <w:t>elor profesionale a</w:t>
      </w:r>
      <w:r w:rsidR="00C81F16" w:rsidRPr="00B13B9A">
        <w:rPr>
          <w:rFonts w:asciiTheme="majorHAnsi" w:hAnsiTheme="majorHAnsi" w:cstheme="majorHAnsi"/>
          <w:bCs/>
          <w:sz w:val="24"/>
          <w:szCs w:val="24"/>
          <w:lang w:val="ro-MD" w:eastAsia="ro-RO"/>
        </w:rPr>
        <w:t>le</w:t>
      </w:r>
      <w:r w:rsidRPr="00B13B9A">
        <w:rPr>
          <w:rFonts w:asciiTheme="majorHAnsi" w:hAnsiTheme="majorHAnsi" w:cstheme="majorHAnsi"/>
          <w:bCs/>
          <w:sz w:val="24"/>
          <w:szCs w:val="24"/>
          <w:lang w:val="ro-MD" w:eastAsia="ro-RO"/>
        </w:rPr>
        <w:t xml:space="preserve"> personalului institu</w:t>
      </w:r>
      <w:r w:rsidR="00B13B9A" w:rsidRPr="00B13B9A">
        <w:rPr>
          <w:rFonts w:asciiTheme="majorHAnsi" w:hAnsiTheme="majorHAnsi" w:cstheme="majorHAnsi"/>
          <w:bCs/>
          <w:sz w:val="24"/>
          <w:szCs w:val="24"/>
          <w:lang w:val="ro-MD" w:eastAsia="ro-RO"/>
        </w:rPr>
        <w:t>ț</w:t>
      </w:r>
      <w:r w:rsidRPr="00B13B9A">
        <w:rPr>
          <w:rFonts w:asciiTheme="majorHAnsi" w:hAnsiTheme="majorHAnsi" w:cstheme="majorHAnsi"/>
          <w:bCs/>
          <w:sz w:val="24"/>
          <w:szCs w:val="24"/>
          <w:lang w:val="ro-MD" w:eastAsia="ro-RO"/>
        </w:rPr>
        <w:t>iei medico-sanitare. Responsabilitatea pentru evaluarea lunară a îndeplinirii indicatorilor de performan</w:t>
      </w:r>
      <w:r w:rsidR="00B13B9A" w:rsidRPr="00B13B9A">
        <w:rPr>
          <w:rFonts w:asciiTheme="majorHAnsi" w:hAnsiTheme="majorHAnsi" w:cstheme="majorHAnsi"/>
          <w:bCs/>
          <w:sz w:val="24"/>
          <w:szCs w:val="24"/>
          <w:lang w:val="ro-MD" w:eastAsia="ro-RO"/>
        </w:rPr>
        <w:t>ț</w:t>
      </w:r>
      <w:r w:rsidRPr="00B13B9A">
        <w:rPr>
          <w:rFonts w:asciiTheme="majorHAnsi" w:hAnsiTheme="majorHAnsi" w:cstheme="majorHAnsi"/>
          <w:bCs/>
          <w:sz w:val="24"/>
          <w:szCs w:val="24"/>
          <w:lang w:val="ro-MD" w:eastAsia="ro-RO"/>
        </w:rPr>
        <w:t>ă profesională a muncii este atribuită Comisiei de evaluare a performan</w:t>
      </w:r>
      <w:r w:rsidR="00B13B9A" w:rsidRPr="00B13B9A">
        <w:rPr>
          <w:rFonts w:asciiTheme="majorHAnsi" w:hAnsiTheme="majorHAnsi" w:cstheme="majorHAnsi"/>
          <w:bCs/>
          <w:sz w:val="24"/>
          <w:szCs w:val="24"/>
          <w:lang w:val="ro-MD" w:eastAsia="ro-RO"/>
        </w:rPr>
        <w:t>ț</w:t>
      </w:r>
      <w:r w:rsidRPr="00B13B9A">
        <w:rPr>
          <w:rFonts w:asciiTheme="majorHAnsi" w:hAnsiTheme="majorHAnsi" w:cstheme="majorHAnsi"/>
          <w:bCs/>
          <w:sz w:val="24"/>
          <w:szCs w:val="24"/>
          <w:lang w:val="ro-MD" w:eastAsia="ro-RO"/>
        </w:rPr>
        <w:t>elor profesionale a muncii, aprobate prin ordinul conducătorului institu</w:t>
      </w:r>
      <w:r w:rsidR="00B13B9A" w:rsidRPr="00B13B9A">
        <w:rPr>
          <w:rFonts w:asciiTheme="majorHAnsi" w:hAnsiTheme="majorHAnsi" w:cstheme="majorHAnsi"/>
          <w:bCs/>
          <w:sz w:val="24"/>
          <w:szCs w:val="24"/>
          <w:lang w:val="ro-MD" w:eastAsia="ro-RO"/>
        </w:rPr>
        <w:t>ț</w:t>
      </w:r>
      <w:r w:rsidRPr="00B13B9A">
        <w:rPr>
          <w:rFonts w:asciiTheme="majorHAnsi" w:hAnsiTheme="majorHAnsi" w:cstheme="majorHAnsi"/>
          <w:bCs/>
          <w:sz w:val="24"/>
          <w:szCs w:val="24"/>
          <w:lang w:val="ro-MD" w:eastAsia="ro-RO"/>
        </w:rPr>
        <w:t xml:space="preserve">iei.  </w:t>
      </w:r>
    </w:p>
    <w:p w14:paraId="5573507A" w14:textId="59F8B481" w:rsidR="00EF1983" w:rsidRPr="00B13B9A" w:rsidRDefault="00EF1983" w:rsidP="00EF1983">
      <w:pPr>
        <w:spacing w:after="0" w:line="276" w:lineRule="auto"/>
        <w:jc w:val="both"/>
        <w:rPr>
          <w:rFonts w:asciiTheme="majorHAnsi" w:hAnsiTheme="majorHAnsi" w:cstheme="majorHAnsi"/>
          <w:bCs/>
          <w:sz w:val="24"/>
          <w:szCs w:val="24"/>
          <w:lang w:val="ro-MD" w:eastAsia="ro-RO"/>
        </w:rPr>
      </w:pPr>
      <w:r w:rsidRPr="00B13B9A">
        <w:rPr>
          <w:rFonts w:asciiTheme="majorHAnsi" w:hAnsiTheme="majorHAnsi" w:cstheme="majorHAnsi"/>
          <w:bCs/>
          <w:sz w:val="24"/>
          <w:szCs w:val="24"/>
          <w:lang w:val="ro-MD" w:eastAsia="ro-RO"/>
        </w:rPr>
        <w:t xml:space="preserve">În vederea motivării financiare a personalului implicat în supravegherea, tratamentul </w:t>
      </w:r>
      <w:r w:rsidR="00B13B9A" w:rsidRPr="00B13B9A">
        <w:rPr>
          <w:rFonts w:asciiTheme="majorHAnsi" w:hAnsiTheme="majorHAnsi" w:cstheme="majorHAnsi"/>
          <w:bCs/>
          <w:sz w:val="24"/>
          <w:szCs w:val="24"/>
          <w:lang w:val="ro-MD" w:eastAsia="ro-RO"/>
        </w:rPr>
        <w:t>ș</w:t>
      </w:r>
      <w:r w:rsidRPr="00B13B9A">
        <w:rPr>
          <w:rFonts w:asciiTheme="majorHAnsi" w:hAnsiTheme="majorHAnsi" w:cstheme="majorHAnsi"/>
          <w:bCs/>
          <w:sz w:val="24"/>
          <w:szCs w:val="24"/>
          <w:lang w:val="ro-MD" w:eastAsia="ro-RO"/>
        </w:rPr>
        <w:t>i controlul infec</w:t>
      </w:r>
      <w:r w:rsidR="00B13B9A" w:rsidRPr="00B13B9A">
        <w:rPr>
          <w:rFonts w:asciiTheme="majorHAnsi" w:hAnsiTheme="majorHAnsi" w:cstheme="majorHAnsi"/>
          <w:bCs/>
          <w:sz w:val="24"/>
          <w:szCs w:val="24"/>
          <w:lang w:val="ro-MD" w:eastAsia="ro-RO"/>
        </w:rPr>
        <w:t>ț</w:t>
      </w:r>
      <w:r w:rsidRPr="00B13B9A">
        <w:rPr>
          <w:rFonts w:asciiTheme="majorHAnsi" w:hAnsiTheme="majorHAnsi" w:cstheme="majorHAnsi"/>
          <w:bCs/>
          <w:sz w:val="24"/>
          <w:szCs w:val="24"/>
          <w:lang w:val="ro-MD" w:eastAsia="ro-RO"/>
        </w:rPr>
        <w:t xml:space="preserve">iei COVID-19, în lunile martie </w:t>
      </w:r>
      <w:r w:rsidR="00B13B9A" w:rsidRPr="00B13B9A">
        <w:rPr>
          <w:rFonts w:asciiTheme="majorHAnsi" w:hAnsiTheme="majorHAnsi" w:cstheme="majorHAnsi"/>
          <w:bCs/>
          <w:sz w:val="24"/>
          <w:szCs w:val="24"/>
          <w:lang w:val="ro-MD" w:eastAsia="ro-RO"/>
        </w:rPr>
        <w:t>ș</w:t>
      </w:r>
      <w:r w:rsidRPr="00B13B9A">
        <w:rPr>
          <w:rFonts w:asciiTheme="majorHAnsi" w:hAnsiTheme="majorHAnsi" w:cstheme="majorHAnsi"/>
          <w:bCs/>
          <w:sz w:val="24"/>
          <w:szCs w:val="24"/>
          <w:lang w:val="ro-MD" w:eastAsia="ro-RO"/>
        </w:rPr>
        <w:t>i mai 2020 MSMPS a aprobat două Ordine</w:t>
      </w:r>
      <w:r w:rsidRPr="00B13B9A">
        <w:rPr>
          <w:rStyle w:val="a9"/>
          <w:rFonts w:asciiTheme="majorHAnsi" w:hAnsiTheme="majorHAnsi" w:cstheme="majorHAnsi"/>
          <w:bCs/>
          <w:sz w:val="24"/>
          <w:szCs w:val="24"/>
          <w:lang w:val="ro-MD" w:eastAsia="ro-RO"/>
        </w:rPr>
        <w:footnoteReference w:id="53"/>
      </w:r>
      <w:r w:rsidRPr="00B13B9A">
        <w:rPr>
          <w:rFonts w:asciiTheme="majorHAnsi" w:hAnsiTheme="majorHAnsi" w:cstheme="majorHAnsi"/>
          <w:bCs/>
          <w:sz w:val="24"/>
          <w:szCs w:val="24"/>
          <w:lang w:val="ro-MD" w:eastAsia="ro-RO"/>
        </w:rPr>
        <w:t xml:space="preserve"> cu privire la motivarea personalului, orientate la acoperirea cheltuielilor aferente suplimentului pentru îndeplinirea indicatorului de performan</w:t>
      </w:r>
      <w:r w:rsidR="00B13B9A" w:rsidRPr="00B13B9A">
        <w:rPr>
          <w:rFonts w:asciiTheme="majorHAnsi" w:hAnsiTheme="majorHAnsi" w:cstheme="majorHAnsi"/>
          <w:bCs/>
          <w:sz w:val="24"/>
          <w:szCs w:val="24"/>
          <w:lang w:val="ro-MD" w:eastAsia="ro-RO"/>
        </w:rPr>
        <w:t>ț</w:t>
      </w:r>
      <w:r w:rsidRPr="00B13B9A">
        <w:rPr>
          <w:rFonts w:asciiTheme="majorHAnsi" w:hAnsiTheme="majorHAnsi" w:cstheme="majorHAnsi"/>
          <w:bCs/>
          <w:sz w:val="24"/>
          <w:szCs w:val="24"/>
          <w:lang w:val="ro-MD" w:eastAsia="ro-RO"/>
        </w:rPr>
        <w:t>ă profesională „Acordarea asisten</w:t>
      </w:r>
      <w:r w:rsidR="00B13B9A" w:rsidRPr="00B13B9A">
        <w:rPr>
          <w:rFonts w:asciiTheme="majorHAnsi" w:hAnsiTheme="majorHAnsi" w:cstheme="majorHAnsi"/>
          <w:bCs/>
          <w:sz w:val="24"/>
          <w:szCs w:val="24"/>
          <w:lang w:val="ro-MD" w:eastAsia="ro-RO"/>
        </w:rPr>
        <w:t>ț</w:t>
      </w:r>
      <w:r w:rsidRPr="00B13B9A">
        <w:rPr>
          <w:rFonts w:asciiTheme="majorHAnsi" w:hAnsiTheme="majorHAnsi" w:cstheme="majorHAnsi"/>
          <w:bCs/>
          <w:sz w:val="24"/>
          <w:szCs w:val="24"/>
          <w:lang w:val="ro-MD" w:eastAsia="ro-RO"/>
        </w:rPr>
        <w:t>ei medicale pacien</w:t>
      </w:r>
      <w:r w:rsidR="00B13B9A" w:rsidRPr="00B13B9A">
        <w:rPr>
          <w:rFonts w:asciiTheme="majorHAnsi" w:hAnsiTheme="majorHAnsi" w:cstheme="majorHAnsi"/>
          <w:bCs/>
          <w:sz w:val="24"/>
          <w:szCs w:val="24"/>
          <w:lang w:val="ro-MD" w:eastAsia="ro-RO"/>
        </w:rPr>
        <w:t>ț</w:t>
      </w:r>
      <w:r w:rsidRPr="00B13B9A">
        <w:rPr>
          <w:rFonts w:asciiTheme="majorHAnsi" w:hAnsiTheme="majorHAnsi" w:cstheme="majorHAnsi"/>
          <w:bCs/>
          <w:sz w:val="24"/>
          <w:szCs w:val="24"/>
          <w:lang w:val="ro-MD" w:eastAsia="ro-RO"/>
        </w:rPr>
        <w:t>ilor cu COVID-19, în baza defini</w:t>
      </w:r>
      <w:r w:rsidR="00B13B9A" w:rsidRPr="00B13B9A">
        <w:rPr>
          <w:rFonts w:asciiTheme="majorHAnsi" w:hAnsiTheme="majorHAnsi" w:cstheme="majorHAnsi"/>
          <w:bCs/>
          <w:sz w:val="24"/>
          <w:szCs w:val="24"/>
          <w:lang w:val="ro-MD" w:eastAsia="ro-RO"/>
        </w:rPr>
        <w:t>ț</w:t>
      </w:r>
      <w:r w:rsidRPr="00B13B9A">
        <w:rPr>
          <w:rFonts w:asciiTheme="majorHAnsi" w:hAnsiTheme="majorHAnsi" w:cstheme="majorHAnsi"/>
          <w:bCs/>
          <w:sz w:val="24"/>
          <w:szCs w:val="24"/>
          <w:lang w:val="ro-MD" w:eastAsia="ro-RO"/>
        </w:rPr>
        <w:t>iei de caz contact/suspect/probabil/c</w:t>
      </w:r>
      <w:r w:rsidR="006E4551" w:rsidRPr="00B13B9A">
        <w:rPr>
          <w:rFonts w:asciiTheme="majorHAnsi" w:hAnsiTheme="majorHAnsi" w:cstheme="majorHAnsi"/>
          <w:bCs/>
          <w:sz w:val="24"/>
          <w:szCs w:val="24"/>
          <w:lang w:val="ro-MD" w:eastAsia="ro-RO"/>
        </w:rPr>
        <w:t>onfirmat”. Prin scrisoarea ministerului</w:t>
      </w:r>
      <w:r w:rsidRPr="00B13B9A">
        <w:rPr>
          <w:rFonts w:asciiTheme="majorHAnsi" w:hAnsiTheme="majorHAnsi" w:cstheme="majorHAnsi"/>
          <w:bCs/>
          <w:sz w:val="24"/>
          <w:szCs w:val="24"/>
          <w:lang w:val="ro-MD" w:eastAsia="ro-RO"/>
        </w:rPr>
        <w:t xml:space="preserve"> din iulie 2020</w:t>
      </w:r>
      <w:r w:rsidRPr="00B13B9A">
        <w:rPr>
          <w:rStyle w:val="a9"/>
          <w:rFonts w:asciiTheme="majorHAnsi" w:hAnsiTheme="majorHAnsi" w:cstheme="majorHAnsi"/>
          <w:bCs/>
          <w:sz w:val="24"/>
          <w:szCs w:val="24"/>
          <w:lang w:val="ro-MD" w:eastAsia="ro-RO"/>
        </w:rPr>
        <w:footnoteReference w:id="54"/>
      </w:r>
      <w:r w:rsidRPr="00B13B9A">
        <w:rPr>
          <w:rFonts w:asciiTheme="majorHAnsi" w:hAnsiTheme="majorHAnsi" w:cstheme="majorHAnsi"/>
          <w:bCs/>
          <w:sz w:val="24"/>
          <w:szCs w:val="24"/>
          <w:lang w:val="ro-MD" w:eastAsia="ro-RO"/>
        </w:rPr>
        <w:t xml:space="preserve"> a fost comunicat CNAM precum că suplimentul se stabile</w:t>
      </w:r>
      <w:r w:rsidR="00B13B9A" w:rsidRPr="00B13B9A">
        <w:rPr>
          <w:rFonts w:asciiTheme="majorHAnsi" w:hAnsiTheme="majorHAnsi" w:cstheme="majorHAnsi"/>
          <w:bCs/>
          <w:sz w:val="24"/>
          <w:szCs w:val="24"/>
          <w:lang w:val="ro-MD" w:eastAsia="ro-RO"/>
        </w:rPr>
        <w:t>ș</w:t>
      </w:r>
      <w:r w:rsidRPr="00B13B9A">
        <w:rPr>
          <w:rFonts w:asciiTheme="majorHAnsi" w:hAnsiTheme="majorHAnsi" w:cstheme="majorHAnsi"/>
          <w:bCs/>
          <w:sz w:val="24"/>
          <w:szCs w:val="24"/>
          <w:lang w:val="ro-MD" w:eastAsia="ro-RO"/>
        </w:rPr>
        <w:t xml:space="preserve">te </w:t>
      </w:r>
      <w:r w:rsidR="00B13B9A" w:rsidRPr="00B13B9A">
        <w:rPr>
          <w:rFonts w:asciiTheme="majorHAnsi" w:hAnsiTheme="majorHAnsi" w:cstheme="majorHAnsi"/>
          <w:bCs/>
          <w:sz w:val="24"/>
          <w:szCs w:val="24"/>
          <w:lang w:val="ro-MD" w:eastAsia="ro-RO"/>
        </w:rPr>
        <w:t>ș</w:t>
      </w:r>
      <w:r w:rsidRPr="00B13B9A">
        <w:rPr>
          <w:rFonts w:asciiTheme="majorHAnsi" w:hAnsiTheme="majorHAnsi" w:cstheme="majorHAnsi"/>
          <w:bCs/>
          <w:sz w:val="24"/>
          <w:szCs w:val="24"/>
          <w:lang w:val="ro-MD" w:eastAsia="ro-RO"/>
        </w:rPr>
        <w:t>i se achită personalului implicat nemijlocit în acordarea asisten</w:t>
      </w:r>
      <w:r w:rsidR="00B13B9A" w:rsidRPr="00B13B9A">
        <w:rPr>
          <w:rFonts w:asciiTheme="majorHAnsi" w:hAnsiTheme="majorHAnsi" w:cstheme="majorHAnsi"/>
          <w:bCs/>
          <w:sz w:val="24"/>
          <w:szCs w:val="24"/>
          <w:lang w:val="ro-MD" w:eastAsia="ro-RO"/>
        </w:rPr>
        <w:t>ț</w:t>
      </w:r>
      <w:r w:rsidRPr="00B13B9A">
        <w:rPr>
          <w:rFonts w:asciiTheme="majorHAnsi" w:hAnsiTheme="majorHAnsi" w:cstheme="majorHAnsi"/>
          <w:bCs/>
          <w:sz w:val="24"/>
          <w:szCs w:val="24"/>
          <w:lang w:val="ro-MD" w:eastAsia="ro-RO"/>
        </w:rPr>
        <w:t xml:space="preserve">ei medicale persoanelor cu COVID-19, conform timpului real implicat în realizarea indicatorului.   </w:t>
      </w:r>
    </w:p>
    <w:p w14:paraId="43E3372E" w14:textId="7CF475BA" w:rsidR="00717D02" w:rsidRPr="00B13B9A" w:rsidRDefault="00EF1983" w:rsidP="00EF1983">
      <w:pPr>
        <w:spacing w:before="240" w:after="0" w:line="276" w:lineRule="auto"/>
        <w:jc w:val="both"/>
        <w:rPr>
          <w:rFonts w:asciiTheme="majorHAnsi" w:hAnsiTheme="majorHAnsi" w:cstheme="majorHAnsi"/>
          <w:bCs/>
          <w:sz w:val="24"/>
          <w:szCs w:val="24"/>
          <w:lang w:val="ro-MD" w:eastAsia="ro-RO"/>
        </w:rPr>
      </w:pPr>
      <w:r w:rsidRPr="00B13B9A">
        <w:rPr>
          <w:rFonts w:asciiTheme="majorHAnsi" w:hAnsiTheme="majorHAnsi" w:cstheme="majorHAnsi"/>
          <w:bCs/>
          <w:sz w:val="24"/>
          <w:szCs w:val="24"/>
          <w:lang w:val="ro-MD" w:eastAsia="ro-RO"/>
        </w:rPr>
        <w:t xml:space="preserve">Activitatea de audit a stabilit că </w:t>
      </w:r>
      <w:r w:rsidR="00C81F16" w:rsidRPr="00B13B9A">
        <w:rPr>
          <w:rFonts w:asciiTheme="majorHAnsi" w:hAnsiTheme="majorHAnsi" w:cstheme="majorHAnsi"/>
          <w:bCs/>
          <w:sz w:val="24"/>
          <w:szCs w:val="24"/>
          <w:lang w:val="ro-MD" w:eastAsia="ro-RO"/>
        </w:rPr>
        <w:t xml:space="preserve">la </w:t>
      </w:r>
      <w:r w:rsidRPr="00B13B9A">
        <w:rPr>
          <w:rFonts w:asciiTheme="majorHAnsi" w:hAnsiTheme="majorHAnsi" w:cstheme="majorHAnsi"/>
          <w:bCs/>
          <w:sz w:val="24"/>
          <w:szCs w:val="24"/>
          <w:lang w:val="ro-MD" w:eastAsia="ro-RO"/>
        </w:rPr>
        <w:t>evaluarea performan</w:t>
      </w:r>
      <w:r w:rsidR="00B13B9A" w:rsidRPr="00B13B9A">
        <w:rPr>
          <w:rFonts w:asciiTheme="majorHAnsi" w:hAnsiTheme="majorHAnsi" w:cstheme="majorHAnsi"/>
          <w:bCs/>
          <w:sz w:val="24"/>
          <w:szCs w:val="24"/>
          <w:lang w:val="ro-MD" w:eastAsia="ro-RO"/>
        </w:rPr>
        <w:t>ț</w:t>
      </w:r>
      <w:r w:rsidRPr="00B13B9A">
        <w:rPr>
          <w:rFonts w:asciiTheme="majorHAnsi" w:hAnsiTheme="majorHAnsi" w:cstheme="majorHAnsi"/>
          <w:bCs/>
          <w:sz w:val="24"/>
          <w:szCs w:val="24"/>
          <w:lang w:val="ro-MD" w:eastAsia="ro-RO"/>
        </w:rPr>
        <w:t>elor profesionale în cadrul entită</w:t>
      </w:r>
      <w:r w:rsidR="00B13B9A" w:rsidRPr="00B13B9A">
        <w:rPr>
          <w:rFonts w:asciiTheme="majorHAnsi" w:hAnsiTheme="majorHAnsi" w:cstheme="majorHAnsi"/>
          <w:bCs/>
          <w:sz w:val="24"/>
          <w:szCs w:val="24"/>
          <w:lang w:val="ro-MD" w:eastAsia="ro-RO"/>
        </w:rPr>
        <w:t>ț</w:t>
      </w:r>
      <w:r w:rsidRPr="00B13B9A">
        <w:rPr>
          <w:rFonts w:asciiTheme="majorHAnsi" w:hAnsiTheme="majorHAnsi" w:cstheme="majorHAnsi"/>
          <w:bCs/>
          <w:sz w:val="24"/>
          <w:szCs w:val="24"/>
          <w:lang w:val="ro-MD" w:eastAsia="ro-RO"/>
        </w:rPr>
        <w:t xml:space="preserve">ii auditate nu </w:t>
      </w:r>
      <w:r w:rsidR="00C81F16" w:rsidRPr="00B13B9A">
        <w:rPr>
          <w:rFonts w:asciiTheme="majorHAnsi" w:hAnsiTheme="majorHAnsi" w:cstheme="majorHAnsi"/>
          <w:bCs/>
          <w:sz w:val="24"/>
          <w:szCs w:val="24"/>
          <w:lang w:val="ro-MD" w:eastAsia="ro-RO"/>
        </w:rPr>
        <w:t>s-</w:t>
      </w:r>
      <w:r w:rsidRPr="00B13B9A">
        <w:rPr>
          <w:rFonts w:asciiTheme="majorHAnsi" w:hAnsiTheme="majorHAnsi" w:cstheme="majorHAnsi"/>
          <w:bCs/>
          <w:sz w:val="24"/>
          <w:szCs w:val="24"/>
          <w:lang w:val="ro-MD" w:eastAsia="ro-RO"/>
        </w:rPr>
        <w:t xml:space="preserve">a evaluat </w:t>
      </w:r>
      <w:r w:rsidR="00B13B9A" w:rsidRPr="00B13B9A">
        <w:rPr>
          <w:rFonts w:asciiTheme="majorHAnsi" w:hAnsiTheme="majorHAnsi" w:cstheme="majorHAnsi"/>
          <w:bCs/>
          <w:sz w:val="24"/>
          <w:szCs w:val="24"/>
          <w:lang w:val="ro-MD" w:eastAsia="ro-RO"/>
        </w:rPr>
        <w:t>ș</w:t>
      </w:r>
      <w:r w:rsidRPr="00B13B9A">
        <w:rPr>
          <w:rFonts w:asciiTheme="majorHAnsi" w:hAnsiTheme="majorHAnsi" w:cstheme="majorHAnsi"/>
          <w:bCs/>
          <w:sz w:val="24"/>
          <w:szCs w:val="24"/>
          <w:lang w:val="ro-MD" w:eastAsia="ro-RO"/>
        </w:rPr>
        <w:t xml:space="preserve">i nu </w:t>
      </w:r>
      <w:r w:rsidR="00C81F16" w:rsidRPr="00B13B9A">
        <w:rPr>
          <w:rFonts w:asciiTheme="majorHAnsi" w:hAnsiTheme="majorHAnsi" w:cstheme="majorHAnsi"/>
          <w:bCs/>
          <w:sz w:val="24"/>
          <w:szCs w:val="24"/>
          <w:lang w:val="ro-MD" w:eastAsia="ro-RO"/>
        </w:rPr>
        <w:t>s-</w:t>
      </w:r>
      <w:r w:rsidRPr="00B13B9A">
        <w:rPr>
          <w:rFonts w:asciiTheme="majorHAnsi" w:hAnsiTheme="majorHAnsi" w:cstheme="majorHAnsi"/>
          <w:bCs/>
          <w:sz w:val="24"/>
          <w:szCs w:val="24"/>
          <w:lang w:val="ro-MD" w:eastAsia="ro-RO"/>
        </w:rPr>
        <w:t>a consemnat în procesele-verbale ale comisiilor de evaluare, indicatorii de performan</w:t>
      </w:r>
      <w:r w:rsidR="00B13B9A" w:rsidRPr="00B13B9A">
        <w:rPr>
          <w:rFonts w:asciiTheme="majorHAnsi" w:hAnsiTheme="majorHAnsi" w:cstheme="majorHAnsi"/>
          <w:bCs/>
          <w:sz w:val="24"/>
          <w:szCs w:val="24"/>
          <w:lang w:val="ro-MD" w:eastAsia="ro-RO"/>
        </w:rPr>
        <w:t>ț</w:t>
      </w:r>
      <w:r w:rsidRPr="00B13B9A">
        <w:rPr>
          <w:rFonts w:asciiTheme="majorHAnsi" w:hAnsiTheme="majorHAnsi" w:cstheme="majorHAnsi"/>
          <w:bCs/>
          <w:sz w:val="24"/>
          <w:szCs w:val="24"/>
          <w:lang w:val="ro-MD" w:eastAsia="ro-RO"/>
        </w:rPr>
        <w:t>ă profesională pentru acordarea asisten</w:t>
      </w:r>
      <w:r w:rsidR="00B13B9A" w:rsidRPr="00B13B9A">
        <w:rPr>
          <w:rFonts w:asciiTheme="majorHAnsi" w:hAnsiTheme="majorHAnsi" w:cstheme="majorHAnsi"/>
          <w:bCs/>
          <w:sz w:val="24"/>
          <w:szCs w:val="24"/>
          <w:lang w:val="ro-MD" w:eastAsia="ro-RO"/>
        </w:rPr>
        <w:t>ț</w:t>
      </w:r>
      <w:r w:rsidRPr="00B13B9A">
        <w:rPr>
          <w:rFonts w:asciiTheme="majorHAnsi" w:hAnsiTheme="majorHAnsi" w:cstheme="majorHAnsi"/>
          <w:bCs/>
          <w:sz w:val="24"/>
          <w:szCs w:val="24"/>
          <w:lang w:val="ro-MD" w:eastAsia="ro-RO"/>
        </w:rPr>
        <w:t>ei medicale pacien</w:t>
      </w:r>
      <w:r w:rsidR="00B13B9A" w:rsidRPr="00B13B9A">
        <w:rPr>
          <w:rFonts w:asciiTheme="majorHAnsi" w:hAnsiTheme="majorHAnsi" w:cstheme="majorHAnsi"/>
          <w:bCs/>
          <w:sz w:val="24"/>
          <w:szCs w:val="24"/>
          <w:lang w:val="ro-MD" w:eastAsia="ro-RO"/>
        </w:rPr>
        <w:t>ț</w:t>
      </w:r>
      <w:r w:rsidRPr="00B13B9A">
        <w:rPr>
          <w:rFonts w:asciiTheme="majorHAnsi" w:hAnsiTheme="majorHAnsi" w:cstheme="majorHAnsi"/>
          <w:bCs/>
          <w:sz w:val="24"/>
          <w:szCs w:val="24"/>
          <w:lang w:val="ro-MD" w:eastAsia="ro-RO"/>
        </w:rPr>
        <w:t>ilor cu COVID-19, astfel fiind admise cheltuieli neregulamentare în sumă de 24 199,1 mii lei</w:t>
      </w:r>
      <w:r w:rsidR="00695C89" w:rsidRPr="00B13B9A">
        <w:rPr>
          <w:rFonts w:asciiTheme="majorHAnsi" w:hAnsiTheme="majorHAnsi" w:cstheme="majorHAnsi"/>
          <w:bCs/>
          <w:sz w:val="24"/>
          <w:szCs w:val="24"/>
          <w:lang w:val="ro-MD" w:eastAsia="ro-RO"/>
        </w:rPr>
        <w:t>.</w:t>
      </w:r>
    </w:p>
    <w:p w14:paraId="7EC8B7E6" w14:textId="0500F9C1" w:rsidR="00EF1983" w:rsidRPr="00B13B9A" w:rsidRDefault="00EF1983" w:rsidP="00EF1983">
      <w:pPr>
        <w:tabs>
          <w:tab w:val="left" w:pos="0"/>
        </w:tabs>
        <w:spacing w:before="240" w:after="0" w:line="276" w:lineRule="auto"/>
        <w:jc w:val="both"/>
        <w:rPr>
          <w:rFonts w:asciiTheme="majorHAnsi" w:hAnsiTheme="majorHAnsi" w:cstheme="majorHAnsi"/>
          <w:sz w:val="24"/>
          <w:szCs w:val="24"/>
          <w:lang w:val="ro-MD"/>
        </w:rPr>
      </w:pPr>
      <w:r w:rsidRPr="00B13B9A">
        <w:rPr>
          <w:rFonts w:asciiTheme="majorHAnsi" w:hAnsiTheme="majorHAnsi" w:cstheme="majorHAnsi"/>
          <w:sz w:val="24"/>
          <w:szCs w:val="24"/>
          <w:lang w:val="ro-MD"/>
        </w:rPr>
        <w:t>Controlul insuficient din partea managementului a creat condi</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 xml:space="preserve">ii pentru achitarea </w:t>
      </w:r>
      <w:r w:rsidR="003D08A6" w:rsidRPr="00B13B9A">
        <w:rPr>
          <w:rFonts w:asciiTheme="majorHAnsi" w:hAnsiTheme="majorHAnsi" w:cstheme="majorHAnsi"/>
          <w:sz w:val="24"/>
          <w:szCs w:val="24"/>
          <w:lang w:val="ro-MD"/>
        </w:rPr>
        <w:t>nedocumentată</w:t>
      </w:r>
      <w:r w:rsidRPr="00B13B9A">
        <w:rPr>
          <w:rFonts w:asciiTheme="majorHAnsi" w:hAnsiTheme="majorHAnsi" w:cstheme="majorHAnsi"/>
          <w:sz w:val="24"/>
          <w:szCs w:val="24"/>
          <w:lang w:val="ro-MD"/>
        </w:rPr>
        <w:t xml:space="preserve"> a suplimentelor la salariu. Neexecutarea atribu</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iilor manageriale de emitere a ordinelor, a afe</w:t>
      </w:r>
      <w:r w:rsidR="00B51DE0" w:rsidRPr="00B13B9A">
        <w:rPr>
          <w:rFonts w:asciiTheme="majorHAnsi" w:hAnsiTheme="majorHAnsi" w:cstheme="majorHAnsi"/>
          <w:sz w:val="24"/>
          <w:szCs w:val="24"/>
          <w:lang w:val="ro-MD"/>
        </w:rPr>
        <w:t>ctat transparen</w:t>
      </w:r>
      <w:r w:rsidR="00B13B9A" w:rsidRPr="00B13B9A">
        <w:rPr>
          <w:rFonts w:asciiTheme="majorHAnsi" w:hAnsiTheme="majorHAnsi" w:cstheme="majorHAnsi"/>
          <w:sz w:val="24"/>
          <w:szCs w:val="24"/>
          <w:lang w:val="ro-MD"/>
        </w:rPr>
        <w:t>ț</w:t>
      </w:r>
      <w:r w:rsidR="00B51DE0" w:rsidRPr="00B13B9A">
        <w:rPr>
          <w:rFonts w:asciiTheme="majorHAnsi" w:hAnsiTheme="majorHAnsi" w:cstheme="majorHAnsi"/>
          <w:sz w:val="24"/>
          <w:szCs w:val="24"/>
          <w:lang w:val="ro-MD"/>
        </w:rPr>
        <w:t>a</w:t>
      </w:r>
      <w:r w:rsidRPr="00B13B9A">
        <w:rPr>
          <w:rFonts w:asciiTheme="majorHAnsi" w:hAnsiTheme="majorHAnsi" w:cstheme="majorHAnsi"/>
          <w:sz w:val="24"/>
          <w:szCs w:val="24"/>
          <w:lang w:val="ro-MD"/>
        </w:rPr>
        <w:t xml:space="preserve"> utilizării mijloacelor financiare alocate pentru motivarea angaja</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ilor implica</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i în acordarea asisten</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ei medicale pacien</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ilor cu COVID-19.</w:t>
      </w:r>
    </w:p>
    <w:p w14:paraId="7543EABD" w14:textId="30BBCCBA" w:rsidR="00EF1983" w:rsidRPr="00B13B9A" w:rsidRDefault="00EF1983" w:rsidP="00241AB3">
      <w:pPr>
        <w:pStyle w:val="a7"/>
        <w:numPr>
          <w:ilvl w:val="2"/>
          <w:numId w:val="10"/>
        </w:numPr>
        <w:spacing w:before="240" w:after="0" w:line="276" w:lineRule="auto"/>
        <w:ind w:left="0" w:firstLine="0"/>
        <w:jc w:val="both"/>
        <w:outlineLvl w:val="2"/>
        <w:rPr>
          <w:rFonts w:asciiTheme="majorHAnsi" w:hAnsiTheme="majorHAnsi" w:cstheme="majorHAnsi"/>
          <w:sz w:val="24"/>
          <w:szCs w:val="24"/>
          <w:lang w:val="ro-MD"/>
        </w:rPr>
      </w:pPr>
      <w:bookmarkStart w:id="36" w:name="_Toc96432102"/>
      <w:bookmarkStart w:id="37" w:name="_Toc154562509"/>
      <w:r w:rsidRPr="00B13B9A">
        <w:rPr>
          <w:rFonts w:asciiTheme="majorHAnsi" w:hAnsiTheme="majorHAnsi" w:cstheme="majorHAnsi"/>
          <w:b/>
          <w:bCs/>
          <w:sz w:val="24"/>
          <w:szCs w:val="24"/>
          <w:lang w:val="ro-MD"/>
        </w:rPr>
        <w:t>Insuficien</w:t>
      </w:r>
      <w:r w:rsidR="00B13B9A" w:rsidRPr="00B13B9A">
        <w:rPr>
          <w:rFonts w:asciiTheme="majorHAnsi" w:hAnsiTheme="majorHAnsi" w:cstheme="majorHAnsi"/>
          <w:b/>
          <w:bCs/>
          <w:sz w:val="24"/>
          <w:szCs w:val="24"/>
          <w:lang w:val="ro-MD"/>
        </w:rPr>
        <w:t>ț</w:t>
      </w:r>
      <w:r w:rsidRPr="00B13B9A">
        <w:rPr>
          <w:rFonts w:asciiTheme="majorHAnsi" w:hAnsiTheme="majorHAnsi" w:cstheme="majorHAnsi"/>
          <w:b/>
          <w:bCs/>
          <w:sz w:val="24"/>
          <w:szCs w:val="24"/>
          <w:lang w:val="ro-MD"/>
        </w:rPr>
        <w:t>a controalelor interne în cadrul entită</w:t>
      </w:r>
      <w:r w:rsidR="00B13B9A" w:rsidRPr="00B13B9A">
        <w:rPr>
          <w:rFonts w:asciiTheme="majorHAnsi" w:hAnsiTheme="majorHAnsi" w:cstheme="majorHAnsi"/>
          <w:b/>
          <w:bCs/>
          <w:sz w:val="24"/>
          <w:szCs w:val="24"/>
          <w:lang w:val="ro-MD"/>
        </w:rPr>
        <w:t>ț</w:t>
      </w:r>
      <w:r w:rsidRPr="00B13B9A">
        <w:rPr>
          <w:rFonts w:asciiTheme="majorHAnsi" w:hAnsiTheme="majorHAnsi" w:cstheme="majorHAnsi"/>
          <w:b/>
          <w:bCs/>
          <w:sz w:val="24"/>
          <w:szCs w:val="24"/>
          <w:lang w:val="ro-MD"/>
        </w:rPr>
        <w:t>ii</w:t>
      </w:r>
      <w:r w:rsidR="006F5682" w:rsidRPr="00B13B9A">
        <w:rPr>
          <w:rFonts w:asciiTheme="majorHAnsi" w:hAnsiTheme="majorHAnsi" w:cstheme="majorHAnsi"/>
          <w:b/>
          <w:bCs/>
          <w:sz w:val="24"/>
          <w:szCs w:val="24"/>
          <w:lang w:val="ro-MD"/>
        </w:rPr>
        <w:t xml:space="preserve"> a cauzat</w:t>
      </w:r>
      <w:r w:rsidRPr="00B13B9A">
        <w:rPr>
          <w:rFonts w:asciiTheme="majorHAnsi" w:hAnsiTheme="majorHAnsi" w:cstheme="majorHAnsi"/>
          <w:b/>
          <w:bCs/>
          <w:sz w:val="24"/>
          <w:szCs w:val="24"/>
          <w:lang w:val="ro-MD"/>
        </w:rPr>
        <w:t xml:space="preserve"> utilizarea mijloacelor publice pentru remunerarea muncii </w:t>
      </w:r>
      <w:bookmarkEnd w:id="36"/>
      <w:r w:rsidR="009803CB" w:rsidRPr="00B13B9A">
        <w:rPr>
          <w:rFonts w:asciiTheme="majorHAnsi" w:hAnsiTheme="majorHAnsi" w:cstheme="majorHAnsi"/>
          <w:b/>
          <w:bCs/>
          <w:sz w:val="24"/>
          <w:szCs w:val="24"/>
          <w:lang w:val="ro-MD"/>
        </w:rPr>
        <w:t xml:space="preserve">cu </w:t>
      </w:r>
      <w:r w:rsidRPr="00B13B9A">
        <w:rPr>
          <w:rFonts w:asciiTheme="majorHAnsi" w:hAnsiTheme="majorHAnsi" w:cstheme="majorHAnsi"/>
          <w:b/>
          <w:bCs/>
          <w:sz w:val="24"/>
          <w:szCs w:val="24"/>
          <w:lang w:val="ro-MD"/>
        </w:rPr>
        <w:t>suportarea cheltuielilor</w:t>
      </w:r>
      <w:r w:rsidR="005F6223" w:rsidRPr="00B13B9A">
        <w:rPr>
          <w:rFonts w:asciiTheme="majorHAnsi" w:hAnsiTheme="majorHAnsi" w:cstheme="majorHAnsi"/>
          <w:b/>
          <w:bCs/>
          <w:sz w:val="24"/>
          <w:szCs w:val="24"/>
          <w:lang w:val="ro-MD"/>
        </w:rPr>
        <w:t xml:space="preserve"> nejustificate</w:t>
      </w:r>
      <w:r w:rsidRPr="00B13B9A">
        <w:rPr>
          <w:rFonts w:asciiTheme="majorHAnsi" w:hAnsiTheme="majorHAnsi" w:cstheme="majorHAnsi"/>
          <w:b/>
          <w:bCs/>
          <w:sz w:val="24"/>
          <w:szCs w:val="24"/>
          <w:lang w:val="ro-MD"/>
        </w:rPr>
        <w:t xml:space="preserve"> în sumă de 63,4 mii lei.</w:t>
      </w:r>
      <w:bookmarkEnd w:id="37"/>
    </w:p>
    <w:p w14:paraId="49913BFC" w14:textId="77777777" w:rsidR="00EF1983" w:rsidRPr="00B13B9A" w:rsidRDefault="00EF1983" w:rsidP="00EF1983">
      <w:pPr>
        <w:pStyle w:val="a7"/>
        <w:keepNext/>
        <w:widowControl w:val="0"/>
        <w:spacing w:line="276" w:lineRule="auto"/>
        <w:ind w:left="0"/>
        <w:jc w:val="both"/>
        <w:rPr>
          <w:rFonts w:asciiTheme="majorHAnsi" w:hAnsiTheme="majorHAnsi" w:cstheme="majorHAnsi"/>
          <w:color w:val="000000" w:themeColor="text1"/>
          <w:sz w:val="24"/>
          <w:szCs w:val="24"/>
          <w:lang w:val="ro-MD"/>
        </w:rPr>
      </w:pPr>
    </w:p>
    <w:p w14:paraId="63B71EF7" w14:textId="0A635D75" w:rsidR="00EF1983" w:rsidRPr="00B13B9A" w:rsidRDefault="00EF1983" w:rsidP="00EF1983">
      <w:pPr>
        <w:pStyle w:val="a7"/>
        <w:keepNext/>
        <w:widowControl w:val="0"/>
        <w:spacing w:line="276" w:lineRule="auto"/>
        <w:ind w:left="0"/>
        <w:jc w:val="both"/>
        <w:rPr>
          <w:rFonts w:asciiTheme="majorHAnsi" w:hAnsiTheme="majorHAnsi" w:cstheme="majorHAnsi"/>
          <w:sz w:val="24"/>
          <w:szCs w:val="24"/>
          <w:lang w:val="ro-MD"/>
        </w:rPr>
      </w:pPr>
      <w:r w:rsidRPr="00B13B9A">
        <w:rPr>
          <w:rFonts w:asciiTheme="majorHAnsi" w:hAnsiTheme="majorHAnsi" w:cstheme="majorHAnsi"/>
          <w:color w:val="000000" w:themeColor="text1"/>
          <w:sz w:val="24"/>
          <w:szCs w:val="24"/>
          <w:lang w:val="ro-MD"/>
        </w:rPr>
        <w:t>În urma activită</w:t>
      </w:r>
      <w:r w:rsidR="00B13B9A" w:rsidRPr="00B13B9A">
        <w:rPr>
          <w:rFonts w:asciiTheme="majorHAnsi" w:hAnsiTheme="majorHAnsi" w:cstheme="majorHAnsi"/>
          <w:color w:val="000000" w:themeColor="text1"/>
          <w:sz w:val="24"/>
          <w:szCs w:val="24"/>
          <w:lang w:val="ro-MD"/>
        </w:rPr>
        <w:t>ț</w:t>
      </w:r>
      <w:r w:rsidRPr="00B13B9A">
        <w:rPr>
          <w:rFonts w:asciiTheme="majorHAnsi" w:hAnsiTheme="majorHAnsi" w:cstheme="majorHAnsi"/>
          <w:color w:val="000000" w:themeColor="text1"/>
          <w:sz w:val="24"/>
          <w:szCs w:val="24"/>
          <w:lang w:val="ro-MD"/>
        </w:rPr>
        <w:t xml:space="preserve">ilor de audit </w:t>
      </w:r>
      <w:r w:rsidR="00B13B9A" w:rsidRPr="00B13B9A">
        <w:rPr>
          <w:rFonts w:asciiTheme="majorHAnsi" w:hAnsiTheme="majorHAnsi" w:cstheme="majorHAnsi"/>
          <w:color w:val="000000" w:themeColor="text1"/>
          <w:sz w:val="24"/>
          <w:szCs w:val="24"/>
          <w:lang w:val="ro-MD"/>
        </w:rPr>
        <w:t>ș</w:t>
      </w:r>
      <w:r w:rsidRPr="00B13B9A">
        <w:rPr>
          <w:rFonts w:asciiTheme="majorHAnsi" w:hAnsiTheme="majorHAnsi" w:cstheme="majorHAnsi"/>
          <w:color w:val="000000" w:themeColor="text1"/>
          <w:sz w:val="24"/>
          <w:szCs w:val="24"/>
          <w:lang w:val="ro-MD"/>
        </w:rPr>
        <w:t>i verific</w:t>
      </w:r>
      <w:r w:rsidR="006F5682" w:rsidRPr="00B13B9A">
        <w:rPr>
          <w:rFonts w:asciiTheme="majorHAnsi" w:hAnsiTheme="majorHAnsi" w:cstheme="majorHAnsi"/>
          <w:color w:val="000000" w:themeColor="text1"/>
          <w:sz w:val="24"/>
          <w:szCs w:val="24"/>
          <w:lang w:val="ro-MD"/>
        </w:rPr>
        <w:t>ării</w:t>
      </w:r>
      <w:r w:rsidRPr="00B13B9A">
        <w:rPr>
          <w:rFonts w:asciiTheme="majorHAnsi" w:hAnsiTheme="majorHAnsi" w:cstheme="majorHAnsi"/>
          <w:color w:val="000000" w:themeColor="text1"/>
          <w:sz w:val="24"/>
          <w:szCs w:val="24"/>
          <w:lang w:val="ro-MD"/>
        </w:rPr>
        <w:t xml:space="preserve"> personalului la locul de muncă, s-a stabilit că o angajată nu se afla la locul de muncă, de</w:t>
      </w:r>
      <w:r w:rsidR="00B13B9A" w:rsidRPr="00B13B9A">
        <w:rPr>
          <w:rFonts w:asciiTheme="majorHAnsi" w:hAnsiTheme="majorHAnsi" w:cstheme="majorHAnsi"/>
          <w:color w:val="000000" w:themeColor="text1"/>
          <w:sz w:val="24"/>
          <w:szCs w:val="24"/>
          <w:lang w:val="ro-MD"/>
        </w:rPr>
        <w:t>ș</w:t>
      </w:r>
      <w:r w:rsidRPr="00B13B9A">
        <w:rPr>
          <w:rFonts w:asciiTheme="majorHAnsi" w:hAnsiTheme="majorHAnsi" w:cstheme="majorHAnsi"/>
          <w:color w:val="000000" w:themeColor="text1"/>
          <w:sz w:val="24"/>
          <w:szCs w:val="24"/>
          <w:lang w:val="ro-MD"/>
        </w:rPr>
        <w:t>i era înregistrată în tabelele de eviden</w:t>
      </w:r>
      <w:r w:rsidR="00B13B9A" w:rsidRPr="00B13B9A">
        <w:rPr>
          <w:rFonts w:asciiTheme="majorHAnsi" w:hAnsiTheme="majorHAnsi" w:cstheme="majorHAnsi"/>
          <w:color w:val="000000" w:themeColor="text1"/>
          <w:sz w:val="24"/>
          <w:szCs w:val="24"/>
          <w:lang w:val="ro-MD"/>
        </w:rPr>
        <w:t>ț</w:t>
      </w:r>
      <w:r w:rsidRPr="00B13B9A">
        <w:rPr>
          <w:rFonts w:asciiTheme="majorHAnsi" w:hAnsiTheme="majorHAnsi" w:cstheme="majorHAnsi"/>
          <w:color w:val="000000" w:themeColor="text1"/>
          <w:sz w:val="24"/>
          <w:szCs w:val="24"/>
          <w:lang w:val="ro-MD"/>
        </w:rPr>
        <w:t xml:space="preserve">ă a timpului de muncă ca fiind prezentă. Totodată, s-a constatat că angajata respectivă este studentă la universitate, </w:t>
      </w:r>
      <w:r w:rsidRPr="00B13B9A">
        <w:rPr>
          <w:rFonts w:asciiTheme="majorHAnsi" w:eastAsia="Times New Roman" w:hAnsiTheme="majorHAnsi" w:cstheme="majorHAnsi"/>
          <w:color w:val="000000"/>
          <w:sz w:val="24"/>
          <w:szCs w:val="24"/>
          <w:lang w:val="ro-MD"/>
        </w:rPr>
        <w:t>în timp ce aceasta a fost tabelată a câte 8 ore pe zi în cadrul institu</w:t>
      </w:r>
      <w:r w:rsidR="00B13B9A" w:rsidRPr="00B13B9A">
        <w:rPr>
          <w:rFonts w:asciiTheme="majorHAnsi" w:eastAsia="Times New Roman" w:hAnsiTheme="majorHAnsi" w:cstheme="majorHAnsi"/>
          <w:color w:val="000000"/>
          <w:sz w:val="24"/>
          <w:szCs w:val="24"/>
          <w:lang w:val="ro-MD"/>
        </w:rPr>
        <w:t>ț</w:t>
      </w:r>
      <w:r w:rsidRPr="00B13B9A">
        <w:rPr>
          <w:rFonts w:asciiTheme="majorHAnsi" w:eastAsia="Times New Roman" w:hAnsiTheme="majorHAnsi" w:cstheme="majorHAnsi"/>
          <w:color w:val="000000"/>
          <w:sz w:val="24"/>
          <w:szCs w:val="24"/>
          <w:lang w:val="ro-MD"/>
        </w:rPr>
        <w:t>iei, în aceea</w:t>
      </w:r>
      <w:r w:rsidR="00B13B9A" w:rsidRPr="00B13B9A">
        <w:rPr>
          <w:rFonts w:asciiTheme="majorHAnsi" w:eastAsia="Times New Roman" w:hAnsiTheme="majorHAnsi" w:cstheme="majorHAnsi"/>
          <w:color w:val="000000"/>
          <w:sz w:val="24"/>
          <w:szCs w:val="24"/>
          <w:lang w:val="ro-MD"/>
        </w:rPr>
        <w:t>ș</w:t>
      </w:r>
      <w:r w:rsidRPr="00B13B9A">
        <w:rPr>
          <w:rFonts w:asciiTheme="majorHAnsi" w:eastAsia="Times New Roman" w:hAnsiTheme="majorHAnsi" w:cstheme="majorHAnsi"/>
          <w:color w:val="000000"/>
          <w:sz w:val="24"/>
          <w:szCs w:val="24"/>
          <w:lang w:val="ro-MD"/>
        </w:rPr>
        <w:t xml:space="preserve">i perioadă </w:t>
      </w:r>
      <w:r w:rsidR="00B13B9A" w:rsidRPr="00B13B9A">
        <w:rPr>
          <w:rFonts w:asciiTheme="majorHAnsi" w:eastAsia="Times New Roman" w:hAnsiTheme="majorHAnsi" w:cstheme="majorHAnsi"/>
          <w:color w:val="000000"/>
          <w:sz w:val="24"/>
          <w:szCs w:val="24"/>
          <w:lang w:val="ro-MD"/>
        </w:rPr>
        <w:t>ș</w:t>
      </w:r>
      <w:r w:rsidRPr="00B13B9A">
        <w:rPr>
          <w:rFonts w:asciiTheme="majorHAnsi" w:eastAsia="Times New Roman" w:hAnsiTheme="majorHAnsi" w:cstheme="majorHAnsi"/>
          <w:color w:val="000000"/>
          <w:sz w:val="24"/>
          <w:szCs w:val="24"/>
          <w:lang w:val="ro-MD"/>
        </w:rPr>
        <w:t xml:space="preserve">i în timpul orelor de studii. </w:t>
      </w:r>
      <w:r w:rsidRPr="00B13B9A">
        <w:rPr>
          <w:rFonts w:asciiTheme="majorHAnsi" w:hAnsiTheme="majorHAnsi" w:cstheme="majorHAnsi"/>
          <w:sz w:val="24"/>
          <w:szCs w:val="24"/>
          <w:lang w:val="ro-MD"/>
        </w:rPr>
        <w:t xml:space="preserve">Concomitent, </w:t>
      </w:r>
      <w:r w:rsidRPr="00B13B9A">
        <w:rPr>
          <w:rFonts w:asciiTheme="majorHAnsi" w:eastAsia="Times New Roman" w:hAnsiTheme="majorHAnsi" w:cstheme="majorHAnsi"/>
          <w:color w:val="000000"/>
          <w:sz w:val="24"/>
          <w:szCs w:val="24"/>
          <w:lang w:val="ro-MD"/>
        </w:rPr>
        <w:t>potrivit pct.66.5 din contractul colectiv de muncă pentru anii 2023 - 2025 a</w:t>
      </w:r>
      <w:r w:rsidR="003B4D5C" w:rsidRPr="00B13B9A">
        <w:rPr>
          <w:rFonts w:asciiTheme="majorHAnsi" w:eastAsia="Times New Roman" w:hAnsiTheme="majorHAnsi" w:cstheme="majorHAnsi"/>
          <w:color w:val="000000"/>
          <w:sz w:val="24"/>
          <w:szCs w:val="24"/>
          <w:lang w:val="ro-MD"/>
        </w:rPr>
        <w:t>l</w:t>
      </w:r>
      <w:r w:rsidRPr="00B13B9A">
        <w:rPr>
          <w:rFonts w:asciiTheme="majorHAnsi" w:eastAsia="Times New Roman" w:hAnsiTheme="majorHAnsi" w:cstheme="majorHAnsi"/>
          <w:color w:val="000000"/>
          <w:sz w:val="24"/>
          <w:szCs w:val="24"/>
          <w:lang w:val="ro-MD"/>
        </w:rPr>
        <w:t xml:space="preserve"> </w:t>
      </w:r>
      <w:r w:rsidR="00F431A2" w:rsidRPr="00B13B9A">
        <w:rPr>
          <w:rFonts w:asciiTheme="majorHAnsi" w:hAnsiTheme="majorHAnsi" w:cstheme="majorHAnsi"/>
          <w:color w:val="000000" w:themeColor="text1"/>
          <w:sz w:val="24"/>
          <w:szCs w:val="24"/>
          <w:lang w:val="ro-MD"/>
        </w:rPr>
        <w:t xml:space="preserve">IMSP IFP </w:t>
      </w:r>
      <w:r w:rsidR="00F431A2" w:rsidRPr="00B13B9A">
        <w:rPr>
          <w:rFonts w:asciiTheme="majorHAnsi" w:hAnsiTheme="majorHAnsi" w:cstheme="majorHAnsi"/>
          <w:sz w:val="24"/>
          <w:szCs w:val="24"/>
          <w:lang w:val="ro-MD"/>
        </w:rPr>
        <w:t>„Chiril Draganiuc”</w:t>
      </w:r>
      <w:r w:rsidRPr="00B13B9A">
        <w:rPr>
          <w:rFonts w:asciiTheme="majorHAnsi" w:eastAsia="Times New Roman" w:hAnsiTheme="majorHAnsi" w:cstheme="majorHAnsi"/>
          <w:color w:val="000000"/>
          <w:sz w:val="24"/>
          <w:szCs w:val="24"/>
          <w:lang w:val="ro-MD"/>
        </w:rPr>
        <w:t xml:space="preserve">, graficele lunare de activitate se întocmesc </w:t>
      </w:r>
      <w:r w:rsidRPr="00B13B9A">
        <w:rPr>
          <w:rFonts w:asciiTheme="majorHAnsi" w:hAnsiTheme="majorHAnsi" w:cstheme="majorHAnsi"/>
          <w:sz w:val="24"/>
          <w:szCs w:val="24"/>
          <w:lang w:val="ro-MD"/>
        </w:rPr>
        <w:t>separat, pe fiecare subdiviziune a entită</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ii</w:t>
      </w:r>
      <w:r w:rsidRPr="00B13B9A">
        <w:rPr>
          <w:rFonts w:asciiTheme="majorHAnsi" w:eastAsia="Times New Roman" w:hAnsiTheme="majorHAnsi" w:cstheme="majorHAnsi"/>
          <w:color w:val="000000"/>
          <w:sz w:val="24"/>
          <w:szCs w:val="24"/>
          <w:lang w:val="ro-MD"/>
        </w:rPr>
        <w:t xml:space="preserve"> </w:t>
      </w:r>
      <w:r w:rsidR="00B13B9A" w:rsidRPr="00B13B9A">
        <w:rPr>
          <w:rFonts w:asciiTheme="majorHAnsi" w:hAnsiTheme="majorHAnsi" w:cstheme="majorHAnsi"/>
          <w:sz w:val="24"/>
          <w:szCs w:val="24"/>
          <w:lang w:val="ro-MD"/>
        </w:rPr>
        <w:t>ș</w:t>
      </w:r>
      <w:r w:rsidRPr="00B13B9A">
        <w:rPr>
          <w:rFonts w:asciiTheme="majorHAnsi" w:hAnsiTheme="majorHAnsi" w:cstheme="majorHAnsi"/>
          <w:sz w:val="24"/>
          <w:szCs w:val="24"/>
          <w:lang w:val="ro-MD"/>
        </w:rPr>
        <w:t>i pe fiecare func</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 xml:space="preserve">ie ocupată, de regulă de </w:t>
      </w:r>
      <w:r w:rsidR="00B13B9A" w:rsidRPr="00B13B9A">
        <w:rPr>
          <w:rFonts w:asciiTheme="majorHAnsi" w:hAnsiTheme="majorHAnsi" w:cstheme="majorHAnsi"/>
          <w:sz w:val="24"/>
          <w:szCs w:val="24"/>
          <w:lang w:val="ro-MD"/>
        </w:rPr>
        <w:t>ș</w:t>
      </w:r>
      <w:r w:rsidRPr="00B13B9A">
        <w:rPr>
          <w:rFonts w:asciiTheme="majorHAnsi" w:hAnsiTheme="majorHAnsi" w:cstheme="majorHAnsi"/>
          <w:sz w:val="24"/>
          <w:szCs w:val="24"/>
          <w:lang w:val="ro-MD"/>
        </w:rPr>
        <w:t xml:space="preserve">eful de subdiviziune sau </w:t>
      </w:r>
      <w:r w:rsidR="003B4D5C" w:rsidRPr="00B13B9A">
        <w:rPr>
          <w:rFonts w:asciiTheme="majorHAnsi" w:hAnsiTheme="majorHAnsi" w:cstheme="majorHAnsi"/>
          <w:sz w:val="24"/>
          <w:szCs w:val="24"/>
          <w:lang w:val="ro-MD"/>
        </w:rPr>
        <w:t xml:space="preserve">de </w:t>
      </w:r>
      <w:r w:rsidRPr="00B13B9A">
        <w:rPr>
          <w:rFonts w:asciiTheme="majorHAnsi" w:hAnsiTheme="majorHAnsi" w:cstheme="majorHAnsi"/>
          <w:sz w:val="24"/>
          <w:szCs w:val="24"/>
          <w:lang w:val="ro-MD"/>
        </w:rPr>
        <w:t>asistenta medicală superioară</w:t>
      </w:r>
      <w:r w:rsidR="003B4D5C" w:rsidRPr="00B13B9A">
        <w:rPr>
          <w:rFonts w:asciiTheme="majorHAnsi" w:hAnsiTheme="majorHAnsi" w:cstheme="majorHAnsi"/>
          <w:sz w:val="24"/>
          <w:szCs w:val="24"/>
          <w:lang w:val="ro-MD"/>
        </w:rPr>
        <w:t>,</w:t>
      </w:r>
      <w:r w:rsidRPr="00B13B9A">
        <w:rPr>
          <w:rFonts w:asciiTheme="majorHAnsi" w:hAnsiTheme="majorHAnsi" w:cstheme="majorHAnsi"/>
          <w:sz w:val="24"/>
          <w:szCs w:val="24"/>
          <w:lang w:val="ro-MD"/>
        </w:rPr>
        <w:t xml:space="preserve"> la începutul lunii </w:t>
      </w:r>
      <w:r w:rsidR="00B13B9A" w:rsidRPr="00B13B9A">
        <w:rPr>
          <w:rFonts w:asciiTheme="majorHAnsi" w:hAnsiTheme="majorHAnsi" w:cstheme="majorHAnsi"/>
          <w:sz w:val="24"/>
          <w:szCs w:val="24"/>
          <w:lang w:val="ro-MD"/>
        </w:rPr>
        <w:t>ș</w:t>
      </w:r>
      <w:r w:rsidRPr="00B13B9A">
        <w:rPr>
          <w:rFonts w:asciiTheme="majorHAnsi" w:hAnsiTheme="majorHAnsi" w:cstheme="majorHAnsi"/>
          <w:sz w:val="24"/>
          <w:szCs w:val="24"/>
          <w:lang w:val="ro-MD"/>
        </w:rPr>
        <w:t>i se</w:t>
      </w:r>
      <w:r w:rsidR="00B51DE0" w:rsidRPr="00B13B9A">
        <w:rPr>
          <w:rFonts w:asciiTheme="majorHAnsi" w:hAnsiTheme="majorHAnsi" w:cstheme="majorHAnsi"/>
          <w:sz w:val="24"/>
          <w:szCs w:val="24"/>
          <w:lang w:val="ro-MD"/>
        </w:rPr>
        <w:t xml:space="preserve"> aprobă de conducerea entită</w:t>
      </w:r>
      <w:r w:rsidR="00B13B9A" w:rsidRPr="00B13B9A">
        <w:rPr>
          <w:rFonts w:asciiTheme="majorHAnsi" w:hAnsiTheme="majorHAnsi" w:cstheme="majorHAnsi"/>
          <w:sz w:val="24"/>
          <w:szCs w:val="24"/>
          <w:lang w:val="ro-MD"/>
        </w:rPr>
        <w:t>ț</w:t>
      </w:r>
      <w:r w:rsidR="00B51DE0" w:rsidRPr="00B13B9A">
        <w:rPr>
          <w:rFonts w:asciiTheme="majorHAnsi" w:hAnsiTheme="majorHAnsi" w:cstheme="majorHAnsi"/>
          <w:sz w:val="24"/>
          <w:szCs w:val="24"/>
          <w:lang w:val="ro-MD"/>
        </w:rPr>
        <w:t>ii. Auditul</w:t>
      </w:r>
      <w:r w:rsidRPr="00B13B9A">
        <w:rPr>
          <w:rFonts w:asciiTheme="majorHAnsi" w:hAnsiTheme="majorHAnsi" w:cstheme="majorHAnsi"/>
          <w:sz w:val="24"/>
          <w:szCs w:val="24"/>
          <w:lang w:val="ro-MD"/>
        </w:rPr>
        <w:t xml:space="preserve"> denotă că pentru </w:t>
      </w:r>
      <w:r w:rsidR="00B51DE0" w:rsidRPr="00B13B9A">
        <w:rPr>
          <w:rFonts w:asciiTheme="majorHAnsi" w:hAnsiTheme="majorHAnsi" w:cstheme="majorHAnsi"/>
          <w:sz w:val="24"/>
          <w:szCs w:val="24"/>
          <w:lang w:val="ro-MD"/>
        </w:rPr>
        <w:t>această angajată</w:t>
      </w:r>
      <w:r w:rsidRPr="00B13B9A">
        <w:rPr>
          <w:rFonts w:asciiTheme="majorHAnsi" w:hAnsiTheme="majorHAnsi" w:cstheme="majorHAnsi"/>
          <w:sz w:val="24"/>
          <w:szCs w:val="24"/>
          <w:lang w:val="ro-MD"/>
        </w:rPr>
        <w:t xml:space="preserve"> graficul lunar de activitate lipse</w:t>
      </w:r>
      <w:r w:rsidR="00B13B9A" w:rsidRPr="00B13B9A">
        <w:rPr>
          <w:rFonts w:asciiTheme="majorHAnsi" w:hAnsiTheme="majorHAnsi" w:cstheme="majorHAnsi"/>
          <w:sz w:val="24"/>
          <w:szCs w:val="24"/>
          <w:lang w:val="ro-MD"/>
        </w:rPr>
        <w:t>ș</w:t>
      </w:r>
      <w:r w:rsidRPr="00B13B9A">
        <w:rPr>
          <w:rFonts w:asciiTheme="majorHAnsi" w:hAnsiTheme="majorHAnsi" w:cstheme="majorHAnsi"/>
          <w:sz w:val="24"/>
          <w:szCs w:val="24"/>
          <w:lang w:val="ro-MD"/>
        </w:rPr>
        <w:t>te</w:t>
      </w:r>
      <w:r w:rsidR="00B51DE0" w:rsidRPr="00B13B9A">
        <w:rPr>
          <w:rFonts w:asciiTheme="majorHAnsi" w:hAnsiTheme="majorHAnsi" w:cstheme="majorHAnsi"/>
          <w:sz w:val="24"/>
          <w:szCs w:val="24"/>
          <w:lang w:val="ro-MD"/>
        </w:rPr>
        <w:t>, pentru lunile</w:t>
      </w:r>
      <w:r w:rsidRPr="00B13B9A">
        <w:rPr>
          <w:rFonts w:asciiTheme="majorHAnsi" w:hAnsiTheme="majorHAnsi" w:cstheme="majorHAnsi"/>
          <w:sz w:val="24"/>
          <w:szCs w:val="24"/>
          <w:lang w:val="ro-MD"/>
        </w:rPr>
        <w:t xml:space="preserve"> septembrie, octombrie 2023</w:t>
      </w:r>
      <w:r w:rsidR="00B51DE0" w:rsidRPr="00B13B9A">
        <w:rPr>
          <w:rFonts w:asciiTheme="majorHAnsi" w:hAnsiTheme="majorHAnsi" w:cstheme="majorHAnsi"/>
          <w:sz w:val="24"/>
          <w:szCs w:val="24"/>
          <w:lang w:val="ro-MD"/>
        </w:rPr>
        <w:t>, fapt ce denotă că aceasta nu a activat în perioada respectivă</w:t>
      </w:r>
      <w:r w:rsidRPr="00B13B9A">
        <w:rPr>
          <w:rFonts w:asciiTheme="majorHAnsi" w:hAnsiTheme="majorHAnsi" w:cstheme="majorHAnsi"/>
          <w:sz w:val="24"/>
          <w:szCs w:val="24"/>
          <w:lang w:val="ro-MD"/>
        </w:rPr>
        <w:t xml:space="preserve">. </w:t>
      </w:r>
    </w:p>
    <w:p w14:paraId="032BE391" w14:textId="16DDF4FD" w:rsidR="00EF1983" w:rsidRPr="00B13B9A" w:rsidRDefault="00EF1983" w:rsidP="00EF1983">
      <w:pPr>
        <w:pStyle w:val="a7"/>
        <w:keepNext/>
        <w:widowControl w:val="0"/>
        <w:spacing w:line="276" w:lineRule="auto"/>
        <w:ind w:left="0"/>
        <w:jc w:val="both"/>
        <w:rPr>
          <w:rFonts w:asciiTheme="majorHAnsi" w:hAnsiTheme="majorHAnsi" w:cstheme="majorHAnsi"/>
          <w:sz w:val="24"/>
          <w:szCs w:val="24"/>
          <w:lang w:val="ro-MD"/>
        </w:rPr>
      </w:pPr>
      <w:r w:rsidRPr="00B13B9A">
        <w:rPr>
          <w:rFonts w:asciiTheme="majorHAnsi" w:eastAsia="Times New Roman" w:hAnsiTheme="majorHAnsi" w:cstheme="majorHAnsi"/>
          <w:color w:val="000000"/>
          <w:sz w:val="24"/>
          <w:szCs w:val="24"/>
          <w:lang w:val="ro-MD"/>
        </w:rPr>
        <w:t xml:space="preserve">De </w:t>
      </w:r>
      <w:r w:rsidRPr="00B13B9A">
        <w:rPr>
          <w:rFonts w:asciiTheme="majorHAnsi" w:hAnsiTheme="majorHAnsi" w:cstheme="majorHAnsi"/>
          <w:sz w:val="24"/>
          <w:szCs w:val="24"/>
          <w:lang w:val="ro-MD"/>
        </w:rPr>
        <w:t>men</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ionat că angajata a fost tabelată ca prezentă la locul de muncă, iar conform borderourilor de calcul a fost remu</w:t>
      </w:r>
      <w:r w:rsidR="00B51DE0" w:rsidRPr="00B13B9A">
        <w:rPr>
          <w:rFonts w:asciiTheme="majorHAnsi" w:hAnsiTheme="majorHAnsi" w:cstheme="majorHAnsi"/>
          <w:sz w:val="24"/>
          <w:szCs w:val="24"/>
          <w:lang w:val="ro-MD"/>
        </w:rPr>
        <w:t>nerată cu 19,7 mii lei,</w:t>
      </w:r>
      <w:r w:rsidRPr="00B13B9A">
        <w:rPr>
          <w:rFonts w:asciiTheme="majorHAnsi" w:hAnsiTheme="majorHAnsi" w:cstheme="majorHAnsi"/>
          <w:sz w:val="24"/>
          <w:szCs w:val="24"/>
          <w:lang w:val="ro-MD"/>
        </w:rPr>
        <w:t xml:space="preserve"> fiind eliberată </w:t>
      </w:r>
      <w:r w:rsidR="006C1CE7">
        <w:rPr>
          <w:rFonts w:asciiTheme="majorHAnsi" w:hAnsiTheme="majorHAnsi" w:cstheme="majorHAnsi"/>
          <w:sz w:val="24"/>
          <w:szCs w:val="24"/>
          <w:lang w:val="ro-MD"/>
        </w:rPr>
        <w:t xml:space="preserve">din serviciu </w:t>
      </w:r>
      <w:r w:rsidRPr="00B13B9A">
        <w:rPr>
          <w:rFonts w:asciiTheme="majorHAnsi" w:hAnsiTheme="majorHAnsi" w:cstheme="majorHAnsi"/>
          <w:sz w:val="24"/>
          <w:szCs w:val="24"/>
          <w:lang w:val="ro-MD"/>
        </w:rPr>
        <w:t>la 01.11.2023, după efectuarea verificărilor de către audit.</w:t>
      </w:r>
    </w:p>
    <w:p w14:paraId="45C5F27D" w14:textId="171CC43A" w:rsidR="00EF1983" w:rsidRPr="00B13B9A" w:rsidRDefault="00EF1983" w:rsidP="00EF1983">
      <w:pPr>
        <w:pStyle w:val="a7"/>
        <w:keepNext/>
        <w:widowControl w:val="0"/>
        <w:spacing w:line="276" w:lineRule="auto"/>
        <w:ind w:left="0"/>
        <w:jc w:val="both"/>
        <w:rPr>
          <w:rFonts w:asciiTheme="majorHAnsi" w:hAnsiTheme="majorHAnsi" w:cstheme="majorHAnsi"/>
          <w:sz w:val="24"/>
          <w:szCs w:val="24"/>
          <w:lang w:val="ro-MD"/>
        </w:rPr>
      </w:pPr>
      <w:r w:rsidRPr="00B13B9A">
        <w:rPr>
          <w:rFonts w:asciiTheme="majorHAnsi" w:hAnsiTheme="majorHAnsi" w:cstheme="majorHAnsi"/>
          <w:color w:val="000000" w:themeColor="text1"/>
          <w:sz w:val="24"/>
          <w:szCs w:val="24"/>
          <w:lang w:val="ro-MD"/>
        </w:rPr>
        <w:t>De asemenea, activită</w:t>
      </w:r>
      <w:r w:rsidR="00B13B9A" w:rsidRPr="00B13B9A">
        <w:rPr>
          <w:rFonts w:asciiTheme="majorHAnsi" w:hAnsiTheme="majorHAnsi" w:cstheme="majorHAnsi"/>
          <w:color w:val="000000" w:themeColor="text1"/>
          <w:sz w:val="24"/>
          <w:szCs w:val="24"/>
          <w:lang w:val="ro-MD"/>
        </w:rPr>
        <w:t>ț</w:t>
      </w:r>
      <w:r w:rsidRPr="00B13B9A">
        <w:rPr>
          <w:rFonts w:asciiTheme="majorHAnsi" w:hAnsiTheme="majorHAnsi" w:cstheme="majorHAnsi"/>
          <w:color w:val="000000" w:themeColor="text1"/>
          <w:sz w:val="24"/>
          <w:szCs w:val="24"/>
          <w:lang w:val="ro-MD"/>
        </w:rPr>
        <w:t xml:space="preserve">ile de audit suplimentare au stabilit că, cu persoana respectivă a fost încheiat un contract </w:t>
      </w:r>
      <w:r w:rsidRPr="00B13B9A">
        <w:rPr>
          <w:rFonts w:asciiTheme="majorHAnsi" w:hAnsiTheme="majorHAnsi" w:cstheme="majorHAnsi"/>
          <w:sz w:val="24"/>
          <w:szCs w:val="24"/>
          <w:lang w:val="ro-MD"/>
        </w:rPr>
        <w:t>de muncă pentru efectuarea lucrărilor de zugrăvit pe o suprafa</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ă de 1</w:t>
      </w:r>
      <w:r w:rsidR="00BB392A" w:rsidRPr="00B13B9A">
        <w:rPr>
          <w:rFonts w:asciiTheme="majorHAnsi" w:hAnsiTheme="majorHAnsi" w:cstheme="majorHAnsi"/>
          <w:sz w:val="24"/>
          <w:szCs w:val="24"/>
          <w:lang w:val="ro-MD"/>
        </w:rPr>
        <w:t xml:space="preserve"> </w:t>
      </w:r>
      <w:r w:rsidRPr="00B13B9A">
        <w:rPr>
          <w:rFonts w:asciiTheme="majorHAnsi" w:hAnsiTheme="majorHAnsi" w:cstheme="majorHAnsi"/>
          <w:sz w:val="24"/>
          <w:szCs w:val="24"/>
          <w:lang w:val="ro-MD"/>
        </w:rPr>
        <w:t>000 m</w:t>
      </w:r>
      <w:r w:rsidRPr="00B13B9A">
        <w:rPr>
          <w:rFonts w:asciiTheme="majorHAnsi" w:hAnsiTheme="majorHAnsi" w:cstheme="majorHAnsi"/>
          <w:sz w:val="24"/>
          <w:szCs w:val="24"/>
          <w:vertAlign w:val="superscript"/>
          <w:lang w:val="ro-MD"/>
        </w:rPr>
        <w:t>2</w:t>
      </w:r>
      <w:r w:rsidRPr="00B13B9A">
        <w:rPr>
          <w:rFonts w:asciiTheme="majorHAnsi" w:hAnsiTheme="majorHAnsi" w:cstheme="majorHAnsi"/>
          <w:sz w:val="24"/>
          <w:szCs w:val="24"/>
          <w:lang w:val="ro-MD"/>
        </w:rPr>
        <w:t xml:space="preserve">, în valoare de 43,7 mii lei. Acest contract a fost semnat în lipsa unui deviz de cheltuieli care ar reflecta locul efectuării, volumul </w:t>
      </w:r>
      <w:r w:rsidR="00B13B9A" w:rsidRPr="00B13B9A">
        <w:rPr>
          <w:rFonts w:asciiTheme="majorHAnsi" w:hAnsiTheme="majorHAnsi" w:cstheme="majorHAnsi"/>
          <w:sz w:val="24"/>
          <w:szCs w:val="24"/>
          <w:lang w:val="ro-MD"/>
        </w:rPr>
        <w:t>ș</w:t>
      </w:r>
      <w:r w:rsidRPr="00B13B9A">
        <w:rPr>
          <w:rFonts w:asciiTheme="majorHAnsi" w:hAnsiTheme="majorHAnsi" w:cstheme="majorHAnsi"/>
          <w:sz w:val="24"/>
          <w:szCs w:val="24"/>
          <w:lang w:val="ro-MD"/>
        </w:rPr>
        <w:t>i ti</w:t>
      </w:r>
      <w:r w:rsidR="00B51DE0" w:rsidRPr="00B13B9A">
        <w:rPr>
          <w:rFonts w:asciiTheme="majorHAnsi" w:hAnsiTheme="majorHAnsi" w:cstheme="majorHAnsi"/>
          <w:sz w:val="24"/>
          <w:szCs w:val="24"/>
          <w:lang w:val="ro-MD"/>
        </w:rPr>
        <w:t>pul lucrărilor ce trebuiau realizate</w:t>
      </w:r>
      <w:r w:rsidRPr="00B13B9A">
        <w:rPr>
          <w:rFonts w:asciiTheme="majorHAnsi" w:hAnsiTheme="majorHAnsi" w:cstheme="majorHAnsi"/>
          <w:sz w:val="24"/>
          <w:szCs w:val="24"/>
          <w:lang w:val="ro-MD"/>
        </w:rPr>
        <w:t xml:space="preserve">. În </w:t>
      </w:r>
      <w:r w:rsidR="003B4D5C" w:rsidRPr="00B13B9A">
        <w:rPr>
          <w:rFonts w:asciiTheme="majorHAnsi" w:hAnsiTheme="majorHAnsi" w:cstheme="majorHAnsi"/>
          <w:sz w:val="24"/>
          <w:szCs w:val="24"/>
          <w:lang w:val="ro-MD"/>
        </w:rPr>
        <w:t xml:space="preserve">acest </w:t>
      </w:r>
      <w:r w:rsidRPr="00B13B9A">
        <w:rPr>
          <w:rFonts w:asciiTheme="majorHAnsi" w:hAnsiTheme="majorHAnsi" w:cstheme="majorHAnsi"/>
          <w:sz w:val="24"/>
          <w:szCs w:val="24"/>
          <w:lang w:val="ro-MD"/>
        </w:rPr>
        <w:t xml:space="preserve">context, entitatea a </w:t>
      </w:r>
      <w:r w:rsidR="002F5C19" w:rsidRPr="00B13B9A">
        <w:rPr>
          <w:rFonts w:asciiTheme="majorHAnsi" w:hAnsiTheme="majorHAnsi" w:cstheme="majorHAnsi"/>
          <w:sz w:val="24"/>
          <w:szCs w:val="24"/>
          <w:lang w:val="ro-MD"/>
        </w:rPr>
        <w:t xml:space="preserve">emis </w:t>
      </w:r>
      <w:r w:rsidRPr="00B13B9A">
        <w:rPr>
          <w:rFonts w:asciiTheme="majorHAnsi" w:hAnsiTheme="majorHAnsi" w:cstheme="majorHAnsi"/>
          <w:sz w:val="24"/>
          <w:szCs w:val="24"/>
          <w:lang w:val="ro-MD"/>
        </w:rPr>
        <w:t>un demers prin care a solicitat includerea lucrărilor de zugrăvire</w:t>
      </w:r>
      <w:r w:rsidR="003F0474" w:rsidRPr="00B13B9A">
        <w:rPr>
          <w:rFonts w:asciiTheme="majorHAnsi" w:hAnsiTheme="majorHAnsi" w:cstheme="majorHAnsi"/>
          <w:sz w:val="24"/>
          <w:szCs w:val="24"/>
          <w:lang w:val="ro-MD"/>
        </w:rPr>
        <w:t>,</w:t>
      </w:r>
      <w:r w:rsidRPr="00B13B9A">
        <w:rPr>
          <w:rFonts w:asciiTheme="majorHAnsi" w:hAnsiTheme="majorHAnsi" w:cstheme="majorHAnsi"/>
          <w:sz w:val="24"/>
          <w:szCs w:val="24"/>
          <w:lang w:val="ro-MD"/>
        </w:rPr>
        <w:t xml:space="preserve"> care a fost întocmit cu 28 </w:t>
      </w:r>
      <w:r w:rsidR="003B4D5C" w:rsidRPr="00B13B9A">
        <w:rPr>
          <w:rFonts w:asciiTheme="majorHAnsi" w:hAnsiTheme="majorHAnsi" w:cstheme="majorHAnsi"/>
          <w:sz w:val="24"/>
          <w:szCs w:val="24"/>
          <w:lang w:val="ro-MD"/>
        </w:rPr>
        <w:t xml:space="preserve">de </w:t>
      </w:r>
      <w:r w:rsidRPr="00B13B9A">
        <w:rPr>
          <w:rFonts w:asciiTheme="majorHAnsi" w:hAnsiTheme="majorHAnsi" w:cstheme="majorHAnsi"/>
          <w:sz w:val="24"/>
          <w:szCs w:val="24"/>
          <w:lang w:val="ro-MD"/>
        </w:rPr>
        <w:t>zile mai târziu fa</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 xml:space="preserve">ă de data încheierii contractului (la 08.09.2023) </w:t>
      </w:r>
      <w:r w:rsidR="00B13B9A" w:rsidRPr="00B13B9A">
        <w:rPr>
          <w:rFonts w:asciiTheme="majorHAnsi" w:hAnsiTheme="majorHAnsi" w:cstheme="majorHAnsi"/>
          <w:sz w:val="24"/>
          <w:szCs w:val="24"/>
          <w:lang w:val="ro-MD"/>
        </w:rPr>
        <w:t>ș</w:t>
      </w:r>
      <w:r w:rsidRPr="00B13B9A">
        <w:rPr>
          <w:rFonts w:asciiTheme="majorHAnsi" w:hAnsiTheme="majorHAnsi" w:cstheme="majorHAnsi"/>
          <w:sz w:val="24"/>
          <w:szCs w:val="24"/>
          <w:lang w:val="ro-MD"/>
        </w:rPr>
        <w:t>i</w:t>
      </w:r>
      <w:r w:rsidR="003B4D5C" w:rsidRPr="00B13B9A">
        <w:rPr>
          <w:rFonts w:asciiTheme="majorHAnsi" w:hAnsiTheme="majorHAnsi" w:cstheme="majorHAnsi"/>
          <w:sz w:val="24"/>
          <w:szCs w:val="24"/>
          <w:lang w:val="ro-MD"/>
        </w:rPr>
        <w:t>,</w:t>
      </w:r>
      <w:r w:rsidRPr="00B13B9A">
        <w:rPr>
          <w:rFonts w:asciiTheme="majorHAnsi" w:hAnsiTheme="majorHAnsi" w:cstheme="majorHAnsi"/>
          <w:sz w:val="24"/>
          <w:szCs w:val="24"/>
          <w:lang w:val="ro-MD"/>
        </w:rPr>
        <w:t xml:space="preserve"> practic</w:t>
      </w:r>
      <w:r w:rsidR="003B4D5C" w:rsidRPr="00B13B9A">
        <w:rPr>
          <w:rFonts w:asciiTheme="majorHAnsi" w:hAnsiTheme="majorHAnsi" w:cstheme="majorHAnsi"/>
          <w:sz w:val="24"/>
          <w:szCs w:val="24"/>
          <w:lang w:val="ro-MD"/>
        </w:rPr>
        <w:t>,</w:t>
      </w:r>
      <w:r w:rsidRPr="00B13B9A">
        <w:rPr>
          <w:rFonts w:asciiTheme="majorHAnsi" w:hAnsiTheme="majorHAnsi" w:cstheme="majorHAnsi"/>
          <w:sz w:val="24"/>
          <w:szCs w:val="24"/>
          <w:lang w:val="ro-MD"/>
        </w:rPr>
        <w:t xml:space="preserve"> la finalizarea lucrărilor</w:t>
      </w:r>
      <w:r w:rsidR="00B51DE0" w:rsidRPr="00B13B9A">
        <w:rPr>
          <w:rFonts w:asciiTheme="majorHAnsi" w:hAnsiTheme="majorHAnsi" w:cstheme="majorHAnsi"/>
          <w:sz w:val="24"/>
          <w:szCs w:val="24"/>
          <w:lang w:val="ro-MD"/>
        </w:rPr>
        <w:t xml:space="preserve"> </w:t>
      </w:r>
      <w:r w:rsidRPr="00B13B9A">
        <w:rPr>
          <w:rFonts w:asciiTheme="majorHAnsi" w:hAnsiTheme="majorHAnsi" w:cstheme="majorHAnsi"/>
          <w:sz w:val="24"/>
          <w:szCs w:val="24"/>
          <w:lang w:val="ro-MD"/>
        </w:rPr>
        <w:t>(12.09.2023).</w:t>
      </w:r>
      <w:r w:rsidR="00B51DE0" w:rsidRPr="00B13B9A">
        <w:rPr>
          <w:rFonts w:asciiTheme="majorHAnsi" w:hAnsiTheme="majorHAnsi" w:cstheme="majorHAnsi"/>
          <w:sz w:val="24"/>
          <w:szCs w:val="24"/>
          <w:lang w:val="ro-MD"/>
        </w:rPr>
        <w:t xml:space="preserve"> În actul de recep</w:t>
      </w:r>
      <w:r w:rsidR="00B13B9A" w:rsidRPr="00B13B9A">
        <w:rPr>
          <w:rFonts w:asciiTheme="majorHAnsi" w:hAnsiTheme="majorHAnsi" w:cstheme="majorHAnsi"/>
          <w:sz w:val="24"/>
          <w:szCs w:val="24"/>
          <w:lang w:val="ro-MD"/>
        </w:rPr>
        <w:t>ț</w:t>
      </w:r>
      <w:r w:rsidR="00B51DE0" w:rsidRPr="00B13B9A">
        <w:rPr>
          <w:rFonts w:asciiTheme="majorHAnsi" w:hAnsiTheme="majorHAnsi" w:cstheme="majorHAnsi"/>
          <w:sz w:val="24"/>
          <w:szCs w:val="24"/>
          <w:lang w:val="ro-MD"/>
        </w:rPr>
        <w:t xml:space="preserve">ie </w:t>
      </w:r>
      <w:r w:rsidRPr="00B13B9A">
        <w:rPr>
          <w:rFonts w:asciiTheme="majorHAnsi" w:hAnsiTheme="majorHAnsi" w:cstheme="majorHAnsi"/>
          <w:sz w:val="24"/>
          <w:szCs w:val="24"/>
          <w:lang w:val="ro-MD"/>
        </w:rPr>
        <w:t>nu a fost specificat exact locul repara</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 xml:space="preserve">iei, tipul </w:t>
      </w:r>
      <w:r w:rsidR="00B13B9A" w:rsidRPr="00B13B9A">
        <w:rPr>
          <w:rFonts w:asciiTheme="majorHAnsi" w:hAnsiTheme="majorHAnsi" w:cstheme="majorHAnsi"/>
          <w:sz w:val="24"/>
          <w:szCs w:val="24"/>
          <w:lang w:val="ro-MD"/>
        </w:rPr>
        <w:t>ș</w:t>
      </w:r>
      <w:r w:rsidRPr="00B13B9A">
        <w:rPr>
          <w:rFonts w:asciiTheme="majorHAnsi" w:hAnsiTheme="majorHAnsi" w:cstheme="majorHAnsi"/>
          <w:sz w:val="24"/>
          <w:szCs w:val="24"/>
          <w:lang w:val="ro-MD"/>
        </w:rPr>
        <w:t>i volumul lucrărilor indicate în contract (aplicarea manuală a grundului, netezirea pere</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 xml:space="preserve">ilor </w:t>
      </w:r>
      <w:r w:rsidR="00B13B9A" w:rsidRPr="00B13B9A">
        <w:rPr>
          <w:rFonts w:asciiTheme="majorHAnsi" w:hAnsiTheme="majorHAnsi" w:cstheme="majorHAnsi"/>
          <w:sz w:val="24"/>
          <w:szCs w:val="24"/>
          <w:lang w:val="ro-MD"/>
        </w:rPr>
        <w:t>ș</w:t>
      </w:r>
      <w:r w:rsidRPr="00B13B9A">
        <w:rPr>
          <w:rFonts w:asciiTheme="majorHAnsi" w:hAnsiTheme="majorHAnsi" w:cstheme="majorHAnsi"/>
          <w:sz w:val="24"/>
          <w:szCs w:val="24"/>
          <w:lang w:val="ro-MD"/>
        </w:rPr>
        <w:t xml:space="preserve">i podului, aplicarea stratului vizibil, executarea lucrărilor de spoieli </w:t>
      </w:r>
      <w:r w:rsidR="00B13B9A" w:rsidRPr="00B13B9A">
        <w:rPr>
          <w:rFonts w:asciiTheme="majorHAnsi" w:hAnsiTheme="majorHAnsi" w:cstheme="majorHAnsi"/>
          <w:sz w:val="24"/>
          <w:szCs w:val="24"/>
          <w:lang w:val="ro-MD"/>
        </w:rPr>
        <w:t>ș</w:t>
      </w:r>
      <w:r w:rsidRPr="00B13B9A">
        <w:rPr>
          <w:rFonts w:asciiTheme="majorHAnsi" w:hAnsiTheme="majorHAnsi" w:cstheme="majorHAnsi"/>
          <w:sz w:val="24"/>
          <w:szCs w:val="24"/>
          <w:lang w:val="ro-MD"/>
        </w:rPr>
        <w:t>i zugrăveli), fiind indicată doar suprafa</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a de 1000 m</w:t>
      </w:r>
      <w:r w:rsidRPr="00B13B9A">
        <w:rPr>
          <w:rFonts w:asciiTheme="majorHAnsi" w:hAnsiTheme="majorHAnsi" w:cstheme="majorHAnsi"/>
          <w:sz w:val="24"/>
          <w:szCs w:val="24"/>
          <w:vertAlign w:val="superscript"/>
          <w:lang w:val="ro-MD"/>
        </w:rPr>
        <w:t>2</w:t>
      </w:r>
      <w:r w:rsidRPr="00B13B9A">
        <w:rPr>
          <w:rFonts w:asciiTheme="majorHAnsi" w:hAnsiTheme="majorHAnsi" w:cstheme="majorHAnsi"/>
          <w:sz w:val="24"/>
          <w:szCs w:val="24"/>
          <w:lang w:val="ro-MD"/>
        </w:rPr>
        <w:t xml:space="preserve">. Astfel, la deplasarea </w:t>
      </w:r>
      <w:r w:rsidR="00B13B9A" w:rsidRPr="00B13B9A">
        <w:rPr>
          <w:rFonts w:asciiTheme="majorHAnsi" w:hAnsiTheme="majorHAnsi" w:cstheme="majorHAnsi"/>
          <w:sz w:val="24"/>
          <w:szCs w:val="24"/>
          <w:lang w:val="ro-MD"/>
        </w:rPr>
        <w:t>ș</w:t>
      </w:r>
      <w:r w:rsidRPr="00B13B9A">
        <w:rPr>
          <w:rFonts w:asciiTheme="majorHAnsi" w:hAnsiTheme="majorHAnsi" w:cstheme="majorHAnsi"/>
          <w:sz w:val="24"/>
          <w:szCs w:val="24"/>
          <w:lang w:val="ro-MD"/>
        </w:rPr>
        <w:t>i vizualizarea suprafe</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elor reparate recent, auditul nu a putut confirma suprafa</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a exactă la care au fost efectuate lucrări, deoarece măsurările suprafe</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ei vopsite efectuate împreună cu reprezentan</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ii entită</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ii</w:t>
      </w:r>
      <w:r w:rsidR="002E344E" w:rsidRPr="00B13B9A">
        <w:rPr>
          <w:rFonts w:asciiTheme="majorHAnsi" w:hAnsiTheme="majorHAnsi" w:cstheme="majorHAnsi"/>
          <w:sz w:val="24"/>
          <w:szCs w:val="24"/>
          <w:lang w:val="ro-MD"/>
        </w:rPr>
        <w:t>,</w:t>
      </w:r>
      <w:r w:rsidRPr="00B13B9A">
        <w:rPr>
          <w:rFonts w:asciiTheme="majorHAnsi" w:hAnsiTheme="majorHAnsi" w:cstheme="majorHAnsi"/>
          <w:sz w:val="24"/>
          <w:szCs w:val="24"/>
          <w:lang w:val="ro-MD"/>
        </w:rPr>
        <w:t xml:space="preserve"> nu coincid c</w:t>
      </w:r>
      <w:r w:rsidR="002F5C19" w:rsidRPr="00B13B9A">
        <w:rPr>
          <w:rFonts w:asciiTheme="majorHAnsi" w:hAnsiTheme="majorHAnsi" w:cstheme="majorHAnsi"/>
          <w:sz w:val="24"/>
          <w:szCs w:val="24"/>
          <w:lang w:val="ro-MD"/>
        </w:rPr>
        <w:t>u</w:t>
      </w:r>
      <w:r w:rsidRPr="00B13B9A">
        <w:rPr>
          <w:rFonts w:asciiTheme="majorHAnsi" w:hAnsiTheme="majorHAnsi" w:cstheme="majorHAnsi"/>
          <w:sz w:val="24"/>
          <w:szCs w:val="24"/>
          <w:lang w:val="ro-MD"/>
        </w:rPr>
        <w:t xml:space="preserve"> suprafa</w:t>
      </w:r>
      <w:r w:rsidR="00B13B9A" w:rsidRPr="00B13B9A">
        <w:rPr>
          <w:rFonts w:asciiTheme="majorHAnsi" w:hAnsiTheme="majorHAnsi" w:cstheme="majorHAnsi"/>
          <w:sz w:val="24"/>
          <w:szCs w:val="24"/>
          <w:lang w:val="ro-MD"/>
        </w:rPr>
        <w:t>ț</w:t>
      </w:r>
      <w:r w:rsidR="003B4D5C" w:rsidRPr="00B13B9A">
        <w:rPr>
          <w:rFonts w:asciiTheme="majorHAnsi" w:hAnsiTheme="majorHAnsi" w:cstheme="majorHAnsi"/>
          <w:sz w:val="24"/>
          <w:szCs w:val="24"/>
          <w:lang w:val="ro-MD"/>
        </w:rPr>
        <w:t>a</w:t>
      </w:r>
      <w:r w:rsidRPr="00B13B9A">
        <w:rPr>
          <w:rFonts w:asciiTheme="majorHAnsi" w:hAnsiTheme="majorHAnsi" w:cstheme="majorHAnsi"/>
          <w:sz w:val="24"/>
          <w:szCs w:val="24"/>
          <w:lang w:val="ro-MD"/>
        </w:rPr>
        <w:t xml:space="preserve"> indicată în act. De asemenea, </w:t>
      </w:r>
      <w:r w:rsidR="002E344E" w:rsidRPr="00B13B9A">
        <w:rPr>
          <w:rFonts w:asciiTheme="majorHAnsi" w:hAnsiTheme="majorHAnsi" w:cstheme="majorHAnsi"/>
          <w:sz w:val="24"/>
          <w:szCs w:val="24"/>
          <w:lang w:val="ro-MD"/>
        </w:rPr>
        <w:t xml:space="preserve">a fost identificat că </w:t>
      </w:r>
      <w:r w:rsidRPr="00B13B9A">
        <w:rPr>
          <w:rFonts w:asciiTheme="majorHAnsi" w:hAnsiTheme="majorHAnsi" w:cstheme="majorHAnsi"/>
          <w:sz w:val="24"/>
          <w:szCs w:val="24"/>
          <w:lang w:val="ro-MD"/>
        </w:rPr>
        <w:t>pe suprafe</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ele reparate sunt înregistrate fisuri, pentru altele este vizibilă sup</w:t>
      </w:r>
      <w:r w:rsidR="002E344E" w:rsidRPr="00B13B9A">
        <w:rPr>
          <w:rFonts w:asciiTheme="majorHAnsi" w:hAnsiTheme="majorHAnsi" w:cstheme="majorHAnsi"/>
          <w:sz w:val="24"/>
          <w:szCs w:val="24"/>
          <w:lang w:val="ro-MD"/>
        </w:rPr>
        <w:t>rafa</w:t>
      </w:r>
      <w:r w:rsidR="00B13B9A" w:rsidRPr="00B13B9A">
        <w:rPr>
          <w:rFonts w:asciiTheme="majorHAnsi" w:hAnsiTheme="majorHAnsi" w:cstheme="majorHAnsi"/>
          <w:sz w:val="24"/>
          <w:szCs w:val="24"/>
          <w:lang w:val="ro-MD"/>
        </w:rPr>
        <w:t>ț</w:t>
      </w:r>
      <w:r w:rsidR="002E344E" w:rsidRPr="00B13B9A">
        <w:rPr>
          <w:rFonts w:asciiTheme="majorHAnsi" w:hAnsiTheme="majorHAnsi" w:cstheme="majorHAnsi"/>
          <w:sz w:val="24"/>
          <w:szCs w:val="24"/>
          <w:lang w:val="ro-MD"/>
        </w:rPr>
        <w:t xml:space="preserve">a vopsită </w:t>
      </w:r>
      <w:r w:rsidR="00B13B9A" w:rsidRPr="00B13B9A">
        <w:rPr>
          <w:rFonts w:asciiTheme="majorHAnsi" w:hAnsiTheme="majorHAnsi" w:cstheme="majorHAnsi"/>
          <w:sz w:val="24"/>
          <w:szCs w:val="24"/>
          <w:lang w:val="ro-MD"/>
        </w:rPr>
        <w:t>ș</w:t>
      </w:r>
      <w:r w:rsidR="002E344E" w:rsidRPr="00B13B9A">
        <w:rPr>
          <w:rFonts w:asciiTheme="majorHAnsi" w:hAnsiTheme="majorHAnsi" w:cstheme="majorHAnsi"/>
          <w:sz w:val="24"/>
          <w:szCs w:val="24"/>
          <w:lang w:val="ro-MD"/>
        </w:rPr>
        <w:t>i cea nevopsită</w:t>
      </w:r>
      <w:r w:rsidRPr="00B13B9A">
        <w:rPr>
          <w:rFonts w:asciiTheme="majorHAnsi" w:hAnsiTheme="majorHAnsi" w:cstheme="majorHAnsi"/>
          <w:sz w:val="24"/>
          <w:szCs w:val="24"/>
          <w:lang w:val="ro-MD"/>
        </w:rPr>
        <w:t xml:space="preserve">. </w:t>
      </w:r>
    </w:p>
    <w:p w14:paraId="55F483D2" w14:textId="407E5CB3" w:rsidR="00EF1983" w:rsidRPr="00B13B9A" w:rsidRDefault="00EF1983" w:rsidP="00EF1983">
      <w:pPr>
        <w:spacing w:after="0" w:line="276" w:lineRule="auto"/>
        <w:jc w:val="both"/>
        <w:rPr>
          <w:rFonts w:asciiTheme="majorHAnsi" w:hAnsiTheme="majorHAnsi" w:cstheme="majorHAnsi"/>
          <w:sz w:val="24"/>
          <w:szCs w:val="24"/>
          <w:lang w:val="ro-MD"/>
        </w:rPr>
      </w:pPr>
      <w:r w:rsidRPr="00B13B9A">
        <w:rPr>
          <w:rFonts w:asciiTheme="majorHAnsi" w:hAnsiTheme="majorHAnsi" w:cstheme="majorHAnsi"/>
          <w:sz w:val="24"/>
          <w:szCs w:val="24"/>
          <w:lang w:val="ro-MD"/>
        </w:rPr>
        <w:t>Calculele auditorului aferente nejustificării cheltuielilor pentru lucrările de repara</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 xml:space="preserve">ie în sumă de 43,7 mii lei, precum </w:t>
      </w:r>
      <w:r w:rsidR="00B13B9A" w:rsidRPr="00B13B9A">
        <w:rPr>
          <w:rFonts w:asciiTheme="majorHAnsi" w:hAnsiTheme="majorHAnsi" w:cstheme="majorHAnsi"/>
          <w:sz w:val="24"/>
          <w:szCs w:val="24"/>
          <w:lang w:val="ro-MD"/>
        </w:rPr>
        <w:t>ș</w:t>
      </w:r>
      <w:r w:rsidRPr="00B13B9A">
        <w:rPr>
          <w:rFonts w:asciiTheme="majorHAnsi" w:hAnsiTheme="majorHAnsi" w:cstheme="majorHAnsi"/>
          <w:sz w:val="24"/>
          <w:szCs w:val="24"/>
          <w:lang w:val="ro-MD"/>
        </w:rPr>
        <w:t>i remunerarea persoanei respective în sumă 19,7 mii lei</w:t>
      </w:r>
      <w:r w:rsidR="008D2FAE" w:rsidRPr="00B13B9A">
        <w:rPr>
          <w:rFonts w:asciiTheme="majorHAnsi" w:hAnsiTheme="majorHAnsi" w:cstheme="majorHAnsi"/>
          <w:sz w:val="24"/>
          <w:szCs w:val="24"/>
          <w:lang w:val="ro-MD"/>
        </w:rPr>
        <w:t>,</w:t>
      </w:r>
      <w:r w:rsidRPr="00B13B9A">
        <w:rPr>
          <w:rFonts w:asciiTheme="majorHAnsi" w:hAnsiTheme="majorHAnsi" w:cstheme="majorHAnsi"/>
          <w:sz w:val="24"/>
          <w:szCs w:val="24"/>
          <w:lang w:val="ro-MD"/>
        </w:rPr>
        <w:t xml:space="preserve"> care nu a fost prezentă la locul de muncă </w:t>
      </w:r>
      <w:r w:rsidR="00B13B9A" w:rsidRPr="00B13B9A">
        <w:rPr>
          <w:rFonts w:asciiTheme="majorHAnsi" w:hAnsiTheme="majorHAnsi" w:cstheme="majorHAnsi"/>
          <w:sz w:val="24"/>
          <w:szCs w:val="24"/>
          <w:lang w:val="ro-MD"/>
        </w:rPr>
        <w:t>ș</w:t>
      </w:r>
      <w:r w:rsidRPr="00B13B9A">
        <w:rPr>
          <w:rFonts w:asciiTheme="majorHAnsi" w:hAnsiTheme="majorHAnsi" w:cstheme="majorHAnsi"/>
          <w:sz w:val="24"/>
          <w:szCs w:val="24"/>
          <w:lang w:val="ro-MD"/>
        </w:rPr>
        <w:t xml:space="preserve">i nu a efectuat lucrările, indică asupra managementului defectuos în gestionarea banilor publici. </w:t>
      </w:r>
    </w:p>
    <w:p w14:paraId="2071FB0A" w14:textId="6CB214C9" w:rsidR="00E44391" w:rsidRPr="00B13B9A" w:rsidRDefault="00E44391" w:rsidP="001E775F">
      <w:pPr>
        <w:spacing w:after="0" w:line="276" w:lineRule="auto"/>
        <w:jc w:val="both"/>
        <w:rPr>
          <w:rFonts w:asciiTheme="majorHAnsi" w:hAnsiTheme="majorHAnsi" w:cstheme="majorHAnsi"/>
          <w:i/>
          <w:sz w:val="24"/>
          <w:szCs w:val="24"/>
          <w:lang w:val="ro-MD"/>
        </w:rPr>
      </w:pPr>
      <w:r w:rsidRPr="00B13B9A">
        <w:rPr>
          <w:rFonts w:asciiTheme="majorHAnsi" w:hAnsiTheme="majorHAnsi" w:cstheme="majorHAnsi"/>
          <w:i/>
          <w:sz w:val="24"/>
          <w:szCs w:val="24"/>
          <w:lang w:val="ro-MD"/>
        </w:rPr>
        <w:t>*Notă: Entitatea a ini</w:t>
      </w:r>
      <w:r w:rsidR="00B13B9A" w:rsidRPr="00B13B9A">
        <w:rPr>
          <w:rFonts w:asciiTheme="majorHAnsi" w:hAnsiTheme="majorHAnsi" w:cstheme="majorHAnsi"/>
          <w:i/>
          <w:sz w:val="24"/>
          <w:szCs w:val="24"/>
          <w:lang w:val="ro-MD"/>
        </w:rPr>
        <w:t>ț</w:t>
      </w:r>
      <w:r w:rsidRPr="00B13B9A">
        <w:rPr>
          <w:rFonts w:asciiTheme="majorHAnsi" w:hAnsiTheme="majorHAnsi" w:cstheme="majorHAnsi"/>
          <w:i/>
          <w:sz w:val="24"/>
          <w:szCs w:val="24"/>
          <w:lang w:val="ro-MD"/>
        </w:rPr>
        <w:t>iat procedura de returnare a mijloacelor financiare achitate</w:t>
      </w:r>
      <w:r w:rsidR="00BA22DB" w:rsidRPr="00B13B9A">
        <w:rPr>
          <w:rFonts w:asciiTheme="majorHAnsi" w:hAnsiTheme="majorHAnsi" w:cstheme="majorHAnsi"/>
          <w:i/>
          <w:sz w:val="24"/>
          <w:szCs w:val="24"/>
          <w:lang w:val="ro-MD"/>
        </w:rPr>
        <w:t xml:space="preserve"> nejustificat</w:t>
      </w:r>
      <w:r w:rsidRPr="00B13B9A">
        <w:rPr>
          <w:rFonts w:asciiTheme="majorHAnsi" w:hAnsiTheme="majorHAnsi" w:cstheme="majorHAnsi"/>
          <w:i/>
          <w:sz w:val="24"/>
          <w:szCs w:val="24"/>
          <w:lang w:val="ro-MD"/>
        </w:rPr>
        <w:t xml:space="preserve"> pentru remunerarea angajatei.</w:t>
      </w:r>
    </w:p>
    <w:p w14:paraId="4FB869C0" w14:textId="7DA11627" w:rsidR="00EF1983" w:rsidRPr="00B13B9A" w:rsidRDefault="00EF1983" w:rsidP="00241AB3">
      <w:pPr>
        <w:pStyle w:val="a7"/>
        <w:numPr>
          <w:ilvl w:val="2"/>
          <w:numId w:val="10"/>
        </w:numPr>
        <w:tabs>
          <w:tab w:val="left" w:pos="0"/>
        </w:tabs>
        <w:spacing w:before="240" w:after="0" w:line="276" w:lineRule="auto"/>
        <w:jc w:val="both"/>
        <w:outlineLvl w:val="2"/>
        <w:rPr>
          <w:rFonts w:asciiTheme="majorHAnsi" w:hAnsiTheme="majorHAnsi" w:cstheme="majorHAnsi"/>
          <w:b/>
          <w:sz w:val="24"/>
          <w:szCs w:val="24"/>
          <w:lang w:val="ro-MD"/>
        </w:rPr>
      </w:pPr>
      <w:bookmarkStart w:id="38" w:name="_Toc154562510"/>
      <w:r w:rsidRPr="00B13B9A">
        <w:rPr>
          <w:rFonts w:asciiTheme="majorHAnsi" w:hAnsiTheme="majorHAnsi" w:cstheme="majorHAnsi"/>
          <w:b/>
          <w:sz w:val="24"/>
          <w:szCs w:val="24"/>
          <w:lang w:val="ro-MD"/>
        </w:rPr>
        <w:t xml:space="preserve">Acumularea </w:t>
      </w:r>
      <w:r w:rsidR="002F5C19" w:rsidRPr="00B13B9A">
        <w:rPr>
          <w:rFonts w:asciiTheme="majorHAnsi" w:hAnsiTheme="majorHAnsi" w:cstheme="majorHAnsi"/>
          <w:b/>
          <w:sz w:val="24"/>
          <w:szCs w:val="24"/>
          <w:lang w:val="ro-MD"/>
        </w:rPr>
        <w:t xml:space="preserve">a 6 770 de </w:t>
      </w:r>
      <w:r w:rsidRPr="00B13B9A">
        <w:rPr>
          <w:rFonts w:asciiTheme="majorHAnsi" w:hAnsiTheme="majorHAnsi" w:cstheme="majorHAnsi"/>
          <w:b/>
          <w:sz w:val="24"/>
          <w:szCs w:val="24"/>
          <w:lang w:val="ro-MD"/>
        </w:rPr>
        <w:t xml:space="preserve">zile de concediu anual nefolosite, estimate la 4 648,5 mii lei, atrage după sine eventuale cheltuieli suplimentare </w:t>
      </w:r>
      <w:r w:rsidR="00B13B9A" w:rsidRPr="00B13B9A">
        <w:rPr>
          <w:rFonts w:asciiTheme="majorHAnsi" w:hAnsiTheme="majorHAnsi" w:cstheme="majorHAnsi"/>
          <w:b/>
          <w:sz w:val="24"/>
          <w:szCs w:val="24"/>
          <w:lang w:val="ro-MD"/>
        </w:rPr>
        <w:t>ș</w:t>
      </w:r>
      <w:r w:rsidRPr="00B13B9A">
        <w:rPr>
          <w:rFonts w:asciiTheme="majorHAnsi" w:hAnsiTheme="majorHAnsi" w:cstheme="majorHAnsi"/>
          <w:b/>
          <w:sz w:val="24"/>
          <w:szCs w:val="24"/>
          <w:lang w:val="ro-MD"/>
        </w:rPr>
        <w:t>i poate afecta stabilitatea financiară a institu</w:t>
      </w:r>
      <w:r w:rsidR="00B13B9A" w:rsidRPr="00B13B9A">
        <w:rPr>
          <w:rFonts w:asciiTheme="majorHAnsi" w:hAnsiTheme="majorHAnsi" w:cstheme="majorHAnsi"/>
          <w:b/>
          <w:sz w:val="24"/>
          <w:szCs w:val="24"/>
          <w:lang w:val="ro-MD"/>
        </w:rPr>
        <w:t>ț</w:t>
      </w:r>
      <w:r w:rsidRPr="00B13B9A">
        <w:rPr>
          <w:rFonts w:asciiTheme="majorHAnsi" w:hAnsiTheme="majorHAnsi" w:cstheme="majorHAnsi"/>
          <w:b/>
          <w:sz w:val="24"/>
          <w:szCs w:val="24"/>
          <w:lang w:val="ro-MD"/>
        </w:rPr>
        <w:t>iei</w:t>
      </w:r>
      <w:r w:rsidR="002F5C19" w:rsidRPr="00B13B9A">
        <w:rPr>
          <w:rFonts w:asciiTheme="majorHAnsi" w:hAnsiTheme="majorHAnsi" w:cstheme="majorHAnsi"/>
          <w:b/>
          <w:sz w:val="24"/>
          <w:szCs w:val="24"/>
          <w:lang w:val="ro-MD"/>
        </w:rPr>
        <w:t>.</w:t>
      </w:r>
      <w:bookmarkEnd w:id="38"/>
    </w:p>
    <w:p w14:paraId="70BDD0A6" w14:textId="2CB0A4FC" w:rsidR="00EF1983" w:rsidRPr="00B13B9A" w:rsidRDefault="00EF1983" w:rsidP="00EF1983">
      <w:pPr>
        <w:tabs>
          <w:tab w:val="left" w:pos="9072"/>
        </w:tabs>
        <w:spacing w:before="240" w:after="0" w:line="276" w:lineRule="auto"/>
        <w:jc w:val="both"/>
        <w:rPr>
          <w:rFonts w:asciiTheme="majorHAnsi" w:hAnsiTheme="majorHAnsi" w:cstheme="majorHAnsi"/>
          <w:sz w:val="24"/>
          <w:szCs w:val="24"/>
          <w:shd w:val="clear" w:color="auto" w:fill="FFFFFF" w:themeFill="background1"/>
          <w:lang w:val="ro-MD"/>
        </w:rPr>
      </w:pPr>
      <w:r w:rsidRPr="00B13B9A">
        <w:rPr>
          <w:rFonts w:asciiTheme="majorHAnsi" w:eastAsia="Times New Roman" w:hAnsiTheme="majorHAnsi" w:cstheme="majorHAnsi"/>
          <w:color w:val="000000"/>
          <w:sz w:val="24"/>
          <w:szCs w:val="24"/>
          <w:lang w:val="ro-MD"/>
        </w:rPr>
        <w:t>Concediul de odihnă se acordă anual conform programării</w:t>
      </w:r>
      <w:r w:rsidR="002F5C19" w:rsidRPr="00B13B9A">
        <w:rPr>
          <w:rFonts w:asciiTheme="majorHAnsi" w:eastAsia="Times New Roman" w:hAnsiTheme="majorHAnsi" w:cstheme="majorHAnsi"/>
          <w:color w:val="000000"/>
          <w:sz w:val="24"/>
          <w:szCs w:val="24"/>
          <w:lang w:val="ro-MD"/>
        </w:rPr>
        <w:t xml:space="preserve"> acestora</w:t>
      </w:r>
      <w:r w:rsidRPr="00B13B9A">
        <w:rPr>
          <w:rFonts w:asciiTheme="majorHAnsi" w:eastAsia="Times New Roman" w:hAnsiTheme="majorHAnsi" w:cstheme="majorHAnsi"/>
          <w:color w:val="000000"/>
          <w:sz w:val="24"/>
          <w:szCs w:val="24"/>
          <w:lang w:val="ro-MD"/>
        </w:rPr>
        <w:t>, iar angajatorul are obliga</w:t>
      </w:r>
      <w:r w:rsidR="00B13B9A" w:rsidRPr="00B13B9A">
        <w:rPr>
          <w:rFonts w:asciiTheme="majorHAnsi" w:eastAsia="Times New Roman" w:hAnsiTheme="majorHAnsi" w:cstheme="majorHAnsi"/>
          <w:color w:val="000000"/>
          <w:sz w:val="24"/>
          <w:szCs w:val="24"/>
          <w:lang w:val="ro-MD"/>
        </w:rPr>
        <w:t>ț</w:t>
      </w:r>
      <w:r w:rsidRPr="00B13B9A">
        <w:rPr>
          <w:rFonts w:asciiTheme="majorHAnsi" w:eastAsia="Times New Roman" w:hAnsiTheme="majorHAnsi" w:cstheme="majorHAnsi"/>
          <w:color w:val="000000"/>
          <w:sz w:val="24"/>
          <w:szCs w:val="24"/>
          <w:lang w:val="ro-MD"/>
        </w:rPr>
        <w:t>ia de a lua măsurile necesare pentru ca salaria</w:t>
      </w:r>
      <w:r w:rsidR="00B13B9A" w:rsidRPr="00B13B9A">
        <w:rPr>
          <w:rFonts w:asciiTheme="majorHAnsi" w:eastAsia="Times New Roman" w:hAnsiTheme="majorHAnsi" w:cstheme="majorHAnsi"/>
          <w:color w:val="000000"/>
          <w:sz w:val="24"/>
          <w:szCs w:val="24"/>
          <w:lang w:val="ro-MD"/>
        </w:rPr>
        <w:t>ț</w:t>
      </w:r>
      <w:r w:rsidRPr="00B13B9A">
        <w:rPr>
          <w:rFonts w:asciiTheme="majorHAnsi" w:eastAsia="Times New Roman" w:hAnsiTheme="majorHAnsi" w:cstheme="majorHAnsi"/>
          <w:color w:val="000000"/>
          <w:sz w:val="24"/>
          <w:szCs w:val="24"/>
          <w:lang w:val="ro-MD"/>
        </w:rPr>
        <w:t>ii să folosească concediile de odihnă în fiecare an calendaristic</w:t>
      </w:r>
      <w:r w:rsidRPr="00B13B9A">
        <w:rPr>
          <w:rStyle w:val="a9"/>
          <w:rFonts w:asciiTheme="majorHAnsi" w:eastAsia="Times New Roman" w:hAnsiTheme="majorHAnsi" w:cstheme="majorHAnsi"/>
          <w:color w:val="000000"/>
          <w:sz w:val="24"/>
          <w:szCs w:val="24"/>
          <w:lang w:val="ro-MD"/>
        </w:rPr>
        <w:footnoteReference w:id="55"/>
      </w:r>
      <w:r w:rsidRPr="00B13B9A">
        <w:rPr>
          <w:rFonts w:asciiTheme="majorHAnsi" w:eastAsia="Times New Roman" w:hAnsiTheme="majorHAnsi" w:cstheme="majorHAnsi"/>
          <w:color w:val="000000"/>
          <w:sz w:val="24"/>
          <w:szCs w:val="24"/>
          <w:lang w:val="ro-MD"/>
        </w:rPr>
        <w:t>.</w:t>
      </w:r>
      <w:r w:rsidRPr="00B13B9A">
        <w:rPr>
          <w:rFonts w:asciiTheme="majorHAnsi" w:eastAsia="Times New Roman" w:hAnsiTheme="majorHAnsi" w:cstheme="majorHAnsi"/>
          <w:color w:val="333333"/>
          <w:sz w:val="24"/>
          <w:szCs w:val="24"/>
          <w:lang w:val="ro-MD"/>
        </w:rPr>
        <w:t xml:space="preserve"> </w:t>
      </w:r>
      <w:r w:rsidRPr="00B13B9A">
        <w:rPr>
          <w:rFonts w:asciiTheme="majorHAnsi" w:hAnsiTheme="majorHAnsi" w:cstheme="majorHAnsi"/>
          <w:sz w:val="24"/>
          <w:szCs w:val="24"/>
          <w:lang w:val="ro-MD"/>
        </w:rPr>
        <w:t xml:space="preserve">Astfel, la </w:t>
      </w:r>
      <w:r w:rsidR="0068223D" w:rsidRPr="00B13B9A">
        <w:rPr>
          <w:rFonts w:asciiTheme="majorHAnsi" w:hAnsiTheme="majorHAnsi" w:cstheme="majorHAnsi"/>
          <w:sz w:val="24"/>
          <w:szCs w:val="24"/>
          <w:lang w:val="ro-MD"/>
        </w:rPr>
        <w:t>finele</w:t>
      </w:r>
      <w:r w:rsidRPr="00B13B9A">
        <w:rPr>
          <w:rFonts w:asciiTheme="majorHAnsi" w:hAnsiTheme="majorHAnsi" w:cstheme="majorHAnsi"/>
          <w:sz w:val="24"/>
          <w:szCs w:val="24"/>
          <w:lang w:val="ro-MD"/>
        </w:rPr>
        <w:t xml:space="preserve"> anului 2022, concediile nefolosite au înregistrat cumulativ 6 770 </w:t>
      </w:r>
      <w:r w:rsidR="002F5C19" w:rsidRPr="00B13B9A">
        <w:rPr>
          <w:rFonts w:asciiTheme="majorHAnsi" w:hAnsiTheme="majorHAnsi" w:cstheme="majorHAnsi"/>
          <w:sz w:val="24"/>
          <w:szCs w:val="24"/>
          <w:lang w:val="ro-MD"/>
        </w:rPr>
        <w:t xml:space="preserve">de </w:t>
      </w:r>
      <w:r w:rsidRPr="00B13B9A">
        <w:rPr>
          <w:rFonts w:asciiTheme="majorHAnsi" w:hAnsiTheme="majorHAnsi" w:cstheme="majorHAnsi"/>
          <w:sz w:val="24"/>
          <w:szCs w:val="24"/>
          <w:lang w:val="ro-MD"/>
        </w:rPr>
        <w:t>zile, începând cu anul 2017, costul acestora estimându-se la 4 648,5 mii lei, ceea</w:t>
      </w:r>
      <w:r w:rsidRPr="00B13B9A">
        <w:rPr>
          <w:rFonts w:asciiTheme="majorHAnsi" w:hAnsiTheme="majorHAnsi" w:cstheme="majorHAnsi"/>
          <w:sz w:val="24"/>
          <w:szCs w:val="24"/>
          <w:shd w:val="clear" w:color="auto" w:fill="FFFFFF" w:themeFill="background1"/>
          <w:lang w:val="ro-MD"/>
        </w:rPr>
        <w:t xml:space="preserve"> ce constituie aproximativ mijloacele financiare utilizate pentru o lună de salarizare. Conform prevederilor</w:t>
      </w:r>
      <w:r w:rsidR="0068223D" w:rsidRPr="00B13B9A">
        <w:rPr>
          <w:rFonts w:asciiTheme="majorHAnsi" w:hAnsiTheme="majorHAnsi" w:cstheme="majorHAnsi"/>
          <w:sz w:val="24"/>
          <w:szCs w:val="24"/>
          <w:shd w:val="clear" w:color="auto" w:fill="FFFFFF" w:themeFill="background1"/>
          <w:lang w:val="ro-MD"/>
        </w:rPr>
        <w:t xml:space="preserve"> regulamentare</w:t>
      </w:r>
      <w:r w:rsidRPr="00B13B9A">
        <w:rPr>
          <w:rFonts w:asciiTheme="majorHAnsi" w:hAnsiTheme="majorHAnsi" w:cstheme="majorHAnsi"/>
          <w:sz w:val="24"/>
          <w:szCs w:val="24"/>
          <w:shd w:val="clear" w:color="auto" w:fill="FFFFFF" w:themeFill="background1"/>
          <w:lang w:val="ro-MD"/>
        </w:rPr>
        <w:t>, e</w:t>
      </w:r>
      <w:r w:rsidRPr="00B13B9A">
        <w:rPr>
          <w:rFonts w:asciiTheme="majorHAnsi" w:hAnsiTheme="majorHAnsi" w:cstheme="majorHAnsi"/>
          <w:sz w:val="24"/>
          <w:szCs w:val="24"/>
          <w:lang w:val="ro-MD"/>
        </w:rPr>
        <w:t>ste interzisă neacordarea concediului de odihnă anual timp de 2 ani consecutivi, iar n</w:t>
      </w:r>
      <w:r w:rsidRPr="00B13B9A">
        <w:rPr>
          <w:rFonts w:asciiTheme="majorHAnsi" w:hAnsiTheme="majorHAnsi" w:cstheme="majorHAnsi"/>
          <w:sz w:val="24"/>
          <w:szCs w:val="24"/>
          <w:shd w:val="clear" w:color="auto" w:fill="FFFFFF" w:themeFill="background1"/>
          <w:lang w:val="ro-MD"/>
        </w:rPr>
        <w:t>eacordarea concediilor angaja</w:t>
      </w:r>
      <w:r w:rsidR="00B13B9A" w:rsidRPr="00B13B9A">
        <w:rPr>
          <w:rFonts w:asciiTheme="majorHAnsi" w:hAnsiTheme="majorHAnsi" w:cstheme="majorHAnsi"/>
          <w:sz w:val="24"/>
          <w:szCs w:val="24"/>
          <w:shd w:val="clear" w:color="auto" w:fill="FFFFFF" w:themeFill="background1"/>
          <w:lang w:val="ro-MD"/>
        </w:rPr>
        <w:t>ț</w:t>
      </w:r>
      <w:r w:rsidRPr="00B13B9A">
        <w:rPr>
          <w:rFonts w:asciiTheme="majorHAnsi" w:hAnsiTheme="majorHAnsi" w:cstheme="majorHAnsi"/>
          <w:sz w:val="24"/>
          <w:szCs w:val="24"/>
          <w:shd w:val="clear" w:color="auto" w:fill="FFFFFF" w:themeFill="background1"/>
          <w:lang w:val="ro-MD"/>
        </w:rPr>
        <w:t xml:space="preserve">ilor </w:t>
      </w:r>
      <w:r w:rsidR="00F431A2" w:rsidRPr="00B13B9A">
        <w:rPr>
          <w:rFonts w:asciiTheme="majorHAnsi" w:hAnsiTheme="majorHAnsi" w:cstheme="majorHAnsi"/>
          <w:color w:val="000000" w:themeColor="text1"/>
          <w:sz w:val="24"/>
          <w:szCs w:val="24"/>
          <w:lang w:val="ro-MD"/>
        </w:rPr>
        <w:t xml:space="preserve">IMSP IFP </w:t>
      </w:r>
      <w:r w:rsidR="00F431A2" w:rsidRPr="00B13B9A">
        <w:rPr>
          <w:rFonts w:asciiTheme="majorHAnsi" w:hAnsiTheme="majorHAnsi" w:cstheme="majorHAnsi"/>
          <w:sz w:val="24"/>
          <w:szCs w:val="24"/>
          <w:lang w:val="ro-MD"/>
        </w:rPr>
        <w:t>„Chiril Draganiuc”</w:t>
      </w:r>
      <w:r w:rsidRPr="00B13B9A">
        <w:rPr>
          <w:rFonts w:asciiTheme="majorHAnsi" w:hAnsiTheme="majorHAnsi" w:cstheme="majorHAnsi"/>
          <w:sz w:val="24"/>
          <w:szCs w:val="24"/>
          <w:shd w:val="clear" w:color="auto" w:fill="FFFFFF" w:themeFill="background1"/>
          <w:lang w:val="ro-MD"/>
        </w:rPr>
        <w:t xml:space="preserve"> reprezintă o abatere de la norma legală în vigoare</w:t>
      </w:r>
      <w:r w:rsidRPr="00B13B9A">
        <w:rPr>
          <w:rFonts w:asciiTheme="majorHAnsi" w:hAnsiTheme="majorHAnsi" w:cstheme="majorHAnsi"/>
          <w:sz w:val="24"/>
          <w:szCs w:val="24"/>
          <w:shd w:val="clear" w:color="auto" w:fill="FFFFFF" w:themeFill="background1"/>
          <w:vertAlign w:val="superscript"/>
          <w:lang w:val="ro-MD"/>
        </w:rPr>
        <w:footnoteReference w:id="56"/>
      </w:r>
      <w:r w:rsidRPr="00B13B9A">
        <w:rPr>
          <w:rFonts w:asciiTheme="majorHAnsi" w:hAnsiTheme="majorHAnsi" w:cstheme="majorHAnsi"/>
          <w:sz w:val="24"/>
          <w:szCs w:val="24"/>
          <w:shd w:val="clear" w:color="auto" w:fill="FFFFFF" w:themeFill="background1"/>
          <w:lang w:val="ro-MD"/>
        </w:rPr>
        <w:t>.</w:t>
      </w:r>
      <w:r w:rsidRPr="00B13B9A">
        <w:rPr>
          <w:rFonts w:asciiTheme="majorHAnsi" w:hAnsiTheme="majorHAnsi" w:cstheme="majorHAnsi"/>
          <w:strike/>
          <w:sz w:val="24"/>
          <w:szCs w:val="24"/>
          <w:lang w:val="ro-MD"/>
        </w:rPr>
        <w:t xml:space="preserve"> </w:t>
      </w:r>
    </w:p>
    <w:p w14:paraId="3CFA71B5" w14:textId="6C47BD92" w:rsidR="00EF1983" w:rsidRPr="00B13B9A" w:rsidRDefault="00EF1983" w:rsidP="00EF1983">
      <w:pPr>
        <w:tabs>
          <w:tab w:val="left" w:pos="9072"/>
        </w:tabs>
        <w:spacing w:before="240" w:after="0" w:line="276" w:lineRule="auto"/>
        <w:jc w:val="both"/>
        <w:rPr>
          <w:rFonts w:asciiTheme="majorHAnsi" w:hAnsiTheme="majorHAnsi" w:cstheme="majorHAnsi"/>
          <w:sz w:val="24"/>
          <w:szCs w:val="24"/>
          <w:lang w:val="ro-MD"/>
        </w:rPr>
      </w:pPr>
      <w:r w:rsidRPr="00B13B9A">
        <w:rPr>
          <w:rFonts w:asciiTheme="majorHAnsi" w:hAnsiTheme="majorHAnsi" w:cstheme="majorHAnsi"/>
          <w:sz w:val="24"/>
          <w:szCs w:val="24"/>
          <w:shd w:val="clear" w:color="auto" w:fill="FFFFFF" w:themeFill="background1"/>
          <w:lang w:val="ro-MD"/>
        </w:rPr>
        <w:t>Concomitent, auditul semnalează că</w:t>
      </w:r>
      <w:r w:rsidR="002F5C19" w:rsidRPr="00B13B9A">
        <w:rPr>
          <w:rFonts w:asciiTheme="majorHAnsi" w:hAnsiTheme="majorHAnsi" w:cstheme="majorHAnsi"/>
          <w:sz w:val="24"/>
          <w:szCs w:val="24"/>
          <w:shd w:val="clear" w:color="auto" w:fill="FFFFFF" w:themeFill="background1"/>
          <w:lang w:val="ro-MD"/>
        </w:rPr>
        <w:t>,</w:t>
      </w:r>
      <w:r w:rsidRPr="00B13B9A">
        <w:rPr>
          <w:rFonts w:asciiTheme="majorHAnsi" w:hAnsiTheme="majorHAnsi" w:cstheme="majorHAnsi"/>
          <w:sz w:val="24"/>
          <w:szCs w:val="24"/>
          <w:shd w:val="clear" w:color="auto" w:fill="FFFFFF" w:themeFill="background1"/>
          <w:lang w:val="ro-MD"/>
        </w:rPr>
        <w:t xml:space="preserve"> </w:t>
      </w:r>
      <w:r w:rsidRPr="00B13B9A">
        <w:rPr>
          <w:rFonts w:asciiTheme="majorHAnsi" w:hAnsiTheme="majorHAnsi" w:cstheme="majorHAnsi"/>
          <w:bCs/>
          <w:iCs/>
          <w:noProof/>
          <w:sz w:val="24"/>
          <w:szCs w:val="24"/>
          <w:shd w:val="clear" w:color="auto" w:fill="FFFFFF"/>
          <w:lang w:val="ro-MD"/>
        </w:rPr>
        <w:t>potrivit reglementărilor aplicabile</w:t>
      </w:r>
      <w:r w:rsidRPr="00B13B9A">
        <w:rPr>
          <w:rFonts w:asciiTheme="majorHAnsi" w:hAnsiTheme="majorHAnsi" w:cstheme="majorHAnsi"/>
          <w:bCs/>
          <w:iCs/>
          <w:noProof/>
          <w:sz w:val="24"/>
          <w:szCs w:val="24"/>
          <w:shd w:val="clear" w:color="auto" w:fill="FFFFFF"/>
          <w:vertAlign w:val="superscript"/>
          <w:lang w:val="ro-MD"/>
        </w:rPr>
        <w:footnoteReference w:id="57"/>
      </w:r>
      <w:r w:rsidRPr="00B13B9A">
        <w:rPr>
          <w:rFonts w:asciiTheme="majorHAnsi" w:hAnsiTheme="majorHAnsi" w:cstheme="majorHAnsi"/>
          <w:bCs/>
          <w:iCs/>
          <w:noProof/>
          <w:sz w:val="24"/>
          <w:szCs w:val="24"/>
          <w:shd w:val="clear" w:color="auto" w:fill="FFFFFF"/>
          <w:lang w:val="ro-MD"/>
        </w:rPr>
        <w:t xml:space="preserve">, orice entitate urmează să constituie provizioane pentru acoperirea anumitor pierderi sau cheltuieli a căror cauză este precisă </w:t>
      </w:r>
      <w:r w:rsidR="00B13B9A" w:rsidRPr="00B13B9A">
        <w:rPr>
          <w:rFonts w:asciiTheme="majorHAnsi" w:hAnsiTheme="majorHAnsi" w:cstheme="majorHAnsi"/>
          <w:bCs/>
          <w:iCs/>
          <w:noProof/>
          <w:sz w:val="24"/>
          <w:szCs w:val="24"/>
          <w:shd w:val="clear" w:color="auto" w:fill="FFFFFF"/>
          <w:lang w:val="ro-MD"/>
        </w:rPr>
        <w:t>ș</w:t>
      </w:r>
      <w:r w:rsidRPr="00B13B9A">
        <w:rPr>
          <w:rFonts w:asciiTheme="majorHAnsi" w:hAnsiTheme="majorHAnsi" w:cstheme="majorHAnsi"/>
          <w:bCs/>
          <w:iCs/>
          <w:noProof/>
          <w:sz w:val="24"/>
          <w:szCs w:val="24"/>
          <w:shd w:val="clear" w:color="auto" w:fill="FFFFFF"/>
          <w:lang w:val="ro-MD"/>
        </w:rPr>
        <w:t>i asupra cărora există o incertitudine în ceea ce prive</w:t>
      </w:r>
      <w:r w:rsidR="00B13B9A" w:rsidRPr="00B13B9A">
        <w:rPr>
          <w:rFonts w:asciiTheme="majorHAnsi" w:hAnsiTheme="majorHAnsi" w:cstheme="majorHAnsi"/>
          <w:bCs/>
          <w:iCs/>
          <w:noProof/>
          <w:sz w:val="24"/>
          <w:szCs w:val="24"/>
          <w:shd w:val="clear" w:color="auto" w:fill="FFFFFF"/>
          <w:lang w:val="ro-MD"/>
        </w:rPr>
        <w:t>ș</w:t>
      </w:r>
      <w:r w:rsidRPr="00B13B9A">
        <w:rPr>
          <w:rFonts w:asciiTheme="majorHAnsi" w:hAnsiTheme="majorHAnsi" w:cstheme="majorHAnsi"/>
          <w:bCs/>
          <w:iCs/>
          <w:noProof/>
          <w:sz w:val="24"/>
          <w:szCs w:val="24"/>
          <w:shd w:val="clear" w:color="auto" w:fill="FFFFFF"/>
          <w:lang w:val="ro-MD"/>
        </w:rPr>
        <w:t xml:space="preserve">te mărimea sau data producerii lor, iar modalitatea de creare, calculare </w:t>
      </w:r>
      <w:r w:rsidR="00B13B9A" w:rsidRPr="00B13B9A">
        <w:rPr>
          <w:rFonts w:asciiTheme="majorHAnsi" w:hAnsiTheme="majorHAnsi" w:cstheme="majorHAnsi"/>
          <w:bCs/>
          <w:iCs/>
          <w:noProof/>
          <w:sz w:val="24"/>
          <w:szCs w:val="24"/>
          <w:shd w:val="clear" w:color="auto" w:fill="FFFFFF"/>
          <w:lang w:val="ro-MD"/>
        </w:rPr>
        <w:t>ș</w:t>
      </w:r>
      <w:r w:rsidRPr="00B13B9A">
        <w:rPr>
          <w:rFonts w:asciiTheme="majorHAnsi" w:hAnsiTheme="majorHAnsi" w:cstheme="majorHAnsi"/>
          <w:bCs/>
          <w:iCs/>
          <w:noProof/>
          <w:sz w:val="24"/>
          <w:szCs w:val="24"/>
          <w:shd w:val="clear" w:color="auto" w:fill="FFFFFF"/>
          <w:lang w:val="ro-MD"/>
        </w:rPr>
        <w:t>i contabilizare a acestora trebuie să fie în corela</w:t>
      </w:r>
      <w:r w:rsidR="00B13B9A" w:rsidRPr="00B13B9A">
        <w:rPr>
          <w:rFonts w:asciiTheme="majorHAnsi" w:hAnsiTheme="majorHAnsi" w:cstheme="majorHAnsi"/>
          <w:bCs/>
          <w:iCs/>
          <w:noProof/>
          <w:sz w:val="24"/>
          <w:szCs w:val="24"/>
          <w:shd w:val="clear" w:color="auto" w:fill="FFFFFF"/>
          <w:lang w:val="ro-MD"/>
        </w:rPr>
        <w:t>ț</w:t>
      </w:r>
      <w:r w:rsidRPr="00B13B9A">
        <w:rPr>
          <w:rFonts w:asciiTheme="majorHAnsi" w:hAnsiTheme="majorHAnsi" w:cstheme="majorHAnsi"/>
          <w:bCs/>
          <w:iCs/>
          <w:noProof/>
          <w:sz w:val="24"/>
          <w:szCs w:val="24"/>
          <w:shd w:val="clear" w:color="auto" w:fill="FFFFFF"/>
          <w:lang w:val="ro-MD"/>
        </w:rPr>
        <w:t xml:space="preserve">ie cu riscurile </w:t>
      </w:r>
      <w:r w:rsidR="00B13B9A" w:rsidRPr="00B13B9A">
        <w:rPr>
          <w:rFonts w:asciiTheme="majorHAnsi" w:hAnsiTheme="majorHAnsi" w:cstheme="majorHAnsi"/>
          <w:bCs/>
          <w:iCs/>
          <w:noProof/>
          <w:sz w:val="24"/>
          <w:szCs w:val="24"/>
          <w:shd w:val="clear" w:color="auto" w:fill="FFFFFF"/>
          <w:lang w:val="ro-MD"/>
        </w:rPr>
        <w:t>ș</w:t>
      </w:r>
      <w:r w:rsidRPr="00B13B9A">
        <w:rPr>
          <w:rFonts w:asciiTheme="majorHAnsi" w:hAnsiTheme="majorHAnsi" w:cstheme="majorHAnsi"/>
          <w:bCs/>
          <w:iCs/>
          <w:noProof/>
          <w:sz w:val="24"/>
          <w:szCs w:val="24"/>
          <w:shd w:val="clear" w:color="auto" w:fill="FFFFFF"/>
          <w:lang w:val="ro-MD"/>
        </w:rPr>
        <w:t xml:space="preserve">i cheltuielile estimate. Astfel, </w:t>
      </w:r>
      <w:r w:rsidRPr="00B13B9A">
        <w:rPr>
          <w:rFonts w:asciiTheme="majorHAnsi" w:hAnsiTheme="majorHAnsi" w:cstheme="majorHAnsi"/>
          <w:sz w:val="24"/>
          <w:szCs w:val="24"/>
          <w:shd w:val="clear" w:color="auto" w:fill="FFFFFF" w:themeFill="background1"/>
          <w:lang w:val="ro-MD"/>
        </w:rPr>
        <w:t>de</w:t>
      </w:r>
      <w:r w:rsidR="00B13B9A" w:rsidRPr="00B13B9A">
        <w:rPr>
          <w:rFonts w:asciiTheme="majorHAnsi" w:hAnsiTheme="majorHAnsi" w:cstheme="majorHAnsi"/>
          <w:sz w:val="24"/>
          <w:szCs w:val="24"/>
          <w:shd w:val="clear" w:color="auto" w:fill="FFFFFF" w:themeFill="background1"/>
          <w:lang w:val="ro-MD"/>
        </w:rPr>
        <w:t>ș</w:t>
      </w:r>
      <w:r w:rsidRPr="00B13B9A">
        <w:rPr>
          <w:rFonts w:asciiTheme="majorHAnsi" w:hAnsiTheme="majorHAnsi" w:cstheme="majorHAnsi"/>
          <w:sz w:val="24"/>
          <w:szCs w:val="24"/>
          <w:shd w:val="clear" w:color="auto" w:fill="FFFFFF" w:themeFill="background1"/>
          <w:lang w:val="ro-MD"/>
        </w:rPr>
        <w:t xml:space="preserve">i IMSP </w:t>
      </w:r>
      <w:r w:rsidRPr="00B13B9A">
        <w:rPr>
          <w:rFonts w:asciiTheme="majorHAnsi" w:hAnsiTheme="majorHAnsi" w:cstheme="majorHAnsi"/>
          <w:sz w:val="24"/>
          <w:szCs w:val="24"/>
          <w:lang w:val="ro-MD"/>
        </w:rPr>
        <w:t xml:space="preserve">organizează </w:t>
      </w:r>
      <w:r w:rsidR="00B13B9A" w:rsidRPr="00B13B9A">
        <w:rPr>
          <w:rFonts w:asciiTheme="majorHAnsi" w:hAnsiTheme="majorHAnsi" w:cstheme="majorHAnsi"/>
          <w:sz w:val="24"/>
          <w:szCs w:val="24"/>
          <w:lang w:val="ro-MD"/>
        </w:rPr>
        <w:t>ș</w:t>
      </w:r>
      <w:r w:rsidRPr="00B13B9A">
        <w:rPr>
          <w:rFonts w:asciiTheme="majorHAnsi" w:hAnsiTheme="majorHAnsi" w:cstheme="majorHAnsi"/>
          <w:sz w:val="24"/>
          <w:szCs w:val="24"/>
          <w:lang w:val="ro-MD"/>
        </w:rPr>
        <w:t xml:space="preserve">i </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ine eviden</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a contabilă  în conformitate cu SNC, aceasta, prin politicile contabile adoptate, nu a reglementat modul de constituire a provizioanelor, în special pentru concediile angaja</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 xml:space="preserve">ilor, ceea ce nu asigură o gestionare prudentă a riscurilor corelate cu eventualele costuri/cheltuieli aferente, dat fiind că acestea participă la formarea costurilor serviciilor prestate </w:t>
      </w:r>
      <w:r w:rsidR="00B13B9A" w:rsidRPr="00B13B9A">
        <w:rPr>
          <w:rFonts w:asciiTheme="majorHAnsi" w:hAnsiTheme="majorHAnsi" w:cstheme="majorHAnsi"/>
          <w:sz w:val="24"/>
          <w:szCs w:val="24"/>
          <w:shd w:val="clear" w:color="auto" w:fill="FFFFFF" w:themeFill="background1"/>
          <w:lang w:val="ro-MD"/>
        </w:rPr>
        <w:t>ș</w:t>
      </w:r>
      <w:r w:rsidRPr="00B13B9A">
        <w:rPr>
          <w:rFonts w:asciiTheme="majorHAnsi" w:hAnsiTheme="majorHAnsi" w:cstheme="majorHAnsi"/>
          <w:sz w:val="24"/>
          <w:szCs w:val="24"/>
          <w:shd w:val="clear" w:color="auto" w:fill="FFFFFF" w:themeFill="background1"/>
          <w:lang w:val="ro-MD"/>
        </w:rPr>
        <w:t>i atrage după sine eventuale cheltuieli suplimentare, cu posibil impact asupra continuită</w:t>
      </w:r>
      <w:r w:rsidR="00B13B9A" w:rsidRPr="00B13B9A">
        <w:rPr>
          <w:rFonts w:asciiTheme="majorHAnsi" w:hAnsiTheme="majorHAnsi" w:cstheme="majorHAnsi"/>
          <w:sz w:val="24"/>
          <w:szCs w:val="24"/>
          <w:shd w:val="clear" w:color="auto" w:fill="FFFFFF" w:themeFill="background1"/>
          <w:lang w:val="ro-MD"/>
        </w:rPr>
        <w:t>ț</w:t>
      </w:r>
      <w:r w:rsidRPr="00B13B9A">
        <w:rPr>
          <w:rFonts w:asciiTheme="majorHAnsi" w:hAnsiTheme="majorHAnsi" w:cstheme="majorHAnsi"/>
          <w:sz w:val="24"/>
          <w:szCs w:val="24"/>
          <w:shd w:val="clear" w:color="auto" w:fill="FFFFFF" w:themeFill="background1"/>
          <w:lang w:val="ro-MD"/>
        </w:rPr>
        <w:t>ii activită</w:t>
      </w:r>
      <w:r w:rsidR="00B13B9A" w:rsidRPr="00B13B9A">
        <w:rPr>
          <w:rFonts w:asciiTheme="majorHAnsi" w:hAnsiTheme="majorHAnsi" w:cstheme="majorHAnsi"/>
          <w:sz w:val="24"/>
          <w:szCs w:val="24"/>
          <w:shd w:val="clear" w:color="auto" w:fill="FFFFFF" w:themeFill="background1"/>
          <w:lang w:val="ro-MD"/>
        </w:rPr>
        <w:t>ț</w:t>
      </w:r>
      <w:r w:rsidRPr="00B13B9A">
        <w:rPr>
          <w:rFonts w:asciiTheme="majorHAnsi" w:hAnsiTheme="majorHAnsi" w:cstheme="majorHAnsi"/>
          <w:sz w:val="24"/>
          <w:szCs w:val="24"/>
          <w:shd w:val="clear" w:color="auto" w:fill="FFFFFF" w:themeFill="background1"/>
          <w:lang w:val="ro-MD"/>
        </w:rPr>
        <w:t>ii entită</w:t>
      </w:r>
      <w:r w:rsidR="00B13B9A" w:rsidRPr="00B13B9A">
        <w:rPr>
          <w:rFonts w:asciiTheme="majorHAnsi" w:hAnsiTheme="majorHAnsi" w:cstheme="majorHAnsi"/>
          <w:sz w:val="24"/>
          <w:szCs w:val="24"/>
          <w:shd w:val="clear" w:color="auto" w:fill="FFFFFF" w:themeFill="background1"/>
          <w:lang w:val="ro-MD"/>
        </w:rPr>
        <w:t>ț</w:t>
      </w:r>
      <w:r w:rsidRPr="00B13B9A">
        <w:rPr>
          <w:rFonts w:asciiTheme="majorHAnsi" w:hAnsiTheme="majorHAnsi" w:cstheme="majorHAnsi"/>
          <w:sz w:val="24"/>
          <w:szCs w:val="24"/>
          <w:shd w:val="clear" w:color="auto" w:fill="FFFFFF" w:themeFill="background1"/>
          <w:lang w:val="ro-MD"/>
        </w:rPr>
        <w:t>ii.</w:t>
      </w:r>
      <w:r w:rsidR="005F6223" w:rsidRPr="00B13B9A">
        <w:rPr>
          <w:rFonts w:asciiTheme="majorHAnsi" w:hAnsiTheme="majorHAnsi" w:cstheme="majorHAnsi"/>
          <w:sz w:val="24"/>
          <w:szCs w:val="24"/>
          <w:shd w:val="clear" w:color="auto" w:fill="FFFFFF" w:themeFill="background1"/>
          <w:lang w:val="ro-MD"/>
        </w:rPr>
        <w:t xml:space="preserve"> </w:t>
      </w:r>
      <w:r w:rsidR="00784F26" w:rsidRPr="00B13B9A">
        <w:rPr>
          <w:rFonts w:asciiTheme="majorHAnsi" w:hAnsiTheme="majorHAnsi" w:cstheme="majorHAnsi"/>
          <w:sz w:val="24"/>
          <w:szCs w:val="24"/>
          <w:shd w:val="clear" w:color="auto" w:fill="FFFFFF" w:themeFill="background1"/>
          <w:lang w:val="ro-MD"/>
        </w:rPr>
        <w:t xml:space="preserve">În </w:t>
      </w:r>
      <w:r w:rsidR="002F5C19" w:rsidRPr="00B13B9A">
        <w:rPr>
          <w:rFonts w:asciiTheme="majorHAnsi" w:hAnsiTheme="majorHAnsi" w:cstheme="majorHAnsi"/>
          <w:sz w:val="24"/>
          <w:szCs w:val="24"/>
          <w:shd w:val="clear" w:color="auto" w:fill="FFFFFF" w:themeFill="background1"/>
          <w:lang w:val="ro-MD"/>
        </w:rPr>
        <w:t xml:space="preserve">acest </w:t>
      </w:r>
      <w:r w:rsidR="00784F26" w:rsidRPr="00B13B9A">
        <w:rPr>
          <w:rFonts w:asciiTheme="majorHAnsi" w:hAnsiTheme="majorHAnsi" w:cstheme="majorHAnsi"/>
          <w:sz w:val="24"/>
          <w:szCs w:val="24"/>
          <w:shd w:val="clear" w:color="auto" w:fill="FFFFFF" w:themeFill="background1"/>
          <w:lang w:val="ro-MD"/>
        </w:rPr>
        <w:t xml:space="preserve">context, entitatea a motivat lipsa </w:t>
      </w:r>
      <w:r w:rsidR="00A22A5C">
        <w:rPr>
          <w:rFonts w:asciiTheme="majorHAnsi" w:hAnsiTheme="majorHAnsi" w:cstheme="majorHAnsi"/>
          <w:sz w:val="24"/>
          <w:szCs w:val="24"/>
          <w:shd w:val="clear" w:color="auto" w:fill="FFFFFF" w:themeFill="background1"/>
          <w:lang w:val="ro-MD"/>
        </w:rPr>
        <w:t xml:space="preserve">formării </w:t>
      </w:r>
      <w:r w:rsidR="00784F26" w:rsidRPr="00B13B9A">
        <w:rPr>
          <w:rFonts w:asciiTheme="majorHAnsi" w:hAnsiTheme="majorHAnsi" w:cstheme="majorHAnsi"/>
          <w:sz w:val="24"/>
          <w:szCs w:val="24"/>
          <w:shd w:val="clear" w:color="auto" w:fill="FFFFFF" w:themeFill="background1"/>
          <w:lang w:val="ro-MD"/>
        </w:rPr>
        <w:t xml:space="preserve">provizioanelor </w:t>
      </w:r>
      <w:r w:rsidR="002F5C19" w:rsidRPr="00B13B9A">
        <w:rPr>
          <w:rFonts w:asciiTheme="majorHAnsi" w:hAnsiTheme="majorHAnsi" w:cstheme="majorHAnsi"/>
          <w:sz w:val="24"/>
          <w:szCs w:val="24"/>
          <w:shd w:val="clear" w:color="auto" w:fill="FFFFFF" w:themeFill="background1"/>
          <w:lang w:val="ro-MD"/>
        </w:rPr>
        <w:t>prin faptul</w:t>
      </w:r>
      <w:r w:rsidR="00784F26" w:rsidRPr="00B13B9A">
        <w:rPr>
          <w:rFonts w:asciiTheme="majorHAnsi" w:hAnsiTheme="majorHAnsi" w:cstheme="majorHAnsi"/>
          <w:sz w:val="24"/>
          <w:szCs w:val="24"/>
          <w:shd w:val="clear" w:color="auto" w:fill="FFFFFF" w:themeFill="background1"/>
          <w:lang w:val="ro-MD"/>
        </w:rPr>
        <w:t xml:space="preserve"> că nu dispune de mijloace financiare pentru </w:t>
      </w:r>
      <w:r w:rsidR="00A22A5C" w:rsidRPr="00B13B9A">
        <w:rPr>
          <w:rFonts w:asciiTheme="majorHAnsi" w:hAnsiTheme="majorHAnsi" w:cstheme="majorHAnsi"/>
          <w:sz w:val="24"/>
          <w:szCs w:val="24"/>
          <w:shd w:val="clear" w:color="auto" w:fill="FFFFFF" w:themeFill="background1"/>
          <w:lang w:val="ro-MD"/>
        </w:rPr>
        <w:t>constituir</w:t>
      </w:r>
      <w:r w:rsidR="00784F26" w:rsidRPr="00B13B9A">
        <w:rPr>
          <w:rFonts w:asciiTheme="majorHAnsi" w:hAnsiTheme="majorHAnsi" w:cstheme="majorHAnsi"/>
          <w:sz w:val="24"/>
          <w:szCs w:val="24"/>
          <w:shd w:val="clear" w:color="auto" w:fill="FFFFFF" w:themeFill="background1"/>
          <w:lang w:val="ro-MD"/>
        </w:rPr>
        <w:t>ea lor.</w:t>
      </w:r>
    </w:p>
    <w:p w14:paraId="6EE8FAE7" w14:textId="77777777" w:rsidR="00B37661" w:rsidRPr="00B13B9A" w:rsidRDefault="00B37661" w:rsidP="00B37661">
      <w:pPr>
        <w:spacing w:after="0" w:line="276" w:lineRule="auto"/>
        <w:jc w:val="both"/>
        <w:rPr>
          <w:rFonts w:asciiTheme="majorHAnsi" w:hAnsiTheme="majorHAnsi" w:cstheme="majorHAnsi"/>
          <w:sz w:val="24"/>
          <w:szCs w:val="24"/>
          <w:lang w:val="ro-MD"/>
        </w:rPr>
      </w:pPr>
    </w:p>
    <w:p w14:paraId="7AEE5B10" w14:textId="2F22F76E" w:rsidR="00B37661" w:rsidRPr="00B13B9A" w:rsidRDefault="00B37661" w:rsidP="00241AB3">
      <w:pPr>
        <w:pStyle w:val="a7"/>
        <w:numPr>
          <w:ilvl w:val="2"/>
          <w:numId w:val="10"/>
        </w:numPr>
        <w:jc w:val="both"/>
        <w:outlineLvl w:val="2"/>
        <w:rPr>
          <w:rFonts w:asciiTheme="majorHAnsi" w:hAnsiTheme="majorHAnsi" w:cstheme="majorHAnsi"/>
          <w:b/>
          <w:color w:val="000000" w:themeColor="text1"/>
          <w:sz w:val="24"/>
          <w:szCs w:val="24"/>
          <w:lang w:val="ro-MD"/>
        </w:rPr>
      </w:pPr>
      <w:bookmarkStart w:id="39" w:name="_Toc154562511"/>
      <w:r w:rsidRPr="00B13B9A">
        <w:rPr>
          <w:rFonts w:asciiTheme="majorHAnsi" w:hAnsiTheme="majorHAnsi" w:cstheme="majorHAnsi"/>
          <w:b/>
          <w:color w:val="000000" w:themeColor="text1"/>
          <w:sz w:val="24"/>
          <w:szCs w:val="24"/>
          <w:lang w:val="ro-MD"/>
        </w:rPr>
        <w:t>Estimarea necorespunzătoare a necesită</w:t>
      </w:r>
      <w:r w:rsidR="00B13B9A" w:rsidRPr="00B13B9A">
        <w:rPr>
          <w:rFonts w:asciiTheme="majorHAnsi" w:hAnsiTheme="majorHAnsi" w:cstheme="majorHAnsi"/>
          <w:b/>
          <w:color w:val="000000" w:themeColor="text1"/>
          <w:sz w:val="24"/>
          <w:szCs w:val="24"/>
          <w:lang w:val="ro-MD"/>
        </w:rPr>
        <w:t>ț</w:t>
      </w:r>
      <w:r w:rsidRPr="00B13B9A">
        <w:rPr>
          <w:rFonts w:asciiTheme="majorHAnsi" w:hAnsiTheme="majorHAnsi" w:cstheme="majorHAnsi"/>
          <w:b/>
          <w:color w:val="000000" w:themeColor="text1"/>
          <w:sz w:val="24"/>
          <w:szCs w:val="24"/>
          <w:lang w:val="ro-MD"/>
        </w:rPr>
        <w:t>ilor reale a dus la efectuarea achizi</w:t>
      </w:r>
      <w:r w:rsidR="00B13B9A" w:rsidRPr="00B13B9A">
        <w:rPr>
          <w:rFonts w:asciiTheme="majorHAnsi" w:hAnsiTheme="majorHAnsi" w:cstheme="majorHAnsi"/>
          <w:b/>
          <w:color w:val="000000" w:themeColor="text1"/>
          <w:sz w:val="24"/>
          <w:szCs w:val="24"/>
          <w:lang w:val="ro-MD"/>
        </w:rPr>
        <w:t>ț</w:t>
      </w:r>
      <w:r w:rsidRPr="00B13B9A">
        <w:rPr>
          <w:rFonts w:asciiTheme="majorHAnsi" w:hAnsiTheme="majorHAnsi" w:cstheme="majorHAnsi"/>
          <w:b/>
          <w:color w:val="000000" w:themeColor="text1"/>
          <w:sz w:val="24"/>
          <w:szCs w:val="24"/>
          <w:lang w:val="ro-MD"/>
        </w:rPr>
        <w:t>iilor în afara planului de ach</w:t>
      </w:r>
      <w:r w:rsidR="00383C42" w:rsidRPr="00B13B9A">
        <w:rPr>
          <w:rFonts w:asciiTheme="majorHAnsi" w:hAnsiTheme="majorHAnsi" w:cstheme="majorHAnsi"/>
          <w:b/>
          <w:color w:val="000000" w:themeColor="text1"/>
          <w:sz w:val="24"/>
          <w:szCs w:val="24"/>
          <w:lang w:val="ro-MD"/>
        </w:rPr>
        <w:t>izi</w:t>
      </w:r>
      <w:r w:rsidR="00B13B9A" w:rsidRPr="00B13B9A">
        <w:rPr>
          <w:rFonts w:asciiTheme="majorHAnsi" w:hAnsiTheme="majorHAnsi" w:cstheme="majorHAnsi"/>
          <w:b/>
          <w:color w:val="000000" w:themeColor="text1"/>
          <w:sz w:val="24"/>
          <w:szCs w:val="24"/>
          <w:lang w:val="ro-MD"/>
        </w:rPr>
        <w:t>ț</w:t>
      </w:r>
      <w:r w:rsidR="00383C42" w:rsidRPr="00B13B9A">
        <w:rPr>
          <w:rFonts w:asciiTheme="majorHAnsi" w:hAnsiTheme="majorHAnsi" w:cstheme="majorHAnsi"/>
          <w:b/>
          <w:color w:val="000000" w:themeColor="text1"/>
          <w:sz w:val="24"/>
          <w:szCs w:val="24"/>
          <w:lang w:val="ro-MD"/>
        </w:rPr>
        <w:t>ii</w:t>
      </w:r>
      <w:r w:rsidR="002F5C19" w:rsidRPr="00B13B9A">
        <w:rPr>
          <w:rFonts w:asciiTheme="majorHAnsi" w:hAnsiTheme="majorHAnsi" w:cstheme="majorHAnsi"/>
          <w:b/>
          <w:color w:val="000000" w:themeColor="text1"/>
          <w:sz w:val="24"/>
          <w:szCs w:val="24"/>
          <w:lang w:val="ro-MD"/>
        </w:rPr>
        <w:t>,</w:t>
      </w:r>
      <w:r w:rsidR="00383C42" w:rsidRPr="00B13B9A">
        <w:rPr>
          <w:rFonts w:asciiTheme="majorHAnsi" w:hAnsiTheme="majorHAnsi" w:cstheme="majorHAnsi"/>
          <w:b/>
          <w:color w:val="000000" w:themeColor="text1"/>
          <w:sz w:val="24"/>
          <w:szCs w:val="24"/>
          <w:lang w:val="ro-MD"/>
        </w:rPr>
        <w:t xml:space="preserve"> în sumă de 247,9 mii lei.</w:t>
      </w:r>
      <w:bookmarkEnd w:id="39"/>
    </w:p>
    <w:p w14:paraId="25286B6D" w14:textId="77777777" w:rsidR="00B37661" w:rsidRPr="00B13B9A" w:rsidRDefault="00B37661" w:rsidP="00B37661">
      <w:pPr>
        <w:pStyle w:val="a7"/>
        <w:spacing w:after="0" w:line="276" w:lineRule="auto"/>
        <w:ind w:left="12"/>
        <w:jc w:val="both"/>
        <w:rPr>
          <w:rFonts w:asciiTheme="majorHAnsi" w:hAnsiTheme="majorHAnsi" w:cstheme="majorHAnsi"/>
          <w:sz w:val="24"/>
          <w:szCs w:val="24"/>
          <w:lang w:val="ro-MD"/>
        </w:rPr>
      </w:pPr>
    </w:p>
    <w:p w14:paraId="1AADFCC2" w14:textId="75163046" w:rsidR="00B37661" w:rsidRPr="00B13B9A" w:rsidRDefault="00145067" w:rsidP="000B206B">
      <w:pPr>
        <w:spacing w:after="0" w:line="276" w:lineRule="auto"/>
        <w:jc w:val="both"/>
        <w:rPr>
          <w:rFonts w:asciiTheme="majorHAnsi" w:hAnsiTheme="majorHAnsi" w:cstheme="majorHAnsi"/>
          <w:bCs/>
          <w:sz w:val="24"/>
          <w:szCs w:val="24"/>
          <w:lang w:val="ro-MD"/>
        </w:rPr>
      </w:pPr>
      <w:r w:rsidRPr="00B13B9A">
        <w:rPr>
          <w:rFonts w:asciiTheme="majorHAnsi" w:hAnsiTheme="majorHAnsi" w:cstheme="majorHAnsi"/>
          <w:sz w:val="24"/>
          <w:szCs w:val="24"/>
          <w:lang w:val="ro-MD"/>
        </w:rPr>
        <w:t>Pentru asigurarea continuită</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 xml:space="preserve">ii prestării serviciilor medicale suficiente </w:t>
      </w:r>
      <w:r w:rsidR="00B13B9A" w:rsidRPr="00B13B9A">
        <w:rPr>
          <w:rFonts w:asciiTheme="majorHAnsi" w:hAnsiTheme="majorHAnsi" w:cstheme="majorHAnsi"/>
          <w:sz w:val="24"/>
          <w:szCs w:val="24"/>
          <w:lang w:val="ro-MD"/>
        </w:rPr>
        <w:t>ș</w:t>
      </w:r>
      <w:r w:rsidRPr="00B13B9A">
        <w:rPr>
          <w:rFonts w:asciiTheme="majorHAnsi" w:hAnsiTheme="majorHAnsi" w:cstheme="majorHAnsi"/>
          <w:sz w:val="24"/>
          <w:szCs w:val="24"/>
          <w:lang w:val="ro-MD"/>
        </w:rPr>
        <w:t>i calitative, institu</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iile</w:t>
      </w:r>
      <w:r w:rsidR="00BF3680">
        <w:rPr>
          <w:rFonts w:asciiTheme="majorHAnsi" w:hAnsiTheme="majorHAnsi" w:cstheme="majorHAnsi"/>
          <w:sz w:val="24"/>
          <w:szCs w:val="24"/>
          <w:lang w:val="ro-MD"/>
        </w:rPr>
        <w:t xml:space="preserve"> </w:t>
      </w:r>
      <w:r w:rsidRPr="00B13B9A">
        <w:rPr>
          <w:rFonts w:asciiTheme="majorHAnsi" w:hAnsiTheme="majorHAnsi" w:cstheme="majorHAnsi"/>
          <w:sz w:val="24"/>
          <w:szCs w:val="24"/>
          <w:lang w:val="ro-MD"/>
        </w:rPr>
        <w:t>medicale achizi</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 xml:space="preserve">ionează bunuri, lucrări </w:t>
      </w:r>
      <w:r w:rsidR="00B13B9A" w:rsidRPr="00B13B9A">
        <w:rPr>
          <w:rFonts w:asciiTheme="majorHAnsi" w:hAnsiTheme="majorHAnsi" w:cstheme="majorHAnsi"/>
          <w:sz w:val="24"/>
          <w:szCs w:val="24"/>
          <w:lang w:val="ro-MD"/>
        </w:rPr>
        <w:t>ș</w:t>
      </w:r>
      <w:r w:rsidRPr="00B13B9A">
        <w:rPr>
          <w:rFonts w:asciiTheme="majorHAnsi" w:hAnsiTheme="majorHAnsi" w:cstheme="majorHAnsi"/>
          <w:sz w:val="24"/>
          <w:szCs w:val="24"/>
          <w:lang w:val="ro-MD"/>
        </w:rPr>
        <w:t xml:space="preserve">i servicii. </w:t>
      </w:r>
      <w:r w:rsidR="0044054B" w:rsidRPr="00B13B9A">
        <w:rPr>
          <w:rFonts w:asciiTheme="majorHAnsi" w:hAnsiTheme="majorHAnsi" w:cstheme="majorHAnsi"/>
          <w:sz w:val="24"/>
          <w:szCs w:val="24"/>
          <w:lang w:val="ro-MD"/>
        </w:rPr>
        <w:t>Pe parcursul perioadei auditate 2021-2023 (6 luni)</w:t>
      </w:r>
      <w:r w:rsidR="006B03E4" w:rsidRPr="00B13B9A">
        <w:rPr>
          <w:rFonts w:asciiTheme="majorHAnsi" w:hAnsiTheme="majorHAnsi" w:cstheme="majorHAnsi"/>
          <w:sz w:val="24"/>
          <w:szCs w:val="24"/>
          <w:lang w:val="ro-MD"/>
        </w:rPr>
        <w:t>,</w:t>
      </w:r>
      <w:r w:rsidRPr="00B13B9A">
        <w:rPr>
          <w:rFonts w:asciiTheme="majorHAnsi" w:hAnsiTheme="majorHAnsi" w:cstheme="majorHAnsi"/>
          <w:sz w:val="24"/>
          <w:szCs w:val="24"/>
          <w:lang w:val="ro-MD"/>
        </w:rPr>
        <w:t xml:space="preserve"> au fost încheiate contracte de achizi</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 xml:space="preserve">ii publice în valoare de </w:t>
      </w:r>
      <w:r w:rsidR="0044054B" w:rsidRPr="00B13B9A">
        <w:rPr>
          <w:rFonts w:asciiTheme="majorHAnsi" w:hAnsiTheme="majorHAnsi" w:cstheme="majorHAnsi"/>
          <w:sz w:val="24"/>
          <w:szCs w:val="24"/>
          <w:lang w:val="ro-MD"/>
        </w:rPr>
        <w:t>48</w:t>
      </w:r>
      <w:r w:rsidR="006B03E4" w:rsidRPr="00B13B9A">
        <w:rPr>
          <w:rFonts w:asciiTheme="majorHAnsi" w:hAnsiTheme="majorHAnsi" w:cstheme="majorHAnsi"/>
          <w:sz w:val="24"/>
          <w:szCs w:val="24"/>
          <w:lang w:val="ro-MD"/>
        </w:rPr>
        <w:t xml:space="preserve"> </w:t>
      </w:r>
      <w:r w:rsidR="0044054B" w:rsidRPr="00B13B9A">
        <w:rPr>
          <w:rFonts w:asciiTheme="majorHAnsi" w:hAnsiTheme="majorHAnsi" w:cstheme="majorHAnsi"/>
          <w:sz w:val="24"/>
          <w:szCs w:val="24"/>
          <w:lang w:val="ro-MD"/>
        </w:rPr>
        <w:t>886,3</w:t>
      </w:r>
      <w:r w:rsidRPr="00B13B9A">
        <w:rPr>
          <w:rFonts w:asciiTheme="majorHAnsi" w:hAnsiTheme="majorHAnsi" w:cstheme="majorHAnsi"/>
          <w:sz w:val="24"/>
          <w:szCs w:val="24"/>
          <w:lang w:val="ro-MD"/>
        </w:rPr>
        <w:t xml:space="preserve"> mii lei</w:t>
      </w:r>
      <w:r w:rsidR="001E775F" w:rsidRPr="00B13B9A">
        <w:rPr>
          <w:rFonts w:asciiTheme="majorHAnsi" w:hAnsiTheme="majorHAnsi" w:cstheme="majorHAnsi"/>
          <w:sz w:val="24"/>
          <w:szCs w:val="24"/>
          <w:lang w:val="ro-MD"/>
        </w:rPr>
        <w:t>.</w:t>
      </w:r>
      <w:r w:rsidRPr="00B13B9A">
        <w:rPr>
          <w:rFonts w:asciiTheme="majorHAnsi" w:hAnsiTheme="majorHAnsi" w:cstheme="majorHAnsi"/>
          <w:sz w:val="24"/>
          <w:szCs w:val="24"/>
          <w:lang w:val="ro-MD"/>
        </w:rPr>
        <w:t xml:space="preserve"> </w:t>
      </w:r>
      <w:r w:rsidR="00B37661" w:rsidRPr="00B13B9A">
        <w:rPr>
          <w:rFonts w:asciiTheme="majorHAnsi" w:hAnsiTheme="majorHAnsi" w:cstheme="majorHAnsi"/>
          <w:sz w:val="24"/>
          <w:szCs w:val="24"/>
          <w:lang w:val="ro-MD"/>
        </w:rPr>
        <w:t>Planificarea contractelor de achizi</w:t>
      </w:r>
      <w:r w:rsidR="00B13B9A" w:rsidRPr="00B13B9A">
        <w:rPr>
          <w:rFonts w:asciiTheme="majorHAnsi" w:hAnsiTheme="majorHAnsi" w:cstheme="majorHAnsi"/>
          <w:sz w:val="24"/>
          <w:szCs w:val="24"/>
          <w:lang w:val="ro-MD"/>
        </w:rPr>
        <w:t>ț</w:t>
      </w:r>
      <w:r w:rsidR="00B37661" w:rsidRPr="00B13B9A">
        <w:rPr>
          <w:rFonts w:asciiTheme="majorHAnsi" w:hAnsiTheme="majorHAnsi" w:cstheme="majorHAnsi"/>
          <w:sz w:val="24"/>
          <w:szCs w:val="24"/>
          <w:lang w:val="ro-MD"/>
        </w:rPr>
        <w:t>ii publice este o etapă importantă, corelată cu necesită</w:t>
      </w:r>
      <w:r w:rsidR="00B13B9A" w:rsidRPr="00B13B9A">
        <w:rPr>
          <w:rFonts w:asciiTheme="majorHAnsi" w:hAnsiTheme="majorHAnsi" w:cstheme="majorHAnsi"/>
          <w:sz w:val="24"/>
          <w:szCs w:val="24"/>
          <w:lang w:val="ro-MD"/>
        </w:rPr>
        <w:t>ț</w:t>
      </w:r>
      <w:r w:rsidR="00B37661" w:rsidRPr="00B13B9A">
        <w:rPr>
          <w:rFonts w:asciiTheme="majorHAnsi" w:hAnsiTheme="majorHAnsi" w:cstheme="majorHAnsi"/>
          <w:sz w:val="24"/>
          <w:szCs w:val="24"/>
          <w:lang w:val="ro-MD"/>
        </w:rPr>
        <w:t xml:space="preserve">ile de bunuri, lucrări </w:t>
      </w:r>
      <w:r w:rsidR="00B13B9A" w:rsidRPr="00B13B9A">
        <w:rPr>
          <w:rFonts w:asciiTheme="majorHAnsi" w:hAnsiTheme="majorHAnsi" w:cstheme="majorHAnsi"/>
          <w:sz w:val="24"/>
          <w:szCs w:val="24"/>
          <w:lang w:val="ro-MD"/>
        </w:rPr>
        <w:t>ș</w:t>
      </w:r>
      <w:r w:rsidR="00B37661" w:rsidRPr="00B13B9A">
        <w:rPr>
          <w:rFonts w:asciiTheme="majorHAnsi" w:hAnsiTheme="majorHAnsi" w:cstheme="majorHAnsi"/>
          <w:sz w:val="24"/>
          <w:szCs w:val="24"/>
          <w:lang w:val="ro-MD"/>
        </w:rPr>
        <w:t>i servicii, necesare pentru asigurarea continuită</w:t>
      </w:r>
      <w:r w:rsidR="00B13B9A" w:rsidRPr="00B13B9A">
        <w:rPr>
          <w:rFonts w:asciiTheme="majorHAnsi" w:hAnsiTheme="majorHAnsi" w:cstheme="majorHAnsi"/>
          <w:sz w:val="24"/>
          <w:szCs w:val="24"/>
          <w:lang w:val="ro-MD"/>
        </w:rPr>
        <w:t>ț</w:t>
      </w:r>
      <w:r w:rsidR="00B37661" w:rsidRPr="00B13B9A">
        <w:rPr>
          <w:rFonts w:asciiTheme="majorHAnsi" w:hAnsiTheme="majorHAnsi" w:cstheme="majorHAnsi"/>
          <w:sz w:val="24"/>
          <w:szCs w:val="24"/>
          <w:lang w:val="ro-MD"/>
        </w:rPr>
        <w:t>ii activită</w:t>
      </w:r>
      <w:r w:rsidR="00B13B9A" w:rsidRPr="00B13B9A">
        <w:rPr>
          <w:rFonts w:asciiTheme="majorHAnsi" w:hAnsiTheme="majorHAnsi" w:cstheme="majorHAnsi"/>
          <w:sz w:val="24"/>
          <w:szCs w:val="24"/>
          <w:lang w:val="ro-MD"/>
        </w:rPr>
        <w:t>ț</w:t>
      </w:r>
      <w:r w:rsidR="00B37661" w:rsidRPr="00B13B9A">
        <w:rPr>
          <w:rFonts w:asciiTheme="majorHAnsi" w:hAnsiTheme="majorHAnsi" w:cstheme="majorHAnsi"/>
          <w:sz w:val="24"/>
          <w:szCs w:val="24"/>
          <w:lang w:val="ro-MD"/>
        </w:rPr>
        <w:t xml:space="preserve">ii, </w:t>
      </w:r>
      <w:r w:rsidR="00B13B9A" w:rsidRPr="00B13B9A">
        <w:rPr>
          <w:rFonts w:asciiTheme="majorHAnsi" w:hAnsiTheme="majorHAnsi" w:cstheme="majorHAnsi"/>
          <w:sz w:val="24"/>
          <w:szCs w:val="24"/>
          <w:lang w:val="ro-MD"/>
        </w:rPr>
        <w:t>ș</w:t>
      </w:r>
      <w:r w:rsidR="00B37661" w:rsidRPr="00B13B9A">
        <w:rPr>
          <w:rFonts w:asciiTheme="majorHAnsi" w:hAnsiTheme="majorHAnsi" w:cstheme="majorHAnsi"/>
          <w:sz w:val="24"/>
          <w:szCs w:val="24"/>
          <w:lang w:val="ro-MD"/>
        </w:rPr>
        <w:t>i mijloacele financiare publice destinate în acest sens. Astfel, la începutul fiecărui an de gestiune entitatea a aprobat planul de achizi</w:t>
      </w:r>
      <w:r w:rsidR="00B13B9A" w:rsidRPr="00B13B9A">
        <w:rPr>
          <w:rFonts w:asciiTheme="majorHAnsi" w:hAnsiTheme="majorHAnsi" w:cstheme="majorHAnsi"/>
          <w:sz w:val="24"/>
          <w:szCs w:val="24"/>
          <w:lang w:val="ro-MD"/>
        </w:rPr>
        <w:t>ț</w:t>
      </w:r>
      <w:r w:rsidR="00B37661" w:rsidRPr="00B13B9A">
        <w:rPr>
          <w:rFonts w:asciiTheme="majorHAnsi" w:hAnsiTheme="majorHAnsi" w:cstheme="majorHAnsi"/>
          <w:sz w:val="24"/>
          <w:szCs w:val="24"/>
          <w:lang w:val="ro-MD"/>
        </w:rPr>
        <w:t>ii publice, care a fost c</w:t>
      </w:r>
      <w:r w:rsidR="0093205F" w:rsidRPr="00B13B9A">
        <w:rPr>
          <w:rFonts w:asciiTheme="majorHAnsi" w:hAnsiTheme="majorHAnsi" w:cstheme="majorHAnsi"/>
          <w:sz w:val="24"/>
          <w:szCs w:val="24"/>
          <w:lang w:val="ro-MD"/>
        </w:rPr>
        <w:t>orelat</w:t>
      </w:r>
      <w:r w:rsidR="002279A8" w:rsidRPr="00B13B9A">
        <w:rPr>
          <w:rFonts w:asciiTheme="majorHAnsi" w:hAnsiTheme="majorHAnsi" w:cstheme="majorHAnsi"/>
          <w:sz w:val="24"/>
          <w:szCs w:val="24"/>
          <w:lang w:val="ro-MD"/>
        </w:rPr>
        <w:t xml:space="preserve"> cu bugetul institu</w:t>
      </w:r>
      <w:r w:rsidR="00B13B9A" w:rsidRPr="00B13B9A">
        <w:rPr>
          <w:rFonts w:asciiTheme="majorHAnsi" w:hAnsiTheme="majorHAnsi" w:cstheme="majorHAnsi"/>
          <w:sz w:val="24"/>
          <w:szCs w:val="24"/>
          <w:lang w:val="ro-MD"/>
        </w:rPr>
        <w:t>ț</w:t>
      </w:r>
      <w:r w:rsidR="002279A8" w:rsidRPr="00B13B9A">
        <w:rPr>
          <w:rFonts w:asciiTheme="majorHAnsi" w:hAnsiTheme="majorHAnsi" w:cstheme="majorHAnsi"/>
          <w:sz w:val="24"/>
          <w:szCs w:val="24"/>
          <w:lang w:val="ro-MD"/>
        </w:rPr>
        <w:t xml:space="preserve">iei, </w:t>
      </w:r>
      <w:r w:rsidR="00B37661" w:rsidRPr="00B13B9A">
        <w:rPr>
          <w:rFonts w:asciiTheme="majorHAnsi" w:hAnsiTheme="majorHAnsi" w:cstheme="majorHAnsi"/>
          <w:sz w:val="24"/>
          <w:szCs w:val="24"/>
          <w:lang w:val="ro-MD"/>
        </w:rPr>
        <w:t xml:space="preserve">valoarea estimativă totală fiind: pentru anul 2021 </w:t>
      </w:r>
      <w:r w:rsidR="0093205F" w:rsidRPr="00B13B9A">
        <w:rPr>
          <w:rFonts w:asciiTheme="majorHAnsi" w:hAnsiTheme="majorHAnsi" w:cstheme="majorHAnsi"/>
          <w:sz w:val="24"/>
          <w:szCs w:val="24"/>
          <w:lang w:val="ro-MD"/>
        </w:rPr>
        <w:t>–</w:t>
      </w:r>
      <w:r w:rsidR="00B37661" w:rsidRPr="00B13B9A">
        <w:rPr>
          <w:rFonts w:asciiTheme="majorHAnsi" w:hAnsiTheme="majorHAnsi" w:cstheme="majorHAnsi"/>
          <w:sz w:val="24"/>
          <w:szCs w:val="24"/>
          <w:lang w:val="ro-MD"/>
        </w:rPr>
        <w:t xml:space="preserve"> </w:t>
      </w:r>
      <w:r w:rsidR="00B37661" w:rsidRPr="00B13B9A">
        <w:rPr>
          <w:rFonts w:asciiTheme="majorHAnsi" w:hAnsiTheme="majorHAnsi" w:cstheme="majorHAnsi"/>
          <w:bCs/>
          <w:sz w:val="24"/>
          <w:szCs w:val="24"/>
          <w:lang w:val="ro-MD"/>
        </w:rPr>
        <w:t>22</w:t>
      </w:r>
      <w:r w:rsidR="0093205F" w:rsidRPr="00B13B9A">
        <w:rPr>
          <w:rFonts w:asciiTheme="majorHAnsi" w:hAnsiTheme="majorHAnsi" w:cstheme="majorHAnsi"/>
          <w:bCs/>
          <w:sz w:val="24"/>
          <w:szCs w:val="24"/>
          <w:lang w:val="ro-MD"/>
        </w:rPr>
        <w:t xml:space="preserve"> </w:t>
      </w:r>
      <w:r w:rsidR="00B37661" w:rsidRPr="00B13B9A">
        <w:rPr>
          <w:rFonts w:asciiTheme="majorHAnsi" w:hAnsiTheme="majorHAnsi" w:cstheme="majorHAnsi"/>
          <w:bCs/>
          <w:sz w:val="24"/>
          <w:szCs w:val="24"/>
          <w:lang w:val="ro-MD"/>
        </w:rPr>
        <w:t>174,9 mii lei</w:t>
      </w:r>
      <w:r w:rsidR="00B37661" w:rsidRPr="00B13B9A">
        <w:rPr>
          <w:rFonts w:asciiTheme="majorHAnsi" w:hAnsiTheme="majorHAnsi" w:cstheme="majorHAnsi"/>
          <w:sz w:val="24"/>
          <w:szCs w:val="24"/>
          <w:lang w:val="ro-MD"/>
        </w:rPr>
        <w:t xml:space="preserve">, anul 2022 </w:t>
      </w:r>
      <w:r w:rsidR="00ED129B" w:rsidRPr="00B13B9A">
        <w:rPr>
          <w:rFonts w:asciiTheme="majorHAnsi" w:hAnsiTheme="majorHAnsi" w:cstheme="majorHAnsi"/>
          <w:sz w:val="24"/>
          <w:szCs w:val="24"/>
          <w:lang w:val="ro-MD"/>
        </w:rPr>
        <w:t>–</w:t>
      </w:r>
      <w:r w:rsidR="00B37661" w:rsidRPr="00B13B9A">
        <w:rPr>
          <w:rFonts w:asciiTheme="majorHAnsi" w:hAnsiTheme="majorHAnsi" w:cstheme="majorHAnsi"/>
          <w:sz w:val="24"/>
          <w:szCs w:val="24"/>
          <w:lang w:val="ro-MD"/>
        </w:rPr>
        <w:t xml:space="preserve"> </w:t>
      </w:r>
      <w:r w:rsidR="00B37661" w:rsidRPr="00B13B9A">
        <w:rPr>
          <w:rFonts w:asciiTheme="majorHAnsi" w:hAnsiTheme="majorHAnsi" w:cstheme="majorHAnsi"/>
          <w:bCs/>
          <w:sz w:val="24"/>
          <w:szCs w:val="24"/>
          <w:lang w:val="ro-MD"/>
        </w:rPr>
        <w:t>27 182,1 mii lei</w:t>
      </w:r>
      <w:r w:rsidR="00ED129B" w:rsidRPr="00B13B9A">
        <w:rPr>
          <w:rFonts w:asciiTheme="majorHAnsi" w:hAnsiTheme="majorHAnsi" w:cstheme="majorHAnsi"/>
          <w:bCs/>
          <w:sz w:val="24"/>
          <w:szCs w:val="24"/>
          <w:lang w:val="ro-MD"/>
        </w:rPr>
        <w:t>,</w:t>
      </w:r>
      <w:r w:rsidR="00B37661" w:rsidRPr="00B13B9A">
        <w:rPr>
          <w:rFonts w:asciiTheme="majorHAnsi" w:hAnsiTheme="majorHAnsi" w:cstheme="majorHAnsi"/>
          <w:sz w:val="24"/>
          <w:szCs w:val="24"/>
          <w:lang w:val="ro-MD"/>
        </w:rPr>
        <w:t xml:space="preserve"> </w:t>
      </w:r>
      <w:r w:rsidR="00B13B9A" w:rsidRPr="00B13B9A">
        <w:rPr>
          <w:rFonts w:asciiTheme="majorHAnsi" w:hAnsiTheme="majorHAnsi" w:cstheme="majorHAnsi"/>
          <w:sz w:val="24"/>
          <w:szCs w:val="24"/>
          <w:lang w:val="ro-MD"/>
        </w:rPr>
        <w:t>ș</w:t>
      </w:r>
      <w:r w:rsidR="00B37661" w:rsidRPr="00B13B9A">
        <w:rPr>
          <w:rFonts w:asciiTheme="majorHAnsi" w:hAnsiTheme="majorHAnsi" w:cstheme="majorHAnsi"/>
          <w:sz w:val="24"/>
          <w:szCs w:val="24"/>
          <w:lang w:val="ro-MD"/>
        </w:rPr>
        <w:t xml:space="preserve">i </w:t>
      </w:r>
      <w:r w:rsidR="00ED129B" w:rsidRPr="00B13B9A">
        <w:rPr>
          <w:rFonts w:asciiTheme="majorHAnsi" w:hAnsiTheme="majorHAnsi" w:cstheme="majorHAnsi"/>
          <w:sz w:val="24"/>
          <w:szCs w:val="24"/>
          <w:lang w:val="ro-MD"/>
        </w:rPr>
        <w:t xml:space="preserve">pentru </w:t>
      </w:r>
      <w:r w:rsidR="00B37661" w:rsidRPr="00B13B9A">
        <w:rPr>
          <w:rFonts w:asciiTheme="majorHAnsi" w:hAnsiTheme="majorHAnsi" w:cstheme="majorHAnsi"/>
          <w:sz w:val="24"/>
          <w:szCs w:val="24"/>
          <w:lang w:val="ro-MD"/>
        </w:rPr>
        <w:t xml:space="preserve">anul 2023 </w:t>
      </w:r>
      <w:r w:rsidR="00ED129B" w:rsidRPr="00B13B9A">
        <w:rPr>
          <w:rFonts w:asciiTheme="majorHAnsi" w:hAnsiTheme="majorHAnsi" w:cstheme="majorHAnsi"/>
          <w:sz w:val="24"/>
          <w:szCs w:val="24"/>
          <w:lang w:val="ro-MD"/>
        </w:rPr>
        <w:t>–</w:t>
      </w:r>
      <w:r w:rsidR="00B37661" w:rsidRPr="00B13B9A">
        <w:rPr>
          <w:rFonts w:asciiTheme="majorHAnsi" w:hAnsiTheme="majorHAnsi" w:cstheme="majorHAnsi"/>
          <w:sz w:val="24"/>
          <w:szCs w:val="24"/>
          <w:lang w:val="ro-MD"/>
        </w:rPr>
        <w:t xml:space="preserve"> </w:t>
      </w:r>
      <w:r w:rsidR="00B37661" w:rsidRPr="00B13B9A">
        <w:rPr>
          <w:rFonts w:asciiTheme="majorHAnsi" w:hAnsiTheme="majorHAnsi" w:cstheme="majorHAnsi"/>
          <w:bCs/>
          <w:sz w:val="24"/>
          <w:szCs w:val="24"/>
          <w:lang w:val="ro-MD"/>
        </w:rPr>
        <w:t xml:space="preserve">33 198,9 mii lei.  </w:t>
      </w:r>
      <w:r w:rsidR="00B37661" w:rsidRPr="00B13B9A">
        <w:rPr>
          <w:rFonts w:asciiTheme="majorHAnsi" w:hAnsiTheme="majorHAnsi" w:cstheme="majorHAnsi"/>
          <w:sz w:val="24"/>
          <w:szCs w:val="24"/>
          <w:lang w:val="ro-MD"/>
        </w:rPr>
        <w:t>Pe parcursul anilor au avut loc procurări care nu au fost planificate ini</w:t>
      </w:r>
      <w:r w:rsidR="00B13B9A" w:rsidRPr="00B13B9A">
        <w:rPr>
          <w:rFonts w:asciiTheme="majorHAnsi" w:hAnsiTheme="majorHAnsi" w:cstheme="majorHAnsi"/>
          <w:sz w:val="24"/>
          <w:szCs w:val="24"/>
          <w:lang w:val="ro-MD"/>
        </w:rPr>
        <w:t>ț</w:t>
      </w:r>
      <w:r w:rsidR="00B37661" w:rsidRPr="00B13B9A">
        <w:rPr>
          <w:rFonts w:asciiTheme="majorHAnsi" w:hAnsiTheme="majorHAnsi" w:cstheme="majorHAnsi"/>
          <w:sz w:val="24"/>
          <w:szCs w:val="24"/>
          <w:lang w:val="ro-MD"/>
        </w:rPr>
        <w:t xml:space="preserve">ial </w:t>
      </w:r>
      <w:r w:rsidR="00B13B9A" w:rsidRPr="00B13B9A">
        <w:rPr>
          <w:rFonts w:asciiTheme="majorHAnsi" w:hAnsiTheme="majorHAnsi" w:cstheme="majorHAnsi"/>
          <w:sz w:val="24"/>
          <w:szCs w:val="24"/>
          <w:lang w:val="ro-MD"/>
        </w:rPr>
        <w:t>ș</w:t>
      </w:r>
      <w:r w:rsidR="00B37661" w:rsidRPr="00B13B9A">
        <w:rPr>
          <w:rFonts w:asciiTheme="majorHAnsi" w:hAnsiTheme="majorHAnsi" w:cstheme="majorHAnsi"/>
          <w:sz w:val="24"/>
          <w:szCs w:val="24"/>
          <w:lang w:val="ro-MD"/>
        </w:rPr>
        <w:t>i reflectate în planul de achizi</w:t>
      </w:r>
      <w:r w:rsidR="00B13B9A" w:rsidRPr="00B13B9A">
        <w:rPr>
          <w:rFonts w:asciiTheme="majorHAnsi" w:hAnsiTheme="majorHAnsi" w:cstheme="majorHAnsi"/>
          <w:sz w:val="24"/>
          <w:szCs w:val="24"/>
          <w:lang w:val="ro-MD"/>
        </w:rPr>
        <w:t>ț</w:t>
      </w:r>
      <w:r w:rsidR="00B37661" w:rsidRPr="00B13B9A">
        <w:rPr>
          <w:rFonts w:asciiTheme="majorHAnsi" w:hAnsiTheme="majorHAnsi" w:cstheme="majorHAnsi"/>
          <w:sz w:val="24"/>
          <w:szCs w:val="24"/>
          <w:lang w:val="ro-MD"/>
        </w:rPr>
        <w:t>ii</w:t>
      </w:r>
      <w:r w:rsidR="00ED129B" w:rsidRPr="00B13B9A">
        <w:rPr>
          <w:rFonts w:asciiTheme="majorHAnsi" w:hAnsiTheme="majorHAnsi" w:cstheme="majorHAnsi"/>
          <w:sz w:val="24"/>
          <w:szCs w:val="24"/>
          <w:lang w:val="ro-MD"/>
        </w:rPr>
        <w:t>.</w:t>
      </w:r>
      <w:r w:rsidR="00B37661" w:rsidRPr="00B13B9A">
        <w:rPr>
          <w:rFonts w:asciiTheme="majorHAnsi" w:hAnsiTheme="majorHAnsi" w:cstheme="majorHAnsi"/>
          <w:sz w:val="24"/>
          <w:szCs w:val="24"/>
          <w:lang w:val="ro-MD"/>
        </w:rPr>
        <w:t xml:space="preserve"> </w:t>
      </w:r>
      <w:r w:rsidR="00ED129B" w:rsidRPr="00B13B9A">
        <w:rPr>
          <w:rFonts w:asciiTheme="majorHAnsi" w:hAnsiTheme="majorHAnsi" w:cstheme="majorHAnsi"/>
          <w:sz w:val="24"/>
          <w:szCs w:val="24"/>
          <w:lang w:val="ro-MD"/>
        </w:rPr>
        <w:t>A</w:t>
      </w:r>
      <w:r w:rsidR="00B37661" w:rsidRPr="00B13B9A">
        <w:rPr>
          <w:rFonts w:asciiTheme="majorHAnsi" w:hAnsiTheme="majorHAnsi" w:cstheme="majorHAnsi"/>
          <w:sz w:val="24"/>
          <w:szCs w:val="24"/>
          <w:lang w:val="ro-MD"/>
        </w:rPr>
        <w:t>stfel</w:t>
      </w:r>
      <w:r w:rsidR="00ED129B" w:rsidRPr="00B13B9A">
        <w:rPr>
          <w:rFonts w:asciiTheme="majorHAnsi" w:hAnsiTheme="majorHAnsi" w:cstheme="majorHAnsi"/>
          <w:sz w:val="24"/>
          <w:szCs w:val="24"/>
          <w:lang w:val="ro-MD"/>
        </w:rPr>
        <w:t>,</w:t>
      </w:r>
      <w:r w:rsidR="00B37661" w:rsidRPr="00B13B9A">
        <w:rPr>
          <w:rFonts w:asciiTheme="majorHAnsi" w:hAnsiTheme="majorHAnsi" w:cstheme="majorHAnsi"/>
          <w:sz w:val="24"/>
          <w:szCs w:val="24"/>
          <w:lang w:val="ro-MD"/>
        </w:rPr>
        <w:t xml:space="preserve"> planul de achizi</w:t>
      </w:r>
      <w:r w:rsidR="00B13B9A" w:rsidRPr="00B13B9A">
        <w:rPr>
          <w:rFonts w:asciiTheme="majorHAnsi" w:hAnsiTheme="majorHAnsi" w:cstheme="majorHAnsi"/>
          <w:sz w:val="24"/>
          <w:szCs w:val="24"/>
          <w:lang w:val="ro-MD"/>
        </w:rPr>
        <w:t>ț</w:t>
      </w:r>
      <w:r w:rsidR="00B37661" w:rsidRPr="00B13B9A">
        <w:rPr>
          <w:rFonts w:asciiTheme="majorHAnsi" w:hAnsiTheme="majorHAnsi" w:cstheme="majorHAnsi"/>
          <w:sz w:val="24"/>
          <w:szCs w:val="24"/>
          <w:lang w:val="ro-MD"/>
        </w:rPr>
        <w:t>ii pentru anul 2022 a sup</w:t>
      </w:r>
      <w:r w:rsidR="0093205F" w:rsidRPr="00B13B9A">
        <w:rPr>
          <w:rFonts w:asciiTheme="majorHAnsi" w:hAnsiTheme="majorHAnsi" w:cstheme="majorHAnsi"/>
          <w:sz w:val="24"/>
          <w:szCs w:val="24"/>
          <w:lang w:val="ro-MD"/>
        </w:rPr>
        <w:t xml:space="preserve">ortat modificări în luna mai </w:t>
      </w:r>
      <w:r w:rsidR="00B13B9A" w:rsidRPr="00B13B9A">
        <w:rPr>
          <w:rFonts w:asciiTheme="majorHAnsi" w:hAnsiTheme="majorHAnsi" w:cstheme="majorHAnsi"/>
          <w:sz w:val="24"/>
          <w:szCs w:val="24"/>
          <w:lang w:val="ro-MD"/>
        </w:rPr>
        <w:t>ș</w:t>
      </w:r>
      <w:r w:rsidR="0093205F" w:rsidRPr="00B13B9A">
        <w:rPr>
          <w:rFonts w:asciiTheme="majorHAnsi" w:hAnsiTheme="majorHAnsi" w:cstheme="majorHAnsi"/>
          <w:sz w:val="24"/>
          <w:szCs w:val="24"/>
          <w:lang w:val="ro-MD"/>
        </w:rPr>
        <w:t xml:space="preserve">i, </w:t>
      </w:r>
      <w:r w:rsidR="00B37661" w:rsidRPr="00B13B9A">
        <w:rPr>
          <w:rFonts w:asciiTheme="majorHAnsi" w:hAnsiTheme="majorHAnsi" w:cstheme="majorHAnsi"/>
          <w:sz w:val="24"/>
          <w:szCs w:val="24"/>
          <w:lang w:val="ro-MD"/>
        </w:rPr>
        <w:t>respectiv</w:t>
      </w:r>
      <w:r w:rsidR="0093205F" w:rsidRPr="00B13B9A">
        <w:rPr>
          <w:rFonts w:asciiTheme="majorHAnsi" w:hAnsiTheme="majorHAnsi" w:cstheme="majorHAnsi"/>
          <w:sz w:val="24"/>
          <w:szCs w:val="24"/>
          <w:lang w:val="ro-MD"/>
        </w:rPr>
        <w:t>,</w:t>
      </w:r>
      <w:r w:rsidR="00B37661" w:rsidRPr="00B13B9A">
        <w:rPr>
          <w:rFonts w:asciiTheme="majorHAnsi" w:hAnsiTheme="majorHAnsi" w:cstheme="majorHAnsi"/>
          <w:sz w:val="24"/>
          <w:szCs w:val="24"/>
          <w:lang w:val="ro-MD"/>
        </w:rPr>
        <w:t xml:space="preserve"> în luna iulie, iar în anul 2021</w:t>
      </w:r>
      <w:r w:rsidR="00ED129B" w:rsidRPr="00B13B9A">
        <w:rPr>
          <w:rFonts w:asciiTheme="majorHAnsi" w:hAnsiTheme="majorHAnsi" w:cstheme="majorHAnsi"/>
          <w:sz w:val="24"/>
          <w:szCs w:val="24"/>
          <w:lang w:val="ro-MD"/>
        </w:rPr>
        <w:t>,</w:t>
      </w:r>
      <w:r w:rsidR="00B37661" w:rsidRPr="00B13B9A">
        <w:rPr>
          <w:rFonts w:asciiTheme="majorHAnsi" w:hAnsiTheme="majorHAnsi" w:cstheme="majorHAnsi"/>
          <w:sz w:val="24"/>
          <w:szCs w:val="24"/>
          <w:lang w:val="ro-MD"/>
        </w:rPr>
        <w:t xml:space="preserve"> </w:t>
      </w:r>
      <w:r w:rsidR="00E976F0" w:rsidRPr="00B13B9A">
        <w:rPr>
          <w:rFonts w:asciiTheme="majorHAnsi" w:hAnsiTheme="majorHAnsi" w:cstheme="majorHAnsi"/>
          <w:sz w:val="24"/>
          <w:szCs w:val="24"/>
          <w:lang w:val="ro-MD"/>
        </w:rPr>
        <w:t>acesta</w:t>
      </w:r>
      <w:r w:rsidR="00B37661" w:rsidRPr="00B13B9A">
        <w:rPr>
          <w:rFonts w:asciiTheme="majorHAnsi" w:hAnsiTheme="majorHAnsi" w:cstheme="majorHAnsi"/>
          <w:sz w:val="24"/>
          <w:szCs w:val="24"/>
          <w:lang w:val="ro-MD"/>
        </w:rPr>
        <w:t xml:space="preserve"> nu a suportat modificări/completări. </w:t>
      </w:r>
    </w:p>
    <w:p w14:paraId="1FC64EE2" w14:textId="6D2132AC" w:rsidR="00B37661" w:rsidRPr="00B13B9A" w:rsidRDefault="00B37661" w:rsidP="00B37661">
      <w:pPr>
        <w:tabs>
          <w:tab w:val="left" w:pos="851"/>
        </w:tabs>
        <w:spacing w:after="0" w:line="276" w:lineRule="auto"/>
        <w:jc w:val="both"/>
        <w:rPr>
          <w:rFonts w:asciiTheme="majorHAnsi" w:hAnsiTheme="majorHAnsi" w:cstheme="majorHAnsi"/>
          <w:i/>
          <w:sz w:val="24"/>
          <w:szCs w:val="24"/>
          <w:lang w:val="ro-MD"/>
        </w:rPr>
      </w:pPr>
      <w:r w:rsidRPr="00B13B9A">
        <w:rPr>
          <w:rFonts w:asciiTheme="majorHAnsi" w:hAnsiTheme="majorHAnsi" w:cstheme="majorHAnsi"/>
          <w:sz w:val="24"/>
          <w:szCs w:val="24"/>
          <w:lang w:val="ro-MD"/>
        </w:rPr>
        <w:t>Informa</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iile privind achizi</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 xml:space="preserve">iile efectuate pe parcursul anilor sunt redate în </w:t>
      </w:r>
      <w:r w:rsidR="0073662F" w:rsidRPr="00B13B9A">
        <w:rPr>
          <w:rFonts w:asciiTheme="majorHAnsi" w:hAnsiTheme="majorHAnsi" w:cstheme="majorHAnsi"/>
          <w:sz w:val="24"/>
          <w:szCs w:val="24"/>
          <w:lang w:val="ro-MD"/>
        </w:rPr>
        <w:t>A</w:t>
      </w:r>
      <w:r w:rsidRPr="00B13B9A">
        <w:rPr>
          <w:rFonts w:asciiTheme="majorHAnsi" w:hAnsiTheme="majorHAnsi" w:cstheme="majorHAnsi"/>
          <w:sz w:val="24"/>
          <w:szCs w:val="24"/>
          <w:lang w:val="ro-MD"/>
        </w:rPr>
        <w:t xml:space="preserve">nexa nr. </w:t>
      </w:r>
      <w:r w:rsidR="0073662F" w:rsidRPr="00B13B9A">
        <w:rPr>
          <w:rFonts w:asciiTheme="majorHAnsi" w:hAnsiTheme="majorHAnsi" w:cstheme="majorHAnsi"/>
          <w:sz w:val="24"/>
          <w:szCs w:val="24"/>
          <w:lang w:val="ro-MD"/>
        </w:rPr>
        <w:t>1</w:t>
      </w:r>
      <w:r w:rsidR="00BA154C" w:rsidRPr="00B13B9A">
        <w:rPr>
          <w:rFonts w:asciiTheme="majorHAnsi" w:hAnsiTheme="majorHAnsi" w:cstheme="majorHAnsi"/>
          <w:sz w:val="24"/>
          <w:szCs w:val="24"/>
          <w:lang w:val="ro-MD"/>
        </w:rPr>
        <w:t>5</w:t>
      </w:r>
      <w:r w:rsidR="00E976F0" w:rsidRPr="00B13B9A">
        <w:rPr>
          <w:rFonts w:asciiTheme="majorHAnsi" w:hAnsiTheme="majorHAnsi" w:cstheme="majorHAnsi"/>
          <w:sz w:val="24"/>
          <w:szCs w:val="24"/>
          <w:lang w:val="ro-MD"/>
        </w:rPr>
        <w:t xml:space="preserve"> la prezentul Raport de audit</w:t>
      </w:r>
      <w:r w:rsidRPr="00B13B9A">
        <w:rPr>
          <w:rFonts w:asciiTheme="majorHAnsi" w:hAnsiTheme="majorHAnsi" w:cstheme="majorHAnsi"/>
          <w:sz w:val="24"/>
          <w:szCs w:val="24"/>
          <w:lang w:val="ro-MD"/>
        </w:rPr>
        <w:t xml:space="preserve">.  Astfel, în </w:t>
      </w:r>
      <w:r w:rsidR="00E976F0" w:rsidRPr="00B13B9A">
        <w:rPr>
          <w:rFonts w:asciiTheme="majorHAnsi" w:hAnsiTheme="majorHAnsi" w:cstheme="majorHAnsi"/>
          <w:sz w:val="24"/>
          <w:szCs w:val="24"/>
          <w:lang w:val="ro-MD"/>
        </w:rPr>
        <w:t>urma</w:t>
      </w:r>
      <w:r w:rsidRPr="00B13B9A">
        <w:rPr>
          <w:rFonts w:asciiTheme="majorHAnsi" w:hAnsiTheme="majorHAnsi" w:cstheme="majorHAnsi"/>
          <w:sz w:val="24"/>
          <w:szCs w:val="24"/>
          <w:lang w:val="ro-MD"/>
        </w:rPr>
        <w:t xml:space="preserve"> evaluării dărilor de seamă privind realizarea achizi</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 xml:space="preserve">iilor publice de valoare mică </w:t>
      </w:r>
      <w:r w:rsidR="00B13B9A" w:rsidRPr="00B13B9A">
        <w:rPr>
          <w:rFonts w:asciiTheme="majorHAnsi" w:hAnsiTheme="majorHAnsi" w:cstheme="majorHAnsi"/>
          <w:sz w:val="24"/>
          <w:szCs w:val="24"/>
          <w:lang w:val="ro-MD"/>
        </w:rPr>
        <w:t>ș</w:t>
      </w:r>
      <w:r w:rsidRPr="00B13B9A">
        <w:rPr>
          <w:rFonts w:asciiTheme="majorHAnsi" w:hAnsiTheme="majorHAnsi" w:cstheme="majorHAnsi"/>
          <w:sz w:val="24"/>
          <w:szCs w:val="24"/>
          <w:lang w:val="ro-MD"/>
        </w:rPr>
        <w:t>i contrapuner</w:t>
      </w:r>
      <w:r w:rsidR="00E976F0" w:rsidRPr="00B13B9A">
        <w:rPr>
          <w:rFonts w:asciiTheme="majorHAnsi" w:hAnsiTheme="majorHAnsi" w:cstheme="majorHAnsi"/>
          <w:sz w:val="24"/>
          <w:szCs w:val="24"/>
          <w:lang w:val="ro-MD"/>
        </w:rPr>
        <w:t>ii</w:t>
      </w:r>
      <w:r w:rsidRPr="00B13B9A">
        <w:rPr>
          <w:rFonts w:asciiTheme="majorHAnsi" w:hAnsiTheme="majorHAnsi" w:cstheme="majorHAnsi"/>
          <w:sz w:val="24"/>
          <w:szCs w:val="24"/>
          <w:lang w:val="ro-MD"/>
        </w:rPr>
        <w:t xml:space="preserve"> lucrăril</w:t>
      </w:r>
      <w:r w:rsidR="00E976F0" w:rsidRPr="00B13B9A">
        <w:rPr>
          <w:rFonts w:asciiTheme="majorHAnsi" w:hAnsiTheme="majorHAnsi" w:cstheme="majorHAnsi"/>
          <w:sz w:val="24"/>
          <w:szCs w:val="24"/>
          <w:lang w:val="ro-MD"/>
        </w:rPr>
        <w:t>or</w:t>
      </w:r>
      <w:r w:rsidRPr="00B13B9A">
        <w:rPr>
          <w:rFonts w:asciiTheme="majorHAnsi" w:hAnsiTheme="majorHAnsi" w:cstheme="majorHAnsi"/>
          <w:sz w:val="24"/>
          <w:szCs w:val="24"/>
          <w:lang w:val="ro-MD"/>
        </w:rPr>
        <w:t xml:space="preserve"> </w:t>
      </w:r>
      <w:r w:rsidR="00B13B9A" w:rsidRPr="00B13B9A">
        <w:rPr>
          <w:rFonts w:asciiTheme="majorHAnsi" w:hAnsiTheme="majorHAnsi" w:cstheme="majorHAnsi"/>
          <w:sz w:val="24"/>
          <w:szCs w:val="24"/>
          <w:lang w:val="ro-MD"/>
        </w:rPr>
        <w:t>ș</w:t>
      </w:r>
      <w:r w:rsidRPr="00B13B9A">
        <w:rPr>
          <w:rFonts w:asciiTheme="majorHAnsi" w:hAnsiTheme="majorHAnsi" w:cstheme="majorHAnsi"/>
          <w:sz w:val="24"/>
          <w:szCs w:val="24"/>
          <w:lang w:val="ro-MD"/>
        </w:rPr>
        <w:t>i serviciil</w:t>
      </w:r>
      <w:r w:rsidR="00E976F0" w:rsidRPr="00B13B9A">
        <w:rPr>
          <w:rFonts w:asciiTheme="majorHAnsi" w:hAnsiTheme="majorHAnsi" w:cstheme="majorHAnsi"/>
          <w:sz w:val="24"/>
          <w:szCs w:val="24"/>
          <w:lang w:val="ro-MD"/>
        </w:rPr>
        <w:t>or</w:t>
      </w:r>
      <w:r w:rsidRPr="00B13B9A">
        <w:rPr>
          <w:rFonts w:asciiTheme="majorHAnsi" w:hAnsiTheme="majorHAnsi" w:cstheme="majorHAnsi"/>
          <w:sz w:val="24"/>
          <w:szCs w:val="24"/>
          <w:lang w:val="ro-MD"/>
        </w:rPr>
        <w:t xml:space="preserve"> din planul anual de achizi</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ii, au fost identificate 4 achizi</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 xml:space="preserve">ii de servicii </w:t>
      </w:r>
      <w:r w:rsidR="00B13B9A" w:rsidRPr="00B13B9A">
        <w:rPr>
          <w:rFonts w:asciiTheme="majorHAnsi" w:hAnsiTheme="majorHAnsi" w:cstheme="majorHAnsi"/>
          <w:sz w:val="24"/>
          <w:szCs w:val="24"/>
          <w:lang w:val="ro-MD"/>
        </w:rPr>
        <w:t>ș</w:t>
      </w:r>
      <w:r w:rsidRPr="00B13B9A">
        <w:rPr>
          <w:rFonts w:asciiTheme="majorHAnsi" w:hAnsiTheme="majorHAnsi" w:cstheme="majorHAnsi"/>
          <w:sz w:val="24"/>
          <w:szCs w:val="24"/>
          <w:lang w:val="ro-MD"/>
        </w:rPr>
        <w:t>i lucrări neincluse în planul pentru anul 2021, informa</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 xml:space="preserve">ii redate în </w:t>
      </w:r>
      <w:r w:rsidR="0073662F" w:rsidRPr="00B13B9A">
        <w:rPr>
          <w:rFonts w:asciiTheme="majorHAnsi" w:hAnsiTheme="majorHAnsi" w:cstheme="majorHAnsi"/>
          <w:sz w:val="24"/>
          <w:szCs w:val="24"/>
          <w:lang w:val="ro-MD"/>
        </w:rPr>
        <w:t>Anexa nr. 1</w:t>
      </w:r>
      <w:r w:rsidR="00BA154C" w:rsidRPr="00B13B9A">
        <w:rPr>
          <w:rFonts w:asciiTheme="majorHAnsi" w:hAnsiTheme="majorHAnsi" w:cstheme="majorHAnsi"/>
          <w:sz w:val="24"/>
          <w:szCs w:val="24"/>
          <w:lang w:val="ro-MD"/>
        </w:rPr>
        <w:t>6</w:t>
      </w:r>
      <w:r w:rsidR="00E976F0" w:rsidRPr="00B13B9A">
        <w:rPr>
          <w:rFonts w:asciiTheme="majorHAnsi" w:hAnsiTheme="majorHAnsi" w:cstheme="majorHAnsi"/>
          <w:sz w:val="24"/>
          <w:szCs w:val="24"/>
          <w:lang w:val="ro-MD"/>
        </w:rPr>
        <w:t xml:space="preserve"> la prezentul Raport de audit</w:t>
      </w:r>
      <w:r w:rsidRPr="00B13B9A">
        <w:rPr>
          <w:rFonts w:asciiTheme="majorHAnsi" w:hAnsiTheme="majorHAnsi" w:cstheme="majorHAnsi"/>
          <w:sz w:val="24"/>
          <w:szCs w:val="24"/>
          <w:lang w:val="ro-MD"/>
        </w:rPr>
        <w:t>.</w:t>
      </w:r>
    </w:p>
    <w:p w14:paraId="15CCF49E" w14:textId="7CF516EA" w:rsidR="00B37661" w:rsidRPr="00B13B9A" w:rsidRDefault="00B37661" w:rsidP="00B37661">
      <w:pPr>
        <w:tabs>
          <w:tab w:val="left" w:pos="851"/>
        </w:tabs>
        <w:spacing w:after="0" w:line="276" w:lineRule="auto"/>
        <w:jc w:val="both"/>
        <w:rPr>
          <w:rFonts w:asciiTheme="majorHAnsi" w:hAnsiTheme="majorHAnsi" w:cstheme="majorHAnsi"/>
          <w:sz w:val="24"/>
          <w:szCs w:val="24"/>
          <w:lang w:val="ro-MD"/>
        </w:rPr>
      </w:pPr>
      <w:r w:rsidRPr="00B13B9A">
        <w:rPr>
          <w:rFonts w:asciiTheme="majorHAnsi" w:hAnsiTheme="majorHAnsi" w:cstheme="majorHAnsi"/>
          <w:sz w:val="24"/>
          <w:szCs w:val="24"/>
          <w:lang w:val="ro-MD"/>
        </w:rPr>
        <w:t>Auditul denotă că membrii grupului de lucru privind achizi</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 xml:space="preserve">iile publice din cadrul </w:t>
      </w:r>
      <w:r w:rsidR="00F431A2" w:rsidRPr="00B13B9A">
        <w:rPr>
          <w:rFonts w:asciiTheme="majorHAnsi" w:hAnsiTheme="majorHAnsi" w:cstheme="majorHAnsi"/>
          <w:color w:val="000000" w:themeColor="text1"/>
          <w:sz w:val="24"/>
          <w:szCs w:val="24"/>
          <w:lang w:val="ro-MD"/>
        </w:rPr>
        <w:t xml:space="preserve">IMSP IFP </w:t>
      </w:r>
      <w:r w:rsidR="00F431A2" w:rsidRPr="00B13B9A">
        <w:rPr>
          <w:rFonts w:asciiTheme="majorHAnsi" w:hAnsiTheme="majorHAnsi" w:cstheme="majorHAnsi"/>
          <w:sz w:val="24"/>
          <w:szCs w:val="24"/>
          <w:lang w:val="ro-MD"/>
        </w:rPr>
        <w:t>„Chiril Draganiuc”</w:t>
      </w:r>
      <w:r w:rsidRPr="00B13B9A">
        <w:rPr>
          <w:rFonts w:asciiTheme="majorHAnsi" w:hAnsiTheme="majorHAnsi" w:cstheme="majorHAnsi"/>
          <w:sz w:val="24"/>
          <w:szCs w:val="24"/>
          <w:lang w:val="ro-MD"/>
        </w:rPr>
        <w:t xml:space="preserve"> au neglijat normele legale în vigoare</w:t>
      </w:r>
      <w:r w:rsidRPr="00B13B9A">
        <w:rPr>
          <w:rStyle w:val="a9"/>
          <w:rFonts w:asciiTheme="majorHAnsi" w:hAnsiTheme="majorHAnsi" w:cstheme="majorHAnsi"/>
          <w:sz w:val="24"/>
          <w:szCs w:val="24"/>
          <w:lang w:val="ro-MD"/>
        </w:rPr>
        <w:footnoteReference w:id="58"/>
      </w:r>
      <w:r w:rsidRPr="00B13B9A">
        <w:rPr>
          <w:rFonts w:asciiTheme="majorHAnsi" w:hAnsiTheme="majorHAnsi" w:cstheme="majorHAnsi"/>
          <w:sz w:val="24"/>
          <w:szCs w:val="24"/>
          <w:lang w:val="ro-MD"/>
        </w:rPr>
        <w:t xml:space="preserve"> la ela</w:t>
      </w:r>
      <w:r w:rsidR="0093205F" w:rsidRPr="00B13B9A">
        <w:rPr>
          <w:rFonts w:asciiTheme="majorHAnsi" w:hAnsiTheme="majorHAnsi" w:cstheme="majorHAnsi"/>
          <w:sz w:val="24"/>
          <w:szCs w:val="24"/>
          <w:lang w:val="ro-MD"/>
        </w:rPr>
        <w:t>borarea necesită</w:t>
      </w:r>
      <w:r w:rsidR="00B13B9A" w:rsidRPr="00B13B9A">
        <w:rPr>
          <w:rFonts w:asciiTheme="majorHAnsi" w:hAnsiTheme="majorHAnsi" w:cstheme="majorHAnsi"/>
          <w:sz w:val="24"/>
          <w:szCs w:val="24"/>
          <w:lang w:val="ro-MD"/>
        </w:rPr>
        <w:t>ț</w:t>
      </w:r>
      <w:r w:rsidR="0093205F" w:rsidRPr="00B13B9A">
        <w:rPr>
          <w:rFonts w:asciiTheme="majorHAnsi" w:hAnsiTheme="majorHAnsi" w:cstheme="majorHAnsi"/>
          <w:sz w:val="24"/>
          <w:szCs w:val="24"/>
          <w:lang w:val="ro-MD"/>
        </w:rPr>
        <w:t xml:space="preserve">ilor </w:t>
      </w:r>
      <w:r w:rsidR="008A7D00" w:rsidRPr="00B13B9A">
        <w:rPr>
          <w:rFonts w:asciiTheme="majorHAnsi" w:hAnsiTheme="majorHAnsi" w:cstheme="majorHAnsi"/>
          <w:sz w:val="24"/>
          <w:szCs w:val="24"/>
          <w:lang w:val="ro-MD"/>
        </w:rPr>
        <w:t>institu</w:t>
      </w:r>
      <w:r w:rsidR="00B13B9A" w:rsidRPr="00B13B9A">
        <w:rPr>
          <w:rFonts w:asciiTheme="majorHAnsi" w:hAnsiTheme="majorHAnsi" w:cstheme="majorHAnsi"/>
          <w:sz w:val="24"/>
          <w:szCs w:val="24"/>
          <w:lang w:val="ro-MD"/>
        </w:rPr>
        <w:t>ț</w:t>
      </w:r>
      <w:r w:rsidR="008A7D00" w:rsidRPr="00B13B9A">
        <w:rPr>
          <w:rFonts w:asciiTheme="majorHAnsi" w:hAnsiTheme="majorHAnsi" w:cstheme="majorHAnsi"/>
          <w:sz w:val="24"/>
          <w:szCs w:val="24"/>
          <w:lang w:val="ro-MD"/>
        </w:rPr>
        <w:t xml:space="preserve">iei </w:t>
      </w:r>
      <w:r w:rsidR="00B13B9A" w:rsidRPr="00B13B9A">
        <w:rPr>
          <w:rFonts w:asciiTheme="majorHAnsi" w:hAnsiTheme="majorHAnsi" w:cstheme="majorHAnsi"/>
          <w:sz w:val="24"/>
          <w:szCs w:val="24"/>
          <w:lang w:val="ro-MD"/>
        </w:rPr>
        <w:t>ș</w:t>
      </w:r>
      <w:r w:rsidR="0093205F" w:rsidRPr="00B13B9A">
        <w:rPr>
          <w:rFonts w:asciiTheme="majorHAnsi" w:hAnsiTheme="majorHAnsi" w:cstheme="majorHAnsi"/>
          <w:sz w:val="24"/>
          <w:szCs w:val="24"/>
          <w:lang w:val="ro-MD"/>
        </w:rPr>
        <w:t xml:space="preserve">i nu au </w:t>
      </w:r>
      <w:r w:rsidRPr="00B13B9A">
        <w:rPr>
          <w:rFonts w:asciiTheme="majorHAnsi" w:hAnsiTheme="majorHAnsi" w:cstheme="majorHAnsi"/>
          <w:sz w:val="24"/>
          <w:szCs w:val="24"/>
          <w:lang w:val="ro-MD"/>
        </w:rPr>
        <w:t xml:space="preserve">asigurat evaluarea conformă </w:t>
      </w:r>
      <w:r w:rsidR="00B13B9A" w:rsidRPr="00B13B9A">
        <w:rPr>
          <w:rFonts w:asciiTheme="majorHAnsi" w:hAnsiTheme="majorHAnsi" w:cstheme="majorHAnsi"/>
          <w:sz w:val="24"/>
          <w:szCs w:val="24"/>
          <w:lang w:val="ro-MD"/>
        </w:rPr>
        <w:t>ș</w:t>
      </w:r>
      <w:r w:rsidRPr="00B13B9A">
        <w:rPr>
          <w:rFonts w:asciiTheme="majorHAnsi" w:hAnsiTheme="majorHAnsi" w:cstheme="majorHAnsi"/>
          <w:sz w:val="24"/>
          <w:szCs w:val="24"/>
          <w:lang w:val="ro-MD"/>
        </w:rPr>
        <w:t>i identificarea exactă a acestora, ceea ce a cauzat achizi</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 xml:space="preserve">ionarea serviciilor </w:t>
      </w:r>
      <w:r w:rsidR="00B13B9A" w:rsidRPr="00B13B9A">
        <w:rPr>
          <w:rFonts w:asciiTheme="majorHAnsi" w:hAnsiTheme="majorHAnsi" w:cstheme="majorHAnsi"/>
          <w:sz w:val="24"/>
          <w:szCs w:val="24"/>
          <w:lang w:val="ro-MD"/>
        </w:rPr>
        <w:t>ș</w:t>
      </w:r>
      <w:r w:rsidRPr="00B13B9A">
        <w:rPr>
          <w:rFonts w:asciiTheme="majorHAnsi" w:hAnsiTheme="majorHAnsi" w:cstheme="majorHAnsi"/>
          <w:sz w:val="24"/>
          <w:szCs w:val="24"/>
          <w:lang w:val="ro-MD"/>
        </w:rPr>
        <w:t>i lucrărilor în afara planul</w:t>
      </w:r>
      <w:r w:rsidR="00E976F0" w:rsidRPr="00B13B9A">
        <w:rPr>
          <w:rFonts w:asciiTheme="majorHAnsi" w:hAnsiTheme="majorHAnsi" w:cstheme="majorHAnsi"/>
          <w:sz w:val="24"/>
          <w:szCs w:val="24"/>
          <w:lang w:val="ro-MD"/>
        </w:rPr>
        <w:t>ui</w:t>
      </w:r>
      <w:r w:rsidRPr="00B13B9A">
        <w:rPr>
          <w:rFonts w:asciiTheme="majorHAnsi" w:hAnsiTheme="majorHAnsi" w:cstheme="majorHAnsi"/>
          <w:sz w:val="24"/>
          <w:szCs w:val="24"/>
          <w:lang w:val="ro-MD"/>
        </w:rPr>
        <w:t xml:space="preserve"> de achizi</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ii</w:t>
      </w:r>
      <w:r w:rsidR="00E976F0" w:rsidRPr="00B13B9A">
        <w:rPr>
          <w:rFonts w:asciiTheme="majorHAnsi" w:hAnsiTheme="majorHAnsi" w:cstheme="majorHAnsi"/>
          <w:sz w:val="24"/>
          <w:szCs w:val="24"/>
          <w:lang w:val="ro-MD"/>
        </w:rPr>
        <w:t>,</w:t>
      </w:r>
      <w:r w:rsidRPr="00B13B9A">
        <w:rPr>
          <w:rFonts w:asciiTheme="majorHAnsi" w:hAnsiTheme="majorHAnsi" w:cstheme="majorHAnsi"/>
          <w:sz w:val="24"/>
          <w:szCs w:val="24"/>
          <w:lang w:val="ro-MD"/>
        </w:rPr>
        <w:t xml:space="preserve"> în sumă de 247,9 mii lei.</w:t>
      </w:r>
    </w:p>
    <w:p w14:paraId="72D113EF" w14:textId="01432516" w:rsidR="00B37661" w:rsidRPr="00B13B9A" w:rsidRDefault="00B37661" w:rsidP="00B37661">
      <w:pPr>
        <w:tabs>
          <w:tab w:val="left" w:pos="851"/>
        </w:tabs>
        <w:spacing w:after="0" w:line="276" w:lineRule="auto"/>
        <w:jc w:val="both"/>
        <w:rPr>
          <w:rFonts w:asciiTheme="majorHAnsi" w:hAnsiTheme="majorHAnsi" w:cstheme="majorHAnsi"/>
          <w:bCs/>
          <w:iCs/>
          <w:sz w:val="24"/>
          <w:szCs w:val="24"/>
          <w:lang w:val="ro-MD"/>
        </w:rPr>
      </w:pPr>
      <w:r w:rsidRPr="00B13B9A">
        <w:rPr>
          <w:rFonts w:asciiTheme="majorHAnsi" w:hAnsiTheme="majorHAnsi" w:cstheme="majorHAnsi"/>
          <w:bCs/>
          <w:iCs/>
          <w:sz w:val="24"/>
          <w:szCs w:val="24"/>
          <w:lang w:val="ro-MD"/>
        </w:rPr>
        <w:t>Entitatea a motivat caren</w:t>
      </w:r>
      <w:r w:rsidR="00B13B9A" w:rsidRPr="00B13B9A">
        <w:rPr>
          <w:rFonts w:asciiTheme="majorHAnsi" w:hAnsiTheme="majorHAnsi" w:cstheme="majorHAnsi"/>
          <w:bCs/>
          <w:iCs/>
          <w:sz w:val="24"/>
          <w:szCs w:val="24"/>
          <w:lang w:val="ro-MD"/>
        </w:rPr>
        <w:t>ț</w:t>
      </w:r>
      <w:r w:rsidRPr="00B13B9A">
        <w:rPr>
          <w:rFonts w:asciiTheme="majorHAnsi" w:hAnsiTheme="majorHAnsi" w:cstheme="majorHAnsi"/>
          <w:bCs/>
          <w:iCs/>
          <w:sz w:val="24"/>
          <w:szCs w:val="24"/>
          <w:lang w:val="ro-MD"/>
        </w:rPr>
        <w:t xml:space="preserve">ele identificate de audit prin </w:t>
      </w:r>
      <w:r w:rsidR="0093205F" w:rsidRPr="00B13B9A">
        <w:rPr>
          <w:rFonts w:asciiTheme="majorHAnsi" w:hAnsiTheme="majorHAnsi" w:cstheme="majorHAnsi"/>
          <w:bCs/>
          <w:i/>
          <w:iCs/>
          <w:sz w:val="24"/>
          <w:szCs w:val="24"/>
          <w:lang w:val="ro-MD"/>
        </w:rPr>
        <w:t>„</w:t>
      </w:r>
      <w:r w:rsidRPr="00B13B9A">
        <w:rPr>
          <w:rFonts w:asciiTheme="majorHAnsi" w:hAnsiTheme="majorHAnsi" w:cstheme="majorHAnsi"/>
          <w:bCs/>
          <w:i/>
          <w:iCs/>
          <w:sz w:val="24"/>
          <w:szCs w:val="24"/>
          <w:lang w:val="ro-MD"/>
        </w:rPr>
        <w:t xml:space="preserve">lipsa surselor financiare pentru serviciile </w:t>
      </w:r>
      <w:r w:rsidR="00B13B9A" w:rsidRPr="00B13B9A">
        <w:rPr>
          <w:rFonts w:asciiTheme="majorHAnsi" w:hAnsiTheme="majorHAnsi" w:cstheme="majorHAnsi"/>
          <w:bCs/>
          <w:i/>
          <w:iCs/>
          <w:sz w:val="24"/>
          <w:szCs w:val="24"/>
          <w:lang w:val="ro-MD"/>
        </w:rPr>
        <w:t>ș</w:t>
      </w:r>
      <w:r w:rsidRPr="00B13B9A">
        <w:rPr>
          <w:rFonts w:asciiTheme="majorHAnsi" w:hAnsiTheme="majorHAnsi" w:cstheme="majorHAnsi"/>
          <w:bCs/>
          <w:i/>
          <w:iCs/>
          <w:sz w:val="24"/>
          <w:szCs w:val="24"/>
          <w:lang w:val="ro-MD"/>
        </w:rPr>
        <w:t>i lucrările achizi</w:t>
      </w:r>
      <w:r w:rsidR="00B13B9A" w:rsidRPr="00B13B9A">
        <w:rPr>
          <w:rFonts w:asciiTheme="majorHAnsi" w:hAnsiTheme="majorHAnsi" w:cstheme="majorHAnsi"/>
          <w:bCs/>
          <w:i/>
          <w:iCs/>
          <w:sz w:val="24"/>
          <w:szCs w:val="24"/>
          <w:lang w:val="ro-MD"/>
        </w:rPr>
        <w:t>ț</w:t>
      </w:r>
      <w:r w:rsidRPr="00B13B9A">
        <w:rPr>
          <w:rFonts w:asciiTheme="majorHAnsi" w:hAnsiTheme="majorHAnsi" w:cstheme="majorHAnsi"/>
          <w:bCs/>
          <w:i/>
          <w:iCs/>
          <w:sz w:val="24"/>
          <w:szCs w:val="24"/>
          <w:lang w:val="ro-MD"/>
        </w:rPr>
        <w:t>ionate care nu au fost incluse în Planul ini</w:t>
      </w:r>
      <w:r w:rsidR="00B13B9A" w:rsidRPr="00B13B9A">
        <w:rPr>
          <w:rFonts w:asciiTheme="majorHAnsi" w:hAnsiTheme="majorHAnsi" w:cstheme="majorHAnsi"/>
          <w:bCs/>
          <w:i/>
          <w:iCs/>
          <w:sz w:val="24"/>
          <w:szCs w:val="24"/>
          <w:lang w:val="ro-MD"/>
        </w:rPr>
        <w:t>ț</w:t>
      </w:r>
      <w:r w:rsidRPr="00B13B9A">
        <w:rPr>
          <w:rFonts w:asciiTheme="majorHAnsi" w:hAnsiTheme="majorHAnsi" w:cstheme="majorHAnsi"/>
          <w:bCs/>
          <w:i/>
          <w:iCs/>
          <w:sz w:val="24"/>
          <w:szCs w:val="24"/>
          <w:lang w:val="ro-MD"/>
        </w:rPr>
        <w:t>ial de achizi</w:t>
      </w:r>
      <w:r w:rsidR="00B13B9A" w:rsidRPr="00B13B9A">
        <w:rPr>
          <w:rFonts w:asciiTheme="majorHAnsi" w:hAnsiTheme="majorHAnsi" w:cstheme="majorHAnsi"/>
          <w:bCs/>
          <w:i/>
          <w:iCs/>
          <w:sz w:val="24"/>
          <w:szCs w:val="24"/>
          <w:lang w:val="ro-MD"/>
        </w:rPr>
        <w:t>ț</w:t>
      </w:r>
      <w:r w:rsidRPr="00B13B9A">
        <w:rPr>
          <w:rFonts w:asciiTheme="majorHAnsi" w:hAnsiTheme="majorHAnsi" w:cstheme="majorHAnsi"/>
          <w:bCs/>
          <w:i/>
          <w:iCs/>
          <w:sz w:val="24"/>
          <w:szCs w:val="24"/>
          <w:lang w:val="ro-MD"/>
        </w:rPr>
        <w:t>ii. Ulterior, în rezultatul identificării resurselor financiare necesare, modificări în planul de achizi</w:t>
      </w:r>
      <w:r w:rsidR="00B13B9A" w:rsidRPr="00B13B9A">
        <w:rPr>
          <w:rFonts w:asciiTheme="majorHAnsi" w:hAnsiTheme="majorHAnsi" w:cstheme="majorHAnsi"/>
          <w:bCs/>
          <w:i/>
          <w:iCs/>
          <w:sz w:val="24"/>
          <w:szCs w:val="24"/>
          <w:lang w:val="ro-MD"/>
        </w:rPr>
        <w:t>ț</w:t>
      </w:r>
      <w:r w:rsidRPr="00B13B9A">
        <w:rPr>
          <w:rFonts w:asciiTheme="majorHAnsi" w:hAnsiTheme="majorHAnsi" w:cstheme="majorHAnsi"/>
          <w:bCs/>
          <w:i/>
          <w:iCs/>
          <w:sz w:val="24"/>
          <w:szCs w:val="24"/>
          <w:lang w:val="ro-MD"/>
        </w:rPr>
        <w:t>ii nu au fost efectuate</w:t>
      </w:r>
      <w:r w:rsidR="0093205F" w:rsidRPr="00B13B9A">
        <w:rPr>
          <w:rFonts w:asciiTheme="majorHAnsi" w:hAnsiTheme="majorHAnsi" w:cstheme="majorHAnsi"/>
          <w:bCs/>
          <w:i/>
          <w:iCs/>
          <w:sz w:val="24"/>
          <w:szCs w:val="24"/>
          <w:lang w:val="ro-MD"/>
        </w:rPr>
        <w:t>”</w:t>
      </w:r>
      <w:r w:rsidRPr="00B13B9A">
        <w:rPr>
          <w:rFonts w:asciiTheme="majorHAnsi" w:hAnsiTheme="majorHAnsi" w:cstheme="majorHAnsi"/>
          <w:bCs/>
          <w:i/>
          <w:iCs/>
          <w:sz w:val="24"/>
          <w:szCs w:val="24"/>
          <w:lang w:val="ro-MD"/>
        </w:rPr>
        <w:t>.</w:t>
      </w:r>
    </w:p>
    <w:p w14:paraId="59F69D0D" w14:textId="77777777" w:rsidR="00B37661" w:rsidRPr="00B13B9A" w:rsidRDefault="00B37661" w:rsidP="00B37661">
      <w:pPr>
        <w:tabs>
          <w:tab w:val="left" w:pos="851"/>
        </w:tabs>
        <w:spacing w:after="0" w:line="276" w:lineRule="auto"/>
        <w:jc w:val="both"/>
        <w:rPr>
          <w:rFonts w:asciiTheme="majorHAnsi" w:hAnsiTheme="majorHAnsi" w:cstheme="majorHAnsi"/>
          <w:sz w:val="24"/>
          <w:szCs w:val="24"/>
          <w:lang w:val="ro-MD"/>
        </w:rPr>
      </w:pPr>
    </w:p>
    <w:p w14:paraId="64F3E4D8" w14:textId="7AA37F55" w:rsidR="00B37661" w:rsidRPr="00B13B9A" w:rsidRDefault="00B37661" w:rsidP="00241AB3">
      <w:pPr>
        <w:pStyle w:val="a7"/>
        <w:numPr>
          <w:ilvl w:val="2"/>
          <w:numId w:val="10"/>
        </w:numPr>
        <w:jc w:val="both"/>
        <w:outlineLvl w:val="2"/>
        <w:rPr>
          <w:rFonts w:asciiTheme="majorHAnsi" w:hAnsiTheme="majorHAnsi" w:cstheme="majorHAnsi"/>
          <w:b/>
          <w:color w:val="000000" w:themeColor="text1"/>
          <w:sz w:val="24"/>
          <w:szCs w:val="24"/>
          <w:lang w:val="ro-MD"/>
        </w:rPr>
      </w:pPr>
      <w:bookmarkStart w:id="40" w:name="_Toc154562512"/>
      <w:r w:rsidRPr="00B13B9A">
        <w:rPr>
          <w:rFonts w:asciiTheme="majorHAnsi" w:hAnsiTheme="majorHAnsi" w:cstheme="majorHAnsi"/>
          <w:b/>
          <w:color w:val="000000" w:themeColor="text1"/>
          <w:sz w:val="24"/>
          <w:szCs w:val="24"/>
          <w:lang w:val="ro-MD"/>
        </w:rPr>
        <w:t>Nerespectarea prevederilor normative a determinat divizarea achizi</w:t>
      </w:r>
      <w:r w:rsidR="00B13B9A" w:rsidRPr="00B13B9A">
        <w:rPr>
          <w:rFonts w:asciiTheme="majorHAnsi" w:hAnsiTheme="majorHAnsi" w:cstheme="majorHAnsi"/>
          <w:b/>
          <w:color w:val="000000" w:themeColor="text1"/>
          <w:sz w:val="24"/>
          <w:szCs w:val="24"/>
          <w:lang w:val="ro-MD"/>
        </w:rPr>
        <w:t>ț</w:t>
      </w:r>
      <w:r w:rsidRPr="00B13B9A">
        <w:rPr>
          <w:rFonts w:asciiTheme="majorHAnsi" w:hAnsiTheme="majorHAnsi" w:cstheme="majorHAnsi"/>
          <w:b/>
          <w:color w:val="000000" w:themeColor="text1"/>
          <w:sz w:val="24"/>
          <w:szCs w:val="24"/>
          <w:lang w:val="ro-MD"/>
        </w:rPr>
        <w:t xml:space="preserve">iilor publice prin încheierea unor contracte separate </w:t>
      </w:r>
      <w:r w:rsidR="0093205F" w:rsidRPr="00B13B9A">
        <w:rPr>
          <w:rFonts w:asciiTheme="majorHAnsi" w:hAnsiTheme="majorHAnsi" w:cstheme="majorHAnsi"/>
          <w:b/>
          <w:color w:val="000000" w:themeColor="text1"/>
          <w:sz w:val="24"/>
          <w:szCs w:val="24"/>
          <w:lang w:val="ro-MD"/>
        </w:rPr>
        <w:t xml:space="preserve">pentru </w:t>
      </w:r>
      <w:r w:rsidRPr="00B13B9A">
        <w:rPr>
          <w:rFonts w:asciiTheme="majorHAnsi" w:hAnsiTheme="majorHAnsi" w:cstheme="majorHAnsi"/>
          <w:b/>
          <w:color w:val="000000" w:themeColor="text1"/>
          <w:sz w:val="24"/>
          <w:szCs w:val="24"/>
          <w:lang w:val="ro-MD"/>
        </w:rPr>
        <w:t>acela</w:t>
      </w:r>
      <w:r w:rsidR="00B13B9A" w:rsidRPr="00B13B9A">
        <w:rPr>
          <w:rFonts w:asciiTheme="majorHAnsi" w:hAnsiTheme="majorHAnsi" w:cstheme="majorHAnsi"/>
          <w:b/>
          <w:color w:val="000000" w:themeColor="text1"/>
          <w:sz w:val="24"/>
          <w:szCs w:val="24"/>
          <w:lang w:val="ro-MD"/>
        </w:rPr>
        <w:t>ș</w:t>
      </w:r>
      <w:r w:rsidRPr="00B13B9A">
        <w:rPr>
          <w:rFonts w:asciiTheme="majorHAnsi" w:hAnsiTheme="majorHAnsi" w:cstheme="majorHAnsi"/>
          <w:b/>
          <w:color w:val="000000" w:themeColor="text1"/>
          <w:sz w:val="24"/>
          <w:szCs w:val="24"/>
          <w:lang w:val="ro-MD"/>
        </w:rPr>
        <w:t xml:space="preserve">i obiect </w:t>
      </w:r>
      <w:r w:rsidR="00B13B9A" w:rsidRPr="00B13B9A">
        <w:rPr>
          <w:rFonts w:asciiTheme="majorHAnsi" w:hAnsiTheme="majorHAnsi" w:cstheme="majorHAnsi"/>
          <w:b/>
          <w:color w:val="000000" w:themeColor="text1"/>
          <w:sz w:val="24"/>
          <w:szCs w:val="24"/>
          <w:lang w:val="ro-MD"/>
        </w:rPr>
        <w:t>ș</w:t>
      </w:r>
      <w:r w:rsidRPr="00B13B9A">
        <w:rPr>
          <w:rFonts w:asciiTheme="majorHAnsi" w:hAnsiTheme="majorHAnsi" w:cstheme="majorHAnsi"/>
          <w:b/>
          <w:color w:val="000000" w:themeColor="text1"/>
          <w:sz w:val="24"/>
          <w:szCs w:val="24"/>
          <w:lang w:val="ro-MD"/>
        </w:rPr>
        <w:t>i cu acela</w:t>
      </w:r>
      <w:r w:rsidR="00B13B9A" w:rsidRPr="00B13B9A">
        <w:rPr>
          <w:rFonts w:asciiTheme="majorHAnsi" w:hAnsiTheme="majorHAnsi" w:cstheme="majorHAnsi"/>
          <w:b/>
          <w:color w:val="000000" w:themeColor="text1"/>
          <w:sz w:val="24"/>
          <w:szCs w:val="24"/>
          <w:lang w:val="ro-MD"/>
        </w:rPr>
        <w:t>ș</w:t>
      </w:r>
      <w:r w:rsidRPr="00B13B9A">
        <w:rPr>
          <w:rFonts w:asciiTheme="majorHAnsi" w:hAnsiTheme="majorHAnsi" w:cstheme="majorHAnsi"/>
          <w:b/>
          <w:color w:val="000000" w:themeColor="text1"/>
          <w:sz w:val="24"/>
          <w:szCs w:val="24"/>
          <w:lang w:val="ro-MD"/>
        </w:rPr>
        <w:t>i operator economic</w:t>
      </w:r>
      <w:r w:rsidR="00E976F0" w:rsidRPr="00B13B9A">
        <w:rPr>
          <w:rFonts w:asciiTheme="majorHAnsi" w:hAnsiTheme="majorHAnsi" w:cstheme="majorHAnsi"/>
          <w:b/>
          <w:color w:val="000000" w:themeColor="text1"/>
          <w:sz w:val="24"/>
          <w:szCs w:val="24"/>
          <w:lang w:val="ro-MD"/>
        </w:rPr>
        <w:t xml:space="preserve">, </w:t>
      </w:r>
      <w:r w:rsidRPr="00B13B9A">
        <w:rPr>
          <w:rFonts w:asciiTheme="majorHAnsi" w:hAnsiTheme="majorHAnsi" w:cstheme="majorHAnsi"/>
          <w:b/>
          <w:color w:val="000000" w:themeColor="text1"/>
          <w:sz w:val="24"/>
          <w:szCs w:val="24"/>
          <w:lang w:val="ro-MD"/>
        </w:rPr>
        <w:t>în sumă de 777,8 mii lei.</w:t>
      </w:r>
      <w:bookmarkEnd w:id="40"/>
      <w:r w:rsidRPr="00B13B9A">
        <w:rPr>
          <w:rFonts w:asciiTheme="majorHAnsi" w:hAnsiTheme="majorHAnsi" w:cstheme="majorHAnsi"/>
          <w:b/>
          <w:color w:val="000000" w:themeColor="text1"/>
          <w:sz w:val="24"/>
          <w:szCs w:val="24"/>
          <w:lang w:val="ro-MD"/>
        </w:rPr>
        <w:t xml:space="preserve"> </w:t>
      </w:r>
    </w:p>
    <w:p w14:paraId="7B9F2C99" w14:textId="37E829E7" w:rsidR="00B37661" w:rsidRPr="00B13B9A" w:rsidRDefault="00B37661" w:rsidP="00B37661">
      <w:pPr>
        <w:tabs>
          <w:tab w:val="left" w:pos="851"/>
        </w:tabs>
        <w:spacing w:after="0" w:line="276" w:lineRule="auto"/>
        <w:jc w:val="both"/>
        <w:rPr>
          <w:rFonts w:asciiTheme="majorHAnsi" w:hAnsiTheme="majorHAnsi" w:cstheme="majorHAnsi"/>
          <w:sz w:val="24"/>
          <w:szCs w:val="24"/>
          <w:lang w:val="ro-MD"/>
        </w:rPr>
      </w:pPr>
      <w:r w:rsidRPr="00B13B9A">
        <w:rPr>
          <w:rFonts w:asciiTheme="majorHAnsi" w:hAnsiTheme="majorHAnsi" w:cstheme="majorHAnsi"/>
          <w:sz w:val="24"/>
          <w:szCs w:val="24"/>
          <w:lang w:val="ro-MD"/>
        </w:rPr>
        <w:t>Potrivit normelor în achizi</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 xml:space="preserve">ii publice, entitatea </w:t>
      </w:r>
      <w:r w:rsidR="0093205F" w:rsidRPr="00B13B9A">
        <w:rPr>
          <w:rFonts w:asciiTheme="majorHAnsi" w:hAnsiTheme="majorHAnsi" w:cstheme="majorHAnsi"/>
          <w:sz w:val="24"/>
          <w:szCs w:val="24"/>
          <w:lang w:val="ro-MD"/>
        </w:rPr>
        <w:t xml:space="preserve">urma să </w:t>
      </w:r>
      <w:r w:rsidRPr="00B13B9A">
        <w:rPr>
          <w:rFonts w:asciiTheme="majorHAnsi" w:hAnsiTheme="majorHAnsi" w:cstheme="majorHAnsi"/>
          <w:sz w:val="24"/>
          <w:szCs w:val="24"/>
          <w:lang w:val="ro-MD"/>
        </w:rPr>
        <w:t>aplic</w:t>
      </w:r>
      <w:r w:rsidR="0093205F" w:rsidRPr="00B13B9A">
        <w:rPr>
          <w:rFonts w:asciiTheme="majorHAnsi" w:hAnsiTheme="majorHAnsi" w:cstheme="majorHAnsi"/>
          <w:sz w:val="24"/>
          <w:szCs w:val="24"/>
          <w:lang w:val="ro-MD"/>
        </w:rPr>
        <w:t>e</w:t>
      </w:r>
      <w:r w:rsidRPr="00B13B9A">
        <w:rPr>
          <w:rFonts w:asciiTheme="majorHAnsi" w:hAnsiTheme="majorHAnsi" w:cstheme="majorHAnsi"/>
          <w:sz w:val="24"/>
          <w:szCs w:val="24"/>
          <w:lang w:val="ro-MD"/>
        </w:rPr>
        <w:t xml:space="preserve"> proceduri de achizi</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ii de valoare mică pentru contractele de achizi</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ii publice de lucrări ce nu depă</w:t>
      </w:r>
      <w:r w:rsidR="00B13B9A" w:rsidRPr="00B13B9A">
        <w:rPr>
          <w:rFonts w:asciiTheme="majorHAnsi" w:hAnsiTheme="majorHAnsi" w:cstheme="majorHAnsi"/>
          <w:sz w:val="24"/>
          <w:szCs w:val="24"/>
          <w:lang w:val="ro-MD"/>
        </w:rPr>
        <w:t>ș</w:t>
      </w:r>
      <w:r w:rsidRPr="00B13B9A">
        <w:rPr>
          <w:rFonts w:asciiTheme="majorHAnsi" w:hAnsiTheme="majorHAnsi" w:cstheme="majorHAnsi"/>
          <w:sz w:val="24"/>
          <w:szCs w:val="24"/>
          <w:lang w:val="ro-MD"/>
        </w:rPr>
        <w:t xml:space="preserve">esc 250,0 mii lei. </w:t>
      </w:r>
      <w:r w:rsidR="0093205F" w:rsidRPr="00B13B9A">
        <w:rPr>
          <w:rFonts w:asciiTheme="majorHAnsi" w:hAnsiTheme="majorHAnsi" w:cstheme="majorHAnsi"/>
          <w:sz w:val="24"/>
          <w:szCs w:val="24"/>
          <w:lang w:val="ro-MD"/>
        </w:rPr>
        <w:t>Se denotă că î</w:t>
      </w:r>
      <w:r w:rsidRPr="00B13B9A">
        <w:rPr>
          <w:rFonts w:asciiTheme="majorHAnsi" w:hAnsiTheme="majorHAnsi" w:cstheme="majorHAnsi"/>
          <w:sz w:val="24"/>
          <w:szCs w:val="24"/>
          <w:lang w:val="ro-MD"/>
        </w:rPr>
        <w:t xml:space="preserve">n anul 2021 entitatea, contrar </w:t>
      </w:r>
      <w:r w:rsidR="0093205F" w:rsidRPr="00B13B9A">
        <w:rPr>
          <w:rFonts w:asciiTheme="majorHAnsi" w:hAnsiTheme="majorHAnsi" w:cstheme="majorHAnsi"/>
          <w:sz w:val="24"/>
          <w:szCs w:val="24"/>
          <w:lang w:val="ro-MD"/>
        </w:rPr>
        <w:t>acestor reglementări</w:t>
      </w:r>
      <w:r w:rsidRPr="00B13B9A">
        <w:rPr>
          <w:rStyle w:val="a9"/>
          <w:rFonts w:asciiTheme="majorHAnsi" w:hAnsiTheme="majorHAnsi" w:cstheme="majorHAnsi"/>
          <w:sz w:val="24"/>
          <w:szCs w:val="24"/>
          <w:lang w:val="ro-MD"/>
        </w:rPr>
        <w:footnoteReference w:id="59"/>
      </w:r>
      <w:r w:rsidR="00E976F0" w:rsidRPr="00B13B9A">
        <w:rPr>
          <w:rFonts w:asciiTheme="majorHAnsi" w:hAnsiTheme="majorHAnsi" w:cstheme="majorHAnsi"/>
          <w:sz w:val="24"/>
          <w:szCs w:val="24"/>
          <w:lang w:val="ro-MD"/>
        </w:rPr>
        <w:t>,</w:t>
      </w:r>
      <w:r w:rsidRPr="00B13B9A">
        <w:rPr>
          <w:rFonts w:asciiTheme="majorHAnsi" w:hAnsiTheme="majorHAnsi" w:cstheme="majorHAnsi"/>
          <w:sz w:val="24"/>
          <w:szCs w:val="24"/>
          <w:lang w:val="ro-MD"/>
        </w:rPr>
        <w:t xml:space="preserve"> a încheiat 3 contracte de achizi</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ionare a lucrărilor de repara</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 xml:space="preserve">ie, în sumă totală de 777,8 </w:t>
      </w:r>
      <w:r w:rsidR="004B30CE">
        <w:rPr>
          <w:rFonts w:asciiTheme="majorHAnsi" w:hAnsiTheme="majorHAnsi" w:cstheme="majorHAnsi"/>
          <w:sz w:val="24"/>
          <w:szCs w:val="24"/>
          <w:lang w:val="ro-MD"/>
        </w:rPr>
        <w:t xml:space="preserve">mii </w:t>
      </w:r>
      <w:r w:rsidRPr="00B13B9A">
        <w:rPr>
          <w:rFonts w:asciiTheme="majorHAnsi" w:hAnsiTheme="majorHAnsi" w:cstheme="majorHAnsi"/>
          <w:sz w:val="24"/>
          <w:szCs w:val="24"/>
          <w:lang w:val="ro-MD"/>
        </w:rPr>
        <w:t>lei, cu acela</w:t>
      </w:r>
      <w:r w:rsidR="00B13B9A" w:rsidRPr="00B13B9A">
        <w:rPr>
          <w:rFonts w:asciiTheme="majorHAnsi" w:hAnsiTheme="majorHAnsi" w:cstheme="majorHAnsi"/>
          <w:sz w:val="24"/>
          <w:szCs w:val="24"/>
          <w:lang w:val="ro-MD"/>
        </w:rPr>
        <w:t>ș</w:t>
      </w:r>
      <w:r w:rsidRPr="00B13B9A">
        <w:rPr>
          <w:rFonts w:asciiTheme="majorHAnsi" w:hAnsiTheme="majorHAnsi" w:cstheme="majorHAnsi"/>
          <w:sz w:val="24"/>
          <w:szCs w:val="24"/>
          <w:lang w:val="ro-MD"/>
        </w:rPr>
        <w:t>i operator economic</w:t>
      </w:r>
      <w:r w:rsidR="0093205F" w:rsidRPr="00B13B9A">
        <w:rPr>
          <w:rStyle w:val="a9"/>
          <w:rFonts w:asciiTheme="majorHAnsi" w:hAnsiTheme="majorHAnsi" w:cstheme="majorHAnsi"/>
          <w:sz w:val="24"/>
          <w:szCs w:val="24"/>
          <w:lang w:val="ro-MD"/>
        </w:rPr>
        <w:footnoteReference w:id="60"/>
      </w:r>
      <w:r w:rsidRPr="00B13B9A">
        <w:rPr>
          <w:rFonts w:asciiTheme="majorHAnsi" w:hAnsiTheme="majorHAnsi" w:cstheme="majorHAnsi"/>
          <w:sz w:val="24"/>
          <w:szCs w:val="24"/>
          <w:lang w:val="ro-MD"/>
        </w:rPr>
        <w:t>, prin procedura de achizi</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ie de valoare mică, situa</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 xml:space="preserve">ie redată mai jos: </w:t>
      </w:r>
    </w:p>
    <w:p w14:paraId="247EECA2" w14:textId="77777777" w:rsidR="00B37661" w:rsidRPr="00B13B9A" w:rsidRDefault="00D37D8A" w:rsidP="00B37661">
      <w:pPr>
        <w:tabs>
          <w:tab w:val="left" w:pos="851"/>
        </w:tabs>
        <w:spacing w:after="0" w:line="276" w:lineRule="auto"/>
        <w:jc w:val="right"/>
        <w:rPr>
          <w:rFonts w:asciiTheme="majorHAnsi" w:hAnsiTheme="majorHAnsi" w:cstheme="majorHAnsi"/>
          <w:i/>
          <w:sz w:val="24"/>
          <w:szCs w:val="24"/>
          <w:lang w:val="ro-MD"/>
        </w:rPr>
      </w:pPr>
      <w:r w:rsidRPr="00B13B9A">
        <w:rPr>
          <w:rFonts w:asciiTheme="majorHAnsi" w:hAnsiTheme="majorHAnsi" w:cstheme="majorHAnsi"/>
          <w:i/>
          <w:sz w:val="24"/>
          <w:szCs w:val="24"/>
          <w:lang w:val="ro-MD"/>
        </w:rPr>
        <w:t>Tabel nr.2</w:t>
      </w:r>
    </w:p>
    <w:p w14:paraId="3448D0DA" w14:textId="092D7BAF" w:rsidR="00B37661" w:rsidRPr="00B13B9A" w:rsidRDefault="00B37661" w:rsidP="00B37661">
      <w:pPr>
        <w:tabs>
          <w:tab w:val="left" w:pos="851"/>
        </w:tabs>
        <w:spacing w:after="0" w:line="276" w:lineRule="auto"/>
        <w:jc w:val="center"/>
        <w:rPr>
          <w:rFonts w:asciiTheme="majorHAnsi" w:hAnsiTheme="majorHAnsi" w:cstheme="majorHAnsi"/>
          <w:i/>
          <w:sz w:val="24"/>
          <w:szCs w:val="24"/>
          <w:lang w:val="ro-MD"/>
        </w:rPr>
      </w:pPr>
      <w:r w:rsidRPr="00B13B9A">
        <w:rPr>
          <w:rFonts w:asciiTheme="majorHAnsi" w:hAnsiTheme="majorHAnsi" w:cstheme="majorHAnsi"/>
          <w:i/>
          <w:sz w:val="24"/>
          <w:szCs w:val="24"/>
          <w:lang w:val="ro-MD"/>
        </w:rPr>
        <w:t>Informa</w:t>
      </w:r>
      <w:r w:rsidR="00B13B9A" w:rsidRPr="00B13B9A">
        <w:rPr>
          <w:rFonts w:asciiTheme="majorHAnsi" w:hAnsiTheme="majorHAnsi" w:cstheme="majorHAnsi"/>
          <w:i/>
          <w:sz w:val="24"/>
          <w:szCs w:val="24"/>
          <w:lang w:val="ro-MD"/>
        </w:rPr>
        <w:t>ț</w:t>
      </w:r>
      <w:r w:rsidRPr="00B13B9A">
        <w:rPr>
          <w:rFonts w:asciiTheme="majorHAnsi" w:hAnsiTheme="majorHAnsi" w:cstheme="majorHAnsi"/>
          <w:i/>
          <w:sz w:val="24"/>
          <w:szCs w:val="24"/>
          <w:lang w:val="ro-MD"/>
        </w:rPr>
        <w:t>i</w:t>
      </w:r>
      <w:r w:rsidR="00E976F0" w:rsidRPr="00B13B9A">
        <w:rPr>
          <w:rFonts w:asciiTheme="majorHAnsi" w:hAnsiTheme="majorHAnsi" w:cstheme="majorHAnsi"/>
          <w:i/>
          <w:sz w:val="24"/>
          <w:szCs w:val="24"/>
          <w:lang w:val="ro-MD"/>
        </w:rPr>
        <w:t>i</w:t>
      </w:r>
      <w:r w:rsidRPr="00B13B9A">
        <w:rPr>
          <w:rFonts w:asciiTheme="majorHAnsi" w:hAnsiTheme="majorHAnsi" w:cstheme="majorHAnsi"/>
          <w:i/>
          <w:sz w:val="24"/>
          <w:szCs w:val="24"/>
          <w:lang w:val="ro-MD"/>
        </w:rPr>
        <w:t xml:space="preserve"> aferent</w:t>
      </w:r>
      <w:r w:rsidR="00E976F0" w:rsidRPr="00B13B9A">
        <w:rPr>
          <w:rFonts w:asciiTheme="majorHAnsi" w:hAnsiTheme="majorHAnsi" w:cstheme="majorHAnsi"/>
          <w:i/>
          <w:sz w:val="24"/>
          <w:szCs w:val="24"/>
          <w:lang w:val="ro-MD"/>
        </w:rPr>
        <w:t>e</w:t>
      </w:r>
      <w:r w:rsidRPr="00B13B9A">
        <w:rPr>
          <w:rFonts w:asciiTheme="majorHAnsi" w:hAnsiTheme="majorHAnsi" w:cstheme="majorHAnsi"/>
          <w:i/>
          <w:sz w:val="24"/>
          <w:szCs w:val="24"/>
          <w:lang w:val="ro-MD"/>
        </w:rPr>
        <w:t xml:space="preserve"> contractelor de achizi</w:t>
      </w:r>
      <w:r w:rsidR="00B13B9A" w:rsidRPr="00B13B9A">
        <w:rPr>
          <w:rFonts w:asciiTheme="majorHAnsi" w:hAnsiTheme="majorHAnsi" w:cstheme="majorHAnsi"/>
          <w:i/>
          <w:sz w:val="24"/>
          <w:szCs w:val="24"/>
          <w:lang w:val="ro-MD"/>
        </w:rPr>
        <w:t>ț</w:t>
      </w:r>
      <w:r w:rsidRPr="00B13B9A">
        <w:rPr>
          <w:rFonts w:asciiTheme="majorHAnsi" w:hAnsiTheme="majorHAnsi" w:cstheme="majorHAnsi"/>
          <w:i/>
          <w:sz w:val="24"/>
          <w:szCs w:val="24"/>
          <w:lang w:val="ro-MD"/>
        </w:rPr>
        <w:t>ii publice de lucrări de repara</w:t>
      </w:r>
      <w:r w:rsidR="00B13B9A" w:rsidRPr="00B13B9A">
        <w:rPr>
          <w:rFonts w:asciiTheme="majorHAnsi" w:hAnsiTheme="majorHAnsi" w:cstheme="majorHAnsi"/>
          <w:i/>
          <w:sz w:val="24"/>
          <w:szCs w:val="24"/>
          <w:lang w:val="ro-MD"/>
        </w:rPr>
        <w:t>ț</w:t>
      </w:r>
      <w:r w:rsidRPr="00B13B9A">
        <w:rPr>
          <w:rFonts w:asciiTheme="majorHAnsi" w:hAnsiTheme="majorHAnsi" w:cstheme="majorHAnsi"/>
          <w:i/>
          <w:sz w:val="24"/>
          <w:szCs w:val="24"/>
          <w:lang w:val="ro-MD"/>
        </w:rPr>
        <w:t>ii</w:t>
      </w:r>
    </w:p>
    <w:tbl>
      <w:tblPr>
        <w:tblStyle w:val="a3"/>
        <w:tblW w:w="9747" w:type="dxa"/>
        <w:tblLook w:val="04A0" w:firstRow="1" w:lastRow="0" w:firstColumn="1" w:lastColumn="0" w:noHBand="0" w:noVBand="1"/>
      </w:tblPr>
      <w:tblGrid>
        <w:gridCol w:w="1271"/>
        <w:gridCol w:w="3827"/>
        <w:gridCol w:w="1276"/>
        <w:gridCol w:w="1316"/>
        <w:gridCol w:w="1206"/>
        <w:gridCol w:w="851"/>
      </w:tblGrid>
      <w:tr w:rsidR="00B37661" w:rsidRPr="00B13B9A" w14:paraId="6C9263E2" w14:textId="77777777" w:rsidTr="004B30CE">
        <w:tc>
          <w:tcPr>
            <w:tcW w:w="1271" w:type="dxa"/>
            <w:shd w:val="clear" w:color="auto" w:fill="auto"/>
            <w:vAlign w:val="center"/>
          </w:tcPr>
          <w:p w14:paraId="68811867" w14:textId="128FD21C" w:rsidR="00B37661" w:rsidRPr="00B13B9A" w:rsidRDefault="00B37661" w:rsidP="00E976F0">
            <w:pPr>
              <w:tabs>
                <w:tab w:val="left" w:pos="851"/>
              </w:tabs>
              <w:spacing w:line="276" w:lineRule="auto"/>
              <w:jc w:val="center"/>
              <w:rPr>
                <w:rFonts w:asciiTheme="majorHAnsi" w:hAnsiTheme="majorHAnsi" w:cstheme="majorHAnsi"/>
                <w:b/>
                <w:sz w:val="20"/>
                <w:szCs w:val="20"/>
                <w:lang w:val="ro-MD"/>
              </w:rPr>
            </w:pPr>
            <w:r w:rsidRPr="00B13B9A">
              <w:rPr>
                <w:rFonts w:asciiTheme="majorHAnsi" w:hAnsiTheme="majorHAnsi" w:cstheme="majorHAnsi"/>
                <w:b/>
                <w:sz w:val="20"/>
                <w:szCs w:val="20"/>
                <w:lang w:val="ro-MD"/>
              </w:rPr>
              <w:t>Nr.</w:t>
            </w:r>
            <w:r w:rsidR="00E976F0" w:rsidRPr="00B13B9A">
              <w:rPr>
                <w:rFonts w:asciiTheme="majorHAnsi" w:hAnsiTheme="majorHAnsi" w:cstheme="majorHAnsi"/>
                <w:b/>
                <w:sz w:val="20"/>
                <w:szCs w:val="20"/>
                <w:lang w:val="ro-MD"/>
              </w:rPr>
              <w:t xml:space="preserve"> </w:t>
            </w:r>
            <w:r w:rsidR="00B13B9A" w:rsidRPr="00B13B9A">
              <w:rPr>
                <w:rFonts w:asciiTheme="majorHAnsi" w:hAnsiTheme="majorHAnsi" w:cstheme="majorHAnsi"/>
                <w:b/>
                <w:sz w:val="20"/>
                <w:szCs w:val="20"/>
                <w:lang w:val="ro-MD"/>
              </w:rPr>
              <w:t>ș</w:t>
            </w:r>
            <w:r w:rsidR="00E976F0" w:rsidRPr="00B13B9A">
              <w:rPr>
                <w:rFonts w:asciiTheme="majorHAnsi" w:hAnsiTheme="majorHAnsi" w:cstheme="majorHAnsi"/>
                <w:b/>
                <w:sz w:val="20"/>
                <w:szCs w:val="20"/>
                <w:lang w:val="ro-MD"/>
              </w:rPr>
              <w:t xml:space="preserve">i </w:t>
            </w:r>
            <w:r w:rsidRPr="00B13B9A">
              <w:rPr>
                <w:rFonts w:asciiTheme="majorHAnsi" w:hAnsiTheme="majorHAnsi" w:cstheme="majorHAnsi"/>
                <w:b/>
                <w:sz w:val="20"/>
                <w:szCs w:val="20"/>
                <w:lang w:val="ro-MD"/>
              </w:rPr>
              <w:t>data contract</w:t>
            </w:r>
            <w:r w:rsidR="00E976F0" w:rsidRPr="00B13B9A">
              <w:rPr>
                <w:rFonts w:asciiTheme="majorHAnsi" w:hAnsiTheme="majorHAnsi" w:cstheme="majorHAnsi"/>
                <w:b/>
                <w:sz w:val="20"/>
                <w:szCs w:val="20"/>
                <w:lang w:val="ro-MD"/>
              </w:rPr>
              <w:t>ului</w:t>
            </w:r>
          </w:p>
        </w:tc>
        <w:tc>
          <w:tcPr>
            <w:tcW w:w="3827" w:type="dxa"/>
            <w:shd w:val="clear" w:color="auto" w:fill="auto"/>
            <w:vAlign w:val="center"/>
          </w:tcPr>
          <w:p w14:paraId="3B92261F" w14:textId="77777777" w:rsidR="00B37661" w:rsidRPr="00B13B9A" w:rsidRDefault="00B37661" w:rsidP="00553C24">
            <w:pPr>
              <w:tabs>
                <w:tab w:val="left" w:pos="851"/>
              </w:tabs>
              <w:spacing w:line="276" w:lineRule="auto"/>
              <w:jc w:val="center"/>
              <w:rPr>
                <w:rFonts w:asciiTheme="majorHAnsi" w:hAnsiTheme="majorHAnsi" w:cstheme="majorHAnsi"/>
                <w:b/>
                <w:sz w:val="20"/>
                <w:szCs w:val="20"/>
                <w:lang w:val="ro-MD"/>
              </w:rPr>
            </w:pPr>
            <w:r w:rsidRPr="00B13B9A">
              <w:rPr>
                <w:rFonts w:asciiTheme="majorHAnsi" w:hAnsiTheme="majorHAnsi" w:cstheme="majorHAnsi"/>
                <w:b/>
                <w:sz w:val="20"/>
                <w:szCs w:val="20"/>
                <w:lang w:val="ro-MD"/>
              </w:rPr>
              <w:t>Obiectul contractului</w:t>
            </w:r>
          </w:p>
        </w:tc>
        <w:tc>
          <w:tcPr>
            <w:tcW w:w="1276" w:type="dxa"/>
            <w:shd w:val="clear" w:color="auto" w:fill="auto"/>
            <w:vAlign w:val="center"/>
          </w:tcPr>
          <w:p w14:paraId="70CD5304" w14:textId="77777777" w:rsidR="00B37661" w:rsidRPr="00B13B9A" w:rsidRDefault="00B37661" w:rsidP="00553C24">
            <w:pPr>
              <w:tabs>
                <w:tab w:val="left" w:pos="851"/>
              </w:tabs>
              <w:spacing w:line="276" w:lineRule="auto"/>
              <w:jc w:val="center"/>
              <w:rPr>
                <w:rFonts w:asciiTheme="majorHAnsi" w:hAnsiTheme="majorHAnsi" w:cstheme="majorHAnsi"/>
                <w:b/>
                <w:sz w:val="20"/>
                <w:szCs w:val="20"/>
                <w:lang w:val="ro-MD"/>
              </w:rPr>
            </w:pPr>
            <w:r w:rsidRPr="00B13B9A">
              <w:rPr>
                <w:rFonts w:asciiTheme="majorHAnsi" w:hAnsiTheme="majorHAnsi" w:cstheme="majorHAnsi"/>
                <w:b/>
                <w:sz w:val="20"/>
                <w:szCs w:val="20"/>
                <w:lang w:val="ro-MD"/>
              </w:rPr>
              <w:t>Valoarea contractului (mii lei)</w:t>
            </w:r>
          </w:p>
        </w:tc>
        <w:tc>
          <w:tcPr>
            <w:tcW w:w="1316" w:type="dxa"/>
            <w:shd w:val="clear" w:color="auto" w:fill="auto"/>
            <w:vAlign w:val="center"/>
          </w:tcPr>
          <w:p w14:paraId="0FF6C5E7" w14:textId="77777777" w:rsidR="00B37661" w:rsidRPr="00B13B9A" w:rsidRDefault="00B37661" w:rsidP="00553C24">
            <w:pPr>
              <w:tabs>
                <w:tab w:val="left" w:pos="851"/>
              </w:tabs>
              <w:spacing w:line="276" w:lineRule="auto"/>
              <w:jc w:val="center"/>
              <w:rPr>
                <w:rFonts w:asciiTheme="majorHAnsi" w:hAnsiTheme="majorHAnsi" w:cstheme="majorHAnsi"/>
                <w:b/>
                <w:sz w:val="20"/>
                <w:szCs w:val="20"/>
                <w:lang w:val="ro-MD"/>
              </w:rPr>
            </w:pPr>
            <w:r w:rsidRPr="00B13B9A">
              <w:rPr>
                <w:rFonts w:asciiTheme="majorHAnsi" w:hAnsiTheme="majorHAnsi" w:cstheme="majorHAnsi"/>
                <w:b/>
                <w:sz w:val="20"/>
                <w:szCs w:val="20"/>
                <w:lang w:val="ro-MD"/>
              </w:rPr>
              <w:t xml:space="preserve">Termenul de valabilitate a contractului </w:t>
            </w:r>
          </w:p>
        </w:tc>
        <w:tc>
          <w:tcPr>
            <w:tcW w:w="1206" w:type="dxa"/>
            <w:shd w:val="clear" w:color="auto" w:fill="auto"/>
            <w:vAlign w:val="center"/>
          </w:tcPr>
          <w:p w14:paraId="0912F5BB" w14:textId="77777777" w:rsidR="00B37661" w:rsidRPr="00B13B9A" w:rsidRDefault="00B37661" w:rsidP="00553C24">
            <w:pPr>
              <w:tabs>
                <w:tab w:val="left" w:pos="851"/>
              </w:tabs>
              <w:spacing w:line="276" w:lineRule="auto"/>
              <w:jc w:val="center"/>
              <w:rPr>
                <w:rFonts w:asciiTheme="majorHAnsi" w:hAnsiTheme="majorHAnsi" w:cstheme="majorHAnsi"/>
                <w:b/>
                <w:sz w:val="20"/>
                <w:szCs w:val="20"/>
                <w:lang w:val="ro-MD"/>
              </w:rPr>
            </w:pPr>
            <w:r w:rsidRPr="00B13B9A">
              <w:rPr>
                <w:rFonts w:asciiTheme="majorHAnsi" w:hAnsiTheme="majorHAnsi" w:cstheme="majorHAnsi"/>
                <w:b/>
                <w:sz w:val="20"/>
                <w:szCs w:val="20"/>
                <w:lang w:val="ro-MD"/>
              </w:rPr>
              <w:t>Data facturării</w:t>
            </w:r>
          </w:p>
        </w:tc>
        <w:tc>
          <w:tcPr>
            <w:tcW w:w="851" w:type="dxa"/>
            <w:shd w:val="clear" w:color="auto" w:fill="auto"/>
            <w:vAlign w:val="center"/>
          </w:tcPr>
          <w:p w14:paraId="3769ACFF" w14:textId="77777777" w:rsidR="00B37661" w:rsidRPr="00B13B9A" w:rsidRDefault="00B37661" w:rsidP="00553C24">
            <w:pPr>
              <w:tabs>
                <w:tab w:val="left" w:pos="851"/>
              </w:tabs>
              <w:spacing w:line="276" w:lineRule="auto"/>
              <w:jc w:val="center"/>
              <w:rPr>
                <w:rFonts w:asciiTheme="majorHAnsi" w:hAnsiTheme="majorHAnsi" w:cstheme="majorHAnsi"/>
                <w:b/>
                <w:sz w:val="20"/>
                <w:szCs w:val="20"/>
                <w:lang w:val="ro-MD"/>
              </w:rPr>
            </w:pPr>
            <w:r w:rsidRPr="00B13B9A">
              <w:rPr>
                <w:rFonts w:asciiTheme="majorHAnsi" w:hAnsiTheme="majorHAnsi" w:cstheme="majorHAnsi"/>
                <w:b/>
                <w:sz w:val="20"/>
                <w:szCs w:val="20"/>
                <w:lang w:val="ro-MD"/>
              </w:rPr>
              <w:t>Suma</w:t>
            </w:r>
          </w:p>
          <w:p w14:paraId="6C1E96F7" w14:textId="77777777" w:rsidR="00B37661" w:rsidRPr="00B13B9A" w:rsidRDefault="00B37661" w:rsidP="00553C24">
            <w:pPr>
              <w:tabs>
                <w:tab w:val="left" w:pos="851"/>
              </w:tabs>
              <w:spacing w:line="276" w:lineRule="auto"/>
              <w:jc w:val="center"/>
              <w:rPr>
                <w:rFonts w:asciiTheme="majorHAnsi" w:hAnsiTheme="majorHAnsi" w:cstheme="majorHAnsi"/>
                <w:b/>
                <w:sz w:val="20"/>
                <w:szCs w:val="20"/>
                <w:lang w:val="ro-MD"/>
              </w:rPr>
            </w:pPr>
            <w:r w:rsidRPr="00B13B9A">
              <w:rPr>
                <w:rFonts w:asciiTheme="majorHAnsi" w:hAnsiTheme="majorHAnsi" w:cstheme="majorHAnsi"/>
                <w:b/>
                <w:sz w:val="20"/>
                <w:szCs w:val="20"/>
                <w:lang w:val="ro-MD"/>
              </w:rPr>
              <w:t>(mii lei)</w:t>
            </w:r>
          </w:p>
        </w:tc>
      </w:tr>
      <w:tr w:rsidR="00B37661" w:rsidRPr="00B13B9A" w14:paraId="618F7C0F" w14:textId="77777777" w:rsidTr="004B30CE">
        <w:tc>
          <w:tcPr>
            <w:tcW w:w="1271" w:type="dxa"/>
            <w:vMerge w:val="restart"/>
            <w:vAlign w:val="center"/>
          </w:tcPr>
          <w:p w14:paraId="470ED381" w14:textId="77777777" w:rsidR="00B37661" w:rsidRPr="00B13B9A" w:rsidRDefault="00B37661" w:rsidP="00553C24">
            <w:pPr>
              <w:tabs>
                <w:tab w:val="left" w:pos="851"/>
              </w:tabs>
              <w:spacing w:line="276" w:lineRule="auto"/>
              <w:jc w:val="center"/>
              <w:rPr>
                <w:rFonts w:asciiTheme="majorHAnsi" w:hAnsiTheme="majorHAnsi" w:cstheme="majorHAnsi"/>
                <w:sz w:val="20"/>
                <w:szCs w:val="20"/>
                <w:lang w:val="ro-MD"/>
              </w:rPr>
            </w:pPr>
            <w:r w:rsidRPr="00B13B9A">
              <w:rPr>
                <w:rFonts w:asciiTheme="majorHAnsi" w:hAnsiTheme="majorHAnsi" w:cstheme="majorHAnsi"/>
                <w:sz w:val="20"/>
                <w:szCs w:val="20"/>
                <w:lang w:val="ro-MD"/>
              </w:rPr>
              <w:t>nr. 13 din 31.05.2021</w:t>
            </w:r>
          </w:p>
        </w:tc>
        <w:tc>
          <w:tcPr>
            <w:tcW w:w="3827" w:type="dxa"/>
            <w:vMerge w:val="restart"/>
            <w:vAlign w:val="center"/>
          </w:tcPr>
          <w:p w14:paraId="1ED4E630" w14:textId="65610E55" w:rsidR="00B37661" w:rsidRPr="00B13B9A" w:rsidRDefault="00B37661" w:rsidP="00E976F0">
            <w:pPr>
              <w:tabs>
                <w:tab w:val="left" w:pos="851"/>
              </w:tabs>
              <w:jc w:val="both"/>
              <w:rPr>
                <w:rFonts w:asciiTheme="majorHAnsi" w:hAnsiTheme="majorHAnsi" w:cstheme="majorHAnsi"/>
                <w:b/>
                <w:sz w:val="20"/>
                <w:szCs w:val="20"/>
                <w:lang w:val="ro-MD"/>
              </w:rPr>
            </w:pPr>
            <w:r w:rsidRPr="00B13B9A">
              <w:rPr>
                <w:rFonts w:asciiTheme="majorHAnsi" w:hAnsiTheme="majorHAnsi" w:cstheme="majorHAnsi"/>
                <w:sz w:val="20"/>
                <w:szCs w:val="20"/>
                <w:lang w:val="ro-MD"/>
              </w:rPr>
              <w:t>Lucrări de repara</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ie par</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ială a re</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elelor interioar</w:t>
            </w:r>
            <w:r w:rsidR="00E976F0" w:rsidRPr="00B13B9A">
              <w:rPr>
                <w:rFonts w:asciiTheme="majorHAnsi" w:hAnsiTheme="majorHAnsi" w:cstheme="majorHAnsi"/>
                <w:sz w:val="20"/>
                <w:szCs w:val="20"/>
                <w:lang w:val="ro-MD"/>
              </w:rPr>
              <w:t>e</w:t>
            </w:r>
            <w:r w:rsidRPr="00B13B9A">
              <w:rPr>
                <w:rFonts w:asciiTheme="majorHAnsi" w:hAnsiTheme="majorHAnsi" w:cstheme="majorHAnsi"/>
                <w:sz w:val="20"/>
                <w:szCs w:val="20"/>
                <w:lang w:val="ro-MD"/>
              </w:rPr>
              <w:t xml:space="preserve"> de apă potabilă din subsolul Laboratorului Na</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ional de Referin</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ă</w:t>
            </w:r>
          </w:p>
        </w:tc>
        <w:tc>
          <w:tcPr>
            <w:tcW w:w="1276" w:type="dxa"/>
            <w:vMerge w:val="restart"/>
            <w:vAlign w:val="center"/>
          </w:tcPr>
          <w:p w14:paraId="688F8F9C" w14:textId="77777777" w:rsidR="00B37661" w:rsidRPr="00B13B9A" w:rsidRDefault="00B37661" w:rsidP="00553C24">
            <w:pPr>
              <w:tabs>
                <w:tab w:val="left" w:pos="851"/>
              </w:tabs>
              <w:spacing w:line="276" w:lineRule="auto"/>
              <w:jc w:val="center"/>
              <w:rPr>
                <w:rFonts w:asciiTheme="majorHAnsi" w:hAnsiTheme="majorHAnsi" w:cstheme="majorHAnsi"/>
                <w:b/>
                <w:sz w:val="20"/>
                <w:szCs w:val="20"/>
                <w:lang w:val="ro-MD"/>
              </w:rPr>
            </w:pPr>
            <w:r w:rsidRPr="00B13B9A">
              <w:rPr>
                <w:rFonts w:asciiTheme="majorHAnsi" w:hAnsiTheme="majorHAnsi" w:cstheme="majorHAnsi"/>
                <w:sz w:val="20"/>
                <w:szCs w:val="20"/>
                <w:lang w:val="ro-MD"/>
              </w:rPr>
              <w:t>179,3</w:t>
            </w:r>
          </w:p>
        </w:tc>
        <w:tc>
          <w:tcPr>
            <w:tcW w:w="1316" w:type="dxa"/>
            <w:vMerge w:val="restart"/>
            <w:vAlign w:val="center"/>
          </w:tcPr>
          <w:p w14:paraId="66853B25" w14:textId="77777777" w:rsidR="00B37661" w:rsidRPr="00B13B9A" w:rsidRDefault="00B37661" w:rsidP="00553C24">
            <w:pPr>
              <w:tabs>
                <w:tab w:val="left" w:pos="851"/>
              </w:tabs>
              <w:spacing w:line="276" w:lineRule="auto"/>
              <w:jc w:val="center"/>
              <w:rPr>
                <w:rFonts w:asciiTheme="majorHAnsi" w:hAnsiTheme="majorHAnsi" w:cstheme="majorHAnsi"/>
                <w:sz w:val="20"/>
                <w:szCs w:val="20"/>
                <w:lang w:val="ro-MD"/>
              </w:rPr>
            </w:pPr>
            <w:r w:rsidRPr="00B13B9A">
              <w:rPr>
                <w:rFonts w:asciiTheme="majorHAnsi" w:hAnsiTheme="majorHAnsi" w:cstheme="majorHAnsi"/>
                <w:b/>
                <w:sz w:val="20"/>
                <w:szCs w:val="20"/>
                <w:lang w:val="ro-MD"/>
              </w:rPr>
              <w:t>01.09.2021</w:t>
            </w:r>
          </w:p>
        </w:tc>
        <w:tc>
          <w:tcPr>
            <w:tcW w:w="1206" w:type="dxa"/>
            <w:vAlign w:val="center"/>
          </w:tcPr>
          <w:p w14:paraId="203AF4BA" w14:textId="77777777" w:rsidR="00B37661" w:rsidRPr="00B13B9A" w:rsidRDefault="00B37661" w:rsidP="00553C24">
            <w:pPr>
              <w:tabs>
                <w:tab w:val="left" w:pos="851"/>
              </w:tabs>
              <w:spacing w:line="276" w:lineRule="auto"/>
              <w:jc w:val="center"/>
              <w:rPr>
                <w:rFonts w:asciiTheme="majorHAnsi" w:hAnsiTheme="majorHAnsi" w:cstheme="majorHAnsi"/>
                <w:sz w:val="20"/>
                <w:szCs w:val="20"/>
                <w:lang w:val="ro-MD"/>
              </w:rPr>
            </w:pPr>
            <w:r w:rsidRPr="00B13B9A">
              <w:rPr>
                <w:rFonts w:asciiTheme="majorHAnsi" w:hAnsiTheme="majorHAnsi" w:cstheme="majorHAnsi"/>
                <w:sz w:val="20"/>
                <w:szCs w:val="20"/>
                <w:lang w:val="ro-MD"/>
              </w:rPr>
              <w:t>19.07.2021</w:t>
            </w:r>
          </w:p>
        </w:tc>
        <w:tc>
          <w:tcPr>
            <w:tcW w:w="851" w:type="dxa"/>
            <w:vAlign w:val="center"/>
          </w:tcPr>
          <w:p w14:paraId="10CB47D5" w14:textId="77777777" w:rsidR="00B37661" w:rsidRPr="00B13B9A" w:rsidRDefault="00B37661" w:rsidP="00553C24">
            <w:pPr>
              <w:tabs>
                <w:tab w:val="left" w:pos="851"/>
              </w:tabs>
              <w:spacing w:line="276" w:lineRule="auto"/>
              <w:jc w:val="center"/>
              <w:rPr>
                <w:rFonts w:asciiTheme="majorHAnsi" w:hAnsiTheme="majorHAnsi" w:cstheme="majorHAnsi"/>
                <w:sz w:val="20"/>
                <w:szCs w:val="20"/>
                <w:lang w:val="ro-MD"/>
              </w:rPr>
            </w:pPr>
            <w:r w:rsidRPr="00B13B9A">
              <w:rPr>
                <w:rFonts w:asciiTheme="majorHAnsi" w:hAnsiTheme="majorHAnsi" w:cstheme="majorHAnsi"/>
                <w:sz w:val="20"/>
                <w:szCs w:val="20"/>
                <w:lang w:val="ro-MD"/>
              </w:rPr>
              <w:t>69,3</w:t>
            </w:r>
          </w:p>
        </w:tc>
      </w:tr>
      <w:tr w:rsidR="00B37661" w:rsidRPr="00B13B9A" w14:paraId="394F4956" w14:textId="77777777" w:rsidTr="004B30CE">
        <w:tc>
          <w:tcPr>
            <w:tcW w:w="1271" w:type="dxa"/>
            <w:vMerge/>
            <w:vAlign w:val="center"/>
          </w:tcPr>
          <w:p w14:paraId="589748CE" w14:textId="77777777" w:rsidR="00B37661" w:rsidRPr="00B13B9A" w:rsidRDefault="00B37661" w:rsidP="00553C24">
            <w:pPr>
              <w:tabs>
                <w:tab w:val="left" w:pos="851"/>
              </w:tabs>
              <w:spacing w:line="276" w:lineRule="auto"/>
              <w:jc w:val="center"/>
              <w:rPr>
                <w:rFonts w:asciiTheme="majorHAnsi" w:hAnsiTheme="majorHAnsi" w:cstheme="majorHAnsi"/>
                <w:sz w:val="20"/>
                <w:szCs w:val="20"/>
                <w:lang w:val="ro-MD"/>
              </w:rPr>
            </w:pPr>
          </w:p>
        </w:tc>
        <w:tc>
          <w:tcPr>
            <w:tcW w:w="3827" w:type="dxa"/>
            <w:vMerge/>
            <w:vAlign w:val="center"/>
          </w:tcPr>
          <w:p w14:paraId="3ED0DC41" w14:textId="77777777" w:rsidR="00B37661" w:rsidRPr="00B13B9A" w:rsidRDefault="00B37661" w:rsidP="00553C24">
            <w:pPr>
              <w:tabs>
                <w:tab w:val="left" w:pos="851"/>
              </w:tabs>
              <w:spacing w:line="276" w:lineRule="auto"/>
              <w:jc w:val="both"/>
              <w:rPr>
                <w:rFonts w:asciiTheme="majorHAnsi" w:hAnsiTheme="majorHAnsi" w:cstheme="majorHAnsi"/>
                <w:b/>
                <w:sz w:val="20"/>
                <w:szCs w:val="20"/>
                <w:lang w:val="ro-MD"/>
              </w:rPr>
            </w:pPr>
          </w:p>
        </w:tc>
        <w:tc>
          <w:tcPr>
            <w:tcW w:w="1276" w:type="dxa"/>
            <w:vMerge/>
            <w:vAlign w:val="center"/>
          </w:tcPr>
          <w:p w14:paraId="6D9E8626" w14:textId="77777777" w:rsidR="00B37661" w:rsidRPr="00B13B9A" w:rsidRDefault="00B37661" w:rsidP="00553C24">
            <w:pPr>
              <w:tabs>
                <w:tab w:val="left" w:pos="851"/>
              </w:tabs>
              <w:spacing w:line="276" w:lineRule="auto"/>
              <w:jc w:val="center"/>
              <w:rPr>
                <w:rFonts w:asciiTheme="majorHAnsi" w:hAnsiTheme="majorHAnsi" w:cstheme="majorHAnsi"/>
                <w:b/>
                <w:sz w:val="20"/>
                <w:szCs w:val="20"/>
                <w:lang w:val="ro-MD"/>
              </w:rPr>
            </w:pPr>
          </w:p>
        </w:tc>
        <w:tc>
          <w:tcPr>
            <w:tcW w:w="1316" w:type="dxa"/>
            <w:vMerge/>
            <w:vAlign w:val="center"/>
          </w:tcPr>
          <w:p w14:paraId="758D4627" w14:textId="77777777" w:rsidR="00B37661" w:rsidRPr="00B13B9A" w:rsidRDefault="00B37661" w:rsidP="00553C24">
            <w:pPr>
              <w:tabs>
                <w:tab w:val="left" w:pos="851"/>
              </w:tabs>
              <w:spacing w:line="276" w:lineRule="auto"/>
              <w:jc w:val="center"/>
              <w:rPr>
                <w:rFonts w:asciiTheme="majorHAnsi" w:hAnsiTheme="majorHAnsi" w:cstheme="majorHAnsi"/>
                <w:sz w:val="20"/>
                <w:szCs w:val="20"/>
                <w:lang w:val="ro-MD"/>
              </w:rPr>
            </w:pPr>
          </w:p>
        </w:tc>
        <w:tc>
          <w:tcPr>
            <w:tcW w:w="1206" w:type="dxa"/>
            <w:vAlign w:val="center"/>
          </w:tcPr>
          <w:p w14:paraId="47C94B2A" w14:textId="77777777" w:rsidR="00B37661" w:rsidRPr="00B13B9A" w:rsidRDefault="00B37661" w:rsidP="00553C24">
            <w:pPr>
              <w:tabs>
                <w:tab w:val="left" w:pos="851"/>
              </w:tabs>
              <w:spacing w:line="276" w:lineRule="auto"/>
              <w:jc w:val="center"/>
              <w:rPr>
                <w:rFonts w:asciiTheme="majorHAnsi" w:hAnsiTheme="majorHAnsi" w:cstheme="majorHAnsi"/>
                <w:sz w:val="20"/>
                <w:szCs w:val="20"/>
                <w:lang w:val="ro-MD"/>
              </w:rPr>
            </w:pPr>
            <w:r w:rsidRPr="00B13B9A">
              <w:rPr>
                <w:rFonts w:asciiTheme="majorHAnsi" w:hAnsiTheme="majorHAnsi" w:cstheme="majorHAnsi"/>
                <w:sz w:val="20"/>
                <w:szCs w:val="20"/>
                <w:lang w:val="ro-MD"/>
              </w:rPr>
              <w:t>01.09.2021</w:t>
            </w:r>
          </w:p>
        </w:tc>
        <w:tc>
          <w:tcPr>
            <w:tcW w:w="851" w:type="dxa"/>
            <w:vAlign w:val="center"/>
          </w:tcPr>
          <w:p w14:paraId="105573FC" w14:textId="77777777" w:rsidR="00B37661" w:rsidRPr="00B13B9A" w:rsidRDefault="00B37661" w:rsidP="00553C24">
            <w:pPr>
              <w:tabs>
                <w:tab w:val="left" w:pos="851"/>
              </w:tabs>
              <w:spacing w:line="276" w:lineRule="auto"/>
              <w:jc w:val="center"/>
              <w:rPr>
                <w:rFonts w:asciiTheme="majorHAnsi" w:hAnsiTheme="majorHAnsi" w:cstheme="majorHAnsi"/>
                <w:sz w:val="20"/>
                <w:szCs w:val="20"/>
                <w:lang w:val="ro-MD"/>
              </w:rPr>
            </w:pPr>
            <w:r w:rsidRPr="00B13B9A">
              <w:rPr>
                <w:rFonts w:asciiTheme="majorHAnsi" w:hAnsiTheme="majorHAnsi" w:cstheme="majorHAnsi"/>
                <w:sz w:val="20"/>
                <w:szCs w:val="20"/>
                <w:lang w:val="ro-MD"/>
              </w:rPr>
              <w:t>110,0</w:t>
            </w:r>
          </w:p>
        </w:tc>
      </w:tr>
      <w:tr w:rsidR="00B37661" w:rsidRPr="00B13B9A" w14:paraId="40D31D49" w14:textId="77777777" w:rsidTr="004B30CE">
        <w:tc>
          <w:tcPr>
            <w:tcW w:w="1271" w:type="dxa"/>
            <w:vMerge w:val="restart"/>
            <w:vAlign w:val="center"/>
          </w:tcPr>
          <w:p w14:paraId="31BD4A53" w14:textId="77777777" w:rsidR="00B37661" w:rsidRPr="00B13B9A" w:rsidRDefault="00B37661" w:rsidP="00553C24">
            <w:pPr>
              <w:tabs>
                <w:tab w:val="left" w:pos="851"/>
              </w:tabs>
              <w:spacing w:line="276" w:lineRule="auto"/>
              <w:jc w:val="center"/>
              <w:rPr>
                <w:rFonts w:asciiTheme="majorHAnsi" w:hAnsiTheme="majorHAnsi" w:cstheme="majorHAnsi"/>
                <w:sz w:val="20"/>
                <w:szCs w:val="20"/>
                <w:lang w:val="ro-MD"/>
              </w:rPr>
            </w:pPr>
            <w:r w:rsidRPr="00B13B9A">
              <w:rPr>
                <w:rFonts w:asciiTheme="majorHAnsi" w:hAnsiTheme="majorHAnsi" w:cstheme="majorHAnsi"/>
                <w:sz w:val="20"/>
                <w:szCs w:val="20"/>
                <w:lang w:val="ro-MD"/>
              </w:rPr>
              <w:t>nr. 14 din 30.06.2021</w:t>
            </w:r>
          </w:p>
        </w:tc>
        <w:tc>
          <w:tcPr>
            <w:tcW w:w="3827" w:type="dxa"/>
            <w:vMerge w:val="restart"/>
            <w:vAlign w:val="center"/>
          </w:tcPr>
          <w:p w14:paraId="45D92313" w14:textId="76A8ADD1" w:rsidR="00B37661" w:rsidRPr="00B13B9A" w:rsidRDefault="00B37661" w:rsidP="00553C24">
            <w:pPr>
              <w:tabs>
                <w:tab w:val="left" w:pos="851"/>
              </w:tabs>
              <w:jc w:val="both"/>
              <w:rPr>
                <w:rFonts w:asciiTheme="majorHAnsi" w:hAnsiTheme="majorHAnsi" w:cstheme="majorHAnsi"/>
                <w:sz w:val="20"/>
                <w:szCs w:val="20"/>
                <w:lang w:val="ro-MD"/>
              </w:rPr>
            </w:pPr>
            <w:r w:rsidRPr="00B13B9A">
              <w:rPr>
                <w:rFonts w:asciiTheme="majorHAnsi" w:hAnsiTheme="majorHAnsi" w:cstheme="majorHAnsi"/>
                <w:sz w:val="20"/>
                <w:szCs w:val="20"/>
                <w:lang w:val="ro-MD"/>
              </w:rPr>
              <w:t>Lucrări de repara</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ie capitală a biroului 512 (Cabinet ORL)</w:t>
            </w:r>
          </w:p>
        </w:tc>
        <w:tc>
          <w:tcPr>
            <w:tcW w:w="1276" w:type="dxa"/>
            <w:vMerge w:val="restart"/>
            <w:vAlign w:val="center"/>
          </w:tcPr>
          <w:p w14:paraId="36237056" w14:textId="77777777" w:rsidR="00B37661" w:rsidRPr="00B13B9A" w:rsidRDefault="00B37661" w:rsidP="00553C24">
            <w:pPr>
              <w:tabs>
                <w:tab w:val="left" w:pos="851"/>
              </w:tabs>
              <w:spacing w:line="276" w:lineRule="auto"/>
              <w:jc w:val="center"/>
              <w:rPr>
                <w:rFonts w:asciiTheme="majorHAnsi" w:hAnsiTheme="majorHAnsi" w:cstheme="majorHAnsi"/>
                <w:b/>
                <w:sz w:val="20"/>
                <w:szCs w:val="20"/>
                <w:lang w:val="ro-MD"/>
              </w:rPr>
            </w:pPr>
            <w:r w:rsidRPr="00B13B9A">
              <w:rPr>
                <w:rFonts w:asciiTheme="majorHAnsi" w:hAnsiTheme="majorHAnsi" w:cstheme="majorHAnsi"/>
                <w:sz w:val="20"/>
                <w:szCs w:val="20"/>
                <w:lang w:val="ro-MD"/>
              </w:rPr>
              <w:t>298,6</w:t>
            </w:r>
          </w:p>
        </w:tc>
        <w:tc>
          <w:tcPr>
            <w:tcW w:w="1316" w:type="dxa"/>
            <w:vMerge w:val="restart"/>
            <w:vAlign w:val="center"/>
          </w:tcPr>
          <w:p w14:paraId="08996451" w14:textId="77777777" w:rsidR="00B37661" w:rsidRPr="00B13B9A" w:rsidRDefault="00B37661" w:rsidP="00553C24">
            <w:pPr>
              <w:tabs>
                <w:tab w:val="left" w:pos="851"/>
              </w:tabs>
              <w:spacing w:line="276" w:lineRule="auto"/>
              <w:jc w:val="center"/>
              <w:rPr>
                <w:rFonts w:asciiTheme="majorHAnsi" w:hAnsiTheme="majorHAnsi" w:cstheme="majorHAnsi"/>
                <w:sz w:val="20"/>
                <w:szCs w:val="20"/>
                <w:lang w:val="ro-MD"/>
              </w:rPr>
            </w:pPr>
            <w:r w:rsidRPr="00B13B9A">
              <w:rPr>
                <w:rFonts w:asciiTheme="majorHAnsi" w:hAnsiTheme="majorHAnsi" w:cstheme="majorHAnsi"/>
                <w:b/>
                <w:sz w:val="20"/>
                <w:szCs w:val="20"/>
                <w:lang w:val="ro-MD"/>
              </w:rPr>
              <w:t>01.09.2021</w:t>
            </w:r>
          </w:p>
        </w:tc>
        <w:tc>
          <w:tcPr>
            <w:tcW w:w="1206" w:type="dxa"/>
            <w:vAlign w:val="center"/>
          </w:tcPr>
          <w:p w14:paraId="7FAA3F6E" w14:textId="77777777" w:rsidR="00B37661" w:rsidRPr="00B13B9A" w:rsidRDefault="00B37661" w:rsidP="00553C24">
            <w:pPr>
              <w:tabs>
                <w:tab w:val="left" w:pos="851"/>
              </w:tabs>
              <w:spacing w:line="276" w:lineRule="auto"/>
              <w:jc w:val="center"/>
              <w:rPr>
                <w:rFonts w:asciiTheme="majorHAnsi" w:hAnsiTheme="majorHAnsi" w:cstheme="majorHAnsi"/>
                <w:sz w:val="20"/>
                <w:szCs w:val="20"/>
                <w:lang w:val="ro-MD"/>
              </w:rPr>
            </w:pPr>
            <w:r w:rsidRPr="00B13B9A">
              <w:rPr>
                <w:rFonts w:asciiTheme="majorHAnsi" w:hAnsiTheme="majorHAnsi" w:cstheme="majorHAnsi"/>
                <w:sz w:val="20"/>
                <w:szCs w:val="20"/>
                <w:lang w:val="ro-MD"/>
              </w:rPr>
              <w:t>19.07.2021</w:t>
            </w:r>
          </w:p>
        </w:tc>
        <w:tc>
          <w:tcPr>
            <w:tcW w:w="851" w:type="dxa"/>
            <w:vAlign w:val="center"/>
          </w:tcPr>
          <w:p w14:paraId="41504E28" w14:textId="77777777" w:rsidR="00B37661" w:rsidRPr="00B13B9A" w:rsidRDefault="00B37661" w:rsidP="00553C24">
            <w:pPr>
              <w:tabs>
                <w:tab w:val="left" w:pos="851"/>
              </w:tabs>
              <w:spacing w:line="276" w:lineRule="auto"/>
              <w:jc w:val="center"/>
              <w:rPr>
                <w:rFonts w:asciiTheme="majorHAnsi" w:hAnsiTheme="majorHAnsi" w:cstheme="majorHAnsi"/>
                <w:sz w:val="20"/>
                <w:szCs w:val="20"/>
                <w:lang w:val="ro-MD"/>
              </w:rPr>
            </w:pPr>
            <w:r w:rsidRPr="00B13B9A">
              <w:rPr>
                <w:rFonts w:asciiTheme="majorHAnsi" w:hAnsiTheme="majorHAnsi" w:cstheme="majorHAnsi"/>
                <w:sz w:val="20"/>
                <w:szCs w:val="20"/>
                <w:lang w:val="ro-MD"/>
              </w:rPr>
              <w:t>159,4</w:t>
            </w:r>
          </w:p>
        </w:tc>
      </w:tr>
      <w:tr w:rsidR="00B37661" w:rsidRPr="00B13B9A" w14:paraId="69BD2C99" w14:textId="77777777" w:rsidTr="004B30CE">
        <w:tc>
          <w:tcPr>
            <w:tcW w:w="1271" w:type="dxa"/>
            <w:vMerge/>
            <w:vAlign w:val="center"/>
          </w:tcPr>
          <w:p w14:paraId="7E1761AB" w14:textId="77777777" w:rsidR="00B37661" w:rsidRPr="00B13B9A" w:rsidRDefault="00B37661" w:rsidP="00553C24">
            <w:pPr>
              <w:tabs>
                <w:tab w:val="left" w:pos="851"/>
              </w:tabs>
              <w:spacing w:line="276" w:lineRule="auto"/>
              <w:jc w:val="center"/>
              <w:rPr>
                <w:rFonts w:asciiTheme="majorHAnsi" w:hAnsiTheme="majorHAnsi" w:cstheme="majorHAnsi"/>
                <w:sz w:val="20"/>
                <w:szCs w:val="20"/>
                <w:lang w:val="ro-MD"/>
              </w:rPr>
            </w:pPr>
          </w:p>
        </w:tc>
        <w:tc>
          <w:tcPr>
            <w:tcW w:w="3827" w:type="dxa"/>
            <w:vMerge/>
            <w:vAlign w:val="center"/>
          </w:tcPr>
          <w:p w14:paraId="620AC964" w14:textId="77777777" w:rsidR="00B37661" w:rsidRPr="00B13B9A" w:rsidRDefault="00B37661" w:rsidP="00553C24">
            <w:pPr>
              <w:tabs>
                <w:tab w:val="left" w:pos="851"/>
              </w:tabs>
              <w:jc w:val="both"/>
              <w:rPr>
                <w:rFonts w:asciiTheme="majorHAnsi" w:hAnsiTheme="majorHAnsi" w:cstheme="majorHAnsi"/>
                <w:sz w:val="20"/>
                <w:szCs w:val="20"/>
                <w:lang w:val="ro-MD"/>
              </w:rPr>
            </w:pPr>
          </w:p>
        </w:tc>
        <w:tc>
          <w:tcPr>
            <w:tcW w:w="1276" w:type="dxa"/>
            <w:vMerge/>
            <w:vAlign w:val="center"/>
          </w:tcPr>
          <w:p w14:paraId="52DCED4D" w14:textId="77777777" w:rsidR="00B37661" w:rsidRPr="00B13B9A" w:rsidRDefault="00B37661" w:rsidP="00553C24">
            <w:pPr>
              <w:tabs>
                <w:tab w:val="left" w:pos="851"/>
              </w:tabs>
              <w:spacing w:line="276" w:lineRule="auto"/>
              <w:jc w:val="center"/>
              <w:rPr>
                <w:rFonts w:asciiTheme="majorHAnsi" w:hAnsiTheme="majorHAnsi" w:cstheme="majorHAnsi"/>
                <w:b/>
                <w:sz w:val="20"/>
                <w:szCs w:val="20"/>
                <w:lang w:val="ro-MD"/>
              </w:rPr>
            </w:pPr>
          </w:p>
        </w:tc>
        <w:tc>
          <w:tcPr>
            <w:tcW w:w="1316" w:type="dxa"/>
            <w:vMerge/>
            <w:vAlign w:val="center"/>
          </w:tcPr>
          <w:p w14:paraId="00887300" w14:textId="77777777" w:rsidR="00B37661" w:rsidRPr="00B13B9A" w:rsidRDefault="00B37661" w:rsidP="00553C24">
            <w:pPr>
              <w:tabs>
                <w:tab w:val="left" w:pos="851"/>
              </w:tabs>
              <w:spacing w:line="276" w:lineRule="auto"/>
              <w:jc w:val="center"/>
              <w:rPr>
                <w:rFonts w:asciiTheme="majorHAnsi" w:hAnsiTheme="majorHAnsi" w:cstheme="majorHAnsi"/>
                <w:sz w:val="20"/>
                <w:szCs w:val="20"/>
                <w:lang w:val="ro-MD"/>
              </w:rPr>
            </w:pPr>
          </w:p>
        </w:tc>
        <w:tc>
          <w:tcPr>
            <w:tcW w:w="1206" w:type="dxa"/>
            <w:vAlign w:val="center"/>
          </w:tcPr>
          <w:p w14:paraId="0DB07A2E" w14:textId="77777777" w:rsidR="00B37661" w:rsidRPr="00B13B9A" w:rsidRDefault="00B37661" w:rsidP="00553C24">
            <w:pPr>
              <w:tabs>
                <w:tab w:val="left" w:pos="851"/>
              </w:tabs>
              <w:spacing w:line="276" w:lineRule="auto"/>
              <w:jc w:val="center"/>
              <w:rPr>
                <w:rFonts w:asciiTheme="majorHAnsi" w:hAnsiTheme="majorHAnsi" w:cstheme="majorHAnsi"/>
                <w:sz w:val="20"/>
                <w:szCs w:val="20"/>
                <w:lang w:val="ro-MD"/>
              </w:rPr>
            </w:pPr>
            <w:r w:rsidRPr="00B13B9A">
              <w:rPr>
                <w:rFonts w:asciiTheme="majorHAnsi" w:hAnsiTheme="majorHAnsi" w:cstheme="majorHAnsi"/>
                <w:sz w:val="20"/>
                <w:szCs w:val="20"/>
                <w:lang w:val="ro-MD"/>
              </w:rPr>
              <w:t>12.08.2021</w:t>
            </w:r>
          </w:p>
        </w:tc>
        <w:tc>
          <w:tcPr>
            <w:tcW w:w="851" w:type="dxa"/>
            <w:vAlign w:val="center"/>
          </w:tcPr>
          <w:p w14:paraId="464BEC83" w14:textId="77777777" w:rsidR="00B37661" w:rsidRPr="00B13B9A" w:rsidRDefault="00B37661" w:rsidP="00553C24">
            <w:pPr>
              <w:tabs>
                <w:tab w:val="left" w:pos="851"/>
              </w:tabs>
              <w:spacing w:line="276" w:lineRule="auto"/>
              <w:jc w:val="center"/>
              <w:rPr>
                <w:rFonts w:asciiTheme="majorHAnsi" w:hAnsiTheme="majorHAnsi" w:cstheme="majorHAnsi"/>
                <w:sz w:val="20"/>
                <w:szCs w:val="20"/>
                <w:lang w:val="ro-MD"/>
              </w:rPr>
            </w:pPr>
            <w:r w:rsidRPr="00B13B9A">
              <w:rPr>
                <w:rFonts w:asciiTheme="majorHAnsi" w:hAnsiTheme="majorHAnsi" w:cstheme="majorHAnsi"/>
                <w:sz w:val="20"/>
                <w:szCs w:val="20"/>
                <w:lang w:val="ro-MD"/>
              </w:rPr>
              <w:t>80,7</w:t>
            </w:r>
          </w:p>
        </w:tc>
      </w:tr>
      <w:tr w:rsidR="00B37661" w:rsidRPr="00B13B9A" w14:paraId="5EC1F031" w14:textId="77777777" w:rsidTr="004B30CE">
        <w:tc>
          <w:tcPr>
            <w:tcW w:w="1271" w:type="dxa"/>
            <w:vMerge/>
            <w:vAlign w:val="center"/>
          </w:tcPr>
          <w:p w14:paraId="1964EB5C" w14:textId="77777777" w:rsidR="00B37661" w:rsidRPr="00B13B9A" w:rsidRDefault="00B37661" w:rsidP="00553C24">
            <w:pPr>
              <w:tabs>
                <w:tab w:val="left" w:pos="851"/>
              </w:tabs>
              <w:spacing w:line="276" w:lineRule="auto"/>
              <w:jc w:val="center"/>
              <w:rPr>
                <w:rFonts w:asciiTheme="majorHAnsi" w:hAnsiTheme="majorHAnsi" w:cstheme="majorHAnsi"/>
                <w:sz w:val="20"/>
                <w:szCs w:val="20"/>
                <w:lang w:val="ro-MD"/>
              </w:rPr>
            </w:pPr>
          </w:p>
        </w:tc>
        <w:tc>
          <w:tcPr>
            <w:tcW w:w="3827" w:type="dxa"/>
            <w:vMerge/>
            <w:vAlign w:val="center"/>
          </w:tcPr>
          <w:p w14:paraId="4FA5F2FA" w14:textId="77777777" w:rsidR="00B37661" w:rsidRPr="00B13B9A" w:rsidRDefault="00B37661" w:rsidP="00553C24">
            <w:pPr>
              <w:tabs>
                <w:tab w:val="left" w:pos="851"/>
              </w:tabs>
              <w:jc w:val="both"/>
              <w:rPr>
                <w:rFonts w:asciiTheme="majorHAnsi" w:hAnsiTheme="majorHAnsi" w:cstheme="majorHAnsi"/>
                <w:sz w:val="20"/>
                <w:szCs w:val="20"/>
                <w:lang w:val="ro-MD"/>
              </w:rPr>
            </w:pPr>
          </w:p>
        </w:tc>
        <w:tc>
          <w:tcPr>
            <w:tcW w:w="1276" w:type="dxa"/>
            <w:vMerge/>
            <w:vAlign w:val="center"/>
          </w:tcPr>
          <w:p w14:paraId="2C673065" w14:textId="77777777" w:rsidR="00B37661" w:rsidRPr="00B13B9A" w:rsidRDefault="00B37661" w:rsidP="00553C24">
            <w:pPr>
              <w:tabs>
                <w:tab w:val="left" w:pos="851"/>
              </w:tabs>
              <w:spacing w:line="276" w:lineRule="auto"/>
              <w:jc w:val="center"/>
              <w:rPr>
                <w:rFonts w:asciiTheme="majorHAnsi" w:hAnsiTheme="majorHAnsi" w:cstheme="majorHAnsi"/>
                <w:b/>
                <w:sz w:val="20"/>
                <w:szCs w:val="20"/>
                <w:lang w:val="ro-MD"/>
              </w:rPr>
            </w:pPr>
          </w:p>
        </w:tc>
        <w:tc>
          <w:tcPr>
            <w:tcW w:w="1316" w:type="dxa"/>
            <w:vMerge/>
            <w:vAlign w:val="center"/>
          </w:tcPr>
          <w:p w14:paraId="0DB868CA" w14:textId="77777777" w:rsidR="00B37661" w:rsidRPr="00B13B9A" w:rsidRDefault="00B37661" w:rsidP="00553C24">
            <w:pPr>
              <w:tabs>
                <w:tab w:val="left" w:pos="851"/>
              </w:tabs>
              <w:spacing w:line="276" w:lineRule="auto"/>
              <w:jc w:val="center"/>
              <w:rPr>
                <w:rFonts w:asciiTheme="majorHAnsi" w:hAnsiTheme="majorHAnsi" w:cstheme="majorHAnsi"/>
                <w:sz w:val="20"/>
                <w:szCs w:val="20"/>
                <w:lang w:val="ro-MD"/>
              </w:rPr>
            </w:pPr>
          </w:p>
        </w:tc>
        <w:tc>
          <w:tcPr>
            <w:tcW w:w="1206" w:type="dxa"/>
            <w:vAlign w:val="center"/>
          </w:tcPr>
          <w:p w14:paraId="7698B58B" w14:textId="77777777" w:rsidR="00B37661" w:rsidRPr="00B13B9A" w:rsidRDefault="00B37661" w:rsidP="00553C24">
            <w:pPr>
              <w:tabs>
                <w:tab w:val="left" w:pos="851"/>
              </w:tabs>
              <w:spacing w:line="276" w:lineRule="auto"/>
              <w:jc w:val="center"/>
              <w:rPr>
                <w:rFonts w:asciiTheme="majorHAnsi" w:hAnsiTheme="majorHAnsi" w:cstheme="majorHAnsi"/>
                <w:b/>
                <w:sz w:val="20"/>
                <w:szCs w:val="20"/>
                <w:lang w:val="ro-MD"/>
              </w:rPr>
            </w:pPr>
            <w:r w:rsidRPr="00B13B9A">
              <w:rPr>
                <w:rFonts w:asciiTheme="majorHAnsi" w:hAnsiTheme="majorHAnsi" w:cstheme="majorHAnsi"/>
                <w:b/>
                <w:sz w:val="20"/>
                <w:szCs w:val="20"/>
                <w:lang w:val="ro-MD"/>
              </w:rPr>
              <w:t>12.09.2021</w:t>
            </w:r>
          </w:p>
        </w:tc>
        <w:tc>
          <w:tcPr>
            <w:tcW w:w="851" w:type="dxa"/>
            <w:vAlign w:val="center"/>
          </w:tcPr>
          <w:p w14:paraId="5B797D1F" w14:textId="77777777" w:rsidR="00B37661" w:rsidRPr="00B13B9A" w:rsidRDefault="00B37661" w:rsidP="00553C24">
            <w:pPr>
              <w:tabs>
                <w:tab w:val="left" w:pos="851"/>
              </w:tabs>
              <w:spacing w:line="276" w:lineRule="auto"/>
              <w:jc w:val="center"/>
              <w:rPr>
                <w:rFonts w:asciiTheme="majorHAnsi" w:hAnsiTheme="majorHAnsi" w:cstheme="majorHAnsi"/>
                <w:sz w:val="20"/>
                <w:szCs w:val="20"/>
                <w:lang w:val="ro-MD"/>
              </w:rPr>
            </w:pPr>
            <w:r w:rsidRPr="00B13B9A">
              <w:rPr>
                <w:rFonts w:asciiTheme="majorHAnsi" w:hAnsiTheme="majorHAnsi" w:cstheme="majorHAnsi"/>
                <w:sz w:val="20"/>
                <w:szCs w:val="20"/>
                <w:lang w:val="ro-MD"/>
              </w:rPr>
              <w:t>58,5</w:t>
            </w:r>
          </w:p>
        </w:tc>
      </w:tr>
      <w:tr w:rsidR="00B37661" w:rsidRPr="00B13B9A" w14:paraId="400E9EF1" w14:textId="77777777" w:rsidTr="004B30CE">
        <w:tc>
          <w:tcPr>
            <w:tcW w:w="1271" w:type="dxa"/>
            <w:vMerge w:val="restart"/>
            <w:vAlign w:val="center"/>
          </w:tcPr>
          <w:p w14:paraId="51287126" w14:textId="77777777" w:rsidR="00B37661" w:rsidRPr="00B13B9A" w:rsidRDefault="00B37661" w:rsidP="00553C24">
            <w:pPr>
              <w:tabs>
                <w:tab w:val="left" w:pos="851"/>
              </w:tabs>
              <w:spacing w:line="276" w:lineRule="auto"/>
              <w:jc w:val="center"/>
              <w:rPr>
                <w:rFonts w:asciiTheme="majorHAnsi" w:hAnsiTheme="majorHAnsi" w:cstheme="majorHAnsi"/>
                <w:sz w:val="20"/>
                <w:szCs w:val="20"/>
                <w:lang w:val="ro-MD"/>
              </w:rPr>
            </w:pPr>
          </w:p>
          <w:p w14:paraId="1789A77B" w14:textId="77777777" w:rsidR="00B37661" w:rsidRPr="00B13B9A" w:rsidRDefault="00B37661" w:rsidP="00553C24">
            <w:pPr>
              <w:tabs>
                <w:tab w:val="left" w:pos="851"/>
              </w:tabs>
              <w:spacing w:line="276" w:lineRule="auto"/>
              <w:jc w:val="center"/>
              <w:rPr>
                <w:rFonts w:asciiTheme="majorHAnsi" w:hAnsiTheme="majorHAnsi" w:cstheme="majorHAnsi"/>
                <w:sz w:val="20"/>
                <w:szCs w:val="20"/>
                <w:lang w:val="ro-MD"/>
              </w:rPr>
            </w:pPr>
            <w:r w:rsidRPr="00B13B9A">
              <w:rPr>
                <w:rFonts w:asciiTheme="majorHAnsi" w:hAnsiTheme="majorHAnsi" w:cstheme="majorHAnsi"/>
                <w:sz w:val="20"/>
                <w:szCs w:val="20"/>
                <w:lang w:val="ro-MD"/>
              </w:rPr>
              <w:t>nr. 31 din 04.10.2021</w:t>
            </w:r>
          </w:p>
        </w:tc>
        <w:tc>
          <w:tcPr>
            <w:tcW w:w="3827" w:type="dxa"/>
            <w:vMerge w:val="restart"/>
            <w:vAlign w:val="center"/>
          </w:tcPr>
          <w:p w14:paraId="16EAEA02" w14:textId="52CE2AC1" w:rsidR="00B37661" w:rsidRPr="00B13B9A" w:rsidRDefault="00B37661" w:rsidP="00553C24">
            <w:pPr>
              <w:tabs>
                <w:tab w:val="left" w:pos="851"/>
              </w:tabs>
              <w:jc w:val="both"/>
              <w:rPr>
                <w:rFonts w:asciiTheme="majorHAnsi" w:hAnsiTheme="majorHAnsi" w:cstheme="majorHAnsi"/>
                <w:sz w:val="20"/>
                <w:szCs w:val="20"/>
                <w:lang w:val="ro-MD"/>
              </w:rPr>
            </w:pPr>
            <w:r w:rsidRPr="00B13B9A">
              <w:rPr>
                <w:rFonts w:asciiTheme="majorHAnsi" w:hAnsiTheme="majorHAnsi" w:cstheme="majorHAnsi"/>
                <w:sz w:val="20"/>
                <w:szCs w:val="20"/>
                <w:lang w:val="ro-MD"/>
              </w:rPr>
              <w:t>Lucrări de repara</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 xml:space="preserve">ie a biroului nr. 511 </w:t>
            </w:r>
            <w:r w:rsidR="00B13B9A" w:rsidRPr="00B13B9A">
              <w:rPr>
                <w:rFonts w:asciiTheme="majorHAnsi" w:hAnsiTheme="majorHAnsi" w:cstheme="majorHAnsi"/>
                <w:sz w:val="20"/>
                <w:szCs w:val="20"/>
                <w:lang w:val="ro-MD"/>
              </w:rPr>
              <w:t>ș</w:t>
            </w:r>
            <w:r w:rsidRPr="00B13B9A">
              <w:rPr>
                <w:rFonts w:asciiTheme="majorHAnsi" w:hAnsiTheme="majorHAnsi" w:cstheme="majorHAnsi"/>
                <w:sz w:val="20"/>
                <w:szCs w:val="20"/>
                <w:lang w:val="ro-MD"/>
              </w:rPr>
              <w:t xml:space="preserve">i </w:t>
            </w:r>
            <w:r w:rsidR="00C839D9" w:rsidRPr="00B13B9A">
              <w:rPr>
                <w:rFonts w:asciiTheme="majorHAnsi" w:hAnsiTheme="majorHAnsi" w:cstheme="majorHAnsi"/>
                <w:sz w:val="20"/>
                <w:szCs w:val="20"/>
                <w:lang w:val="ro-MD"/>
              </w:rPr>
              <w:t xml:space="preserve">nr. </w:t>
            </w:r>
            <w:r w:rsidRPr="00B13B9A">
              <w:rPr>
                <w:rFonts w:asciiTheme="majorHAnsi" w:hAnsiTheme="majorHAnsi" w:cstheme="majorHAnsi"/>
                <w:sz w:val="20"/>
                <w:szCs w:val="20"/>
                <w:lang w:val="ro-MD"/>
              </w:rPr>
              <w:t>508 endoscopie</w:t>
            </w:r>
          </w:p>
        </w:tc>
        <w:tc>
          <w:tcPr>
            <w:tcW w:w="1276" w:type="dxa"/>
            <w:vMerge w:val="restart"/>
            <w:vAlign w:val="center"/>
          </w:tcPr>
          <w:p w14:paraId="4D201DC7" w14:textId="77777777" w:rsidR="00B37661" w:rsidRPr="00B13B9A" w:rsidRDefault="00B37661" w:rsidP="00553C24">
            <w:pPr>
              <w:tabs>
                <w:tab w:val="left" w:pos="851"/>
              </w:tabs>
              <w:spacing w:line="276" w:lineRule="auto"/>
              <w:jc w:val="center"/>
              <w:rPr>
                <w:rFonts w:asciiTheme="majorHAnsi" w:hAnsiTheme="majorHAnsi" w:cstheme="majorHAnsi"/>
                <w:sz w:val="20"/>
                <w:szCs w:val="20"/>
                <w:lang w:val="ro-MD"/>
              </w:rPr>
            </w:pPr>
            <w:r w:rsidRPr="00B13B9A">
              <w:rPr>
                <w:rFonts w:asciiTheme="majorHAnsi" w:hAnsiTheme="majorHAnsi" w:cstheme="majorHAnsi"/>
                <w:sz w:val="20"/>
                <w:szCs w:val="20"/>
                <w:lang w:val="ro-MD"/>
              </w:rPr>
              <w:t>299,9</w:t>
            </w:r>
          </w:p>
        </w:tc>
        <w:tc>
          <w:tcPr>
            <w:tcW w:w="1316" w:type="dxa"/>
            <w:vMerge w:val="restart"/>
            <w:vAlign w:val="center"/>
          </w:tcPr>
          <w:p w14:paraId="642326F8" w14:textId="77777777" w:rsidR="00B37661" w:rsidRPr="00B13B9A" w:rsidRDefault="00B37661" w:rsidP="00553C24">
            <w:pPr>
              <w:tabs>
                <w:tab w:val="left" w:pos="851"/>
              </w:tabs>
              <w:spacing w:line="276" w:lineRule="auto"/>
              <w:jc w:val="center"/>
              <w:rPr>
                <w:rFonts w:asciiTheme="majorHAnsi" w:hAnsiTheme="majorHAnsi" w:cstheme="majorHAnsi"/>
                <w:b/>
                <w:sz w:val="20"/>
                <w:szCs w:val="20"/>
                <w:lang w:val="ro-MD"/>
              </w:rPr>
            </w:pPr>
            <w:r w:rsidRPr="00B13B9A">
              <w:rPr>
                <w:rFonts w:asciiTheme="majorHAnsi" w:hAnsiTheme="majorHAnsi" w:cstheme="majorHAnsi"/>
                <w:b/>
                <w:sz w:val="20"/>
                <w:szCs w:val="20"/>
                <w:lang w:val="ro-MD"/>
              </w:rPr>
              <w:t>31.12.2021</w:t>
            </w:r>
          </w:p>
        </w:tc>
        <w:tc>
          <w:tcPr>
            <w:tcW w:w="1206" w:type="dxa"/>
            <w:vAlign w:val="center"/>
          </w:tcPr>
          <w:p w14:paraId="339AE378" w14:textId="77777777" w:rsidR="00B37661" w:rsidRPr="00B13B9A" w:rsidRDefault="00B37661" w:rsidP="00553C24">
            <w:pPr>
              <w:tabs>
                <w:tab w:val="left" w:pos="851"/>
              </w:tabs>
              <w:spacing w:line="276" w:lineRule="auto"/>
              <w:jc w:val="center"/>
              <w:rPr>
                <w:rFonts w:asciiTheme="majorHAnsi" w:hAnsiTheme="majorHAnsi" w:cstheme="majorHAnsi"/>
                <w:sz w:val="20"/>
                <w:szCs w:val="20"/>
                <w:lang w:val="ro-MD"/>
              </w:rPr>
            </w:pPr>
            <w:r w:rsidRPr="00B13B9A">
              <w:rPr>
                <w:rFonts w:asciiTheme="majorHAnsi" w:hAnsiTheme="majorHAnsi" w:cstheme="majorHAnsi"/>
                <w:sz w:val="20"/>
                <w:szCs w:val="20"/>
                <w:lang w:val="ro-MD"/>
              </w:rPr>
              <w:t>01.12.2021</w:t>
            </w:r>
          </w:p>
        </w:tc>
        <w:tc>
          <w:tcPr>
            <w:tcW w:w="851" w:type="dxa"/>
            <w:vAlign w:val="center"/>
          </w:tcPr>
          <w:p w14:paraId="5815313C" w14:textId="77777777" w:rsidR="00B37661" w:rsidRPr="00B13B9A" w:rsidRDefault="00B37661" w:rsidP="00553C24">
            <w:pPr>
              <w:tabs>
                <w:tab w:val="left" w:pos="851"/>
              </w:tabs>
              <w:spacing w:line="276" w:lineRule="auto"/>
              <w:jc w:val="center"/>
              <w:rPr>
                <w:rFonts w:asciiTheme="majorHAnsi" w:hAnsiTheme="majorHAnsi" w:cstheme="majorHAnsi"/>
                <w:sz w:val="20"/>
                <w:szCs w:val="20"/>
                <w:lang w:val="ro-MD"/>
              </w:rPr>
            </w:pPr>
            <w:r w:rsidRPr="00B13B9A">
              <w:rPr>
                <w:rFonts w:asciiTheme="majorHAnsi" w:hAnsiTheme="majorHAnsi" w:cstheme="majorHAnsi"/>
                <w:sz w:val="20"/>
                <w:szCs w:val="20"/>
                <w:lang w:val="ro-MD"/>
              </w:rPr>
              <w:t>62,4</w:t>
            </w:r>
          </w:p>
        </w:tc>
      </w:tr>
      <w:tr w:rsidR="00B37661" w:rsidRPr="00B13B9A" w14:paraId="43CAA59F" w14:textId="77777777" w:rsidTr="004B30CE">
        <w:tc>
          <w:tcPr>
            <w:tcW w:w="1271" w:type="dxa"/>
            <w:vMerge/>
            <w:vAlign w:val="center"/>
          </w:tcPr>
          <w:p w14:paraId="0BF45CB8" w14:textId="77777777" w:rsidR="00B37661" w:rsidRPr="00B13B9A" w:rsidRDefault="00B37661" w:rsidP="00553C24">
            <w:pPr>
              <w:tabs>
                <w:tab w:val="left" w:pos="851"/>
              </w:tabs>
              <w:spacing w:line="276" w:lineRule="auto"/>
              <w:jc w:val="center"/>
              <w:rPr>
                <w:rFonts w:asciiTheme="majorHAnsi" w:hAnsiTheme="majorHAnsi" w:cstheme="majorHAnsi"/>
                <w:sz w:val="20"/>
                <w:szCs w:val="20"/>
                <w:lang w:val="ro-MD"/>
              </w:rPr>
            </w:pPr>
          </w:p>
        </w:tc>
        <w:tc>
          <w:tcPr>
            <w:tcW w:w="3827" w:type="dxa"/>
            <w:vMerge/>
            <w:vAlign w:val="center"/>
          </w:tcPr>
          <w:p w14:paraId="3895B82A" w14:textId="77777777" w:rsidR="00B37661" w:rsidRPr="00B13B9A" w:rsidRDefault="00B37661" w:rsidP="00553C24">
            <w:pPr>
              <w:tabs>
                <w:tab w:val="left" w:pos="851"/>
              </w:tabs>
              <w:jc w:val="both"/>
              <w:rPr>
                <w:rFonts w:asciiTheme="majorHAnsi" w:hAnsiTheme="majorHAnsi" w:cstheme="majorHAnsi"/>
                <w:sz w:val="20"/>
                <w:szCs w:val="20"/>
                <w:lang w:val="ro-MD"/>
              </w:rPr>
            </w:pPr>
          </w:p>
        </w:tc>
        <w:tc>
          <w:tcPr>
            <w:tcW w:w="1276" w:type="dxa"/>
            <w:vMerge/>
            <w:vAlign w:val="center"/>
          </w:tcPr>
          <w:p w14:paraId="62C6FB5F" w14:textId="77777777" w:rsidR="00B37661" w:rsidRPr="00B13B9A" w:rsidRDefault="00B37661" w:rsidP="00553C24">
            <w:pPr>
              <w:tabs>
                <w:tab w:val="left" w:pos="851"/>
              </w:tabs>
              <w:spacing w:line="276" w:lineRule="auto"/>
              <w:jc w:val="center"/>
              <w:rPr>
                <w:rFonts w:asciiTheme="majorHAnsi" w:hAnsiTheme="majorHAnsi" w:cstheme="majorHAnsi"/>
                <w:b/>
                <w:sz w:val="20"/>
                <w:szCs w:val="20"/>
                <w:lang w:val="ro-MD"/>
              </w:rPr>
            </w:pPr>
          </w:p>
        </w:tc>
        <w:tc>
          <w:tcPr>
            <w:tcW w:w="1316" w:type="dxa"/>
            <w:vMerge/>
            <w:vAlign w:val="center"/>
          </w:tcPr>
          <w:p w14:paraId="06A65CBB" w14:textId="77777777" w:rsidR="00B37661" w:rsidRPr="00B13B9A" w:rsidRDefault="00B37661" w:rsidP="00553C24">
            <w:pPr>
              <w:tabs>
                <w:tab w:val="left" w:pos="851"/>
              </w:tabs>
              <w:spacing w:line="276" w:lineRule="auto"/>
              <w:jc w:val="center"/>
              <w:rPr>
                <w:rFonts w:asciiTheme="majorHAnsi" w:hAnsiTheme="majorHAnsi" w:cstheme="majorHAnsi"/>
                <w:sz w:val="20"/>
                <w:szCs w:val="20"/>
                <w:lang w:val="ro-MD"/>
              </w:rPr>
            </w:pPr>
          </w:p>
        </w:tc>
        <w:tc>
          <w:tcPr>
            <w:tcW w:w="1206" w:type="dxa"/>
            <w:vAlign w:val="center"/>
          </w:tcPr>
          <w:p w14:paraId="37403705" w14:textId="77777777" w:rsidR="00B37661" w:rsidRPr="00B13B9A" w:rsidRDefault="00B37661" w:rsidP="00553C24">
            <w:pPr>
              <w:tabs>
                <w:tab w:val="left" w:pos="851"/>
              </w:tabs>
              <w:spacing w:line="276" w:lineRule="auto"/>
              <w:jc w:val="center"/>
              <w:rPr>
                <w:rFonts w:asciiTheme="majorHAnsi" w:hAnsiTheme="majorHAnsi" w:cstheme="majorHAnsi"/>
                <w:b/>
                <w:sz w:val="20"/>
                <w:szCs w:val="20"/>
                <w:lang w:val="ro-MD"/>
              </w:rPr>
            </w:pPr>
            <w:r w:rsidRPr="00B13B9A">
              <w:rPr>
                <w:rFonts w:asciiTheme="majorHAnsi" w:hAnsiTheme="majorHAnsi" w:cstheme="majorHAnsi"/>
                <w:b/>
                <w:sz w:val="20"/>
                <w:szCs w:val="20"/>
                <w:lang w:val="ro-MD"/>
              </w:rPr>
              <w:t>05.01.2022</w:t>
            </w:r>
          </w:p>
        </w:tc>
        <w:tc>
          <w:tcPr>
            <w:tcW w:w="851" w:type="dxa"/>
            <w:vAlign w:val="center"/>
          </w:tcPr>
          <w:p w14:paraId="358B806D" w14:textId="77777777" w:rsidR="00B37661" w:rsidRPr="00B13B9A" w:rsidRDefault="00B37661" w:rsidP="00553C24">
            <w:pPr>
              <w:tabs>
                <w:tab w:val="left" w:pos="851"/>
              </w:tabs>
              <w:spacing w:line="276" w:lineRule="auto"/>
              <w:jc w:val="center"/>
              <w:rPr>
                <w:rFonts w:asciiTheme="majorHAnsi" w:hAnsiTheme="majorHAnsi" w:cstheme="majorHAnsi"/>
                <w:sz w:val="20"/>
                <w:szCs w:val="20"/>
                <w:lang w:val="ro-MD"/>
              </w:rPr>
            </w:pPr>
            <w:r w:rsidRPr="00B13B9A">
              <w:rPr>
                <w:rFonts w:asciiTheme="majorHAnsi" w:hAnsiTheme="majorHAnsi" w:cstheme="majorHAnsi"/>
                <w:sz w:val="20"/>
                <w:szCs w:val="20"/>
                <w:lang w:val="ro-MD"/>
              </w:rPr>
              <w:t>63,1</w:t>
            </w:r>
          </w:p>
        </w:tc>
      </w:tr>
      <w:tr w:rsidR="00B37661" w:rsidRPr="00B13B9A" w14:paraId="34AEA4AB" w14:textId="77777777" w:rsidTr="004B30CE">
        <w:tc>
          <w:tcPr>
            <w:tcW w:w="1271" w:type="dxa"/>
            <w:vMerge/>
          </w:tcPr>
          <w:p w14:paraId="50409E4D" w14:textId="77777777" w:rsidR="00B37661" w:rsidRPr="00B13B9A" w:rsidRDefault="00B37661" w:rsidP="00553C24">
            <w:pPr>
              <w:tabs>
                <w:tab w:val="left" w:pos="851"/>
              </w:tabs>
              <w:spacing w:line="276" w:lineRule="auto"/>
              <w:rPr>
                <w:rFonts w:asciiTheme="majorHAnsi" w:hAnsiTheme="majorHAnsi" w:cstheme="majorHAnsi"/>
                <w:sz w:val="20"/>
                <w:szCs w:val="20"/>
                <w:lang w:val="ro-MD"/>
              </w:rPr>
            </w:pPr>
          </w:p>
        </w:tc>
        <w:tc>
          <w:tcPr>
            <w:tcW w:w="3827" w:type="dxa"/>
            <w:vMerge/>
            <w:vAlign w:val="center"/>
          </w:tcPr>
          <w:p w14:paraId="5A05CC22" w14:textId="77777777" w:rsidR="00B37661" w:rsidRPr="00B13B9A" w:rsidRDefault="00B37661" w:rsidP="00553C24">
            <w:pPr>
              <w:tabs>
                <w:tab w:val="left" w:pos="851"/>
              </w:tabs>
              <w:spacing w:line="276" w:lineRule="auto"/>
              <w:jc w:val="center"/>
              <w:rPr>
                <w:rFonts w:asciiTheme="majorHAnsi" w:hAnsiTheme="majorHAnsi" w:cstheme="majorHAnsi"/>
                <w:sz w:val="20"/>
                <w:szCs w:val="20"/>
                <w:lang w:val="ro-MD"/>
              </w:rPr>
            </w:pPr>
          </w:p>
        </w:tc>
        <w:tc>
          <w:tcPr>
            <w:tcW w:w="1276" w:type="dxa"/>
            <w:vMerge/>
            <w:vAlign w:val="center"/>
          </w:tcPr>
          <w:p w14:paraId="2B751E3A" w14:textId="77777777" w:rsidR="00B37661" w:rsidRPr="00B13B9A" w:rsidRDefault="00B37661" w:rsidP="00553C24">
            <w:pPr>
              <w:tabs>
                <w:tab w:val="left" w:pos="851"/>
              </w:tabs>
              <w:spacing w:line="276" w:lineRule="auto"/>
              <w:jc w:val="center"/>
              <w:rPr>
                <w:rFonts w:asciiTheme="majorHAnsi" w:hAnsiTheme="majorHAnsi" w:cstheme="majorHAnsi"/>
                <w:sz w:val="20"/>
                <w:szCs w:val="20"/>
                <w:lang w:val="ro-MD"/>
              </w:rPr>
            </w:pPr>
          </w:p>
        </w:tc>
        <w:tc>
          <w:tcPr>
            <w:tcW w:w="1316" w:type="dxa"/>
            <w:vMerge/>
            <w:vAlign w:val="center"/>
          </w:tcPr>
          <w:p w14:paraId="471563CC" w14:textId="77777777" w:rsidR="00B37661" w:rsidRPr="00B13B9A" w:rsidRDefault="00B37661" w:rsidP="00553C24">
            <w:pPr>
              <w:tabs>
                <w:tab w:val="left" w:pos="851"/>
              </w:tabs>
              <w:spacing w:line="276" w:lineRule="auto"/>
              <w:jc w:val="center"/>
              <w:rPr>
                <w:rFonts w:asciiTheme="majorHAnsi" w:hAnsiTheme="majorHAnsi" w:cstheme="majorHAnsi"/>
                <w:sz w:val="20"/>
                <w:szCs w:val="20"/>
                <w:lang w:val="ro-MD"/>
              </w:rPr>
            </w:pPr>
          </w:p>
        </w:tc>
        <w:tc>
          <w:tcPr>
            <w:tcW w:w="1206" w:type="dxa"/>
            <w:vAlign w:val="center"/>
          </w:tcPr>
          <w:p w14:paraId="1AA262F3" w14:textId="77777777" w:rsidR="00B37661" w:rsidRPr="00B13B9A" w:rsidRDefault="00B37661" w:rsidP="00553C24">
            <w:pPr>
              <w:tabs>
                <w:tab w:val="left" w:pos="851"/>
              </w:tabs>
              <w:spacing w:line="276" w:lineRule="auto"/>
              <w:jc w:val="center"/>
              <w:rPr>
                <w:rFonts w:asciiTheme="majorHAnsi" w:hAnsiTheme="majorHAnsi" w:cstheme="majorHAnsi"/>
                <w:b/>
                <w:sz w:val="20"/>
                <w:szCs w:val="20"/>
                <w:lang w:val="ro-MD"/>
              </w:rPr>
            </w:pPr>
            <w:r w:rsidRPr="00B13B9A">
              <w:rPr>
                <w:rFonts w:asciiTheme="majorHAnsi" w:hAnsiTheme="majorHAnsi" w:cstheme="majorHAnsi"/>
                <w:b/>
                <w:sz w:val="20"/>
                <w:szCs w:val="20"/>
                <w:lang w:val="ro-MD"/>
              </w:rPr>
              <w:t>01.02.2022</w:t>
            </w:r>
          </w:p>
        </w:tc>
        <w:tc>
          <w:tcPr>
            <w:tcW w:w="851" w:type="dxa"/>
            <w:vAlign w:val="center"/>
          </w:tcPr>
          <w:p w14:paraId="62BAD5F3" w14:textId="77777777" w:rsidR="00B37661" w:rsidRPr="00B13B9A" w:rsidRDefault="00B37661" w:rsidP="00553C24">
            <w:pPr>
              <w:tabs>
                <w:tab w:val="left" w:pos="851"/>
              </w:tabs>
              <w:spacing w:line="276" w:lineRule="auto"/>
              <w:jc w:val="center"/>
              <w:rPr>
                <w:rFonts w:asciiTheme="majorHAnsi" w:hAnsiTheme="majorHAnsi" w:cstheme="majorHAnsi"/>
                <w:sz w:val="20"/>
                <w:szCs w:val="20"/>
                <w:lang w:val="ro-MD"/>
              </w:rPr>
            </w:pPr>
            <w:r w:rsidRPr="00B13B9A">
              <w:rPr>
                <w:rFonts w:asciiTheme="majorHAnsi" w:hAnsiTheme="majorHAnsi" w:cstheme="majorHAnsi"/>
                <w:sz w:val="20"/>
                <w:szCs w:val="20"/>
                <w:lang w:val="ro-MD"/>
              </w:rPr>
              <w:t>69,9</w:t>
            </w:r>
          </w:p>
        </w:tc>
      </w:tr>
      <w:tr w:rsidR="00B37661" w:rsidRPr="00B13B9A" w14:paraId="2BD9ED54" w14:textId="77777777" w:rsidTr="004B30CE">
        <w:tc>
          <w:tcPr>
            <w:tcW w:w="1271" w:type="dxa"/>
            <w:vMerge/>
          </w:tcPr>
          <w:p w14:paraId="2AF00259" w14:textId="77777777" w:rsidR="00B37661" w:rsidRPr="00B13B9A" w:rsidRDefault="00B37661" w:rsidP="00553C24">
            <w:pPr>
              <w:tabs>
                <w:tab w:val="left" w:pos="851"/>
              </w:tabs>
              <w:spacing w:line="276" w:lineRule="auto"/>
              <w:rPr>
                <w:rFonts w:asciiTheme="majorHAnsi" w:hAnsiTheme="majorHAnsi" w:cstheme="majorHAnsi"/>
                <w:sz w:val="20"/>
                <w:szCs w:val="20"/>
                <w:lang w:val="ro-MD"/>
              </w:rPr>
            </w:pPr>
          </w:p>
        </w:tc>
        <w:tc>
          <w:tcPr>
            <w:tcW w:w="3827" w:type="dxa"/>
            <w:vMerge/>
            <w:vAlign w:val="center"/>
          </w:tcPr>
          <w:p w14:paraId="5496DC15" w14:textId="77777777" w:rsidR="00B37661" w:rsidRPr="00B13B9A" w:rsidRDefault="00B37661" w:rsidP="00553C24">
            <w:pPr>
              <w:tabs>
                <w:tab w:val="left" w:pos="851"/>
              </w:tabs>
              <w:spacing w:line="276" w:lineRule="auto"/>
              <w:jc w:val="center"/>
              <w:rPr>
                <w:rFonts w:asciiTheme="majorHAnsi" w:hAnsiTheme="majorHAnsi" w:cstheme="majorHAnsi"/>
                <w:sz w:val="20"/>
                <w:szCs w:val="20"/>
                <w:lang w:val="ro-MD"/>
              </w:rPr>
            </w:pPr>
          </w:p>
        </w:tc>
        <w:tc>
          <w:tcPr>
            <w:tcW w:w="1276" w:type="dxa"/>
            <w:vMerge/>
            <w:vAlign w:val="center"/>
          </w:tcPr>
          <w:p w14:paraId="3A8603F8" w14:textId="77777777" w:rsidR="00B37661" w:rsidRPr="00B13B9A" w:rsidRDefault="00B37661" w:rsidP="00553C24">
            <w:pPr>
              <w:tabs>
                <w:tab w:val="left" w:pos="851"/>
              </w:tabs>
              <w:spacing w:line="276" w:lineRule="auto"/>
              <w:jc w:val="center"/>
              <w:rPr>
                <w:rFonts w:asciiTheme="majorHAnsi" w:hAnsiTheme="majorHAnsi" w:cstheme="majorHAnsi"/>
                <w:sz w:val="20"/>
                <w:szCs w:val="20"/>
                <w:lang w:val="ro-MD"/>
              </w:rPr>
            </w:pPr>
          </w:p>
        </w:tc>
        <w:tc>
          <w:tcPr>
            <w:tcW w:w="1316" w:type="dxa"/>
            <w:vMerge/>
            <w:vAlign w:val="center"/>
          </w:tcPr>
          <w:p w14:paraId="425321FA" w14:textId="77777777" w:rsidR="00B37661" w:rsidRPr="00B13B9A" w:rsidRDefault="00B37661" w:rsidP="00553C24">
            <w:pPr>
              <w:tabs>
                <w:tab w:val="left" w:pos="851"/>
              </w:tabs>
              <w:spacing w:line="276" w:lineRule="auto"/>
              <w:jc w:val="center"/>
              <w:rPr>
                <w:rFonts w:asciiTheme="majorHAnsi" w:hAnsiTheme="majorHAnsi" w:cstheme="majorHAnsi"/>
                <w:sz w:val="20"/>
                <w:szCs w:val="20"/>
                <w:lang w:val="ro-MD"/>
              </w:rPr>
            </w:pPr>
          </w:p>
        </w:tc>
        <w:tc>
          <w:tcPr>
            <w:tcW w:w="1206" w:type="dxa"/>
            <w:vAlign w:val="center"/>
          </w:tcPr>
          <w:p w14:paraId="0A4B4858" w14:textId="77777777" w:rsidR="00B37661" w:rsidRPr="00B13B9A" w:rsidRDefault="00B37661" w:rsidP="00553C24">
            <w:pPr>
              <w:tabs>
                <w:tab w:val="left" w:pos="851"/>
              </w:tabs>
              <w:spacing w:line="276" w:lineRule="auto"/>
              <w:jc w:val="center"/>
              <w:rPr>
                <w:rFonts w:asciiTheme="majorHAnsi" w:hAnsiTheme="majorHAnsi" w:cstheme="majorHAnsi"/>
                <w:b/>
                <w:sz w:val="20"/>
                <w:szCs w:val="20"/>
                <w:lang w:val="ro-MD"/>
              </w:rPr>
            </w:pPr>
            <w:r w:rsidRPr="00B13B9A">
              <w:rPr>
                <w:rFonts w:asciiTheme="majorHAnsi" w:hAnsiTheme="majorHAnsi" w:cstheme="majorHAnsi"/>
                <w:b/>
                <w:sz w:val="20"/>
                <w:szCs w:val="20"/>
                <w:lang w:val="ro-MD"/>
              </w:rPr>
              <w:t>07.03.2022</w:t>
            </w:r>
          </w:p>
        </w:tc>
        <w:tc>
          <w:tcPr>
            <w:tcW w:w="851" w:type="dxa"/>
            <w:vAlign w:val="center"/>
          </w:tcPr>
          <w:p w14:paraId="05230741" w14:textId="77777777" w:rsidR="00B37661" w:rsidRPr="00B13B9A" w:rsidRDefault="00B37661" w:rsidP="00553C24">
            <w:pPr>
              <w:tabs>
                <w:tab w:val="left" w:pos="851"/>
              </w:tabs>
              <w:spacing w:line="276" w:lineRule="auto"/>
              <w:jc w:val="center"/>
              <w:rPr>
                <w:rFonts w:asciiTheme="majorHAnsi" w:hAnsiTheme="majorHAnsi" w:cstheme="majorHAnsi"/>
                <w:sz w:val="20"/>
                <w:szCs w:val="20"/>
                <w:lang w:val="ro-MD"/>
              </w:rPr>
            </w:pPr>
            <w:r w:rsidRPr="00B13B9A">
              <w:rPr>
                <w:rFonts w:asciiTheme="majorHAnsi" w:hAnsiTheme="majorHAnsi" w:cstheme="majorHAnsi"/>
                <w:sz w:val="20"/>
                <w:szCs w:val="20"/>
                <w:lang w:val="ro-MD"/>
              </w:rPr>
              <w:t>53,9</w:t>
            </w:r>
          </w:p>
        </w:tc>
      </w:tr>
      <w:tr w:rsidR="00B37661" w:rsidRPr="00B13B9A" w14:paraId="2F0CE272" w14:textId="77777777" w:rsidTr="004B30CE">
        <w:tc>
          <w:tcPr>
            <w:tcW w:w="1271" w:type="dxa"/>
            <w:vMerge/>
          </w:tcPr>
          <w:p w14:paraId="62728981" w14:textId="77777777" w:rsidR="00B37661" w:rsidRPr="00B13B9A" w:rsidRDefault="00B37661" w:rsidP="00553C24">
            <w:pPr>
              <w:tabs>
                <w:tab w:val="left" w:pos="851"/>
              </w:tabs>
              <w:spacing w:line="276" w:lineRule="auto"/>
              <w:rPr>
                <w:rFonts w:asciiTheme="majorHAnsi" w:hAnsiTheme="majorHAnsi" w:cstheme="majorHAnsi"/>
                <w:sz w:val="20"/>
                <w:szCs w:val="20"/>
                <w:lang w:val="ro-MD"/>
              </w:rPr>
            </w:pPr>
          </w:p>
        </w:tc>
        <w:tc>
          <w:tcPr>
            <w:tcW w:w="3827" w:type="dxa"/>
            <w:vMerge/>
          </w:tcPr>
          <w:p w14:paraId="5F11F978" w14:textId="77777777" w:rsidR="00B37661" w:rsidRPr="00B13B9A" w:rsidRDefault="00B37661" w:rsidP="00553C24">
            <w:pPr>
              <w:tabs>
                <w:tab w:val="left" w:pos="851"/>
              </w:tabs>
              <w:spacing w:line="276" w:lineRule="auto"/>
              <w:rPr>
                <w:rFonts w:asciiTheme="majorHAnsi" w:hAnsiTheme="majorHAnsi" w:cstheme="majorHAnsi"/>
                <w:sz w:val="20"/>
                <w:szCs w:val="20"/>
                <w:lang w:val="ro-MD"/>
              </w:rPr>
            </w:pPr>
          </w:p>
        </w:tc>
        <w:tc>
          <w:tcPr>
            <w:tcW w:w="1276" w:type="dxa"/>
            <w:vMerge/>
          </w:tcPr>
          <w:p w14:paraId="4F9C681B" w14:textId="77777777" w:rsidR="00B37661" w:rsidRPr="00B13B9A" w:rsidRDefault="00B37661" w:rsidP="00553C24">
            <w:pPr>
              <w:tabs>
                <w:tab w:val="left" w:pos="851"/>
              </w:tabs>
              <w:spacing w:line="276" w:lineRule="auto"/>
              <w:rPr>
                <w:rFonts w:asciiTheme="majorHAnsi" w:hAnsiTheme="majorHAnsi" w:cstheme="majorHAnsi"/>
                <w:sz w:val="20"/>
                <w:szCs w:val="20"/>
                <w:lang w:val="ro-MD"/>
              </w:rPr>
            </w:pPr>
          </w:p>
        </w:tc>
        <w:tc>
          <w:tcPr>
            <w:tcW w:w="1316" w:type="dxa"/>
            <w:vMerge/>
          </w:tcPr>
          <w:p w14:paraId="3E52A2C9" w14:textId="77777777" w:rsidR="00B37661" w:rsidRPr="00B13B9A" w:rsidRDefault="00B37661" w:rsidP="00553C24">
            <w:pPr>
              <w:tabs>
                <w:tab w:val="left" w:pos="851"/>
              </w:tabs>
              <w:spacing w:line="276" w:lineRule="auto"/>
              <w:rPr>
                <w:rFonts w:asciiTheme="majorHAnsi" w:hAnsiTheme="majorHAnsi" w:cstheme="majorHAnsi"/>
                <w:sz w:val="20"/>
                <w:szCs w:val="20"/>
                <w:lang w:val="ro-MD"/>
              </w:rPr>
            </w:pPr>
          </w:p>
        </w:tc>
        <w:tc>
          <w:tcPr>
            <w:tcW w:w="1206" w:type="dxa"/>
          </w:tcPr>
          <w:p w14:paraId="033BBDBC" w14:textId="77777777" w:rsidR="00B37661" w:rsidRPr="00B13B9A" w:rsidRDefault="00B37661" w:rsidP="00553C24">
            <w:pPr>
              <w:tabs>
                <w:tab w:val="left" w:pos="851"/>
              </w:tabs>
              <w:spacing w:line="276" w:lineRule="auto"/>
              <w:jc w:val="center"/>
              <w:rPr>
                <w:rFonts w:asciiTheme="majorHAnsi" w:hAnsiTheme="majorHAnsi" w:cstheme="majorHAnsi"/>
                <w:b/>
                <w:sz w:val="20"/>
                <w:szCs w:val="20"/>
                <w:lang w:val="ro-MD"/>
              </w:rPr>
            </w:pPr>
            <w:r w:rsidRPr="00B13B9A">
              <w:rPr>
                <w:rFonts w:asciiTheme="majorHAnsi" w:hAnsiTheme="majorHAnsi" w:cstheme="majorHAnsi"/>
                <w:b/>
                <w:sz w:val="20"/>
                <w:szCs w:val="20"/>
                <w:lang w:val="ro-MD"/>
              </w:rPr>
              <w:t>01.04.2022</w:t>
            </w:r>
          </w:p>
        </w:tc>
        <w:tc>
          <w:tcPr>
            <w:tcW w:w="851" w:type="dxa"/>
          </w:tcPr>
          <w:p w14:paraId="25EA7811" w14:textId="77777777" w:rsidR="00B37661" w:rsidRPr="00B13B9A" w:rsidRDefault="00B37661" w:rsidP="00553C24">
            <w:pPr>
              <w:tabs>
                <w:tab w:val="left" w:pos="851"/>
              </w:tabs>
              <w:spacing w:line="276" w:lineRule="auto"/>
              <w:jc w:val="center"/>
              <w:rPr>
                <w:rFonts w:asciiTheme="majorHAnsi" w:hAnsiTheme="majorHAnsi" w:cstheme="majorHAnsi"/>
                <w:sz w:val="20"/>
                <w:szCs w:val="20"/>
                <w:lang w:val="ro-MD"/>
              </w:rPr>
            </w:pPr>
            <w:r w:rsidRPr="00B13B9A">
              <w:rPr>
                <w:rFonts w:asciiTheme="majorHAnsi" w:hAnsiTheme="majorHAnsi" w:cstheme="majorHAnsi"/>
                <w:sz w:val="20"/>
                <w:szCs w:val="20"/>
                <w:lang w:val="ro-MD"/>
              </w:rPr>
              <w:t>50,6</w:t>
            </w:r>
          </w:p>
        </w:tc>
      </w:tr>
      <w:tr w:rsidR="00B37661" w:rsidRPr="00B13B9A" w14:paraId="4DA663D6" w14:textId="77777777" w:rsidTr="004B30CE">
        <w:tc>
          <w:tcPr>
            <w:tcW w:w="5098" w:type="dxa"/>
            <w:gridSpan w:val="2"/>
          </w:tcPr>
          <w:p w14:paraId="1C57F7B9" w14:textId="77777777" w:rsidR="00B37661" w:rsidRPr="00B13B9A" w:rsidRDefault="00B37661" w:rsidP="00553C24">
            <w:pPr>
              <w:tabs>
                <w:tab w:val="left" w:pos="851"/>
              </w:tabs>
              <w:spacing w:line="276" w:lineRule="auto"/>
              <w:rPr>
                <w:rFonts w:asciiTheme="majorHAnsi" w:hAnsiTheme="majorHAnsi" w:cstheme="majorHAnsi"/>
                <w:sz w:val="20"/>
                <w:szCs w:val="20"/>
                <w:lang w:val="ro-MD"/>
              </w:rPr>
            </w:pPr>
            <w:r w:rsidRPr="00B13B9A">
              <w:rPr>
                <w:rFonts w:asciiTheme="majorHAnsi" w:hAnsiTheme="majorHAnsi" w:cstheme="majorHAnsi"/>
                <w:sz w:val="20"/>
                <w:szCs w:val="20"/>
                <w:lang w:val="ro-MD"/>
              </w:rPr>
              <w:t>Total</w:t>
            </w:r>
          </w:p>
        </w:tc>
        <w:tc>
          <w:tcPr>
            <w:tcW w:w="1276" w:type="dxa"/>
          </w:tcPr>
          <w:p w14:paraId="75C7328B" w14:textId="77777777" w:rsidR="00B37661" w:rsidRPr="00B13B9A" w:rsidRDefault="00B37661" w:rsidP="00553C24">
            <w:pPr>
              <w:tabs>
                <w:tab w:val="left" w:pos="851"/>
              </w:tabs>
              <w:spacing w:line="276" w:lineRule="auto"/>
              <w:jc w:val="center"/>
              <w:rPr>
                <w:rFonts w:asciiTheme="majorHAnsi" w:hAnsiTheme="majorHAnsi" w:cstheme="majorHAnsi"/>
                <w:sz w:val="20"/>
                <w:szCs w:val="20"/>
                <w:lang w:val="ro-MD"/>
              </w:rPr>
            </w:pPr>
            <w:r w:rsidRPr="00B13B9A">
              <w:rPr>
                <w:rFonts w:asciiTheme="majorHAnsi" w:hAnsiTheme="majorHAnsi" w:cstheme="majorHAnsi"/>
                <w:sz w:val="20"/>
                <w:szCs w:val="20"/>
                <w:lang w:val="ro-MD"/>
              </w:rPr>
              <w:t>777,8</w:t>
            </w:r>
          </w:p>
        </w:tc>
        <w:tc>
          <w:tcPr>
            <w:tcW w:w="1316" w:type="dxa"/>
          </w:tcPr>
          <w:p w14:paraId="75EB037E" w14:textId="77777777" w:rsidR="00B37661" w:rsidRPr="00B13B9A" w:rsidRDefault="00B37661" w:rsidP="00553C24">
            <w:pPr>
              <w:tabs>
                <w:tab w:val="left" w:pos="851"/>
              </w:tabs>
              <w:spacing w:line="276" w:lineRule="auto"/>
              <w:rPr>
                <w:rFonts w:asciiTheme="majorHAnsi" w:hAnsiTheme="majorHAnsi" w:cstheme="majorHAnsi"/>
                <w:sz w:val="20"/>
                <w:szCs w:val="20"/>
                <w:lang w:val="ro-MD"/>
              </w:rPr>
            </w:pPr>
          </w:p>
        </w:tc>
        <w:tc>
          <w:tcPr>
            <w:tcW w:w="1206" w:type="dxa"/>
          </w:tcPr>
          <w:p w14:paraId="53F1E27F" w14:textId="77777777" w:rsidR="00B37661" w:rsidRPr="00B13B9A" w:rsidRDefault="00B37661" w:rsidP="00553C24">
            <w:pPr>
              <w:tabs>
                <w:tab w:val="left" w:pos="851"/>
              </w:tabs>
              <w:spacing w:line="276" w:lineRule="auto"/>
              <w:jc w:val="center"/>
              <w:rPr>
                <w:rFonts w:asciiTheme="majorHAnsi" w:hAnsiTheme="majorHAnsi" w:cstheme="majorHAnsi"/>
                <w:b/>
                <w:sz w:val="20"/>
                <w:szCs w:val="20"/>
                <w:lang w:val="ro-MD"/>
              </w:rPr>
            </w:pPr>
          </w:p>
        </w:tc>
        <w:tc>
          <w:tcPr>
            <w:tcW w:w="851" w:type="dxa"/>
          </w:tcPr>
          <w:p w14:paraId="018B075E" w14:textId="77777777" w:rsidR="00B37661" w:rsidRPr="00B13B9A" w:rsidRDefault="00B37661" w:rsidP="00553C24">
            <w:pPr>
              <w:tabs>
                <w:tab w:val="left" w:pos="851"/>
              </w:tabs>
              <w:spacing w:line="276" w:lineRule="auto"/>
              <w:jc w:val="center"/>
              <w:rPr>
                <w:rFonts w:asciiTheme="majorHAnsi" w:hAnsiTheme="majorHAnsi" w:cstheme="majorHAnsi"/>
                <w:sz w:val="20"/>
                <w:szCs w:val="20"/>
                <w:lang w:val="ro-MD"/>
              </w:rPr>
            </w:pPr>
            <w:r w:rsidRPr="00B13B9A">
              <w:rPr>
                <w:rFonts w:asciiTheme="majorHAnsi" w:hAnsiTheme="majorHAnsi" w:cstheme="majorHAnsi"/>
                <w:sz w:val="20"/>
                <w:szCs w:val="20"/>
                <w:lang w:val="ro-MD"/>
              </w:rPr>
              <w:t>777,8</w:t>
            </w:r>
          </w:p>
        </w:tc>
      </w:tr>
    </w:tbl>
    <w:p w14:paraId="0350D58D" w14:textId="4707C1BA" w:rsidR="00B37661" w:rsidRPr="00B13B9A" w:rsidRDefault="00B37661" w:rsidP="00B37661">
      <w:pPr>
        <w:tabs>
          <w:tab w:val="left" w:pos="851"/>
        </w:tabs>
        <w:spacing w:after="0" w:line="276" w:lineRule="auto"/>
        <w:jc w:val="both"/>
        <w:rPr>
          <w:rFonts w:asciiTheme="majorHAnsi" w:hAnsiTheme="majorHAnsi" w:cstheme="majorHAnsi"/>
          <w:i/>
          <w:sz w:val="20"/>
          <w:szCs w:val="20"/>
          <w:lang w:val="ro-MD"/>
        </w:rPr>
      </w:pPr>
      <w:r w:rsidRPr="00B13B9A">
        <w:rPr>
          <w:rFonts w:asciiTheme="majorHAnsi" w:hAnsiTheme="majorHAnsi" w:cstheme="majorHAnsi"/>
          <w:b/>
          <w:i/>
          <w:sz w:val="20"/>
          <w:szCs w:val="20"/>
          <w:lang w:val="ro-MD"/>
        </w:rPr>
        <w:t>Sursa</w:t>
      </w:r>
      <w:r w:rsidRPr="00B13B9A">
        <w:rPr>
          <w:rFonts w:asciiTheme="majorHAnsi" w:hAnsiTheme="majorHAnsi" w:cstheme="majorHAnsi"/>
          <w:i/>
          <w:sz w:val="20"/>
          <w:szCs w:val="20"/>
          <w:lang w:val="ro-MD"/>
        </w:rPr>
        <w:t>: întocmit de audit în baza informa</w:t>
      </w:r>
      <w:r w:rsidR="00B13B9A" w:rsidRPr="00B13B9A">
        <w:rPr>
          <w:rFonts w:asciiTheme="majorHAnsi" w:hAnsiTheme="majorHAnsi" w:cstheme="majorHAnsi"/>
          <w:i/>
          <w:sz w:val="20"/>
          <w:szCs w:val="20"/>
          <w:lang w:val="ro-MD"/>
        </w:rPr>
        <w:t>ț</w:t>
      </w:r>
      <w:r w:rsidRPr="00B13B9A">
        <w:rPr>
          <w:rFonts w:asciiTheme="majorHAnsi" w:hAnsiTheme="majorHAnsi" w:cstheme="majorHAnsi"/>
          <w:i/>
          <w:sz w:val="20"/>
          <w:szCs w:val="20"/>
          <w:lang w:val="ro-MD"/>
        </w:rPr>
        <w:t>iilor din contractele de achizi</w:t>
      </w:r>
      <w:r w:rsidR="00B13B9A" w:rsidRPr="00B13B9A">
        <w:rPr>
          <w:rFonts w:asciiTheme="majorHAnsi" w:hAnsiTheme="majorHAnsi" w:cstheme="majorHAnsi"/>
          <w:i/>
          <w:sz w:val="20"/>
          <w:szCs w:val="20"/>
          <w:lang w:val="ro-MD"/>
        </w:rPr>
        <w:t>ț</w:t>
      </w:r>
      <w:r w:rsidRPr="00B13B9A">
        <w:rPr>
          <w:rFonts w:asciiTheme="majorHAnsi" w:hAnsiTheme="majorHAnsi" w:cstheme="majorHAnsi"/>
          <w:i/>
          <w:sz w:val="20"/>
          <w:szCs w:val="20"/>
          <w:lang w:val="ro-MD"/>
        </w:rPr>
        <w:t xml:space="preserve">ii </w:t>
      </w:r>
      <w:r w:rsidR="00B13B9A" w:rsidRPr="00B13B9A">
        <w:rPr>
          <w:rFonts w:asciiTheme="majorHAnsi" w:hAnsiTheme="majorHAnsi" w:cstheme="majorHAnsi"/>
          <w:i/>
          <w:sz w:val="20"/>
          <w:szCs w:val="20"/>
          <w:lang w:val="ro-MD"/>
        </w:rPr>
        <w:t>ș</w:t>
      </w:r>
      <w:r w:rsidRPr="00B13B9A">
        <w:rPr>
          <w:rFonts w:asciiTheme="majorHAnsi" w:hAnsiTheme="majorHAnsi" w:cstheme="majorHAnsi"/>
          <w:i/>
          <w:sz w:val="20"/>
          <w:szCs w:val="20"/>
          <w:lang w:val="ro-MD"/>
        </w:rPr>
        <w:t>i facturile fiscale</w:t>
      </w:r>
      <w:r w:rsidR="00C839D9" w:rsidRPr="00B13B9A">
        <w:rPr>
          <w:rFonts w:asciiTheme="majorHAnsi" w:hAnsiTheme="majorHAnsi" w:cstheme="majorHAnsi"/>
          <w:i/>
          <w:sz w:val="20"/>
          <w:szCs w:val="20"/>
          <w:lang w:val="ro-MD"/>
        </w:rPr>
        <w:t>.</w:t>
      </w:r>
    </w:p>
    <w:p w14:paraId="6BEF8AC4" w14:textId="77777777" w:rsidR="00A65275" w:rsidRPr="00B13B9A" w:rsidRDefault="00A65275" w:rsidP="00B37661">
      <w:pPr>
        <w:tabs>
          <w:tab w:val="left" w:pos="851"/>
        </w:tabs>
        <w:spacing w:after="0" w:line="276" w:lineRule="auto"/>
        <w:jc w:val="both"/>
        <w:rPr>
          <w:rFonts w:asciiTheme="majorHAnsi" w:hAnsiTheme="majorHAnsi" w:cstheme="majorHAnsi"/>
          <w:i/>
          <w:sz w:val="20"/>
          <w:szCs w:val="20"/>
          <w:lang w:val="ro-MD"/>
        </w:rPr>
      </w:pPr>
    </w:p>
    <w:p w14:paraId="4F1D21C4" w14:textId="25385C43" w:rsidR="00B37661" w:rsidRPr="00B13B9A" w:rsidDel="00AE035F" w:rsidRDefault="00C839D9" w:rsidP="00B37661">
      <w:pPr>
        <w:tabs>
          <w:tab w:val="left" w:pos="851"/>
        </w:tabs>
        <w:spacing w:after="0" w:line="276" w:lineRule="auto"/>
        <w:jc w:val="both"/>
        <w:rPr>
          <w:rFonts w:asciiTheme="majorHAnsi" w:hAnsiTheme="majorHAnsi" w:cstheme="majorHAnsi"/>
          <w:sz w:val="24"/>
          <w:szCs w:val="24"/>
          <w:lang w:val="ro-MD"/>
        </w:rPr>
      </w:pPr>
      <w:r w:rsidRPr="00B13B9A">
        <w:rPr>
          <w:rFonts w:asciiTheme="majorHAnsi" w:hAnsiTheme="majorHAnsi" w:cstheme="majorHAnsi"/>
          <w:sz w:val="24"/>
          <w:szCs w:val="24"/>
          <w:lang w:val="ro-MD"/>
        </w:rPr>
        <w:t>Drept</w:t>
      </w:r>
      <w:r w:rsidR="00B37661" w:rsidRPr="00B13B9A" w:rsidDel="00AE035F">
        <w:rPr>
          <w:rFonts w:asciiTheme="majorHAnsi" w:hAnsiTheme="majorHAnsi" w:cstheme="majorHAnsi"/>
          <w:sz w:val="24"/>
          <w:szCs w:val="24"/>
          <w:lang w:val="ro-MD"/>
        </w:rPr>
        <w:t xml:space="preserve"> rezultat, entitatea a admis divizarea achizi</w:t>
      </w:r>
      <w:r w:rsidR="00B13B9A" w:rsidRPr="00B13B9A">
        <w:rPr>
          <w:rFonts w:asciiTheme="majorHAnsi" w:hAnsiTheme="majorHAnsi" w:cstheme="majorHAnsi"/>
          <w:sz w:val="24"/>
          <w:szCs w:val="24"/>
          <w:lang w:val="ro-MD"/>
        </w:rPr>
        <w:t>ț</w:t>
      </w:r>
      <w:r w:rsidR="00B37661" w:rsidRPr="00B13B9A" w:rsidDel="00AE035F">
        <w:rPr>
          <w:rFonts w:asciiTheme="majorHAnsi" w:hAnsiTheme="majorHAnsi" w:cstheme="majorHAnsi"/>
          <w:sz w:val="24"/>
          <w:szCs w:val="24"/>
          <w:lang w:val="ro-MD"/>
        </w:rPr>
        <w:t>i</w:t>
      </w:r>
      <w:r w:rsidRPr="00B13B9A">
        <w:rPr>
          <w:rFonts w:asciiTheme="majorHAnsi" w:hAnsiTheme="majorHAnsi" w:cstheme="majorHAnsi"/>
          <w:sz w:val="24"/>
          <w:szCs w:val="24"/>
          <w:lang w:val="ro-MD"/>
        </w:rPr>
        <w:t>e</w:t>
      </w:r>
      <w:r w:rsidR="00B37661" w:rsidRPr="00B13B9A" w:rsidDel="00AE035F">
        <w:rPr>
          <w:rFonts w:asciiTheme="majorHAnsi" w:hAnsiTheme="majorHAnsi" w:cstheme="majorHAnsi"/>
          <w:sz w:val="24"/>
          <w:szCs w:val="24"/>
          <w:lang w:val="ro-MD"/>
        </w:rPr>
        <w:t>i lucrărilor de repara</w:t>
      </w:r>
      <w:r w:rsidR="00B13B9A" w:rsidRPr="00B13B9A">
        <w:rPr>
          <w:rFonts w:asciiTheme="majorHAnsi" w:hAnsiTheme="majorHAnsi" w:cstheme="majorHAnsi"/>
          <w:sz w:val="24"/>
          <w:szCs w:val="24"/>
          <w:lang w:val="ro-MD"/>
        </w:rPr>
        <w:t>ț</w:t>
      </w:r>
      <w:r w:rsidR="00B37661" w:rsidRPr="00B13B9A" w:rsidDel="00AE035F">
        <w:rPr>
          <w:rFonts w:asciiTheme="majorHAnsi" w:hAnsiTheme="majorHAnsi" w:cstheme="majorHAnsi"/>
          <w:sz w:val="24"/>
          <w:szCs w:val="24"/>
          <w:lang w:val="ro-MD"/>
        </w:rPr>
        <w:t xml:space="preserve">ie prin contractarea </w:t>
      </w:r>
      <w:r w:rsidR="00B13B9A" w:rsidRPr="00B13B9A">
        <w:rPr>
          <w:rFonts w:asciiTheme="majorHAnsi" w:hAnsiTheme="majorHAnsi" w:cstheme="majorHAnsi"/>
          <w:sz w:val="24"/>
          <w:szCs w:val="24"/>
          <w:lang w:val="ro-MD"/>
        </w:rPr>
        <w:t>ș</w:t>
      </w:r>
      <w:r w:rsidR="00B37661" w:rsidRPr="00B13B9A" w:rsidDel="00AE035F">
        <w:rPr>
          <w:rFonts w:asciiTheme="majorHAnsi" w:hAnsiTheme="majorHAnsi" w:cstheme="majorHAnsi"/>
          <w:sz w:val="24"/>
          <w:szCs w:val="24"/>
          <w:lang w:val="ro-MD"/>
        </w:rPr>
        <w:t>i executarea contractelor de valoare mică cu acela</w:t>
      </w:r>
      <w:r w:rsidR="00B13B9A" w:rsidRPr="00B13B9A">
        <w:rPr>
          <w:rFonts w:asciiTheme="majorHAnsi" w:hAnsiTheme="majorHAnsi" w:cstheme="majorHAnsi"/>
          <w:sz w:val="24"/>
          <w:szCs w:val="24"/>
          <w:lang w:val="ro-MD"/>
        </w:rPr>
        <w:t>ș</w:t>
      </w:r>
      <w:r w:rsidR="00B37661" w:rsidRPr="00B13B9A" w:rsidDel="00AE035F">
        <w:rPr>
          <w:rFonts w:asciiTheme="majorHAnsi" w:hAnsiTheme="majorHAnsi" w:cstheme="majorHAnsi"/>
          <w:sz w:val="24"/>
          <w:szCs w:val="24"/>
          <w:lang w:val="ro-MD"/>
        </w:rPr>
        <w:t xml:space="preserve">i operator economic. </w:t>
      </w:r>
    </w:p>
    <w:p w14:paraId="7ECBED80" w14:textId="6487AABB" w:rsidR="00B37661" w:rsidRPr="00B13B9A" w:rsidRDefault="00B37661" w:rsidP="00B37661">
      <w:pPr>
        <w:spacing w:line="256" w:lineRule="auto"/>
        <w:jc w:val="both"/>
        <w:rPr>
          <w:rFonts w:asciiTheme="majorHAnsi" w:hAnsiTheme="majorHAnsi" w:cstheme="majorHAnsi"/>
          <w:bCs/>
          <w:color w:val="000000"/>
          <w:sz w:val="24"/>
          <w:szCs w:val="24"/>
          <w:lang w:val="ro-MD"/>
        </w:rPr>
      </w:pPr>
      <w:r w:rsidRPr="00B13B9A">
        <w:rPr>
          <w:rFonts w:asciiTheme="majorHAnsi" w:hAnsiTheme="majorHAnsi" w:cstheme="majorHAnsi"/>
          <w:sz w:val="24"/>
          <w:szCs w:val="24"/>
          <w:lang w:val="ro-MD"/>
        </w:rPr>
        <w:t xml:space="preserve">Totodată, în </w:t>
      </w:r>
      <w:r w:rsidR="00C839D9" w:rsidRPr="00B13B9A">
        <w:rPr>
          <w:rFonts w:asciiTheme="majorHAnsi" w:hAnsiTheme="majorHAnsi" w:cstheme="majorHAnsi"/>
          <w:sz w:val="24"/>
          <w:szCs w:val="24"/>
          <w:lang w:val="ro-MD"/>
        </w:rPr>
        <w:t xml:space="preserve">urma </w:t>
      </w:r>
      <w:r w:rsidRPr="00B13B9A">
        <w:rPr>
          <w:rFonts w:asciiTheme="majorHAnsi" w:hAnsiTheme="majorHAnsi" w:cstheme="majorHAnsi"/>
          <w:sz w:val="24"/>
          <w:szCs w:val="24"/>
          <w:lang w:val="ro-MD"/>
        </w:rPr>
        <w:t xml:space="preserve">verificării facturilor fiscale, auditul a identificat </w:t>
      </w:r>
      <w:r w:rsidRPr="00B13B9A">
        <w:rPr>
          <w:rFonts w:asciiTheme="majorHAnsi" w:hAnsiTheme="majorHAnsi" w:cstheme="majorHAnsi"/>
          <w:bCs/>
          <w:color w:val="000000"/>
          <w:sz w:val="24"/>
          <w:szCs w:val="24"/>
          <w:lang w:val="ro-MD"/>
        </w:rPr>
        <w:t>efectuarea achizi</w:t>
      </w:r>
      <w:r w:rsidR="00B13B9A" w:rsidRPr="00B13B9A">
        <w:rPr>
          <w:rFonts w:asciiTheme="majorHAnsi" w:hAnsiTheme="majorHAnsi" w:cstheme="majorHAnsi"/>
          <w:bCs/>
          <w:color w:val="000000"/>
          <w:sz w:val="24"/>
          <w:szCs w:val="24"/>
          <w:lang w:val="ro-MD"/>
        </w:rPr>
        <w:t>ț</w:t>
      </w:r>
      <w:r w:rsidRPr="00B13B9A">
        <w:rPr>
          <w:rFonts w:asciiTheme="majorHAnsi" w:hAnsiTheme="majorHAnsi" w:cstheme="majorHAnsi"/>
          <w:bCs/>
          <w:color w:val="000000"/>
          <w:sz w:val="24"/>
          <w:szCs w:val="24"/>
          <w:lang w:val="ro-MD"/>
        </w:rPr>
        <w:t>iilor de lucrări de repara</w:t>
      </w:r>
      <w:r w:rsidR="00B13B9A" w:rsidRPr="00B13B9A">
        <w:rPr>
          <w:rFonts w:asciiTheme="majorHAnsi" w:hAnsiTheme="majorHAnsi" w:cstheme="majorHAnsi"/>
          <w:bCs/>
          <w:color w:val="000000"/>
          <w:sz w:val="24"/>
          <w:szCs w:val="24"/>
          <w:lang w:val="ro-MD"/>
        </w:rPr>
        <w:t>ț</w:t>
      </w:r>
      <w:r w:rsidRPr="00B13B9A">
        <w:rPr>
          <w:rFonts w:asciiTheme="majorHAnsi" w:hAnsiTheme="majorHAnsi" w:cstheme="majorHAnsi"/>
          <w:bCs/>
          <w:color w:val="000000"/>
          <w:sz w:val="24"/>
          <w:szCs w:val="24"/>
          <w:lang w:val="ro-MD"/>
        </w:rPr>
        <w:t>ii capitale suplimentare ce nu au fost prevăzute în contractul de bază, în</w:t>
      </w:r>
      <w:r w:rsidR="0093205F" w:rsidRPr="00B13B9A">
        <w:rPr>
          <w:rFonts w:asciiTheme="majorHAnsi" w:hAnsiTheme="majorHAnsi" w:cstheme="majorHAnsi"/>
          <w:bCs/>
          <w:color w:val="000000"/>
          <w:sz w:val="24"/>
          <w:szCs w:val="24"/>
          <w:lang w:val="ro-MD"/>
        </w:rPr>
        <w:t xml:space="preserve"> afara rela</w:t>
      </w:r>
      <w:r w:rsidR="00B13B9A" w:rsidRPr="00B13B9A">
        <w:rPr>
          <w:rFonts w:asciiTheme="majorHAnsi" w:hAnsiTheme="majorHAnsi" w:cstheme="majorHAnsi"/>
          <w:bCs/>
          <w:color w:val="000000"/>
          <w:sz w:val="24"/>
          <w:szCs w:val="24"/>
          <w:lang w:val="ro-MD"/>
        </w:rPr>
        <w:t>ț</w:t>
      </w:r>
      <w:r w:rsidR="0093205F" w:rsidRPr="00B13B9A">
        <w:rPr>
          <w:rFonts w:asciiTheme="majorHAnsi" w:hAnsiTheme="majorHAnsi" w:cstheme="majorHAnsi"/>
          <w:bCs/>
          <w:color w:val="000000"/>
          <w:sz w:val="24"/>
          <w:szCs w:val="24"/>
          <w:lang w:val="ro-MD"/>
        </w:rPr>
        <w:t>iilor contractuale</w:t>
      </w:r>
      <w:r w:rsidRPr="00B13B9A">
        <w:rPr>
          <w:rFonts w:asciiTheme="majorHAnsi" w:hAnsiTheme="majorHAnsi" w:cstheme="majorHAnsi"/>
          <w:bCs/>
          <w:color w:val="000000"/>
          <w:sz w:val="24"/>
          <w:szCs w:val="24"/>
          <w:lang w:val="ro-MD"/>
        </w:rPr>
        <w:t>, în sumă de 44,9 mii le</w:t>
      </w:r>
      <w:r w:rsidR="0093205F" w:rsidRPr="00B13B9A">
        <w:rPr>
          <w:rFonts w:asciiTheme="majorHAnsi" w:hAnsiTheme="majorHAnsi" w:cstheme="majorHAnsi"/>
          <w:bCs/>
          <w:color w:val="000000"/>
          <w:sz w:val="24"/>
          <w:szCs w:val="24"/>
          <w:lang w:val="ro-MD"/>
        </w:rPr>
        <w:t>i, cu acela</w:t>
      </w:r>
      <w:r w:rsidR="00B13B9A" w:rsidRPr="00B13B9A">
        <w:rPr>
          <w:rFonts w:asciiTheme="majorHAnsi" w:hAnsiTheme="majorHAnsi" w:cstheme="majorHAnsi"/>
          <w:bCs/>
          <w:color w:val="000000"/>
          <w:sz w:val="24"/>
          <w:szCs w:val="24"/>
          <w:lang w:val="ro-MD"/>
        </w:rPr>
        <w:t>ș</w:t>
      </w:r>
      <w:r w:rsidR="0093205F" w:rsidRPr="00B13B9A">
        <w:rPr>
          <w:rFonts w:asciiTheme="majorHAnsi" w:hAnsiTheme="majorHAnsi" w:cstheme="majorHAnsi"/>
          <w:bCs/>
          <w:color w:val="000000"/>
          <w:sz w:val="24"/>
          <w:szCs w:val="24"/>
          <w:lang w:val="ro-MD"/>
        </w:rPr>
        <w:t>i operator economic</w:t>
      </w:r>
      <w:r w:rsidR="0093205F" w:rsidRPr="00B13B9A">
        <w:rPr>
          <w:rStyle w:val="a9"/>
          <w:rFonts w:asciiTheme="majorHAnsi" w:hAnsiTheme="majorHAnsi" w:cstheme="majorHAnsi"/>
          <w:bCs/>
          <w:color w:val="000000"/>
          <w:sz w:val="24"/>
          <w:szCs w:val="24"/>
          <w:lang w:val="ro-MD"/>
        </w:rPr>
        <w:footnoteReference w:id="61"/>
      </w:r>
      <w:r w:rsidR="0093205F" w:rsidRPr="00B13B9A">
        <w:rPr>
          <w:rFonts w:asciiTheme="majorHAnsi" w:hAnsiTheme="majorHAnsi" w:cstheme="majorHAnsi"/>
          <w:bCs/>
          <w:color w:val="000000"/>
          <w:sz w:val="24"/>
          <w:szCs w:val="24"/>
          <w:lang w:val="ro-MD"/>
        </w:rPr>
        <w:t>.</w:t>
      </w:r>
    </w:p>
    <w:p w14:paraId="70634274" w14:textId="471C8895" w:rsidR="00B37661" w:rsidRPr="00B13B9A" w:rsidRDefault="00B37661" w:rsidP="00B37661">
      <w:pPr>
        <w:tabs>
          <w:tab w:val="left" w:pos="851"/>
        </w:tabs>
        <w:spacing w:after="0" w:line="276" w:lineRule="auto"/>
        <w:jc w:val="both"/>
        <w:rPr>
          <w:rFonts w:asciiTheme="majorHAnsi" w:hAnsiTheme="majorHAnsi" w:cstheme="majorHAnsi"/>
          <w:sz w:val="24"/>
          <w:szCs w:val="24"/>
          <w:lang w:val="ro-MD"/>
        </w:rPr>
      </w:pPr>
      <w:r w:rsidRPr="00B13B9A">
        <w:rPr>
          <w:rFonts w:asciiTheme="majorHAnsi" w:hAnsiTheme="majorHAnsi" w:cstheme="majorHAnsi"/>
          <w:sz w:val="24"/>
          <w:szCs w:val="24"/>
          <w:lang w:val="ro-MD"/>
        </w:rPr>
        <w:t>Motiva</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iile entită</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 xml:space="preserve">ii privind divizarea contractului se referă la conlucrarea anterioară cu acest operator economic </w:t>
      </w:r>
      <w:r w:rsidR="00B13B9A" w:rsidRPr="00B13B9A">
        <w:rPr>
          <w:rFonts w:asciiTheme="majorHAnsi" w:hAnsiTheme="majorHAnsi" w:cstheme="majorHAnsi"/>
          <w:sz w:val="24"/>
          <w:szCs w:val="24"/>
          <w:lang w:val="ro-MD"/>
        </w:rPr>
        <w:t>ș</w:t>
      </w:r>
      <w:r w:rsidRPr="00B13B9A">
        <w:rPr>
          <w:rFonts w:asciiTheme="majorHAnsi" w:hAnsiTheme="majorHAnsi" w:cstheme="majorHAnsi"/>
          <w:sz w:val="24"/>
          <w:szCs w:val="24"/>
          <w:lang w:val="ro-MD"/>
        </w:rPr>
        <w:t xml:space="preserve">i executarea calitativă </w:t>
      </w:r>
      <w:r w:rsidR="00B13B9A" w:rsidRPr="00B13B9A">
        <w:rPr>
          <w:rFonts w:asciiTheme="majorHAnsi" w:hAnsiTheme="majorHAnsi" w:cstheme="majorHAnsi"/>
          <w:sz w:val="24"/>
          <w:szCs w:val="24"/>
          <w:lang w:val="ro-MD"/>
        </w:rPr>
        <w:t>ș</w:t>
      </w:r>
      <w:r w:rsidRPr="00B13B9A">
        <w:rPr>
          <w:rFonts w:asciiTheme="majorHAnsi" w:hAnsiTheme="majorHAnsi" w:cstheme="majorHAnsi"/>
          <w:sz w:val="24"/>
          <w:szCs w:val="24"/>
          <w:lang w:val="ro-MD"/>
        </w:rPr>
        <w:t xml:space="preserve">i îndeplinirea în termen a lucrărilor. </w:t>
      </w:r>
    </w:p>
    <w:p w14:paraId="2AF95F31" w14:textId="2F8C3E7A" w:rsidR="00B37661" w:rsidRPr="00B13B9A" w:rsidRDefault="00596726" w:rsidP="00B37661">
      <w:pPr>
        <w:tabs>
          <w:tab w:val="left" w:pos="851"/>
        </w:tabs>
        <w:spacing w:after="0" w:line="276" w:lineRule="auto"/>
        <w:jc w:val="both"/>
        <w:rPr>
          <w:rFonts w:asciiTheme="majorHAnsi" w:hAnsiTheme="majorHAnsi" w:cstheme="majorHAnsi"/>
          <w:i/>
          <w:sz w:val="24"/>
          <w:szCs w:val="24"/>
          <w:lang w:val="ro-MD"/>
        </w:rPr>
      </w:pPr>
      <w:r w:rsidRPr="00B13B9A">
        <w:rPr>
          <w:rFonts w:asciiTheme="majorHAnsi" w:hAnsiTheme="majorHAnsi" w:cstheme="majorHAnsi"/>
          <w:sz w:val="24"/>
          <w:szCs w:val="24"/>
          <w:lang w:val="ro-MD"/>
        </w:rPr>
        <w:t>În context, a</w:t>
      </w:r>
      <w:r w:rsidR="00B37661" w:rsidRPr="00B13B9A">
        <w:rPr>
          <w:rFonts w:asciiTheme="majorHAnsi" w:hAnsiTheme="majorHAnsi" w:cstheme="majorHAnsi"/>
          <w:sz w:val="24"/>
          <w:szCs w:val="24"/>
          <w:lang w:val="ro-MD"/>
        </w:rPr>
        <w:t>uditul men</w:t>
      </w:r>
      <w:r w:rsidR="00B13B9A" w:rsidRPr="00B13B9A">
        <w:rPr>
          <w:rFonts w:asciiTheme="majorHAnsi" w:hAnsiTheme="majorHAnsi" w:cstheme="majorHAnsi"/>
          <w:sz w:val="24"/>
          <w:szCs w:val="24"/>
          <w:lang w:val="ro-MD"/>
        </w:rPr>
        <w:t>ț</w:t>
      </w:r>
      <w:r w:rsidR="00B37661" w:rsidRPr="00B13B9A">
        <w:rPr>
          <w:rFonts w:asciiTheme="majorHAnsi" w:hAnsiTheme="majorHAnsi" w:cstheme="majorHAnsi"/>
          <w:sz w:val="24"/>
          <w:szCs w:val="24"/>
          <w:lang w:val="ro-MD"/>
        </w:rPr>
        <w:t>ionează, că în cazul a 2 cont</w:t>
      </w:r>
      <w:r w:rsidRPr="00B13B9A">
        <w:rPr>
          <w:rFonts w:asciiTheme="majorHAnsi" w:hAnsiTheme="majorHAnsi" w:cstheme="majorHAnsi"/>
          <w:sz w:val="24"/>
          <w:szCs w:val="24"/>
          <w:lang w:val="ro-MD"/>
        </w:rPr>
        <w:t xml:space="preserve">racte din 3 contracte încheiate, </w:t>
      </w:r>
      <w:r w:rsidR="00B37661" w:rsidRPr="00B13B9A">
        <w:rPr>
          <w:rFonts w:asciiTheme="majorHAnsi" w:hAnsiTheme="majorHAnsi" w:cstheme="majorHAnsi"/>
          <w:sz w:val="24"/>
          <w:szCs w:val="24"/>
          <w:lang w:val="ro-MD"/>
        </w:rPr>
        <w:t>termenii de execut</w:t>
      </w:r>
      <w:r w:rsidRPr="00B13B9A">
        <w:rPr>
          <w:rFonts w:asciiTheme="majorHAnsi" w:hAnsiTheme="majorHAnsi" w:cstheme="majorHAnsi"/>
          <w:sz w:val="24"/>
          <w:szCs w:val="24"/>
          <w:lang w:val="ro-MD"/>
        </w:rPr>
        <w:t>are a lucrărilor a fost depă</w:t>
      </w:r>
      <w:r w:rsidR="00B13B9A" w:rsidRPr="00B13B9A">
        <w:rPr>
          <w:rFonts w:asciiTheme="majorHAnsi" w:hAnsiTheme="majorHAnsi" w:cstheme="majorHAnsi"/>
          <w:sz w:val="24"/>
          <w:szCs w:val="24"/>
          <w:lang w:val="ro-MD"/>
        </w:rPr>
        <w:t>ș</w:t>
      </w:r>
      <w:r w:rsidRPr="00B13B9A">
        <w:rPr>
          <w:rFonts w:asciiTheme="majorHAnsi" w:hAnsiTheme="majorHAnsi" w:cstheme="majorHAnsi"/>
          <w:sz w:val="24"/>
          <w:szCs w:val="24"/>
          <w:lang w:val="ro-MD"/>
        </w:rPr>
        <w:t>i</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i.</w:t>
      </w:r>
      <w:r w:rsidR="00B37661" w:rsidRPr="00B13B9A">
        <w:rPr>
          <w:rFonts w:asciiTheme="majorHAnsi" w:hAnsiTheme="majorHAnsi" w:cstheme="majorHAnsi"/>
          <w:sz w:val="24"/>
          <w:szCs w:val="24"/>
          <w:lang w:val="ro-MD"/>
        </w:rPr>
        <w:t xml:space="preserve"> </w:t>
      </w:r>
    </w:p>
    <w:p w14:paraId="3BC5A8CD" w14:textId="43E7E6B5" w:rsidR="00B37661" w:rsidRPr="00B13B9A" w:rsidRDefault="00B37661" w:rsidP="00B37661">
      <w:pPr>
        <w:tabs>
          <w:tab w:val="left" w:pos="851"/>
        </w:tabs>
        <w:spacing w:after="0" w:line="276" w:lineRule="auto"/>
        <w:jc w:val="both"/>
        <w:rPr>
          <w:rFonts w:asciiTheme="majorHAnsi" w:hAnsiTheme="majorHAnsi" w:cs="Times New Roman"/>
          <w:sz w:val="24"/>
          <w:szCs w:val="24"/>
          <w:lang w:val="ro-MD"/>
        </w:rPr>
      </w:pPr>
      <w:r w:rsidRPr="00B13B9A">
        <w:rPr>
          <w:rFonts w:asciiTheme="majorHAnsi" w:hAnsiTheme="majorHAnsi" w:cstheme="majorHAnsi"/>
          <w:sz w:val="24"/>
          <w:szCs w:val="24"/>
          <w:lang w:val="ro-MD"/>
        </w:rPr>
        <w:t>Subsecvent, men</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ionăm că analiza activită</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 xml:space="preserve">ii economice </w:t>
      </w:r>
      <w:r w:rsidR="00B13B9A" w:rsidRPr="00B13B9A">
        <w:rPr>
          <w:rFonts w:asciiTheme="majorHAnsi" w:hAnsiTheme="majorHAnsi" w:cstheme="majorHAnsi"/>
          <w:sz w:val="24"/>
          <w:szCs w:val="24"/>
          <w:lang w:val="ro-MD"/>
        </w:rPr>
        <w:t>ș</w:t>
      </w:r>
      <w:r w:rsidRPr="00B13B9A">
        <w:rPr>
          <w:rFonts w:asciiTheme="majorHAnsi" w:hAnsiTheme="majorHAnsi" w:cstheme="majorHAnsi"/>
          <w:sz w:val="24"/>
          <w:szCs w:val="24"/>
          <w:lang w:val="ro-MD"/>
        </w:rPr>
        <w:t>i rapoartelor operatorului economic, prezentate către SFS (IPC, IALS, VEN), denotă că acesta, nu are activitate, nu de</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ine angaja</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 xml:space="preserve">i </w:t>
      </w:r>
      <w:r w:rsidR="00B13B9A" w:rsidRPr="00B13B9A">
        <w:rPr>
          <w:rFonts w:asciiTheme="majorHAnsi" w:hAnsiTheme="majorHAnsi" w:cstheme="majorHAnsi"/>
          <w:sz w:val="24"/>
          <w:szCs w:val="24"/>
          <w:lang w:val="ro-MD"/>
        </w:rPr>
        <w:t>ș</w:t>
      </w:r>
      <w:r w:rsidRPr="00B13B9A">
        <w:rPr>
          <w:rFonts w:asciiTheme="majorHAnsi" w:hAnsiTheme="majorHAnsi" w:cstheme="majorHAnsi"/>
          <w:sz w:val="24"/>
          <w:szCs w:val="24"/>
          <w:lang w:val="ro-MD"/>
        </w:rPr>
        <w:t>i prezintă par</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 xml:space="preserve">ial dări de seamă pentru perioada în care s-au executat lucrările. </w:t>
      </w:r>
      <w:r w:rsidR="00DE0811" w:rsidRPr="00B13B9A">
        <w:rPr>
          <w:rFonts w:asciiTheme="majorHAnsi" w:hAnsiTheme="majorHAnsi" w:cstheme="majorHAnsi"/>
          <w:sz w:val="24"/>
          <w:szCs w:val="24"/>
          <w:lang w:val="ro-MD"/>
        </w:rPr>
        <w:t>Astfel, se relevă nerespectarea  de către IMSP a principiilor de reglementare a rela</w:t>
      </w:r>
      <w:r w:rsidR="00B13B9A" w:rsidRPr="00B13B9A">
        <w:rPr>
          <w:rFonts w:asciiTheme="majorHAnsi" w:hAnsiTheme="majorHAnsi" w:cstheme="majorHAnsi"/>
          <w:sz w:val="24"/>
          <w:szCs w:val="24"/>
          <w:lang w:val="ro-MD"/>
        </w:rPr>
        <w:t>ț</w:t>
      </w:r>
      <w:r w:rsidR="00DE0811" w:rsidRPr="00B13B9A">
        <w:rPr>
          <w:rFonts w:asciiTheme="majorHAnsi" w:hAnsiTheme="majorHAnsi" w:cstheme="majorHAnsi"/>
          <w:sz w:val="24"/>
          <w:szCs w:val="24"/>
          <w:lang w:val="ro-MD"/>
        </w:rPr>
        <w:t>iilor privind achizi</w:t>
      </w:r>
      <w:r w:rsidR="00B13B9A" w:rsidRPr="00B13B9A">
        <w:rPr>
          <w:rFonts w:asciiTheme="majorHAnsi" w:hAnsiTheme="majorHAnsi" w:cstheme="majorHAnsi"/>
          <w:sz w:val="24"/>
          <w:szCs w:val="24"/>
          <w:lang w:val="ro-MD"/>
        </w:rPr>
        <w:t>ț</w:t>
      </w:r>
      <w:r w:rsidR="00DE0811" w:rsidRPr="00B13B9A">
        <w:rPr>
          <w:rFonts w:asciiTheme="majorHAnsi" w:hAnsiTheme="majorHAnsi" w:cstheme="majorHAnsi"/>
          <w:sz w:val="24"/>
          <w:szCs w:val="24"/>
          <w:lang w:val="ro-MD"/>
        </w:rPr>
        <w:t>iile publice</w:t>
      </w:r>
      <w:r w:rsidR="00DE0811" w:rsidRPr="00B13B9A">
        <w:rPr>
          <w:rFonts w:asciiTheme="majorHAnsi" w:hAnsiTheme="majorHAnsi" w:cstheme="majorHAnsi"/>
          <w:sz w:val="24"/>
          <w:szCs w:val="24"/>
          <w:vertAlign w:val="superscript"/>
          <w:lang w:val="ro-MD"/>
        </w:rPr>
        <w:footnoteReference w:id="62"/>
      </w:r>
      <w:r w:rsidR="00DE0811" w:rsidRPr="00B13B9A">
        <w:rPr>
          <w:rFonts w:asciiTheme="majorHAnsi" w:hAnsiTheme="majorHAnsi" w:cstheme="majorHAnsi"/>
          <w:sz w:val="24"/>
          <w:szCs w:val="24"/>
          <w:lang w:val="ro-MD"/>
        </w:rPr>
        <w:t xml:space="preserve"> în special transparen</w:t>
      </w:r>
      <w:r w:rsidR="00B13B9A" w:rsidRPr="00B13B9A">
        <w:rPr>
          <w:rFonts w:asciiTheme="majorHAnsi" w:hAnsiTheme="majorHAnsi" w:cstheme="majorHAnsi"/>
          <w:sz w:val="24"/>
          <w:szCs w:val="24"/>
          <w:lang w:val="ro-MD"/>
        </w:rPr>
        <w:t>ț</w:t>
      </w:r>
      <w:r w:rsidR="00DE0811" w:rsidRPr="00B13B9A">
        <w:rPr>
          <w:rFonts w:asciiTheme="majorHAnsi" w:hAnsiTheme="majorHAnsi" w:cstheme="majorHAnsi"/>
          <w:sz w:val="24"/>
          <w:szCs w:val="24"/>
          <w:lang w:val="ro-MD"/>
        </w:rPr>
        <w:t xml:space="preserve">a </w:t>
      </w:r>
      <w:r w:rsidR="00B13B9A" w:rsidRPr="00B13B9A">
        <w:rPr>
          <w:rFonts w:asciiTheme="majorHAnsi" w:hAnsiTheme="majorHAnsi" w:cstheme="majorHAnsi"/>
          <w:sz w:val="24"/>
          <w:szCs w:val="24"/>
          <w:lang w:val="ro-MD"/>
        </w:rPr>
        <w:t>ș</w:t>
      </w:r>
      <w:r w:rsidR="00DE0811" w:rsidRPr="00B13B9A">
        <w:rPr>
          <w:rFonts w:asciiTheme="majorHAnsi" w:hAnsiTheme="majorHAnsi" w:cstheme="majorHAnsi"/>
          <w:sz w:val="24"/>
          <w:szCs w:val="24"/>
          <w:lang w:val="ro-MD"/>
        </w:rPr>
        <w:t xml:space="preserve">i  tratamentului egal  în </w:t>
      </w:r>
      <w:r w:rsidR="00082422" w:rsidRPr="00B13B9A">
        <w:rPr>
          <w:rFonts w:asciiTheme="majorHAnsi" w:hAnsiTheme="majorHAnsi" w:cstheme="majorHAnsi"/>
          <w:sz w:val="24"/>
          <w:szCs w:val="24"/>
          <w:lang w:val="ro-MD"/>
        </w:rPr>
        <w:t>privin</w:t>
      </w:r>
      <w:r w:rsidR="00B13B9A" w:rsidRPr="00B13B9A">
        <w:rPr>
          <w:rFonts w:asciiTheme="majorHAnsi" w:hAnsiTheme="majorHAnsi" w:cstheme="majorHAnsi"/>
          <w:sz w:val="24"/>
          <w:szCs w:val="24"/>
          <w:lang w:val="ro-MD"/>
        </w:rPr>
        <w:t>ț</w:t>
      </w:r>
      <w:r w:rsidR="00082422" w:rsidRPr="00B13B9A">
        <w:rPr>
          <w:rFonts w:asciiTheme="majorHAnsi" w:hAnsiTheme="majorHAnsi" w:cstheme="majorHAnsi"/>
          <w:sz w:val="24"/>
          <w:szCs w:val="24"/>
          <w:lang w:val="ro-MD"/>
        </w:rPr>
        <w:t>a</w:t>
      </w:r>
      <w:r w:rsidR="00DE0811" w:rsidRPr="00B13B9A">
        <w:rPr>
          <w:rFonts w:asciiTheme="majorHAnsi" w:hAnsiTheme="majorHAnsi" w:cstheme="majorHAnsi"/>
          <w:sz w:val="24"/>
          <w:szCs w:val="24"/>
          <w:lang w:val="ro-MD"/>
        </w:rPr>
        <w:t xml:space="preserve"> tuturor </w:t>
      </w:r>
      <w:r w:rsidR="00082422" w:rsidRPr="00B13B9A">
        <w:rPr>
          <w:rFonts w:asciiTheme="majorHAnsi" w:hAnsiTheme="majorHAnsi" w:cstheme="majorHAnsi"/>
          <w:sz w:val="24"/>
          <w:szCs w:val="24"/>
          <w:lang w:val="ro-MD"/>
        </w:rPr>
        <w:t>ofertan</w:t>
      </w:r>
      <w:r w:rsidR="00B13B9A" w:rsidRPr="00B13B9A">
        <w:rPr>
          <w:rFonts w:asciiTheme="majorHAnsi" w:hAnsiTheme="majorHAnsi" w:cstheme="majorHAnsi"/>
          <w:sz w:val="24"/>
          <w:szCs w:val="24"/>
          <w:lang w:val="ro-MD"/>
        </w:rPr>
        <w:t>ț</w:t>
      </w:r>
      <w:r w:rsidR="00082422" w:rsidRPr="00B13B9A">
        <w:rPr>
          <w:rFonts w:asciiTheme="majorHAnsi" w:hAnsiTheme="majorHAnsi" w:cstheme="majorHAnsi"/>
          <w:sz w:val="24"/>
          <w:szCs w:val="24"/>
          <w:lang w:val="ro-MD"/>
        </w:rPr>
        <w:t>ilor</w:t>
      </w:r>
      <w:r w:rsidR="00DE0811" w:rsidRPr="00B13B9A">
        <w:rPr>
          <w:rFonts w:asciiTheme="majorHAnsi" w:hAnsiTheme="majorHAnsi" w:cstheme="majorHAnsi"/>
          <w:sz w:val="24"/>
          <w:szCs w:val="24"/>
          <w:lang w:val="ro-MD"/>
        </w:rPr>
        <w:t xml:space="preserve"> </w:t>
      </w:r>
      <w:r w:rsidR="00B13B9A" w:rsidRPr="00B13B9A">
        <w:rPr>
          <w:rFonts w:asciiTheme="majorHAnsi" w:hAnsiTheme="majorHAnsi" w:cstheme="majorHAnsi"/>
          <w:sz w:val="24"/>
          <w:szCs w:val="24"/>
          <w:lang w:val="ro-MD"/>
        </w:rPr>
        <w:t>ș</w:t>
      </w:r>
      <w:r w:rsidR="00DE0811" w:rsidRPr="00B13B9A">
        <w:rPr>
          <w:rFonts w:asciiTheme="majorHAnsi" w:hAnsiTheme="majorHAnsi" w:cstheme="majorHAnsi"/>
          <w:sz w:val="24"/>
          <w:szCs w:val="24"/>
          <w:lang w:val="ro-MD"/>
        </w:rPr>
        <w:t xml:space="preserve">i operatorilor economici. </w:t>
      </w:r>
    </w:p>
    <w:p w14:paraId="28E99DAF" w14:textId="77777777" w:rsidR="00B37661" w:rsidRPr="00B13B9A" w:rsidRDefault="00B37661" w:rsidP="00B37661">
      <w:pPr>
        <w:pStyle w:val="a7"/>
        <w:ind w:left="0"/>
        <w:jc w:val="both"/>
        <w:rPr>
          <w:rFonts w:asciiTheme="majorHAnsi" w:hAnsiTheme="majorHAnsi" w:cstheme="majorHAnsi"/>
          <w:b/>
          <w:color w:val="000000" w:themeColor="text1"/>
          <w:sz w:val="24"/>
          <w:lang w:val="ro-MD"/>
        </w:rPr>
      </w:pPr>
    </w:p>
    <w:p w14:paraId="25531AEB" w14:textId="406FDC6F" w:rsidR="00B37661" w:rsidRPr="00B13B9A" w:rsidRDefault="00A50449" w:rsidP="00241AB3">
      <w:pPr>
        <w:pStyle w:val="a7"/>
        <w:numPr>
          <w:ilvl w:val="2"/>
          <w:numId w:val="10"/>
        </w:numPr>
        <w:ind w:left="0" w:firstLine="0"/>
        <w:jc w:val="both"/>
        <w:outlineLvl w:val="2"/>
        <w:rPr>
          <w:rFonts w:asciiTheme="majorHAnsi" w:hAnsiTheme="majorHAnsi" w:cstheme="majorHAnsi"/>
          <w:b/>
          <w:color w:val="000000" w:themeColor="text1"/>
          <w:sz w:val="24"/>
          <w:lang w:val="ro-MD"/>
        </w:rPr>
      </w:pPr>
      <w:bookmarkStart w:id="41" w:name="_Toc154562513"/>
      <w:r w:rsidRPr="00B13B9A">
        <w:rPr>
          <w:rFonts w:asciiTheme="majorHAnsi" w:hAnsiTheme="majorHAnsi" w:cstheme="majorHAnsi"/>
          <w:b/>
          <w:color w:val="000000" w:themeColor="text1"/>
          <w:sz w:val="24"/>
          <w:lang w:val="ro-MD"/>
        </w:rPr>
        <w:t>P</w:t>
      </w:r>
      <w:r w:rsidR="00B37661" w:rsidRPr="00B13B9A">
        <w:rPr>
          <w:rFonts w:asciiTheme="majorHAnsi" w:hAnsiTheme="majorHAnsi" w:cstheme="majorHAnsi"/>
          <w:b/>
          <w:color w:val="000000" w:themeColor="text1"/>
          <w:sz w:val="24"/>
          <w:lang w:val="ro-MD"/>
        </w:rPr>
        <w:t>rocedur</w:t>
      </w:r>
      <w:r w:rsidRPr="00B13B9A">
        <w:rPr>
          <w:rFonts w:asciiTheme="majorHAnsi" w:hAnsiTheme="majorHAnsi" w:cstheme="majorHAnsi"/>
          <w:b/>
          <w:color w:val="000000" w:themeColor="text1"/>
          <w:sz w:val="24"/>
          <w:lang w:val="ro-MD"/>
        </w:rPr>
        <w:t>a</w:t>
      </w:r>
      <w:r w:rsidR="00B37661" w:rsidRPr="00B13B9A">
        <w:rPr>
          <w:rFonts w:asciiTheme="majorHAnsi" w:hAnsiTheme="majorHAnsi" w:cstheme="majorHAnsi"/>
          <w:b/>
          <w:color w:val="000000" w:themeColor="text1"/>
          <w:sz w:val="24"/>
          <w:lang w:val="ro-MD"/>
        </w:rPr>
        <w:t xml:space="preserve"> de achizi</w:t>
      </w:r>
      <w:r w:rsidR="00B13B9A" w:rsidRPr="00B13B9A">
        <w:rPr>
          <w:rFonts w:asciiTheme="majorHAnsi" w:hAnsiTheme="majorHAnsi" w:cstheme="majorHAnsi"/>
          <w:b/>
          <w:color w:val="000000" w:themeColor="text1"/>
          <w:sz w:val="24"/>
          <w:lang w:val="ro-MD"/>
        </w:rPr>
        <w:t>ț</w:t>
      </w:r>
      <w:r w:rsidR="00B37661" w:rsidRPr="00B13B9A">
        <w:rPr>
          <w:rFonts w:asciiTheme="majorHAnsi" w:hAnsiTheme="majorHAnsi" w:cstheme="majorHAnsi"/>
          <w:b/>
          <w:color w:val="000000" w:themeColor="text1"/>
          <w:sz w:val="24"/>
          <w:lang w:val="ro-MD"/>
        </w:rPr>
        <w:t>ie, prin încheierea contractului de achizi</w:t>
      </w:r>
      <w:r w:rsidR="00B13B9A" w:rsidRPr="00B13B9A">
        <w:rPr>
          <w:rFonts w:asciiTheme="majorHAnsi" w:hAnsiTheme="majorHAnsi" w:cstheme="majorHAnsi"/>
          <w:b/>
          <w:color w:val="000000" w:themeColor="text1"/>
          <w:sz w:val="24"/>
          <w:lang w:val="ro-MD"/>
        </w:rPr>
        <w:t>ț</w:t>
      </w:r>
      <w:r w:rsidR="00B37661" w:rsidRPr="00B13B9A">
        <w:rPr>
          <w:rFonts w:asciiTheme="majorHAnsi" w:hAnsiTheme="majorHAnsi" w:cstheme="majorHAnsi"/>
          <w:b/>
          <w:color w:val="000000" w:themeColor="text1"/>
          <w:sz w:val="24"/>
          <w:lang w:val="ro-MD"/>
        </w:rPr>
        <w:t>ie de valoare mică în sumă de 960,0 mii lei</w:t>
      </w:r>
      <w:r w:rsidRPr="00B13B9A">
        <w:rPr>
          <w:rFonts w:asciiTheme="majorHAnsi" w:hAnsiTheme="majorHAnsi" w:cstheme="majorHAnsi"/>
          <w:b/>
          <w:color w:val="000000" w:themeColor="text1"/>
          <w:sz w:val="24"/>
          <w:lang w:val="ro-MD"/>
        </w:rPr>
        <w:t>, a fost atribuită incorect,</w:t>
      </w:r>
      <w:r w:rsidR="00B37661" w:rsidRPr="00B13B9A">
        <w:rPr>
          <w:rFonts w:asciiTheme="majorHAnsi" w:hAnsiTheme="majorHAnsi" w:cstheme="majorHAnsi"/>
          <w:b/>
          <w:color w:val="000000" w:themeColor="text1"/>
          <w:sz w:val="24"/>
          <w:lang w:val="ro-MD"/>
        </w:rPr>
        <w:t xml:space="preserve"> fără respectarea pragurilor stabilite de legisla</w:t>
      </w:r>
      <w:r w:rsidR="00B13B9A" w:rsidRPr="00B13B9A">
        <w:rPr>
          <w:rFonts w:asciiTheme="majorHAnsi" w:hAnsiTheme="majorHAnsi" w:cstheme="majorHAnsi"/>
          <w:b/>
          <w:color w:val="000000" w:themeColor="text1"/>
          <w:sz w:val="24"/>
          <w:lang w:val="ro-MD"/>
        </w:rPr>
        <w:t>ț</w:t>
      </w:r>
      <w:r w:rsidR="00B37661" w:rsidRPr="00B13B9A">
        <w:rPr>
          <w:rFonts w:asciiTheme="majorHAnsi" w:hAnsiTheme="majorHAnsi" w:cstheme="majorHAnsi"/>
          <w:b/>
          <w:color w:val="000000" w:themeColor="text1"/>
          <w:sz w:val="24"/>
          <w:lang w:val="ro-MD"/>
        </w:rPr>
        <w:t>ie.</w:t>
      </w:r>
      <w:bookmarkEnd w:id="41"/>
    </w:p>
    <w:p w14:paraId="003C62C5" w14:textId="7C73F373" w:rsidR="00DE0811" w:rsidRPr="00B13B9A" w:rsidRDefault="00DE0811" w:rsidP="00DE0811">
      <w:pPr>
        <w:spacing w:line="276" w:lineRule="auto"/>
        <w:jc w:val="both"/>
        <w:rPr>
          <w:rFonts w:asciiTheme="majorHAnsi" w:hAnsiTheme="majorHAnsi" w:cstheme="majorHAnsi"/>
          <w:color w:val="000000" w:themeColor="text1"/>
          <w:sz w:val="24"/>
          <w:szCs w:val="24"/>
          <w:lang w:val="ro-MD"/>
        </w:rPr>
      </w:pPr>
      <w:r w:rsidRPr="00B13B9A">
        <w:rPr>
          <w:rFonts w:asciiTheme="majorHAnsi" w:hAnsiTheme="majorHAnsi" w:cstheme="majorHAnsi"/>
          <w:color w:val="000000" w:themeColor="text1"/>
          <w:sz w:val="24"/>
          <w:lang w:val="ro-MD"/>
        </w:rPr>
        <w:t xml:space="preserve">Potrivit cadrului legal, contractele de </w:t>
      </w:r>
      <w:r w:rsidR="00082422" w:rsidRPr="00B13B9A">
        <w:rPr>
          <w:rFonts w:asciiTheme="majorHAnsi" w:hAnsiTheme="majorHAnsi" w:cstheme="majorHAnsi"/>
          <w:color w:val="000000" w:themeColor="text1"/>
          <w:sz w:val="24"/>
          <w:lang w:val="ro-MD"/>
        </w:rPr>
        <w:t>achizi</w:t>
      </w:r>
      <w:r w:rsidR="00B13B9A" w:rsidRPr="00B13B9A">
        <w:rPr>
          <w:rFonts w:asciiTheme="majorHAnsi" w:hAnsiTheme="majorHAnsi" w:cstheme="majorHAnsi"/>
          <w:color w:val="000000" w:themeColor="text1"/>
          <w:sz w:val="24"/>
          <w:lang w:val="ro-MD"/>
        </w:rPr>
        <w:t>ț</w:t>
      </w:r>
      <w:r w:rsidR="00082422" w:rsidRPr="00B13B9A">
        <w:rPr>
          <w:rFonts w:asciiTheme="majorHAnsi" w:hAnsiTheme="majorHAnsi" w:cstheme="majorHAnsi"/>
          <w:color w:val="000000" w:themeColor="text1"/>
          <w:sz w:val="24"/>
          <w:lang w:val="ro-MD"/>
        </w:rPr>
        <w:t>ii</w:t>
      </w:r>
      <w:r w:rsidRPr="00B13B9A">
        <w:rPr>
          <w:rFonts w:asciiTheme="majorHAnsi" w:hAnsiTheme="majorHAnsi" w:cstheme="majorHAnsi"/>
          <w:color w:val="000000" w:themeColor="text1"/>
          <w:sz w:val="24"/>
          <w:lang w:val="ro-MD"/>
        </w:rPr>
        <w:t xml:space="preserve"> </w:t>
      </w:r>
      <w:r w:rsidRPr="00B13B9A">
        <w:rPr>
          <w:rFonts w:asciiTheme="majorHAnsi" w:hAnsiTheme="majorHAnsi" w:cstheme="majorHAnsi"/>
          <w:color w:val="000000" w:themeColor="text1"/>
          <w:sz w:val="24"/>
          <w:szCs w:val="24"/>
          <w:lang w:val="ro-MD"/>
        </w:rPr>
        <w:t xml:space="preserve">publice a căror valoare estimată, fără taxa pe valoarea adăugată, care nu </w:t>
      </w:r>
      <w:r w:rsidR="00082422" w:rsidRPr="00B13B9A">
        <w:rPr>
          <w:rFonts w:asciiTheme="majorHAnsi" w:hAnsiTheme="majorHAnsi" w:cstheme="majorHAnsi"/>
          <w:color w:val="000000" w:themeColor="text1"/>
          <w:sz w:val="24"/>
          <w:szCs w:val="24"/>
          <w:lang w:val="ro-MD"/>
        </w:rPr>
        <w:t>depă</w:t>
      </w:r>
      <w:r w:rsidR="00B13B9A" w:rsidRPr="00B13B9A">
        <w:rPr>
          <w:rFonts w:asciiTheme="majorHAnsi" w:hAnsiTheme="majorHAnsi" w:cstheme="majorHAnsi"/>
          <w:color w:val="000000" w:themeColor="text1"/>
          <w:sz w:val="24"/>
          <w:szCs w:val="24"/>
          <w:lang w:val="ro-MD"/>
        </w:rPr>
        <w:t>ș</w:t>
      </w:r>
      <w:r w:rsidR="00082422" w:rsidRPr="00B13B9A">
        <w:rPr>
          <w:rFonts w:asciiTheme="majorHAnsi" w:hAnsiTheme="majorHAnsi" w:cstheme="majorHAnsi"/>
          <w:color w:val="000000" w:themeColor="text1"/>
          <w:sz w:val="24"/>
          <w:szCs w:val="24"/>
          <w:lang w:val="ro-MD"/>
        </w:rPr>
        <w:t>esc</w:t>
      </w:r>
      <w:r w:rsidRPr="00B13B9A">
        <w:rPr>
          <w:rFonts w:asciiTheme="majorHAnsi" w:hAnsiTheme="majorHAnsi" w:cstheme="majorHAnsi"/>
          <w:color w:val="000000" w:themeColor="text1"/>
          <w:sz w:val="24"/>
          <w:szCs w:val="24"/>
          <w:lang w:val="ro-MD"/>
        </w:rPr>
        <w:t xml:space="preserve"> pragurile aprobate</w:t>
      </w:r>
      <w:r w:rsidRPr="00B13B9A">
        <w:rPr>
          <w:rStyle w:val="a9"/>
          <w:rFonts w:asciiTheme="majorHAnsi" w:hAnsiTheme="majorHAnsi" w:cstheme="majorHAnsi"/>
          <w:color w:val="000000" w:themeColor="text1"/>
          <w:sz w:val="24"/>
          <w:szCs w:val="24"/>
          <w:lang w:val="ro-MD"/>
        </w:rPr>
        <w:footnoteReference w:id="63"/>
      </w:r>
      <w:r w:rsidRPr="00B13B9A">
        <w:rPr>
          <w:rFonts w:asciiTheme="majorHAnsi" w:hAnsiTheme="majorHAnsi" w:cstheme="majorHAnsi"/>
          <w:color w:val="000000" w:themeColor="text1"/>
          <w:sz w:val="24"/>
          <w:szCs w:val="24"/>
          <w:lang w:val="ro-MD"/>
        </w:rPr>
        <w:t xml:space="preserve"> sunt reglementate de Regulamentul </w:t>
      </w:r>
      <w:r w:rsidR="00082422" w:rsidRPr="00B13B9A">
        <w:rPr>
          <w:rFonts w:asciiTheme="majorHAnsi" w:hAnsiTheme="majorHAnsi" w:cstheme="majorHAnsi"/>
          <w:color w:val="000000" w:themeColor="text1"/>
          <w:sz w:val="24"/>
          <w:szCs w:val="24"/>
          <w:lang w:val="ro-MD"/>
        </w:rPr>
        <w:t>achizi</w:t>
      </w:r>
      <w:r w:rsidR="00B13B9A" w:rsidRPr="00B13B9A">
        <w:rPr>
          <w:rFonts w:asciiTheme="majorHAnsi" w:hAnsiTheme="majorHAnsi" w:cstheme="majorHAnsi"/>
          <w:color w:val="000000" w:themeColor="text1"/>
          <w:sz w:val="24"/>
          <w:szCs w:val="24"/>
          <w:lang w:val="ro-MD"/>
        </w:rPr>
        <w:t>ț</w:t>
      </w:r>
      <w:r w:rsidR="00082422" w:rsidRPr="00B13B9A">
        <w:rPr>
          <w:rFonts w:asciiTheme="majorHAnsi" w:hAnsiTheme="majorHAnsi" w:cstheme="majorHAnsi"/>
          <w:color w:val="000000" w:themeColor="text1"/>
          <w:sz w:val="24"/>
          <w:szCs w:val="24"/>
          <w:lang w:val="ro-MD"/>
        </w:rPr>
        <w:t>iilor</w:t>
      </w:r>
      <w:r w:rsidRPr="00B13B9A">
        <w:rPr>
          <w:rFonts w:asciiTheme="majorHAnsi" w:hAnsiTheme="majorHAnsi" w:cstheme="majorHAnsi"/>
          <w:color w:val="000000" w:themeColor="text1"/>
          <w:sz w:val="24"/>
          <w:szCs w:val="24"/>
          <w:lang w:val="ro-MD"/>
        </w:rPr>
        <w:t xml:space="preserve"> publice de valoare mică</w:t>
      </w:r>
      <w:r w:rsidRPr="00B13B9A">
        <w:rPr>
          <w:rStyle w:val="a9"/>
          <w:rFonts w:asciiTheme="majorHAnsi" w:hAnsiTheme="majorHAnsi" w:cstheme="majorHAnsi"/>
          <w:color w:val="000000" w:themeColor="text1"/>
          <w:sz w:val="24"/>
          <w:szCs w:val="24"/>
          <w:lang w:val="ro-MD"/>
        </w:rPr>
        <w:footnoteReference w:id="64"/>
      </w:r>
      <w:r w:rsidRPr="00B13B9A">
        <w:rPr>
          <w:rFonts w:asciiTheme="majorHAnsi" w:hAnsiTheme="majorHAnsi" w:cstheme="majorHAnsi"/>
          <w:color w:val="000000" w:themeColor="text1"/>
          <w:sz w:val="24"/>
          <w:szCs w:val="24"/>
          <w:lang w:val="ro-MD"/>
        </w:rPr>
        <w:t xml:space="preserve">, iar în cazul </w:t>
      </w:r>
      <w:r w:rsidR="002801D0" w:rsidRPr="00B13B9A">
        <w:rPr>
          <w:rFonts w:asciiTheme="majorHAnsi" w:hAnsiTheme="majorHAnsi" w:cstheme="majorHAnsi"/>
          <w:color w:val="000000" w:themeColor="text1"/>
          <w:sz w:val="24"/>
          <w:szCs w:val="24"/>
          <w:lang w:val="ro-MD"/>
        </w:rPr>
        <w:t>c</w:t>
      </w:r>
      <w:r w:rsidRPr="00B13B9A">
        <w:rPr>
          <w:rFonts w:asciiTheme="majorHAnsi" w:hAnsiTheme="majorHAnsi" w:cstheme="majorHAnsi"/>
          <w:color w:val="000000" w:themeColor="text1"/>
          <w:sz w:val="24"/>
          <w:szCs w:val="24"/>
          <w:lang w:val="ro-MD"/>
        </w:rPr>
        <w:t xml:space="preserve">ontractelor a căror valoare estimată </w:t>
      </w:r>
      <w:r w:rsidR="00F431A2" w:rsidRPr="00B13B9A">
        <w:rPr>
          <w:rFonts w:asciiTheme="majorHAnsi" w:hAnsiTheme="majorHAnsi" w:cstheme="majorHAnsi"/>
          <w:color w:val="000000" w:themeColor="text1"/>
          <w:sz w:val="24"/>
          <w:szCs w:val="24"/>
          <w:lang w:val="ro-MD"/>
        </w:rPr>
        <w:t>depă</w:t>
      </w:r>
      <w:r w:rsidR="00B13B9A" w:rsidRPr="00B13B9A">
        <w:rPr>
          <w:rFonts w:asciiTheme="majorHAnsi" w:hAnsiTheme="majorHAnsi" w:cstheme="majorHAnsi"/>
          <w:color w:val="000000" w:themeColor="text1"/>
          <w:sz w:val="24"/>
          <w:szCs w:val="24"/>
          <w:lang w:val="ro-MD"/>
        </w:rPr>
        <w:t>ș</w:t>
      </w:r>
      <w:r w:rsidR="00F431A2" w:rsidRPr="00B13B9A">
        <w:rPr>
          <w:rFonts w:asciiTheme="majorHAnsi" w:hAnsiTheme="majorHAnsi" w:cstheme="majorHAnsi"/>
          <w:color w:val="000000" w:themeColor="text1"/>
          <w:sz w:val="24"/>
          <w:szCs w:val="24"/>
          <w:lang w:val="ro-MD"/>
        </w:rPr>
        <w:t>e</w:t>
      </w:r>
      <w:r w:rsidR="00B13B9A" w:rsidRPr="00B13B9A">
        <w:rPr>
          <w:rFonts w:asciiTheme="majorHAnsi" w:hAnsiTheme="majorHAnsi" w:cstheme="majorHAnsi"/>
          <w:color w:val="000000" w:themeColor="text1"/>
          <w:sz w:val="24"/>
          <w:szCs w:val="24"/>
          <w:lang w:val="ro-MD"/>
        </w:rPr>
        <w:t>ș</w:t>
      </w:r>
      <w:r w:rsidR="00F431A2" w:rsidRPr="00B13B9A">
        <w:rPr>
          <w:rFonts w:asciiTheme="majorHAnsi" w:hAnsiTheme="majorHAnsi" w:cstheme="majorHAnsi"/>
          <w:color w:val="000000" w:themeColor="text1"/>
          <w:sz w:val="24"/>
          <w:szCs w:val="24"/>
          <w:lang w:val="ro-MD"/>
        </w:rPr>
        <w:t>te</w:t>
      </w:r>
      <w:r w:rsidRPr="00B13B9A">
        <w:rPr>
          <w:rFonts w:asciiTheme="majorHAnsi" w:hAnsiTheme="majorHAnsi" w:cstheme="majorHAnsi"/>
          <w:color w:val="000000" w:themeColor="text1"/>
          <w:sz w:val="24"/>
          <w:szCs w:val="24"/>
          <w:lang w:val="ro-MD"/>
        </w:rPr>
        <w:t xml:space="preserve"> pragurile men</w:t>
      </w:r>
      <w:r w:rsidR="00B13B9A" w:rsidRPr="00B13B9A">
        <w:rPr>
          <w:rFonts w:asciiTheme="majorHAnsi" w:hAnsiTheme="majorHAnsi" w:cstheme="majorHAnsi"/>
          <w:color w:val="000000" w:themeColor="text1"/>
          <w:sz w:val="24"/>
          <w:szCs w:val="24"/>
          <w:lang w:val="ro-MD"/>
        </w:rPr>
        <w:t>ț</w:t>
      </w:r>
      <w:r w:rsidRPr="00B13B9A">
        <w:rPr>
          <w:rFonts w:asciiTheme="majorHAnsi" w:hAnsiTheme="majorHAnsi" w:cstheme="majorHAnsi"/>
          <w:color w:val="000000" w:themeColor="text1"/>
          <w:sz w:val="24"/>
          <w:szCs w:val="24"/>
          <w:lang w:val="ro-MD"/>
        </w:rPr>
        <w:t xml:space="preserve">ionate, procedura </w:t>
      </w:r>
      <w:r w:rsidR="0070221A" w:rsidRPr="00B13B9A">
        <w:rPr>
          <w:rFonts w:asciiTheme="majorHAnsi" w:hAnsiTheme="majorHAnsi" w:cstheme="majorHAnsi"/>
          <w:color w:val="000000" w:themeColor="text1"/>
          <w:sz w:val="24"/>
          <w:szCs w:val="24"/>
          <w:lang w:val="ro-MD"/>
        </w:rPr>
        <w:t>aplicată</w:t>
      </w:r>
      <w:r w:rsidRPr="00B13B9A">
        <w:rPr>
          <w:rFonts w:asciiTheme="majorHAnsi" w:hAnsiTheme="majorHAnsi" w:cstheme="majorHAnsi"/>
          <w:color w:val="000000" w:themeColor="text1"/>
          <w:sz w:val="24"/>
          <w:szCs w:val="24"/>
          <w:lang w:val="ro-MD"/>
        </w:rPr>
        <w:t xml:space="preserve"> urmează a fi selectată în conformitate cu prevederile </w:t>
      </w:r>
      <w:r w:rsidR="002801D0" w:rsidRPr="00B13B9A">
        <w:rPr>
          <w:rFonts w:asciiTheme="majorHAnsi" w:hAnsiTheme="majorHAnsi" w:cstheme="majorHAnsi"/>
          <w:color w:val="000000" w:themeColor="text1"/>
          <w:sz w:val="24"/>
          <w:szCs w:val="24"/>
          <w:lang w:val="ro-MD"/>
        </w:rPr>
        <w:t>L</w:t>
      </w:r>
      <w:r w:rsidRPr="00B13B9A">
        <w:rPr>
          <w:rFonts w:asciiTheme="majorHAnsi" w:hAnsiTheme="majorHAnsi" w:cstheme="majorHAnsi"/>
          <w:color w:val="000000" w:themeColor="text1"/>
          <w:sz w:val="24"/>
          <w:szCs w:val="24"/>
          <w:lang w:val="ro-MD"/>
        </w:rPr>
        <w:t>egii privind achizi</w:t>
      </w:r>
      <w:r w:rsidR="00B13B9A" w:rsidRPr="00B13B9A">
        <w:rPr>
          <w:rFonts w:asciiTheme="majorHAnsi" w:hAnsiTheme="majorHAnsi" w:cstheme="majorHAnsi"/>
          <w:color w:val="000000" w:themeColor="text1"/>
          <w:sz w:val="24"/>
          <w:szCs w:val="24"/>
          <w:lang w:val="ro-MD"/>
        </w:rPr>
        <w:t>ț</w:t>
      </w:r>
      <w:r w:rsidRPr="00B13B9A">
        <w:rPr>
          <w:rFonts w:asciiTheme="majorHAnsi" w:hAnsiTheme="majorHAnsi" w:cstheme="majorHAnsi"/>
          <w:color w:val="000000" w:themeColor="text1"/>
          <w:sz w:val="24"/>
          <w:szCs w:val="24"/>
          <w:lang w:val="ro-MD"/>
        </w:rPr>
        <w:t>iile publice</w:t>
      </w:r>
      <w:r w:rsidRPr="00B13B9A">
        <w:rPr>
          <w:rStyle w:val="a9"/>
          <w:rFonts w:asciiTheme="majorHAnsi" w:hAnsiTheme="majorHAnsi" w:cstheme="majorHAnsi"/>
          <w:color w:val="000000" w:themeColor="text1"/>
          <w:sz w:val="24"/>
          <w:szCs w:val="24"/>
          <w:lang w:val="ro-MD"/>
        </w:rPr>
        <w:footnoteReference w:id="65"/>
      </w:r>
      <w:r w:rsidRPr="00B13B9A">
        <w:rPr>
          <w:rFonts w:asciiTheme="majorHAnsi" w:hAnsiTheme="majorHAnsi" w:cstheme="majorHAnsi"/>
          <w:color w:val="000000" w:themeColor="text1"/>
          <w:sz w:val="24"/>
          <w:szCs w:val="24"/>
          <w:lang w:val="ro-MD"/>
        </w:rPr>
        <w:t xml:space="preserve">. În cadrul </w:t>
      </w:r>
      <w:r w:rsidR="00F431A2" w:rsidRPr="00B13B9A">
        <w:rPr>
          <w:rFonts w:asciiTheme="majorHAnsi" w:hAnsiTheme="majorHAnsi" w:cstheme="majorHAnsi"/>
          <w:color w:val="000000" w:themeColor="text1"/>
          <w:sz w:val="24"/>
          <w:szCs w:val="24"/>
          <w:lang w:val="ro-MD"/>
        </w:rPr>
        <w:t xml:space="preserve">IMSP IFP </w:t>
      </w:r>
      <w:r w:rsidR="00F431A2" w:rsidRPr="00B13B9A">
        <w:rPr>
          <w:rFonts w:asciiTheme="majorHAnsi" w:hAnsiTheme="majorHAnsi" w:cstheme="majorHAnsi"/>
          <w:sz w:val="24"/>
          <w:szCs w:val="24"/>
          <w:lang w:val="ro-MD"/>
        </w:rPr>
        <w:t>„Chiril Draganiuc”</w:t>
      </w:r>
      <w:r w:rsidRPr="00B13B9A">
        <w:rPr>
          <w:rFonts w:asciiTheme="majorHAnsi" w:hAnsiTheme="majorHAnsi" w:cstheme="majorHAnsi"/>
          <w:color w:val="000000" w:themeColor="text1"/>
          <w:sz w:val="24"/>
          <w:szCs w:val="24"/>
          <w:lang w:val="ro-MD"/>
        </w:rPr>
        <w:t>, auditul constată că entitatea a încheiat un contract de valoare mică de achizi</w:t>
      </w:r>
      <w:r w:rsidR="00B13B9A" w:rsidRPr="00B13B9A">
        <w:rPr>
          <w:rFonts w:asciiTheme="majorHAnsi" w:hAnsiTheme="majorHAnsi" w:cstheme="majorHAnsi"/>
          <w:color w:val="000000" w:themeColor="text1"/>
          <w:sz w:val="24"/>
          <w:szCs w:val="24"/>
          <w:lang w:val="ro-MD"/>
        </w:rPr>
        <w:t>ț</w:t>
      </w:r>
      <w:r w:rsidRPr="00B13B9A">
        <w:rPr>
          <w:rFonts w:asciiTheme="majorHAnsi" w:hAnsiTheme="majorHAnsi" w:cstheme="majorHAnsi"/>
          <w:color w:val="000000" w:themeColor="text1"/>
          <w:sz w:val="24"/>
          <w:szCs w:val="24"/>
          <w:lang w:val="ro-MD"/>
        </w:rPr>
        <w:t xml:space="preserve">ionare a oxigenului medical, 6400 </w:t>
      </w:r>
      <w:r w:rsidR="002801D0" w:rsidRPr="00B13B9A">
        <w:rPr>
          <w:rFonts w:asciiTheme="majorHAnsi" w:hAnsiTheme="majorHAnsi" w:cstheme="majorHAnsi"/>
          <w:color w:val="000000" w:themeColor="text1"/>
          <w:sz w:val="24"/>
          <w:szCs w:val="24"/>
          <w:lang w:val="ro-MD"/>
        </w:rPr>
        <w:t xml:space="preserve">de </w:t>
      </w:r>
      <w:r w:rsidRPr="00B13B9A">
        <w:rPr>
          <w:rFonts w:asciiTheme="majorHAnsi" w:hAnsiTheme="majorHAnsi" w:cstheme="majorHAnsi"/>
          <w:color w:val="000000" w:themeColor="text1"/>
          <w:sz w:val="24"/>
          <w:szCs w:val="24"/>
          <w:lang w:val="ro-MD"/>
        </w:rPr>
        <w:t xml:space="preserve">butelii, în sumă de 960, 0 mii lei (inclusiv TVA). </w:t>
      </w:r>
      <w:r w:rsidR="004B30CE">
        <w:rPr>
          <w:rFonts w:asciiTheme="majorHAnsi" w:hAnsiTheme="majorHAnsi" w:cstheme="majorHAnsi"/>
          <w:color w:val="000000" w:themeColor="text1"/>
          <w:sz w:val="24"/>
          <w:szCs w:val="24"/>
          <w:lang w:val="ro-MD"/>
        </w:rPr>
        <w:t>De menționat că</w:t>
      </w:r>
      <w:r w:rsidRPr="00B13B9A">
        <w:rPr>
          <w:rFonts w:asciiTheme="majorHAnsi" w:hAnsiTheme="majorHAnsi" w:cstheme="majorHAnsi"/>
          <w:color w:val="000000" w:themeColor="text1"/>
          <w:sz w:val="24"/>
          <w:szCs w:val="24"/>
          <w:lang w:val="ro-MD"/>
        </w:rPr>
        <w:t>, au fost achizi</w:t>
      </w:r>
      <w:r w:rsidR="00B13B9A" w:rsidRPr="00B13B9A">
        <w:rPr>
          <w:rFonts w:asciiTheme="majorHAnsi" w:hAnsiTheme="majorHAnsi" w:cstheme="majorHAnsi"/>
          <w:color w:val="000000" w:themeColor="text1"/>
          <w:sz w:val="24"/>
          <w:szCs w:val="24"/>
          <w:lang w:val="ro-MD"/>
        </w:rPr>
        <w:t>ț</w:t>
      </w:r>
      <w:r w:rsidRPr="00B13B9A">
        <w:rPr>
          <w:rFonts w:asciiTheme="majorHAnsi" w:hAnsiTheme="majorHAnsi" w:cstheme="majorHAnsi"/>
          <w:color w:val="000000" w:themeColor="text1"/>
          <w:sz w:val="24"/>
          <w:szCs w:val="24"/>
          <w:lang w:val="ro-MD"/>
        </w:rPr>
        <w:t>ionate cu 4</w:t>
      </w:r>
      <w:r w:rsidR="0070221A" w:rsidRPr="00B13B9A">
        <w:rPr>
          <w:rFonts w:asciiTheme="majorHAnsi" w:hAnsiTheme="majorHAnsi" w:cstheme="majorHAnsi"/>
          <w:color w:val="000000" w:themeColor="text1"/>
          <w:sz w:val="24"/>
          <w:szCs w:val="24"/>
          <w:lang w:val="ro-MD"/>
        </w:rPr>
        <w:t xml:space="preserve"> </w:t>
      </w:r>
      <w:r w:rsidRPr="00B13B9A">
        <w:rPr>
          <w:rFonts w:asciiTheme="majorHAnsi" w:hAnsiTheme="majorHAnsi" w:cstheme="majorHAnsi"/>
          <w:color w:val="000000" w:themeColor="text1"/>
          <w:sz w:val="24"/>
          <w:szCs w:val="24"/>
          <w:lang w:val="ro-MD"/>
        </w:rPr>
        <w:t xml:space="preserve">675 </w:t>
      </w:r>
      <w:r w:rsidR="002801D0" w:rsidRPr="00B13B9A">
        <w:rPr>
          <w:rFonts w:asciiTheme="majorHAnsi" w:hAnsiTheme="majorHAnsi" w:cstheme="majorHAnsi"/>
          <w:color w:val="000000" w:themeColor="text1"/>
          <w:sz w:val="24"/>
          <w:szCs w:val="24"/>
          <w:lang w:val="ro-MD"/>
        </w:rPr>
        <w:t xml:space="preserve">de </w:t>
      </w:r>
      <w:r w:rsidRPr="00B13B9A">
        <w:rPr>
          <w:rFonts w:asciiTheme="majorHAnsi" w:hAnsiTheme="majorHAnsi" w:cstheme="majorHAnsi"/>
          <w:color w:val="000000" w:themeColor="text1"/>
          <w:sz w:val="24"/>
          <w:szCs w:val="24"/>
          <w:lang w:val="ro-MD"/>
        </w:rPr>
        <w:t>butelii mai mult dec</w:t>
      </w:r>
      <w:r w:rsidR="00596726" w:rsidRPr="00B13B9A">
        <w:rPr>
          <w:rFonts w:asciiTheme="majorHAnsi" w:hAnsiTheme="majorHAnsi" w:cstheme="majorHAnsi"/>
          <w:color w:val="000000" w:themeColor="text1"/>
          <w:sz w:val="24"/>
          <w:szCs w:val="24"/>
          <w:lang w:val="ro-MD"/>
        </w:rPr>
        <w:t>â</w:t>
      </w:r>
      <w:r w:rsidRPr="00B13B9A">
        <w:rPr>
          <w:rFonts w:asciiTheme="majorHAnsi" w:hAnsiTheme="majorHAnsi" w:cstheme="majorHAnsi"/>
          <w:color w:val="000000" w:themeColor="text1"/>
          <w:sz w:val="24"/>
          <w:szCs w:val="24"/>
          <w:lang w:val="ro-MD"/>
        </w:rPr>
        <w:t>t necesită</w:t>
      </w:r>
      <w:r w:rsidR="00B13B9A" w:rsidRPr="00B13B9A">
        <w:rPr>
          <w:rFonts w:asciiTheme="majorHAnsi" w:hAnsiTheme="majorHAnsi" w:cstheme="majorHAnsi"/>
          <w:color w:val="000000" w:themeColor="text1"/>
          <w:sz w:val="24"/>
          <w:szCs w:val="24"/>
          <w:lang w:val="ro-MD"/>
        </w:rPr>
        <w:t>ț</w:t>
      </w:r>
      <w:r w:rsidRPr="00B13B9A">
        <w:rPr>
          <w:rFonts w:asciiTheme="majorHAnsi" w:hAnsiTheme="majorHAnsi" w:cstheme="majorHAnsi"/>
          <w:color w:val="000000" w:themeColor="text1"/>
          <w:sz w:val="24"/>
          <w:szCs w:val="24"/>
          <w:lang w:val="ro-MD"/>
        </w:rPr>
        <w:t>ile planificate pentru anul 2021</w:t>
      </w:r>
      <w:r w:rsidR="0050078B" w:rsidRPr="00B13B9A">
        <w:rPr>
          <w:rFonts w:asciiTheme="majorHAnsi" w:hAnsiTheme="majorHAnsi" w:cstheme="majorHAnsi"/>
          <w:color w:val="000000" w:themeColor="text1"/>
          <w:sz w:val="24"/>
          <w:szCs w:val="24"/>
          <w:lang w:val="ro-MD"/>
        </w:rPr>
        <w:t>,</w:t>
      </w:r>
      <w:r w:rsidRPr="00B13B9A">
        <w:rPr>
          <w:rFonts w:asciiTheme="majorHAnsi" w:hAnsiTheme="majorHAnsi" w:cstheme="majorHAnsi"/>
          <w:color w:val="000000" w:themeColor="text1"/>
          <w:sz w:val="24"/>
          <w:szCs w:val="24"/>
          <w:lang w:val="ro-MD"/>
        </w:rPr>
        <w:t xml:space="preserve"> sau de 3 ori mai mult, fără documentarea neces</w:t>
      </w:r>
      <w:r w:rsidR="0070221A" w:rsidRPr="00B13B9A">
        <w:rPr>
          <w:rFonts w:asciiTheme="majorHAnsi" w:hAnsiTheme="majorHAnsi" w:cstheme="majorHAnsi"/>
          <w:color w:val="000000" w:themeColor="text1"/>
          <w:sz w:val="24"/>
          <w:szCs w:val="24"/>
          <w:lang w:val="ro-MD"/>
        </w:rPr>
        <w:t>arului de oxigen</w:t>
      </w:r>
      <w:r w:rsidRPr="00B13B9A">
        <w:rPr>
          <w:rFonts w:asciiTheme="majorHAnsi" w:hAnsiTheme="majorHAnsi" w:cstheme="majorHAnsi"/>
          <w:color w:val="000000" w:themeColor="text1"/>
          <w:sz w:val="24"/>
          <w:szCs w:val="24"/>
          <w:lang w:val="ro-MD"/>
        </w:rPr>
        <w:t xml:space="preserve">. </w:t>
      </w:r>
    </w:p>
    <w:p w14:paraId="27A5D84A" w14:textId="16B91202" w:rsidR="00F20B3D" w:rsidRPr="00B13B9A" w:rsidRDefault="00B37661" w:rsidP="00B37661">
      <w:pPr>
        <w:jc w:val="both"/>
        <w:rPr>
          <w:rFonts w:asciiTheme="majorHAnsi" w:hAnsiTheme="majorHAnsi" w:cstheme="majorHAnsi"/>
          <w:color w:val="000000" w:themeColor="text1"/>
          <w:sz w:val="24"/>
          <w:szCs w:val="24"/>
          <w:lang w:val="ro-MD"/>
        </w:rPr>
      </w:pPr>
      <w:r w:rsidRPr="00B13B9A">
        <w:rPr>
          <w:rFonts w:asciiTheme="majorHAnsi" w:hAnsiTheme="majorHAnsi" w:cstheme="majorHAnsi"/>
          <w:color w:val="000000" w:themeColor="text1"/>
          <w:sz w:val="24"/>
          <w:szCs w:val="24"/>
          <w:lang w:val="ro-MD"/>
        </w:rPr>
        <w:t>De</w:t>
      </w:r>
      <w:r w:rsidR="00B13B9A" w:rsidRPr="00B13B9A">
        <w:rPr>
          <w:rFonts w:asciiTheme="majorHAnsi" w:hAnsiTheme="majorHAnsi" w:cstheme="majorHAnsi"/>
          <w:color w:val="000000" w:themeColor="text1"/>
          <w:sz w:val="24"/>
          <w:szCs w:val="24"/>
          <w:lang w:val="ro-MD"/>
        </w:rPr>
        <w:t>ș</w:t>
      </w:r>
      <w:r w:rsidRPr="00B13B9A">
        <w:rPr>
          <w:rFonts w:asciiTheme="majorHAnsi" w:hAnsiTheme="majorHAnsi" w:cstheme="majorHAnsi"/>
          <w:color w:val="000000" w:themeColor="text1"/>
          <w:sz w:val="24"/>
          <w:szCs w:val="24"/>
          <w:lang w:val="ro-MD"/>
        </w:rPr>
        <w:t>i în anul 2021, în contextul pandemiei COVID-19, Guvernul a aprobat unele mecanisme de flexibilitate</w:t>
      </w:r>
      <w:r w:rsidRPr="00B13B9A">
        <w:rPr>
          <w:rStyle w:val="a9"/>
          <w:rFonts w:asciiTheme="majorHAnsi" w:hAnsiTheme="majorHAnsi" w:cstheme="majorHAnsi"/>
          <w:color w:val="000000" w:themeColor="text1"/>
          <w:sz w:val="24"/>
          <w:szCs w:val="24"/>
          <w:lang w:val="ro-MD"/>
        </w:rPr>
        <w:footnoteReference w:id="66"/>
      </w:r>
      <w:r w:rsidRPr="00B13B9A">
        <w:rPr>
          <w:rFonts w:asciiTheme="majorHAnsi" w:hAnsiTheme="majorHAnsi" w:cstheme="majorHAnsi"/>
          <w:color w:val="000000" w:themeColor="text1"/>
          <w:sz w:val="24"/>
          <w:szCs w:val="24"/>
          <w:lang w:val="ro-MD"/>
        </w:rPr>
        <w:t xml:space="preserve"> la efectuarea achizi</w:t>
      </w:r>
      <w:r w:rsidR="00B13B9A" w:rsidRPr="00B13B9A">
        <w:rPr>
          <w:rFonts w:asciiTheme="majorHAnsi" w:hAnsiTheme="majorHAnsi" w:cstheme="majorHAnsi"/>
          <w:color w:val="000000" w:themeColor="text1"/>
          <w:sz w:val="24"/>
          <w:szCs w:val="24"/>
          <w:lang w:val="ro-MD"/>
        </w:rPr>
        <w:t>ț</w:t>
      </w:r>
      <w:r w:rsidRPr="00B13B9A">
        <w:rPr>
          <w:rFonts w:asciiTheme="majorHAnsi" w:hAnsiTheme="majorHAnsi" w:cstheme="majorHAnsi"/>
          <w:color w:val="000000" w:themeColor="text1"/>
          <w:sz w:val="24"/>
          <w:szCs w:val="24"/>
          <w:lang w:val="ro-MD"/>
        </w:rPr>
        <w:t>iilor, totu</w:t>
      </w:r>
      <w:r w:rsidR="00B13B9A" w:rsidRPr="00B13B9A">
        <w:rPr>
          <w:rFonts w:asciiTheme="majorHAnsi" w:hAnsiTheme="majorHAnsi" w:cstheme="majorHAnsi"/>
          <w:color w:val="000000" w:themeColor="text1"/>
          <w:sz w:val="24"/>
          <w:szCs w:val="24"/>
          <w:lang w:val="ro-MD"/>
        </w:rPr>
        <w:t>ș</w:t>
      </w:r>
      <w:r w:rsidRPr="00B13B9A">
        <w:rPr>
          <w:rFonts w:asciiTheme="majorHAnsi" w:hAnsiTheme="majorHAnsi" w:cstheme="majorHAnsi"/>
          <w:color w:val="000000" w:themeColor="text1"/>
          <w:sz w:val="24"/>
          <w:szCs w:val="24"/>
          <w:lang w:val="ro-MD"/>
        </w:rPr>
        <w:t>i acestea nu ofereau dreptul entită</w:t>
      </w:r>
      <w:r w:rsidR="00B13B9A" w:rsidRPr="00B13B9A">
        <w:rPr>
          <w:rFonts w:asciiTheme="majorHAnsi" w:hAnsiTheme="majorHAnsi" w:cstheme="majorHAnsi"/>
          <w:color w:val="000000" w:themeColor="text1"/>
          <w:sz w:val="24"/>
          <w:szCs w:val="24"/>
          <w:lang w:val="ro-MD"/>
        </w:rPr>
        <w:t>ț</w:t>
      </w:r>
      <w:r w:rsidRPr="00B13B9A">
        <w:rPr>
          <w:rFonts w:asciiTheme="majorHAnsi" w:hAnsiTheme="majorHAnsi" w:cstheme="majorHAnsi"/>
          <w:color w:val="000000" w:themeColor="text1"/>
          <w:sz w:val="24"/>
          <w:szCs w:val="24"/>
          <w:lang w:val="ro-MD"/>
        </w:rPr>
        <w:t xml:space="preserve">ii de a încheia </w:t>
      </w:r>
      <w:r w:rsidR="006213BF" w:rsidRPr="00B13B9A">
        <w:rPr>
          <w:rFonts w:asciiTheme="majorHAnsi" w:hAnsiTheme="majorHAnsi" w:cstheme="majorHAnsi"/>
          <w:color w:val="000000" w:themeColor="text1"/>
          <w:sz w:val="24"/>
          <w:szCs w:val="24"/>
          <w:lang w:val="ro-MD"/>
        </w:rPr>
        <w:t xml:space="preserve">un </w:t>
      </w:r>
      <w:r w:rsidRPr="00B13B9A">
        <w:rPr>
          <w:rFonts w:asciiTheme="majorHAnsi" w:hAnsiTheme="majorHAnsi" w:cstheme="majorHAnsi"/>
          <w:color w:val="000000" w:themeColor="text1"/>
          <w:sz w:val="24"/>
          <w:szCs w:val="24"/>
          <w:lang w:val="ro-MD"/>
        </w:rPr>
        <w:t xml:space="preserve">contract de mică valoare în asemenea sumă, </w:t>
      </w:r>
      <w:r w:rsidR="0070221A" w:rsidRPr="00B13B9A">
        <w:rPr>
          <w:rFonts w:asciiTheme="majorHAnsi" w:hAnsiTheme="majorHAnsi" w:cstheme="majorHAnsi"/>
          <w:color w:val="000000" w:themeColor="text1"/>
          <w:sz w:val="24"/>
          <w:szCs w:val="24"/>
          <w:lang w:val="ro-MD"/>
        </w:rPr>
        <w:t>dar trebuiau</w:t>
      </w:r>
      <w:r w:rsidRPr="00B13B9A">
        <w:rPr>
          <w:rFonts w:asciiTheme="majorHAnsi" w:hAnsiTheme="majorHAnsi" w:cstheme="majorHAnsi"/>
          <w:color w:val="000000" w:themeColor="text1"/>
          <w:sz w:val="24"/>
          <w:szCs w:val="24"/>
          <w:lang w:val="ro-MD"/>
        </w:rPr>
        <w:t xml:space="preserve"> aplica</w:t>
      </w:r>
      <w:r w:rsidR="0070221A" w:rsidRPr="00B13B9A">
        <w:rPr>
          <w:rFonts w:asciiTheme="majorHAnsi" w:hAnsiTheme="majorHAnsi" w:cstheme="majorHAnsi"/>
          <w:color w:val="000000" w:themeColor="text1"/>
          <w:sz w:val="24"/>
          <w:szCs w:val="24"/>
          <w:lang w:val="ro-MD"/>
        </w:rPr>
        <w:t>te</w:t>
      </w:r>
      <w:r w:rsidRPr="00B13B9A">
        <w:rPr>
          <w:rFonts w:asciiTheme="majorHAnsi" w:hAnsiTheme="majorHAnsi" w:cstheme="majorHAnsi"/>
          <w:color w:val="000000" w:themeColor="text1"/>
          <w:sz w:val="24"/>
          <w:szCs w:val="24"/>
          <w:lang w:val="ro-MD"/>
        </w:rPr>
        <w:t xml:space="preserve"> alte proceduri</w:t>
      </w:r>
      <w:r w:rsidR="006213BF" w:rsidRPr="00B13B9A">
        <w:rPr>
          <w:rFonts w:asciiTheme="majorHAnsi" w:hAnsiTheme="majorHAnsi" w:cstheme="majorHAnsi"/>
          <w:color w:val="000000" w:themeColor="text1"/>
          <w:sz w:val="24"/>
          <w:szCs w:val="24"/>
          <w:lang w:val="ro-MD"/>
        </w:rPr>
        <w:t>,</w:t>
      </w:r>
      <w:r w:rsidRPr="00B13B9A">
        <w:rPr>
          <w:rFonts w:asciiTheme="majorHAnsi" w:hAnsiTheme="majorHAnsi" w:cstheme="majorHAnsi"/>
          <w:color w:val="000000" w:themeColor="text1"/>
          <w:sz w:val="24"/>
          <w:szCs w:val="24"/>
          <w:lang w:val="ro-MD"/>
        </w:rPr>
        <w:t xml:space="preserve"> cum ar fi negociere</w:t>
      </w:r>
      <w:r w:rsidR="00E233E3" w:rsidRPr="00B13B9A">
        <w:rPr>
          <w:rFonts w:asciiTheme="majorHAnsi" w:hAnsiTheme="majorHAnsi" w:cstheme="majorHAnsi"/>
          <w:color w:val="000000" w:themeColor="text1"/>
          <w:sz w:val="24"/>
          <w:szCs w:val="24"/>
          <w:lang w:val="ro-MD"/>
        </w:rPr>
        <w:t>a</w:t>
      </w:r>
      <w:r w:rsidRPr="00B13B9A">
        <w:rPr>
          <w:rFonts w:asciiTheme="majorHAnsi" w:hAnsiTheme="majorHAnsi" w:cstheme="majorHAnsi"/>
          <w:color w:val="000000" w:themeColor="text1"/>
          <w:sz w:val="24"/>
          <w:szCs w:val="24"/>
          <w:lang w:val="ro-MD"/>
        </w:rPr>
        <w:t xml:space="preserve"> directă. Astfel, entitatea a admis contractarea oxigenului medical fără documentarea procesului </w:t>
      </w:r>
      <w:r w:rsidR="00B13B9A" w:rsidRPr="00B13B9A">
        <w:rPr>
          <w:rFonts w:asciiTheme="majorHAnsi" w:hAnsiTheme="majorHAnsi" w:cstheme="majorHAnsi"/>
          <w:color w:val="000000" w:themeColor="text1"/>
          <w:sz w:val="24"/>
          <w:szCs w:val="24"/>
          <w:lang w:val="ro-MD"/>
        </w:rPr>
        <w:t>ș</w:t>
      </w:r>
      <w:r w:rsidRPr="00B13B9A">
        <w:rPr>
          <w:rFonts w:asciiTheme="majorHAnsi" w:hAnsiTheme="majorHAnsi" w:cstheme="majorHAnsi"/>
          <w:color w:val="000000" w:themeColor="text1"/>
          <w:sz w:val="24"/>
          <w:szCs w:val="24"/>
          <w:lang w:val="ro-MD"/>
        </w:rPr>
        <w:t>i</w:t>
      </w:r>
      <w:r w:rsidR="00F20B3D" w:rsidRPr="00B13B9A">
        <w:rPr>
          <w:rFonts w:asciiTheme="majorHAnsi" w:hAnsiTheme="majorHAnsi" w:cstheme="majorHAnsi"/>
          <w:color w:val="000000" w:themeColor="text1"/>
          <w:sz w:val="24"/>
          <w:szCs w:val="24"/>
          <w:lang w:val="ro-MD"/>
        </w:rPr>
        <w:t>/sau fără</w:t>
      </w:r>
      <w:r w:rsidRPr="00B13B9A">
        <w:rPr>
          <w:rFonts w:asciiTheme="majorHAnsi" w:hAnsiTheme="majorHAnsi" w:cstheme="majorHAnsi"/>
          <w:color w:val="000000" w:themeColor="text1"/>
          <w:sz w:val="24"/>
          <w:szCs w:val="24"/>
          <w:lang w:val="ro-MD"/>
        </w:rPr>
        <w:t xml:space="preserve"> argumentarea necesită</w:t>
      </w:r>
      <w:r w:rsidR="00B13B9A" w:rsidRPr="00B13B9A">
        <w:rPr>
          <w:rFonts w:asciiTheme="majorHAnsi" w:hAnsiTheme="majorHAnsi" w:cstheme="majorHAnsi"/>
          <w:color w:val="000000" w:themeColor="text1"/>
          <w:sz w:val="24"/>
          <w:szCs w:val="24"/>
          <w:lang w:val="ro-MD"/>
        </w:rPr>
        <w:t>ț</w:t>
      </w:r>
      <w:r w:rsidRPr="00B13B9A">
        <w:rPr>
          <w:rFonts w:asciiTheme="majorHAnsi" w:hAnsiTheme="majorHAnsi" w:cstheme="majorHAnsi"/>
          <w:color w:val="000000" w:themeColor="text1"/>
          <w:sz w:val="24"/>
          <w:szCs w:val="24"/>
          <w:lang w:val="ro-MD"/>
        </w:rPr>
        <w:t xml:space="preserve">ilor </w:t>
      </w:r>
      <w:r w:rsidR="00F20B3D" w:rsidRPr="00B13B9A">
        <w:rPr>
          <w:rFonts w:asciiTheme="majorHAnsi" w:hAnsiTheme="majorHAnsi" w:cstheme="majorHAnsi"/>
          <w:color w:val="000000" w:themeColor="text1"/>
          <w:sz w:val="24"/>
          <w:szCs w:val="24"/>
          <w:lang w:val="ro-MD"/>
        </w:rPr>
        <w:t>prin procese</w:t>
      </w:r>
      <w:r w:rsidR="00E233E3" w:rsidRPr="00B13B9A">
        <w:rPr>
          <w:rFonts w:asciiTheme="majorHAnsi" w:hAnsiTheme="majorHAnsi" w:cstheme="majorHAnsi"/>
          <w:color w:val="000000" w:themeColor="text1"/>
          <w:sz w:val="24"/>
          <w:szCs w:val="24"/>
          <w:lang w:val="ro-MD"/>
        </w:rPr>
        <w:t>-</w:t>
      </w:r>
      <w:r w:rsidR="00F20B3D" w:rsidRPr="00B13B9A">
        <w:rPr>
          <w:rFonts w:asciiTheme="majorHAnsi" w:hAnsiTheme="majorHAnsi" w:cstheme="majorHAnsi"/>
          <w:color w:val="000000" w:themeColor="text1"/>
          <w:sz w:val="24"/>
          <w:szCs w:val="24"/>
          <w:lang w:val="ro-MD"/>
        </w:rPr>
        <w:t xml:space="preserve">verbale </w:t>
      </w:r>
      <w:r w:rsidRPr="00B13B9A">
        <w:rPr>
          <w:rFonts w:asciiTheme="majorHAnsi" w:hAnsiTheme="majorHAnsi" w:cstheme="majorHAnsi"/>
          <w:color w:val="000000" w:themeColor="text1"/>
          <w:sz w:val="24"/>
          <w:szCs w:val="24"/>
          <w:lang w:val="ro-MD"/>
        </w:rPr>
        <w:t xml:space="preserve">în cadrul </w:t>
      </w:r>
      <w:r w:rsidR="00B13B9A" w:rsidRPr="00B13B9A">
        <w:rPr>
          <w:rFonts w:asciiTheme="majorHAnsi" w:hAnsiTheme="majorHAnsi" w:cstheme="majorHAnsi"/>
          <w:color w:val="000000" w:themeColor="text1"/>
          <w:sz w:val="24"/>
          <w:szCs w:val="24"/>
          <w:lang w:val="ro-MD"/>
        </w:rPr>
        <w:t>ș</w:t>
      </w:r>
      <w:r w:rsidRPr="00B13B9A">
        <w:rPr>
          <w:rFonts w:asciiTheme="majorHAnsi" w:hAnsiTheme="majorHAnsi" w:cstheme="majorHAnsi"/>
          <w:color w:val="000000" w:themeColor="text1"/>
          <w:sz w:val="24"/>
          <w:szCs w:val="24"/>
          <w:lang w:val="ro-MD"/>
        </w:rPr>
        <w:t>edin</w:t>
      </w:r>
      <w:r w:rsidR="00B13B9A" w:rsidRPr="00B13B9A">
        <w:rPr>
          <w:rFonts w:asciiTheme="majorHAnsi" w:hAnsiTheme="majorHAnsi" w:cstheme="majorHAnsi"/>
          <w:color w:val="000000" w:themeColor="text1"/>
          <w:sz w:val="24"/>
          <w:szCs w:val="24"/>
          <w:lang w:val="ro-MD"/>
        </w:rPr>
        <w:t>ț</w:t>
      </w:r>
      <w:r w:rsidRPr="00B13B9A">
        <w:rPr>
          <w:rFonts w:asciiTheme="majorHAnsi" w:hAnsiTheme="majorHAnsi" w:cstheme="majorHAnsi"/>
          <w:color w:val="000000" w:themeColor="text1"/>
          <w:sz w:val="24"/>
          <w:szCs w:val="24"/>
          <w:lang w:val="ro-MD"/>
        </w:rPr>
        <w:t>ei grupului de lucru. Contractul a fost încheiat fără respectarea selectării conforme a procedurii de atribuire, în lipsa înaintării necesită</w:t>
      </w:r>
      <w:r w:rsidR="00B13B9A" w:rsidRPr="00B13B9A">
        <w:rPr>
          <w:rFonts w:asciiTheme="majorHAnsi" w:hAnsiTheme="majorHAnsi" w:cstheme="majorHAnsi"/>
          <w:color w:val="000000" w:themeColor="text1"/>
          <w:sz w:val="24"/>
          <w:szCs w:val="24"/>
          <w:lang w:val="ro-MD"/>
        </w:rPr>
        <w:t>ț</w:t>
      </w:r>
      <w:r w:rsidRPr="00B13B9A">
        <w:rPr>
          <w:rFonts w:asciiTheme="majorHAnsi" w:hAnsiTheme="majorHAnsi" w:cstheme="majorHAnsi"/>
          <w:color w:val="000000" w:themeColor="text1"/>
          <w:sz w:val="24"/>
          <w:szCs w:val="24"/>
          <w:lang w:val="ro-MD"/>
        </w:rPr>
        <w:t>ilor unei asemenea cantită</w:t>
      </w:r>
      <w:r w:rsidR="00B13B9A" w:rsidRPr="00B13B9A">
        <w:rPr>
          <w:rFonts w:asciiTheme="majorHAnsi" w:hAnsiTheme="majorHAnsi" w:cstheme="majorHAnsi"/>
          <w:color w:val="000000" w:themeColor="text1"/>
          <w:sz w:val="24"/>
          <w:szCs w:val="24"/>
          <w:lang w:val="ro-MD"/>
        </w:rPr>
        <w:t>ț</w:t>
      </w:r>
      <w:r w:rsidRPr="00B13B9A">
        <w:rPr>
          <w:rFonts w:asciiTheme="majorHAnsi" w:hAnsiTheme="majorHAnsi" w:cstheme="majorHAnsi"/>
          <w:color w:val="000000" w:themeColor="text1"/>
          <w:sz w:val="24"/>
          <w:szCs w:val="24"/>
          <w:lang w:val="ro-MD"/>
        </w:rPr>
        <w:t xml:space="preserve">i de oxigen, precum </w:t>
      </w:r>
      <w:r w:rsidR="00B13B9A" w:rsidRPr="00B13B9A">
        <w:rPr>
          <w:rFonts w:asciiTheme="majorHAnsi" w:hAnsiTheme="majorHAnsi" w:cstheme="majorHAnsi"/>
          <w:color w:val="000000" w:themeColor="text1"/>
          <w:sz w:val="24"/>
          <w:szCs w:val="24"/>
          <w:lang w:val="ro-MD"/>
        </w:rPr>
        <w:t>ș</w:t>
      </w:r>
      <w:r w:rsidRPr="00B13B9A">
        <w:rPr>
          <w:rFonts w:asciiTheme="majorHAnsi" w:hAnsiTheme="majorHAnsi" w:cstheme="majorHAnsi"/>
          <w:color w:val="000000" w:themeColor="text1"/>
          <w:sz w:val="24"/>
          <w:szCs w:val="24"/>
          <w:lang w:val="ro-MD"/>
        </w:rPr>
        <w:t xml:space="preserve">i în lipsa documentării în cadrul </w:t>
      </w:r>
      <w:r w:rsidR="00B13B9A" w:rsidRPr="00B13B9A">
        <w:rPr>
          <w:rFonts w:asciiTheme="majorHAnsi" w:hAnsiTheme="majorHAnsi" w:cstheme="majorHAnsi"/>
          <w:color w:val="000000" w:themeColor="text1"/>
          <w:sz w:val="24"/>
          <w:szCs w:val="24"/>
          <w:lang w:val="ro-MD"/>
        </w:rPr>
        <w:t>ș</w:t>
      </w:r>
      <w:r w:rsidRPr="00B13B9A">
        <w:rPr>
          <w:rFonts w:asciiTheme="majorHAnsi" w:hAnsiTheme="majorHAnsi" w:cstheme="majorHAnsi"/>
          <w:color w:val="000000" w:themeColor="text1"/>
          <w:sz w:val="24"/>
          <w:szCs w:val="24"/>
          <w:lang w:val="ro-MD"/>
        </w:rPr>
        <w:t>edin</w:t>
      </w:r>
      <w:r w:rsidR="00B13B9A" w:rsidRPr="00B13B9A">
        <w:rPr>
          <w:rFonts w:asciiTheme="majorHAnsi" w:hAnsiTheme="majorHAnsi" w:cstheme="majorHAnsi"/>
          <w:color w:val="000000" w:themeColor="text1"/>
          <w:sz w:val="24"/>
          <w:szCs w:val="24"/>
          <w:lang w:val="ro-MD"/>
        </w:rPr>
        <w:t>ț</w:t>
      </w:r>
      <w:r w:rsidRPr="00B13B9A">
        <w:rPr>
          <w:rFonts w:asciiTheme="majorHAnsi" w:hAnsiTheme="majorHAnsi" w:cstheme="majorHAnsi"/>
          <w:color w:val="000000" w:themeColor="text1"/>
          <w:sz w:val="24"/>
          <w:szCs w:val="24"/>
          <w:lang w:val="ro-MD"/>
        </w:rPr>
        <w:t xml:space="preserve">ei grupului de lucru. </w:t>
      </w:r>
    </w:p>
    <w:p w14:paraId="2067559E" w14:textId="147C83FE" w:rsidR="00B37661" w:rsidRPr="00B13B9A" w:rsidRDefault="00B37661" w:rsidP="00B37661">
      <w:pPr>
        <w:jc w:val="both"/>
        <w:rPr>
          <w:rFonts w:asciiTheme="majorHAnsi" w:hAnsiTheme="majorHAnsi" w:cstheme="majorHAnsi"/>
          <w:color w:val="000000" w:themeColor="text1"/>
          <w:sz w:val="24"/>
          <w:szCs w:val="24"/>
          <w:lang w:val="ro-MD"/>
        </w:rPr>
      </w:pPr>
      <w:r w:rsidRPr="00B13B9A">
        <w:rPr>
          <w:rFonts w:asciiTheme="majorHAnsi" w:hAnsiTheme="majorHAnsi" w:cstheme="majorHAnsi"/>
          <w:color w:val="000000" w:themeColor="text1"/>
          <w:sz w:val="24"/>
          <w:szCs w:val="24"/>
          <w:lang w:val="ro-MD"/>
        </w:rPr>
        <w:t>Subsecvent, auditul men</w:t>
      </w:r>
      <w:r w:rsidR="00B13B9A" w:rsidRPr="00B13B9A">
        <w:rPr>
          <w:rFonts w:asciiTheme="majorHAnsi" w:hAnsiTheme="majorHAnsi" w:cstheme="majorHAnsi"/>
          <w:color w:val="000000" w:themeColor="text1"/>
          <w:sz w:val="24"/>
          <w:szCs w:val="24"/>
          <w:lang w:val="ro-MD"/>
        </w:rPr>
        <w:t>ț</w:t>
      </w:r>
      <w:r w:rsidRPr="00B13B9A">
        <w:rPr>
          <w:rFonts w:asciiTheme="majorHAnsi" w:hAnsiTheme="majorHAnsi" w:cstheme="majorHAnsi"/>
          <w:color w:val="000000" w:themeColor="text1"/>
          <w:sz w:val="24"/>
          <w:szCs w:val="24"/>
          <w:lang w:val="ro-MD"/>
        </w:rPr>
        <w:t xml:space="preserve">ionează că entitatea nu </w:t>
      </w:r>
      <w:r w:rsidR="00B13B9A" w:rsidRPr="00B13B9A">
        <w:rPr>
          <w:rFonts w:asciiTheme="majorHAnsi" w:hAnsiTheme="majorHAnsi" w:cstheme="majorHAnsi"/>
          <w:color w:val="000000" w:themeColor="text1"/>
          <w:sz w:val="24"/>
          <w:szCs w:val="24"/>
          <w:lang w:val="ro-MD"/>
        </w:rPr>
        <w:t>ț</w:t>
      </w:r>
      <w:r w:rsidR="005A070D" w:rsidRPr="00B13B9A">
        <w:rPr>
          <w:rFonts w:asciiTheme="majorHAnsi" w:hAnsiTheme="majorHAnsi" w:cstheme="majorHAnsi"/>
          <w:color w:val="000000" w:themeColor="text1"/>
          <w:sz w:val="24"/>
          <w:szCs w:val="24"/>
          <w:lang w:val="ro-MD"/>
        </w:rPr>
        <w:t xml:space="preserve">ine </w:t>
      </w:r>
      <w:r w:rsidRPr="00B13B9A">
        <w:rPr>
          <w:rFonts w:asciiTheme="majorHAnsi" w:hAnsiTheme="majorHAnsi" w:cstheme="majorHAnsi"/>
          <w:color w:val="000000" w:themeColor="text1"/>
          <w:sz w:val="24"/>
          <w:szCs w:val="24"/>
          <w:lang w:val="ro-MD"/>
        </w:rPr>
        <w:t>eviden</w:t>
      </w:r>
      <w:r w:rsidR="00B13B9A" w:rsidRPr="00B13B9A">
        <w:rPr>
          <w:rFonts w:asciiTheme="majorHAnsi" w:hAnsiTheme="majorHAnsi" w:cstheme="majorHAnsi"/>
          <w:color w:val="000000" w:themeColor="text1"/>
          <w:sz w:val="24"/>
          <w:szCs w:val="24"/>
          <w:lang w:val="ro-MD"/>
        </w:rPr>
        <w:t>ț</w:t>
      </w:r>
      <w:r w:rsidRPr="00B13B9A">
        <w:rPr>
          <w:rFonts w:asciiTheme="majorHAnsi" w:hAnsiTheme="majorHAnsi" w:cstheme="majorHAnsi"/>
          <w:color w:val="000000" w:themeColor="text1"/>
          <w:sz w:val="24"/>
          <w:szCs w:val="24"/>
          <w:lang w:val="ro-MD"/>
        </w:rPr>
        <w:t xml:space="preserve">a cantitativă a oxigenului medical, odată procurat acesta </w:t>
      </w:r>
      <w:r w:rsidR="000A2E99" w:rsidRPr="00B13B9A">
        <w:rPr>
          <w:rFonts w:asciiTheme="majorHAnsi" w:hAnsiTheme="majorHAnsi" w:cstheme="majorHAnsi"/>
          <w:color w:val="000000" w:themeColor="text1"/>
          <w:sz w:val="24"/>
          <w:szCs w:val="24"/>
          <w:lang w:val="ro-MD"/>
        </w:rPr>
        <w:t>fiind</w:t>
      </w:r>
      <w:r w:rsidRPr="00B13B9A">
        <w:rPr>
          <w:rFonts w:asciiTheme="majorHAnsi" w:hAnsiTheme="majorHAnsi" w:cstheme="majorHAnsi"/>
          <w:color w:val="000000" w:themeColor="text1"/>
          <w:sz w:val="24"/>
          <w:szCs w:val="24"/>
          <w:lang w:val="ro-MD"/>
        </w:rPr>
        <w:t xml:space="preserve"> trecut imediat la cheltuieli. În acest context, auditul a fost limitat în determinarea conformită</w:t>
      </w:r>
      <w:r w:rsidR="00B13B9A" w:rsidRPr="00B13B9A">
        <w:rPr>
          <w:rFonts w:asciiTheme="majorHAnsi" w:hAnsiTheme="majorHAnsi" w:cstheme="majorHAnsi"/>
          <w:color w:val="000000" w:themeColor="text1"/>
          <w:sz w:val="24"/>
          <w:szCs w:val="24"/>
          <w:lang w:val="ro-MD"/>
        </w:rPr>
        <w:t>ț</w:t>
      </w:r>
      <w:r w:rsidRPr="00B13B9A">
        <w:rPr>
          <w:rFonts w:asciiTheme="majorHAnsi" w:hAnsiTheme="majorHAnsi" w:cstheme="majorHAnsi"/>
          <w:color w:val="000000" w:themeColor="text1"/>
          <w:sz w:val="24"/>
          <w:szCs w:val="24"/>
          <w:lang w:val="ro-MD"/>
        </w:rPr>
        <w:t xml:space="preserve">ii utilizării oxigenului, precum </w:t>
      </w:r>
      <w:r w:rsidR="00B13B9A" w:rsidRPr="00B13B9A">
        <w:rPr>
          <w:rFonts w:asciiTheme="majorHAnsi" w:hAnsiTheme="majorHAnsi" w:cstheme="majorHAnsi"/>
          <w:color w:val="000000" w:themeColor="text1"/>
          <w:sz w:val="24"/>
          <w:szCs w:val="24"/>
          <w:lang w:val="ro-MD"/>
        </w:rPr>
        <w:t>ș</w:t>
      </w:r>
      <w:r w:rsidRPr="00B13B9A">
        <w:rPr>
          <w:rFonts w:asciiTheme="majorHAnsi" w:hAnsiTheme="majorHAnsi" w:cstheme="majorHAnsi"/>
          <w:color w:val="000000" w:themeColor="text1"/>
          <w:sz w:val="24"/>
          <w:szCs w:val="24"/>
          <w:lang w:val="ro-MD"/>
        </w:rPr>
        <w:t>i evalu</w:t>
      </w:r>
      <w:r w:rsidR="005A070D" w:rsidRPr="00B13B9A">
        <w:rPr>
          <w:rFonts w:asciiTheme="majorHAnsi" w:hAnsiTheme="majorHAnsi" w:cstheme="majorHAnsi"/>
          <w:color w:val="000000" w:themeColor="text1"/>
          <w:sz w:val="24"/>
          <w:szCs w:val="24"/>
          <w:lang w:val="ro-MD"/>
        </w:rPr>
        <w:t>ării</w:t>
      </w:r>
      <w:r w:rsidRPr="00B13B9A">
        <w:rPr>
          <w:rFonts w:asciiTheme="majorHAnsi" w:hAnsiTheme="majorHAnsi" w:cstheme="majorHAnsi"/>
          <w:color w:val="000000" w:themeColor="text1"/>
          <w:sz w:val="24"/>
          <w:szCs w:val="24"/>
          <w:lang w:val="ro-MD"/>
        </w:rPr>
        <w:t xml:space="preserve"> necesarului de oxigen pentru perioada respectivă. </w:t>
      </w:r>
    </w:p>
    <w:p w14:paraId="374C623E" w14:textId="75A33C0B" w:rsidR="00B37661" w:rsidRPr="00B13B9A" w:rsidRDefault="00B37661" w:rsidP="005C7E33">
      <w:pPr>
        <w:spacing w:after="0"/>
        <w:jc w:val="both"/>
        <w:rPr>
          <w:rFonts w:asciiTheme="majorHAnsi" w:hAnsiTheme="majorHAnsi" w:cstheme="majorHAnsi"/>
          <w:color w:val="000000" w:themeColor="text1"/>
          <w:sz w:val="24"/>
          <w:szCs w:val="24"/>
          <w:lang w:val="ro-MD"/>
        </w:rPr>
      </w:pPr>
      <w:r w:rsidRPr="00B13B9A">
        <w:rPr>
          <w:rFonts w:asciiTheme="majorHAnsi" w:hAnsiTheme="majorHAnsi" w:cstheme="majorHAnsi"/>
          <w:color w:val="000000" w:themeColor="text1"/>
          <w:sz w:val="24"/>
          <w:szCs w:val="24"/>
          <w:lang w:val="ro-MD"/>
        </w:rPr>
        <w:t>Totodată, entitatea informează că</w:t>
      </w:r>
      <w:r w:rsidR="005A070D" w:rsidRPr="00B13B9A">
        <w:rPr>
          <w:rFonts w:asciiTheme="majorHAnsi" w:hAnsiTheme="majorHAnsi" w:cstheme="majorHAnsi"/>
          <w:color w:val="000000" w:themeColor="text1"/>
          <w:sz w:val="24"/>
          <w:szCs w:val="24"/>
          <w:lang w:val="ro-MD"/>
        </w:rPr>
        <w:t>,</w:t>
      </w:r>
      <w:r w:rsidRPr="00B13B9A">
        <w:rPr>
          <w:rFonts w:asciiTheme="majorHAnsi" w:hAnsiTheme="majorHAnsi" w:cstheme="majorHAnsi"/>
          <w:color w:val="000000" w:themeColor="text1"/>
          <w:sz w:val="24"/>
          <w:szCs w:val="24"/>
          <w:lang w:val="ro-MD"/>
        </w:rPr>
        <w:t xml:space="preserve"> </w:t>
      </w:r>
      <w:r w:rsidR="000B206B">
        <w:rPr>
          <w:rFonts w:asciiTheme="majorHAnsi" w:hAnsiTheme="majorHAnsi" w:cstheme="majorHAnsi"/>
          <w:color w:val="000000" w:themeColor="text1"/>
          <w:sz w:val="24"/>
          <w:szCs w:val="24"/>
          <w:lang w:val="ro-MD"/>
        </w:rPr>
        <w:t>la finele anului</w:t>
      </w:r>
      <w:r w:rsidRPr="00B13B9A">
        <w:rPr>
          <w:rFonts w:asciiTheme="majorHAnsi" w:hAnsiTheme="majorHAnsi" w:cstheme="majorHAnsi"/>
          <w:color w:val="000000" w:themeColor="text1"/>
          <w:sz w:val="24"/>
          <w:szCs w:val="24"/>
          <w:lang w:val="ro-MD"/>
        </w:rPr>
        <w:t xml:space="preserve"> </w:t>
      </w:r>
      <w:r w:rsidRPr="000B206B">
        <w:rPr>
          <w:rFonts w:asciiTheme="majorHAnsi" w:hAnsiTheme="majorHAnsi" w:cstheme="majorHAnsi"/>
          <w:color w:val="000000" w:themeColor="text1"/>
          <w:sz w:val="24"/>
          <w:szCs w:val="24"/>
          <w:lang w:val="ro-MD"/>
        </w:rPr>
        <w:t>2023</w:t>
      </w:r>
      <w:r w:rsidRPr="00B13B9A">
        <w:rPr>
          <w:rFonts w:asciiTheme="majorHAnsi" w:hAnsiTheme="majorHAnsi" w:cstheme="majorHAnsi"/>
          <w:color w:val="000000" w:themeColor="text1"/>
          <w:sz w:val="24"/>
          <w:szCs w:val="24"/>
          <w:lang w:val="ro-MD"/>
        </w:rPr>
        <w:t xml:space="preserve">, </w:t>
      </w:r>
      <w:r w:rsidR="00F20B3D" w:rsidRPr="00B13B9A">
        <w:rPr>
          <w:rFonts w:asciiTheme="majorHAnsi" w:hAnsiTheme="majorHAnsi" w:cstheme="majorHAnsi"/>
          <w:color w:val="000000" w:themeColor="text1"/>
          <w:sz w:val="24"/>
          <w:szCs w:val="24"/>
          <w:lang w:val="ro-MD"/>
        </w:rPr>
        <w:t>aceasta</w:t>
      </w:r>
      <w:r w:rsidRPr="00B13B9A">
        <w:rPr>
          <w:rFonts w:asciiTheme="majorHAnsi" w:hAnsiTheme="majorHAnsi" w:cstheme="majorHAnsi"/>
          <w:color w:val="000000" w:themeColor="text1"/>
          <w:sz w:val="24"/>
          <w:szCs w:val="24"/>
          <w:lang w:val="ro-MD"/>
        </w:rPr>
        <w:t xml:space="preserve"> urmează să dea în exploatare sta</w:t>
      </w:r>
      <w:r w:rsidR="00B13B9A" w:rsidRPr="00B13B9A">
        <w:rPr>
          <w:rFonts w:asciiTheme="majorHAnsi" w:hAnsiTheme="majorHAnsi" w:cstheme="majorHAnsi"/>
          <w:color w:val="000000" w:themeColor="text1"/>
          <w:sz w:val="24"/>
          <w:szCs w:val="24"/>
          <w:lang w:val="ro-MD"/>
        </w:rPr>
        <w:t>ț</w:t>
      </w:r>
      <w:r w:rsidRPr="00B13B9A">
        <w:rPr>
          <w:rFonts w:asciiTheme="majorHAnsi" w:hAnsiTheme="majorHAnsi" w:cstheme="majorHAnsi"/>
          <w:color w:val="000000" w:themeColor="text1"/>
          <w:sz w:val="24"/>
          <w:szCs w:val="24"/>
          <w:lang w:val="ro-MD"/>
        </w:rPr>
        <w:t>ia de producere a oxigenului</w:t>
      </w:r>
      <w:r w:rsidR="00596726" w:rsidRPr="00B13B9A">
        <w:rPr>
          <w:rFonts w:asciiTheme="majorHAnsi" w:hAnsiTheme="majorHAnsi" w:cstheme="majorHAnsi"/>
          <w:color w:val="000000" w:themeColor="text1"/>
          <w:sz w:val="24"/>
          <w:szCs w:val="24"/>
          <w:lang w:val="ro-MD"/>
        </w:rPr>
        <w:t>,</w:t>
      </w:r>
      <w:r w:rsidRPr="00B13B9A">
        <w:rPr>
          <w:rFonts w:asciiTheme="majorHAnsi" w:hAnsiTheme="majorHAnsi" w:cstheme="majorHAnsi"/>
          <w:color w:val="000000" w:themeColor="text1"/>
          <w:sz w:val="24"/>
          <w:szCs w:val="24"/>
          <w:lang w:val="ro-MD"/>
        </w:rPr>
        <w:t xml:space="preserve"> </w:t>
      </w:r>
      <w:r w:rsidR="00597C98">
        <w:rPr>
          <w:rFonts w:asciiTheme="majorHAnsi" w:hAnsiTheme="majorHAnsi" w:cstheme="majorHAnsi"/>
          <w:color w:val="000000" w:themeColor="text1"/>
          <w:sz w:val="24"/>
          <w:szCs w:val="24"/>
          <w:lang w:val="ro-MD"/>
        </w:rPr>
        <w:t xml:space="preserve">care va </w:t>
      </w:r>
      <w:r w:rsidRPr="00B13B9A">
        <w:rPr>
          <w:rFonts w:asciiTheme="majorHAnsi" w:hAnsiTheme="majorHAnsi" w:cstheme="majorHAnsi"/>
          <w:color w:val="000000" w:themeColor="text1"/>
          <w:sz w:val="24"/>
          <w:szCs w:val="24"/>
          <w:lang w:val="ro-MD"/>
        </w:rPr>
        <w:t>fi sursa primară de aprovizionare cu oxigen medical. Ulterior va fi revizuită procedura de eviden</w:t>
      </w:r>
      <w:r w:rsidR="00B13B9A" w:rsidRPr="00B13B9A">
        <w:rPr>
          <w:rFonts w:asciiTheme="majorHAnsi" w:hAnsiTheme="majorHAnsi" w:cstheme="majorHAnsi"/>
          <w:color w:val="000000" w:themeColor="text1"/>
          <w:sz w:val="24"/>
          <w:szCs w:val="24"/>
          <w:lang w:val="ro-MD"/>
        </w:rPr>
        <w:t>ț</w:t>
      </w:r>
      <w:r w:rsidRPr="00B13B9A">
        <w:rPr>
          <w:rFonts w:asciiTheme="majorHAnsi" w:hAnsiTheme="majorHAnsi" w:cstheme="majorHAnsi"/>
          <w:color w:val="000000" w:themeColor="text1"/>
          <w:sz w:val="24"/>
          <w:szCs w:val="24"/>
          <w:lang w:val="ro-MD"/>
        </w:rPr>
        <w:t xml:space="preserve">ă a oxigenului, care va permite trecerea la cheltuieli </w:t>
      </w:r>
      <w:r w:rsidR="00A10BDE" w:rsidRPr="00B13B9A">
        <w:rPr>
          <w:rFonts w:asciiTheme="majorHAnsi" w:hAnsiTheme="majorHAnsi" w:cstheme="majorHAnsi"/>
          <w:color w:val="000000" w:themeColor="text1"/>
          <w:sz w:val="24"/>
          <w:szCs w:val="24"/>
          <w:lang w:val="ro-MD"/>
        </w:rPr>
        <w:t xml:space="preserve">a acestuia, </w:t>
      </w:r>
      <w:r w:rsidRPr="00B13B9A">
        <w:rPr>
          <w:rFonts w:asciiTheme="majorHAnsi" w:hAnsiTheme="majorHAnsi" w:cstheme="majorHAnsi"/>
          <w:color w:val="000000" w:themeColor="text1"/>
          <w:sz w:val="24"/>
          <w:szCs w:val="24"/>
          <w:lang w:val="ro-MD"/>
        </w:rPr>
        <w:t>pe măsură ce se va consuma în sec</w:t>
      </w:r>
      <w:r w:rsidR="00B13B9A" w:rsidRPr="00B13B9A">
        <w:rPr>
          <w:rFonts w:asciiTheme="majorHAnsi" w:hAnsiTheme="majorHAnsi" w:cstheme="majorHAnsi"/>
          <w:color w:val="000000" w:themeColor="text1"/>
          <w:sz w:val="24"/>
          <w:szCs w:val="24"/>
          <w:lang w:val="ro-MD"/>
        </w:rPr>
        <w:t>ț</w:t>
      </w:r>
      <w:r w:rsidRPr="00B13B9A">
        <w:rPr>
          <w:rFonts w:asciiTheme="majorHAnsi" w:hAnsiTheme="majorHAnsi" w:cstheme="majorHAnsi"/>
          <w:color w:val="000000" w:themeColor="text1"/>
          <w:sz w:val="24"/>
          <w:szCs w:val="24"/>
          <w:lang w:val="ro-MD"/>
        </w:rPr>
        <w:t xml:space="preserve">ii. </w:t>
      </w:r>
    </w:p>
    <w:p w14:paraId="0861C82F" w14:textId="77777777" w:rsidR="00B37661" w:rsidRPr="00B13B9A" w:rsidRDefault="00B37661" w:rsidP="00F20B3D">
      <w:pPr>
        <w:pStyle w:val="ae"/>
        <w:shd w:val="clear" w:color="auto" w:fill="FFFFFF"/>
        <w:spacing w:before="0" w:beforeAutospacing="0" w:after="0" w:afterAutospacing="0" w:line="276" w:lineRule="auto"/>
        <w:jc w:val="both"/>
        <w:rPr>
          <w:rFonts w:asciiTheme="majorHAnsi" w:eastAsiaTheme="minorHAnsi" w:hAnsiTheme="majorHAnsi" w:cstheme="majorHAnsi"/>
          <w:color w:val="000000" w:themeColor="text1"/>
          <w:lang w:val="ro-MD"/>
        </w:rPr>
      </w:pPr>
    </w:p>
    <w:p w14:paraId="2A495684" w14:textId="4EA79D60" w:rsidR="00B37661" w:rsidRPr="00B13B9A" w:rsidRDefault="00C31DBB" w:rsidP="00241AB3">
      <w:pPr>
        <w:pStyle w:val="a7"/>
        <w:numPr>
          <w:ilvl w:val="2"/>
          <w:numId w:val="10"/>
        </w:numPr>
        <w:ind w:left="0" w:firstLine="0"/>
        <w:jc w:val="both"/>
        <w:outlineLvl w:val="2"/>
        <w:rPr>
          <w:rFonts w:asciiTheme="majorHAnsi" w:hAnsiTheme="majorHAnsi" w:cstheme="majorHAnsi"/>
          <w:b/>
          <w:color w:val="000000" w:themeColor="text1"/>
          <w:sz w:val="24"/>
          <w:szCs w:val="24"/>
          <w:lang w:val="ro-MD"/>
        </w:rPr>
      </w:pPr>
      <w:bookmarkStart w:id="42" w:name="_Toc154562514"/>
      <w:r w:rsidRPr="00B13B9A">
        <w:rPr>
          <w:rFonts w:asciiTheme="majorHAnsi" w:hAnsiTheme="majorHAnsi" w:cstheme="majorHAnsi"/>
          <w:b/>
          <w:color w:val="000000" w:themeColor="text1"/>
          <w:sz w:val="24"/>
          <w:szCs w:val="24"/>
          <w:lang w:val="ro-MD"/>
        </w:rPr>
        <w:t>Procesul de asigurare a alimenta</w:t>
      </w:r>
      <w:r w:rsidR="00B13B9A" w:rsidRPr="00B13B9A">
        <w:rPr>
          <w:rFonts w:asciiTheme="majorHAnsi" w:hAnsiTheme="majorHAnsi" w:cstheme="majorHAnsi"/>
          <w:b/>
          <w:color w:val="000000" w:themeColor="text1"/>
          <w:sz w:val="24"/>
          <w:szCs w:val="24"/>
          <w:lang w:val="ro-MD"/>
        </w:rPr>
        <w:t>ț</w:t>
      </w:r>
      <w:r w:rsidRPr="00B13B9A">
        <w:rPr>
          <w:rFonts w:asciiTheme="majorHAnsi" w:hAnsiTheme="majorHAnsi" w:cstheme="majorHAnsi"/>
          <w:b/>
          <w:color w:val="000000" w:themeColor="text1"/>
          <w:sz w:val="24"/>
          <w:szCs w:val="24"/>
          <w:lang w:val="ro-MD"/>
        </w:rPr>
        <w:t>iei pacien</w:t>
      </w:r>
      <w:r w:rsidR="00B13B9A" w:rsidRPr="00B13B9A">
        <w:rPr>
          <w:rFonts w:asciiTheme="majorHAnsi" w:hAnsiTheme="majorHAnsi" w:cstheme="majorHAnsi"/>
          <w:b/>
          <w:color w:val="000000" w:themeColor="text1"/>
          <w:sz w:val="24"/>
          <w:szCs w:val="24"/>
          <w:lang w:val="ro-MD"/>
        </w:rPr>
        <w:t>ț</w:t>
      </w:r>
      <w:r w:rsidRPr="00B13B9A">
        <w:rPr>
          <w:rFonts w:asciiTheme="majorHAnsi" w:hAnsiTheme="majorHAnsi" w:cstheme="majorHAnsi"/>
          <w:b/>
          <w:color w:val="000000" w:themeColor="text1"/>
          <w:sz w:val="24"/>
          <w:szCs w:val="24"/>
          <w:lang w:val="ro-MD"/>
        </w:rPr>
        <w:t xml:space="preserve">ilor nu este </w:t>
      </w:r>
      <w:r w:rsidR="00A10BDE" w:rsidRPr="00B13B9A">
        <w:rPr>
          <w:rFonts w:asciiTheme="majorHAnsi" w:hAnsiTheme="majorHAnsi" w:cstheme="majorHAnsi"/>
          <w:b/>
          <w:color w:val="000000" w:themeColor="text1"/>
          <w:sz w:val="24"/>
          <w:szCs w:val="24"/>
          <w:lang w:val="ro-MD"/>
        </w:rPr>
        <w:t xml:space="preserve">organizat </w:t>
      </w:r>
      <w:r w:rsidRPr="00B13B9A">
        <w:rPr>
          <w:rFonts w:asciiTheme="majorHAnsi" w:hAnsiTheme="majorHAnsi" w:cstheme="majorHAnsi"/>
          <w:b/>
          <w:color w:val="000000" w:themeColor="text1"/>
          <w:sz w:val="24"/>
          <w:szCs w:val="24"/>
          <w:lang w:val="ro-MD"/>
        </w:rPr>
        <w:t>regulamentar, prin</w:t>
      </w:r>
      <w:r w:rsidR="00B37661" w:rsidRPr="00B13B9A">
        <w:rPr>
          <w:rFonts w:asciiTheme="majorHAnsi" w:hAnsiTheme="majorHAnsi" w:cstheme="majorHAnsi"/>
          <w:b/>
          <w:color w:val="000000" w:themeColor="text1"/>
          <w:sz w:val="24"/>
          <w:szCs w:val="24"/>
          <w:lang w:val="ro-MD"/>
        </w:rPr>
        <w:t xml:space="preserve"> corel</w:t>
      </w:r>
      <w:r w:rsidRPr="00B13B9A">
        <w:rPr>
          <w:rFonts w:asciiTheme="majorHAnsi" w:hAnsiTheme="majorHAnsi" w:cstheme="majorHAnsi"/>
          <w:b/>
          <w:color w:val="000000" w:themeColor="text1"/>
          <w:sz w:val="24"/>
          <w:szCs w:val="24"/>
          <w:lang w:val="ro-MD"/>
        </w:rPr>
        <w:t>area</w:t>
      </w:r>
      <w:r w:rsidR="00B37661" w:rsidRPr="00B13B9A">
        <w:rPr>
          <w:rFonts w:asciiTheme="majorHAnsi" w:hAnsiTheme="majorHAnsi" w:cstheme="majorHAnsi"/>
          <w:b/>
          <w:color w:val="000000" w:themeColor="text1"/>
          <w:sz w:val="24"/>
          <w:szCs w:val="24"/>
          <w:lang w:val="ro-MD"/>
        </w:rPr>
        <w:t xml:space="preserve"> numărului real de pacien</w:t>
      </w:r>
      <w:r w:rsidR="00B13B9A" w:rsidRPr="00B13B9A">
        <w:rPr>
          <w:rFonts w:asciiTheme="majorHAnsi" w:hAnsiTheme="majorHAnsi" w:cstheme="majorHAnsi"/>
          <w:b/>
          <w:color w:val="000000" w:themeColor="text1"/>
          <w:sz w:val="24"/>
          <w:szCs w:val="24"/>
          <w:lang w:val="ro-MD"/>
        </w:rPr>
        <w:t>ț</w:t>
      </w:r>
      <w:r w:rsidR="00B37661" w:rsidRPr="00B13B9A">
        <w:rPr>
          <w:rFonts w:asciiTheme="majorHAnsi" w:hAnsiTheme="majorHAnsi" w:cstheme="majorHAnsi"/>
          <w:b/>
          <w:color w:val="000000" w:themeColor="text1"/>
          <w:sz w:val="24"/>
          <w:szCs w:val="24"/>
          <w:lang w:val="ro-MD"/>
        </w:rPr>
        <w:t>i cu necesită</w:t>
      </w:r>
      <w:r w:rsidR="00B13B9A" w:rsidRPr="00B13B9A">
        <w:rPr>
          <w:rFonts w:asciiTheme="majorHAnsi" w:hAnsiTheme="majorHAnsi" w:cstheme="majorHAnsi"/>
          <w:b/>
          <w:color w:val="000000" w:themeColor="text1"/>
          <w:sz w:val="24"/>
          <w:szCs w:val="24"/>
          <w:lang w:val="ro-MD"/>
        </w:rPr>
        <w:t>ț</w:t>
      </w:r>
      <w:r w:rsidR="00B37661" w:rsidRPr="00B13B9A">
        <w:rPr>
          <w:rFonts w:asciiTheme="majorHAnsi" w:hAnsiTheme="majorHAnsi" w:cstheme="majorHAnsi"/>
          <w:b/>
          <w:color w:val="000000" w:themeColor="text1"/>
          <w:sz w:val="24"/>
          <w:szCs w:val="24"/>
          <w:lang w:val="ro-MD"/>
        </w:rPr>
        <w:t>ile de produse alimentare</w:t>
      </w:r>
      <w:r w:rsidRPr="00B13B9A">
        <w:rPr>
          <w:rFonts w:asciiTheme="majorHAnsi" w:hAnsiTheme="majorHAnsi" w:cstheme="majorHAnsi"/>
          <w:b/>
          <w:color w:val="000000" w:themeColor="text1"/>
          <w:sz w:val="24"/>
          <w:szCs w:val="24"/>
          <w:lang w:val="ro-MD"/>
        </w:rPr>
        <w:t>, ceea ce</w:t>
      </w:r>
      <w:r w:rsidR="00B37661" w:rsidRPr="00B13B9A">
        <w:rPr>
          <w:rFonts w:asciiTheme="majorHAnsi" w:hAnsiTheme="majorHAnsi" w:cstheme="majorHAnsi"/>
          <w:b/>
          <w:color w:val="000000" w:themeColor="text1"/>
          <w:sz w:val="24"/>
          <w:szCs w:val="24"/>
          <w:lang w:val="ro-MD"/>
        </w:rPr>
        <w:t xml:space="preserve"> generează riscul nerespectării normativelor </w:t>
      </w:r>
      <w:r w:rsidR="00A10BDE" w:rsidRPr="00B13B9A">
        <w:rPr>
          <w:rFonts w:asciiTheme="majorHAnsi" w:hAnsiTheme="majorHAnsi" w:cstheme="majorHAnsi"/>
          <w:b/>
          <w:color w:val="000000" w:themeColor="text1"/>
          <w:sz w:val="24"/>
          <w:szCs w:val="24"/>
          <w:lang w:val="ro-MD"/>
        </w:rPr>
        <w:t>în vigoare</w:t>
      </w:r>
      <w:r w:rsidR="00B37661" w:rsidRPr="00B13B9A">
        <w:rPr>
          <w:rFonts w:asciiTheme="majorHAnsi" w:hAnsiTheme="majorHAnsi" w:cstheme="majorHAnsi"/>
          <w:b/>
          <w:color w:val="000000" w:themeColor="text1"/>
          <w:sz w:val="24"/>
          <w:szCs w:val="24"/>
          <w:lang w:val="ro-MD"/>
        </w:rPr>
        <w:t>.</w:t>
      </w:r>
      <w:bookmarkEnd w:id="42"/>
    </w:p>
    <w:p w14:paraId="5A88DC92" w14:textId="2DD38755" w:rsidR="006C1D45" w:rsidRPr="00B13B9A" w:rsidRDefault="006C1D45" w:rsidP="006C1D45">
      <w:pPr>
        <w:shd w:val="clear" w:color="auto" w:fill="FFFFFF" w:themeFill="background1"/>
        <w:spacing w:line="276" w:lineRule="auto"/>
        <w:jc w:val="both"/>
        <w:rPr>
          <w:rFonts w:asciiTheme="majorHAnsi" w:hAnsiTheme="majorHAnsi" w:cstheme="majorHAnsi"/>
          <w:sz w:val="24"/>
          <w:szCs w:val="24"/>
          <w:lang w:val="ro-MD"/>
        </w:rPr>
      </w:pPr>
      <w:r w:rsidRPr="00B13B9A">
        <w:rPr>
          <w:rFonts w:asciiTheme="majorHAnsi" w:hAnsiTheme="majorHAnsi" w:cstheme="majorHAnsi"/>
          <w:sz w:val="24"/>
          <w:szCs w:val="24"/>
          <w:lang w:val="ro-MD"/>
        </w:rPr>
        <w:t>Cheltuielile efective pentru alimenta</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ia bolnavilor în anul 2021 au constituit 3 485,9 mii lei, iar în anul 2022 acestea s-au majorat până la 4 661,7 mii lei, cu 1</w:t>
      </w:r>
      <w:r w:rsidR="000A2E99" w:rsidRPr="00B13B9A">
        <w:rPr>
          <w:rFonts w:asciiTheme="majorHAnsi" w:hAnsiTheme="majorHAnsi" w:cstheme="majorHAnsi"/>
          <w:sz w:val="24"/>
          <w:szCs w:val="24"/>
          <w:lang w:val="ro-MD"/>
        </w:rPr>
        <w:t xml:space="preserve"> </w:t>
      </w:r>
      <w:r w:rsidRPr="00B13B9A">
        <w:rPr>
          <w:rFonts w:asciiTheme="majorHAnsi" w:hAnsiTheme="majorHAnsi" w:cstheme="majorHAnsi"/>
          <w:sz w:val="24"/>
          <w:szCs w:val="24"/>
          <w:lang w:val="ro-MD"/>
        </w:rPr>
        <w:t xml:space="preserve">175,8 mii lei mai mult, </w:t>
      </w:r>
      <w:r w:rsidR="009A3E67" w:rsidRPr="00B13B9A">
        <w:rPr>
          <w:rFonts w:asciiTheme="majorHAnsi" w:hAnsiTheme="majorHAnsi" w:cstheme="majorHAnsi"/>
          <w:sz w:val="24"/>
          <w:szCs w:val="24"/>
          <w:lang w:val="ro-MD"/>
        </w:rPr>
        <w:t xml:space="preserve">ceea </w:t>
      </w:r>
      <w:r w:rsidRPr="00B13B9A">
        <w:rPr>
          <w:rFonts w:asciiTheme="majorHAnsi" w:hAnsiTheme="majorHAnsi" w:cstheme="majorHAnsi"/>
          <w:sz w:val="24"/>
          <w:szCs w:val="24"/>
          <w:lang w:val="ro-MD"/>
        </w:rPr>
        <w:t xml:space="preserve">ce constituie 2,9% din totalul cheltuielilor. În </w:t>
      </w:r>
      <w:r w:rsidR="005777EB" w:rsidRPr="00B13B9A">
        <w:rPr>
          <w:rFonts w:asciiTheme="majorHAnsi" w:hAnsiTheme="majorHAnsi" w:cstheme="majorHAnsi"/>
          <w:sz w:val="24"/>
          <w:szCs w:val="24"/>
          <w:lang w:val="ro-MD"/>
        </w:rPr>
        <w:t xml:space="preserve">primul semestru al </w:t>
      </w:r>
      <w:r w:rsidRPr="00B13B9A">
        <w:rPr>
          <w:rFonts w:asciiTheme="majorHAnsi" w:hAnsiTheme="majorHAnsi" w:cstheme="majorHAnsi"/>
          <w:sz w:val="24"/>
          <w:szCs w:val="24"/>
          <w:lang w:val="ro-MD"/>
        </w:rPr>
        <w:t>anului 2023, cheltuielile pentru produsele alimentare au însumat 2 888,7 mii lei. De</w:t>
      </w:r>
      <w:r w:rsidR="00B13B9A" w:rsidRPr="00B13B9A">
        <w:rPr>
          <w:rFonts w:asciiTheme="majorHAnsi" w:hAnsiTheme="majorHAnsi" w:cstheme="majorHAnsi"/>
          <w:sz w:val="24"/>
          <w:szCs w:val="24"/>
          <w:lang w:val="ro-MD"/>
        </w:rPr>
        <w:t>ș</w:t>
      </w:r>
      <w:r w:rsidRPr="00B13B9A">
        <w:rPr>
          <w:rFonts w:asciiTheme="majorHAnsi" w:hAnsiTheme="majorHAnsi" w:cstheme="majorHAnsi"/>
          <w:sz w:val="24"/>
          <w:szCs w:val="24"/>
          <w:lang w:val="ro-MD"/>
        </w:rPr>
        <w:t>i numărul pacien</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ilor nu a crescut în ace</w:t>
      </w:r>
      <w:r w:rsidR="00B13B9A" w:rsidRPr="00B13B9A">
        <w:rPr>
          <w:rFonts w:asciiTheme="majorHAnsi" w:hAnsiTheme="majorHAnsi" w:cstheme="majorHAnsi"/>
          <w:sz w:val="24"/>
          <w:szCs w:val="24"/>
          <w:lang w:val="ro-MD"/>
        </w:rPr>
        <w:t>ș</w:t>
      </w:r>
      <w:r w:rsidRPr="00B13B9A">
        <w:rPr>
          <w:rFonts w:asciiTheme="majorHAnsi" w:hAnsiTheme="majorHAnsi" w:cstheme="majorHAnsi"/>
          <w:sz w:val="24"/>
          <w:szCs w:val="24"/>
          <w:lang w:val="ro-MD"/>
        </w:rPr>
        <w:t>ti ani, majorarea cheltuielilor pentru alimenta</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 xml:space="preserve">ie </w:t>
      </w:r>
      <w:r w:rsidR="000A2E99" w:rsidRPr="00B13B9A">
        <w:rPr>
          <w:rFonts w:asciiTheme="majorHAnsi" w:hAnsiTheme="majorHAnsi" w:cstheme="majorHAnsi"/>
          <w:sz w:val="24"/>
          <w:szCs w:val="24"/>
          <w:lang w:val="ro-MD"/>
        </w:rPr>
        <w:t>a fost determinată de</w:t>
      </w:r>
      <w:r w:rsidRPr="00B13B9A">
        <w:rPr>
          <w:rFonts w:asciiTheme="majorHAnsi" w:hAnsiTheme="majorHAnsi" w:cstheme="majorHAnsi"/>
          <w:sz w:val="24"/>
          <w:szCs w:val="24"/>
          <w:lang w:val="ro-MD"/>
        </w:rPr>
        <w:t xml:space="preserve"> cre</w:t>
      </w:r>
      <w:r w:rsidR="00B13B9A" w:rsidRPr="00B13B9A">
        <w:rPr>
          <w:rFonts w:asciiTheme="majorHAnsi" w:hAnsiTheme="majorHAnsi" w:cstheme="majorHAnsi"/>
          <w:sz w:val="24"/>
          <w:szCs w:val="24"/>
          <w:lang w:val="ro-MD"/>
        </w:rPr>
        <w:t>ș</w:t>
      </w:r>
      <w:r w:rsidRPr="00B13B9A">
        <w:rPr>
          <w:rFonts w:asciiTheme="majorHAnsi" w:hAnsiTheme="majorHAnsi" w:cstheme="majorHAnsi"/>
          <w:sz w:val="24"/>
          <w:szCs w:val="24"/>
          <w:lang w:val="ro-MD"/>
        </w:rPr>
        <w:t>ter</w:t>
      </w:r>
      <w:r w:rsidR="000A2E99" w:rsidRPr="00B13B9A">
        <w:rPr>
          <w:rFonts w:asciiTheme="majorHAnsi" w:hAnsiTheme="majorHAnsi" w:cstheme="majorHAnsi"/>
          <w:sz w:val="24"/>
          <w:szCs w:val="24"/>
          <w:lang w:val="ro-MD"/>
        </w:rPr>
        <w:t>ea</w:t>
      </w:r>
      <w:r w:rsidRPr="00B13B9A">
        <w:rPr>
          <w:rFonts w:asciiTheme="majorHAnsi" w:hAnsiTheme="majorHAnsi" w:cstheme="majorHAnsi"/>
          <w:sz w:val="24"/>
          <w:szCs w:val="24"/>
          <w:lang w:val="ro-MD"/>
        </w:rPr>
        <w:t xml:space="preserve"> pre</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urilor la produsele alimentare. Costul pentru o zi de alimenta</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 xml:space="preserve">ie pentru un pacient internat a constituit 40,42 lei, în anul 2021, </w:t>
      </w:r>
      <w:r w:rsidR="00EF4191" w:rsidRPr="00B13B9A">
        <w:rPr>
          <w:rFonts w:asciiTheme="majorHAnsi" w:hAnsiTheme="majorHAnsi" w:cstheme="majorHAnsi"/>
          <w:sz w:val="24"/>
          <w:szCs w:val="24"/>
          <w:lang w:val="ro-MD"/>
        </w:rPr>
        <w:t xml:space="preserve">iar în anul 2023 a ajuns la </w:t>
      </w:r>
      <w:r w:rsidRPr="00B13B9A">
        <w:rPr>
          <w:rFonts w:asciiTheme="majorHAnsi" w:hAnsiTheme="majorHAnsi" w:cstheme="majorHAnsi"/>
          <w:sz w:val="24"/>
          <w:szCs w:val="24"/>
          <w:lang w:val="ro-MD"/>
        </w:rPr>
        <w:t xml:space="preserve">58,80 lei. </w:t>
      </w:r>
    </w:p>
    <w:p w14:paraId="4F82A5FA" w14:textId="6411B122" w:rsidR="00B37661" w:rsidRPr="00B13B9A" w:rsidRDefault="00B37661" w:rsidP="00B37661">
      <w:pPr>
        <w:pStyle w:val="a7"/>
        <w:ind w:left="0"/>
        <w:jc w:val="both"/>
        <w:rPr>
          <w:rFonts w:asciiTheme="majorHAnsi" w:hAnsiTheme="majorHAnsi" w:cstheme="majorHAnsi"/>
          <w:color w:val="333333"/>
          <w:sz w:val="24"/>
          <w:szCs w:val="24"/>
          <w:shd w:val="clear" w:color="auto" w:fill="FFFFFF"/>
          <w:lang w:val="ro-MD"/>
        </w:rPr>
      </w:pPr>
      <w:r w:rsidRPr="00B13B9A">
        <w:rPr>
          <w:rFonts w:asciiTheme="majorHAnsi" w:hAnsiTheme="majorHAnsi" w:cstheme="majorHAnsi"/>
          <w:color w:val="000000" w:themeColor="text1"/>
          <w:sz w:val="24"/>
          <w:szCs w:val="24"/>
          <w:lang w:val="ro-MD"/>
        </w:rPr>
        <w:t>În scopul efectuării tratamentului complex al pacien</w:t>
      </w:r>
      <w:r w:rsidR="00B13B9A" w:rsidRPr="00B13B9A">
        <w:rPr>
          <w:rFonts w:asciiTheme="majorHAnsi" w:hAnsiTheme="majorHAnsi" w:cstheme="majorHAnsi"/>
          <w:color w:val="000000" w:themeColor="text1"/>
          <w:sz w:val="24"/>
          <w:szCs w:val="24"/>
          <w:lang w:val="ro-MD"/>
        </w:rPr>
        <w:t>ț</w:t>
      </w:r>
      <w:r w:rsidRPr="00B13B9A">
        <w:rPr>
          <w:rFonts w:asciiTheme="majorHAnsi" w:hAnsiTheme="majorHAnsi" w:cstheme="majorHAnsi"/>
          <w:color w:val="000000" w:themeColor="text1"/>
          <w:sz w:val="24"/>
          <w:szCs w:val="24"/>
          <w:lang w:val="ro-MD"/>
        </w:rPr>
        <w:t>ilor</w:t>
      </w:r>
      <w:r w:rsidR="000A2E99" w:rsidRPr="00B13B9A">
        <w:rPr>
          <w:rFonts w:asciiTheme="majorHAnsi" w:hAnsiTheme="majorHAnsi" w:cstheme="majorHAnsi"/>
          <w:color w:val="000000" w:themeColor="text1"/>
          <w:sz w:val="24"/>
          <w:szCs w:val="24"/>
          <w:lang w:val="ro-MD"/>
        </w:rPr>
        <w:t>,</w:t>
      </w:r>
      <w:r w:rsidRPr="00B13B9A">
        <w:rPr>
          <w:rFonts w:asciiTheme="majorHAnsi" w:hAnsiTheme="majorHAnsi" w:cstheme="majorHAnsi"/>
          <w:color w:val="000000" w:themeColor="text1"/>
          <w:sz w:val="24"/>
          <w:szCs w:val="24"/>
          <w:lang w:val="ro-MD"/>
        </w:rPr>
        <w:t xml:space="preserve"> se utilizează sistemul numeric de diete</w:t>
      </w:r>
      <w:r w:rsidR="000A2E99" w:rsidRPr="00B13B9A">
        <w:rPr>
          <w:rFonts w:asciiTheme="majorHAnsi" w:hAnsiTheme="majorHAnsi" w:cstheme="majorHAnsi"/>
          <w:color w:val="000000" w:themeColor="text1"/>
          <w:sz w:val="24"/>
          <w:szCs w:val="24"/>
          <w:lang w:val="ro-MD"/>
        </w:rPr>
        <w:t>,</w:t>
      </w:r>
      <w:r w:rsidRPr="00B13B9A">
        <w:rPr>
          <w:rFonts w:asciiTheme="majorHAnsi" w:hAnsiTheme="majorHAnsi" w:cstheme="majorHAnsi"/>
          <w:color w:val="000000" w:themeColor="text1"/>
          <w:sz w:val="24"/>
          <w:szCs w:val="24"/>
          <w:lang w:val="ro-MD"/>
        </w:rPr>
        <w:t xml:space="preserve"> „Sistemul dietelor standard”, </w:t>
      </w:r>
      <w:r w:rsidR="008C3955" w:rsidRPr="00B13B9A">
        <w:rPr>
          <w:rFonts w:asciiTheme="majorHAnsi" w:hAnsiTheme="majorHAnsi" w:cstheme="majorHAnsi"/>
          <w:color w:val="000000" w:themeColor="text1"/>
          <w:sz w:val="24"/>
          <w:szCs w:val="24"/>
          <w:lang w:val="ro-MD"/>
        </w:rPr>
        <w:t xml:space="preserve">în </w:t>
      </w:r>
      <w:r w:rsidRPr="00B13B9A">
        <w:rPr>
          <w:rFonts w:asciiTheme="majorHAnsi" w:hAnsiTheme="majorHAnsi" w:cstheme="majorHAnsi"/>
          <w:color w:val="000000" w:themeColor="text1"/>
          <w:sz w:val="24"/>
          <w:szCs w:val="24"/>
          <w:lang w:val="ro-MD"/>
        </w:rPr>
        <w:t xml:space="preserve">care </w:t>
      </w:r>
      <w:r w:rsidR="008C3955" w:rsidRPr="00B13B9A">
        <w:rPr>
          <w:rFonts w:asciiTheme="majorHAnsi" w:hAnsiTheme="majorHAnsi" w:cstheme="majorHAnsi"/>
          <w:color w:val="000000" w:themeColor="text1"/>
          <w:sz w:val="24"/>
          <w:szCs w:val="24"/>
          <w:lang w:val="ro-MD"/>
        </w:rPr>
        <w:t xml:space="preserve">mesele </w:t>
      </w:r>
      <w:r w:rsidRPr="00B13B9A">
        <w:rPr>
          <w:rFonts w:asciiTheme="majorHAnsi" w:hAnsiTheme="majorHAnsi" w:cstheme="majorHAnsi"/>
          <w:color w:val="000000" w:themeColor="text1"/>
          <w:sz w:val="24"/>
          <w:szCs w:val="24"/>
          <w:lang w:val="ro-MD"/>
        </w:rPr>
        <w:t xml:space="preserve">diferă una de alta prin valoarea nutritivă </w:t>
      </w:r>
      <w:r w:rsidR="00B13B9A" w:rsidRPr="00B13B9A">
        <w:rPr>
          <w:rFonts w:asciiTheme="majorHAnsi" w:hAnsiTheme="majorHAnsi" w:cstheme="majorHAnsi"/>
          <w:color w:val="000000" w:themeColor="text1"/>
          <w:sz w:val="24"/>
          <w:szCs w:val="24"/>
          <w:lang w:val="ro-MD"/>
        </w:rPr>
        <w:t>ș</w:t>
      </w:r>
      <w:r w:rsidRPr="00B13B9A">
        <w:rPr>
          <w:rFonts w:asciiTheme="majorHAnsi" w:hAnsiTheme="majorHAnsi" w:cstheme="majorHAnsi"/>
          <w:color w:val="000000" w:themeColor="text1"/>
          <w:sz w:val="24"/>
          <w:szCs w:val="24"/>
          <w:lang w:val="ro-MD"/>
        </w:rPr>
        <w:t>i energetică. Astfel, pentru pacien</w:t>
      </w:r>
      <w:r w:rsidR="00B13B9A" w:rsidRPr="00B13B9A">
        <w:rPr>
          <w:rFonts w:asciiTheme="majorHAnsi" w:hAnsiTheme="majorHAnsi" w:cstheme="majorHAnsi"/>
          <w:color w:val="000000" w:themeColor="text1"/>
          <w:sz w:val="24"/>
          <w:szCs w:val="24"/>
          <w:lang w:val="ro-MD"/>
        </w:rPr>
        <w:t>ț</w:t>
      </w:r>
      <w:r w:rsidRPr="00B13B9A">
        <w:rPr>
          <w:rFonts w:asciiTheme="majorHAnsi" w:hAnsiTheme="majorHAnsi" w:cstheme="majorHAnsi"/>
          <w:color w:val="000000" w:themeColor="text1"/>
          <w:sz w:val="24"/>
          <w:szCs w:val="24"/>
          <w:lang w:val="ro-MD"/>
        </w:rPr>
        <w:t xml:space="preserve">ii bolnavi de tuberculoză </w:t>
      </w:r>
      <w:r w:rsidRPr="00B13B9A">
        <w:rPr>
          <w:rFonts w:asciiTheme="majorHAnsi" w:hAnsiTheme="majorHAnsi" w:cstheme="majorHAnsi"/>
          <w:sz w:val="24"/>
          <w:szCs w:val="24"/>
          <w:lang w:val="ro-MD"/>
        </w:rPr>
        <w:t xml:space="preserve">se recomandă </w:t>
      </w:r>
      <w:r w:rsidRPr="00B13B9A">
        <w:rPr>
          <w:rFonts w:asciiTheme="majorHAnsi" w:hAnsiTheme="majorHAnsi" w:cstheme="majorHAnsi"/>
          <w:color w:val="333333"/>
          <w:sz w:val="24"/>
          <w:szCs w:val="24"/>
          <w:shd w:val="clear" w:color="auto" w:fill="FFFFFF"/>
          <w:lang w:val="ro-MD"/>
        </w:rPr>
        <w:t>diete cu cantitatea sporită de proteine (hiperproteice)</w:t>
      </w:r>
      <w:r w:rsidRPr="00B13B9A">
        <w:rPr>
          <w:rStyle w:val="a9"/>
          <w:rFonts w:asciiTheme="majorHAnsi" w:hAnsiTheme="majorHAnsi" w:cstheme="majorHAnsi"/>
          <w:color w:val="333333"/>
          <w:sz w:val="24"/>
          <w:szCs w:val="24"/>
          <w:shd w:val="clear" w:color="auto" w:fill="FFFFFF"/>
          <w:lang w:val="ro-MD"/>
        </w:rPr>
        <w:footnoteReference w:id="67"/>
      </w:r>
      <w:r w:rsidRPr="00B13B9A">
        <w:rPr>
          <w:rFonts w:asciiTheme="majorHAnsi" w:hAnsiTheme="majorHAnsi" w:cstheme="majorHAnsi"/>
          <w:color w:val="333333"/>
          <w:sz w:val="24"/>
          <w:szCs w:val="24"/>
          <w:shd w:val="clear" w:color="auto" w:fill="FFFFFF"/>
          <w:lang w:val="ro-MD"/>
        </w:rPr>
        <w:t>.</w:t>
      </w:r>
    </w:p>
    <w:p w14:paraId="622658F6" w14:textId="3D56442A" w:rsidR="00B37661" w:rsidRPr="00B13B9A" w:rsidRDefault="00B37661" w:rsidP="00B37661">
      <w:pPr>
        <w:spacing w:line="276" w:lineRule="auto"/>
        <w:jc w:val="both"/>
        <w:rPr>
          <w:rFonts w:asciiTheme="majorHAnsi" w:hAnsiTheme="majorHAnsi" w:cstheme="majorHAnsi"/>
          <w:sz w:val="24"/>
          <w:szCs w:val="24"/>
          <w:lang w:val="ro-MD"/>
        </w:rPr>
      </w:pPr>
      <w:r w:rsidRPr="00B13B9A">
        <w:rPr>
          <w:rFonts w:asciiTheme="majorHAnsi" w:hAnsiTheme="majorHAnsi" w:cstheme="majorHAnsi"/>
          <w:sz w:val="24"/>
          <w:szCs w:val="24"/>
          <w:lang w:val="ro-MD"/>
        </w:rPr>
        <w:t xml:space="preserve">Verificările în teritoriu au stabilit că înaintarea </w:t>
      </w:r>
      <w:r w:rsidR="00B13B9A" w:rsidRPr="00B13B9A">
        <w:rPr>
          <w:rFonts w:asciiTheme="majorHAnsi" w:hAnsiTheme="majorHAnsi" w:cstheme="majorHAnsi"/>
          <w:sz w:val="24"/>
          <w:szCs w:val="24"/>
          <w:lang w:val="ro-MD"/>
        </w:rPr>
        <w:t>ș</w:t>
      </w:r>
      <w:r w:rsidRPr="00B13B9A">
        <w:rPr>
          <w:rFonts w:asciiTheme="majorHAnsi" w:hAnsiTheme="majorHAnsi" w:cstheme="majorHAnsi"/>
          <w:sz w:val="24"/>
          <w:szCs w:val="24"/>
          <w:lang w:val="ro-MD"/>
        </w:rPr>
        <w:t>i colectarea necesită</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ilor din sec</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ii pentru ziua curentă nu se efectuează conform normelor aprobate</w:t>
      </w:r>
      <w:r w:rsidR="000A2E99" w:rsidRPr="00B13B9A">
        <w:rPr>
          <w:rFonts w:asciiTheme="majorHAnsi" w:hAnsiTheme="majorHAnsi" w:cstheme="majorHAnsi"/>
          <w:sz w:val="24"/>
          <w:szCs w:val="24"/>
          <w:lang w:val="ro-MD"/>
        </w:rPr>
        <w:t>,</w:t>
      </w:r>
      <w:r w:rsidRPr="00B13B9A">
        <w:rPr>
          <w:rFonts w:asciiTheme="majorHAnsi" w:hAnsiTheme="majorHAnsi" w:cstheme="majorHAnsi"/>
          <w:sz w:val="24"/>
          <w:szCs w:val="24"/>
          <w:lang w:val="ro-MD"/>
        </w:rPr>
        <w:t xml:space="preserve"> care prevăd că informa</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ii</w:t>
      </w:r>
      <w:r w:rsidR="00D80683" w:rsidRPr="00B13B9A">
        <w:rPr>
          <w:rFonts w:asciiTheme="majorHAnsi" w:hAnsiTheme="majorHAnsi" w:cstheme="majorHAnsi"/>
          <w:sz w:val="24"/>
          <w:szCs w:val="24"/>
          <w:lang w:val="ro-MD"/>
        </w:rPr>
        <w:t>le</w:t>
      </w:r>
      <w:r w:rsidRPr="00B13B9A">
        <w:rPr>
          <w:rFonts w:asciiTheme="majorHAnsi" w:hAnsiTheme="majorHAnsi" w:cstheme="majorHAnsi"/>
          <w:sz w:val="24"/>
          <w:szCs w:val="24"/>
          <w:lang w:val="ro-MD"/>
        </w:rPr>
        <w:t xml:space="preserve"> </w:t>
      </w:r>
      <w:r w:rsidR="00D80683" w:rsidRPr="00B13B9A">
        <w:rPr>
          <w:rFonts w:asciiTheme="majorHAnsi" w:hAnsiTheme="majorHAnsi" w:cstheme="majorHAnsi"/>
          <w:sz w:val="24"/>
          <w:szCs w:val="24"/>
          <w:lang w:val="ro-MD"/>
        </w:rPr>
        <w:t xml:space="preserve">acumulate </w:t>
      </w:r>
      <w:r w:rsidRPr="00B13B9A">
        <w:rPr>
          <w:rFonts w:asciiTheme="majorHAnsi" w:hAnsiTheme="majorHAnsi" w:cstheme="majorHAnsi"/>
          <w:sz w:val="24"/>
          <w:szCs w:val="24"/>
          <w:lang w:val="ro-MD"/>
        </w:rPr>
        <w:t>din toate sec</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 xml:space="preserve">iile se confruntă cu </w:t>
      </w:r>
      <w:r w:rsidR="000A2E99" w:rsidRPr="00B13B9A">
        <w:rPr>
          <w:rFonts w:asciiTheme="majorHAnsi" w:hAnsiTheme="majorHAnsi" w:cstheme="majorHAnsi"/>
          <w:sz w:val="24"/>
          <w:szCs w:val="24"/>
          <w:lang w:val="ro-MD"/>
        </w:rPr>
        <w:t>cele din</w:t>
      </w:r>
      <w:r w:rsidRPr="00B13B9A">
        <w:rPr>
          <w:rFonts w:asciiTheme="majorHAnsi" w:hAnsiTheme="majorHAnsi" w:cstheme="majorHAnsi"/>
          <w:sz w:val="24"/>
          <w:szCs w:val="24"/>
          <w:lang w:val="ro-MD"/>
        </w:rPr>
        <w:t xml:space="preserve"> sec</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iil</w:t>
      </w:r>
      <w:r w:rsidR="000A2E99" w:rsidRPr="00B13B9A">
        <w:rPr>
          <w:rFonts w:asciiTheme="majorHAnsi" w:hAnsiTheme="majorHAnsi" w:cstheme="majorHAnsi"/>
          <w:sz w:val="24"/>
          <w:szCs w:val="24"/>
          <w:lang w:val="ro-MD"/>
        </w:rPr>
        <w:t>e</w:t>
      </w:r>
      <w:r w:rsidRPr="00B13B9A">
        <w:rPr>
          <w:rFonts w:asciiTheme="majorHAnsi" w:hAnsiTheme="majorHAnsi" w:cstheme="majorHAnsi"/>
          <w:sz w:val="24"/>
          <w:szCs w:val="24"/>
          <w:lang w:val="ro-MD"/>
        </w:rPr>
        <w:t xml:space="preserve"> internare </w:t>
      </w:r>
      <w:r w:rsidR="00B13B9A" w:rsidRPr="00B13B9A">
        <w:rPr>
          <w:rFonts w:asciiTheme="majorHAnsi" w:hAnsiTheme="majorHAnsi" w:cstheme="majorHAnsi"/>
          <w:sz w:val="24"/>
          <w:szCs w:val="24"/>
          <w:lang w:val="ro-MD"/>
        </w:rPr>
        <w:t>ș</w:t>
      </w:r>
      <w:r w:rsidRPr="00B13B9A">
        <w:rPr>
          <w:rFonts w:asciiTheme="majorHAnsi" w:hAnsiTheme="majorHAnsi" w:cstheme="majorHAnsi"/>
          <w:sz w:val="24"/>
          <w:szCs w:val="24"/>
          <w:lang w:val="ro-MD"/>
        </w:rPr>
        <w:t xml:space="preserve">i statistică medicală </w:t>
      </w:r>
      <w:r w:rsidR="00B13B9A" w:rsidRPr="00B13B9A">
        <w:rPr>
          <w:rFonts w:asciiTheme="majorHAnsi" w:hAnsiTheme="majorHAnsi" w:cstheme="majorHAnsi"/>
          <w:sz w:val="24"/>
          <w:szCs w:val="24"/>
          <w:lang w:val="ro-MD"/>
        </w:rPr>
        <w:t>ș</w:t>
      </w:r>
      <w:r w:rsidRPr="00B13B9A">
        <w:rPr>
          <w:rFonts w:asciiTheme="majorHAnsi" w:hAnsiTheme="majorHAnsi" w:cstheme="majorHAnsi"/>
          <w:sz w:val="24"/>
          <w:szCs w:val="24"/>
          <w:lang w:val="ro-MD"/>
        </w:rPr>
        <w:t>i se întocme</w:t>
      </w:r>
      <w:r w:rsidR="00B13B9A" w:rsidRPr="00B13B9A">
        <w:rPr>
          <w:rFonts w:asciiTheme="majorHAnsi" w:hAnsiTheme="majorHAnsi" w:cstheme="majorHAnsi"/>
          <w:sz w:val="24"/>
          <w:szCs w:val="24"/>
          <w:lang w:val="ro-MD"/>
        </w:rPr>
        <w:t>ș</w:t>
      </w:r>
      <w:r w:rsidRPr="00B13B9A">
        <w:rPr>
          <w:rFonts w:asciiTheme="majorHAnsi" w:hAnsiTheme="majorHAnsi" w:cstheme="majorHAnsi"/>
          <w:sz w:val="24"/>
          <w:szCs w:val="24"/>
          <w:lang w:val="ro-MD"/>
        </w:rPr>
        <w:t xml:space="preserve">te formularul </w:t>
      </w:r>
      <w:r w:rsidRPr="00B13B9A">
        <w:rPr>
          <w:rFonts w:asciiTheme="majorHAnsi" w:hAnsiTheme="majorHAnsi" w:cstheme="majorHAnsi"/>
          <w:i/>
          <w:sz w:val="24"/>
          <w:szCs w:val="24"/>
          <w:lang w:val="ro-MD"/>
        </w:rPr>
        <w:t>„Informa</w:t>
      </w:r>
      <w:r w:rsidR="00B13B9A" w:rsidRPr="00B13B9A">
        <w:rPr>
          <w:rFonts w:asciiTheme="majorHAnsi" w:hAnsiTheme="majorHAnsi" w:cstheme="majorHAnsi"/>
          <w:i/>
          <w:sz w:val="24"/>
          <w:szCs w:val="24"/>
          <w:lang w:val="ro-MD"/>
        </w:rPr>
        <w:t>ț</w:t>
      </w:r>
      <w:r w:rsidRPr="00B13B9A">
        <w:rPr>
          <w:rFonts w:asciiTheme="majorHAnsi" w:hAnsiTheme="majorHAnsi" w:cstheme="majorHAnsi"/>
          <w:i/>
          <w:sz w:val="24"/>
          <w:szCs w:val="24"/>
          <w:lang w:val="ro-MD"/>
        </w:rPr>
        <w:t>ie despre numărul pacien</w:t>
      </w:r>
      <w:r w:rsidR="00B13B9A" w:rsidRPr="00B13B9A">
        <w:rPr>
          <w:rFonts w:asciiTheme="majorHAnsi" w:hAnsiTheme="majorHAnsi" w:cstheme="majorHAnsi"/>
          <w:i/>
          <w:sz w:val="24"/>
          <w:szCs w:val="24"/>
          <w:lang w:val="ro-MD"/>
        </w:rPr>
        <w:t>ț</w:t>
      </w:r>
      <w:r w:rsidRPr="00B13B9A">
        <w:rPr>
          <w:rFonts w:asciiTheme="majorHAnsi" w:hAnsiTheme="majorHAnsi" w:cstheme="majorHAnsi"/>
          <w:i/>
          <w:sz w:val="24"/>
          <w:szCs w:val="24"/>
          <w:lang w:val="ro-MD"/>
        </w:rPr>
        <w:t>ilor la alimenta</w:t>
      </w:r>
      <w:r w:rsidR="00B13B9A" w:rsidRPr="00B13B9A">
        <w:rPr>
          <w:rFonts w:asciiTheme="majorHAnsi" w:hAnsiTheme="majorHAnsi" w:cstheme="majorHAnsi"/>
          <w:i/>
          <w:sz w:val="24"/>
          <w:szCs w:val="24"/>
          <w:lang w:val="ro-MD"/>
        </w:rPr>
        <w:t>ț</w:t>
      </w:r>
      <w:r w:rsidRPr="00B13B9A">
        <w:rPr>
          <w:rFonts w:asciiTheme="majorHAnsi" w:hAnsiTheme="majorHAnsi" w:cstheme="majorHAnsi"/>
          <w:i/>
          <w:sz w:val="24"/>
          <w:szCs w:val="24"/>
          <w:lang w:val="ro-MD"/>
        </w:rPr>
        <w:t>ie la ora 9 a zilei curente pe institu</w:t>
      </w:r>
      <w:r w:rsidR="00B13B9A" w:rsidRPr="00B13B9A">
        <w:rPr>
          <w:rFonts w:asciiTheme="majorHAnsi" w:hAnsiTheme="majorHAnsi" w:cstheme="majorHAnsi"/>
          <w:i/>
          <w:sz w:val="24"/>
          <w:szCs w:val="24"/>
          <w:lang w:val="ro-MD"/>
        </w:rPr>
        <w:t>ț</w:t>
      </w:r>
      <w:r w:rsidRPr="00B13B9A">
        <w:rPr>
          <w:rFonts w:asciiTheme="majorHAnsi" w:hAnsiTheme="majorHAnsi" w:cstheme="majorHAnsi"/>
          <w:i/>
          <w:sz w:val="24"/>
          <w:szCs w:val="24"/>
          <w:lang w:val="ro-MD"/>
        </w:rPr>
        <w:t>ie”</w:t>
      </w:r>
      <w:r w:rsidRPr="00B13B9A">
        <w:rPr>
          <w:rStyle w:val="a9"/>
          <w:rFonts w:asciiTheme="majorHAnsi" w:hAnsiTheme="majorHAnsi" w:cstheme="majorHAnsi"/>
          <w:i/>
          <w:sz w:val="24"/>
          <w:szCs w:val="24"/>
          <w:lang w:val="ro-MD"/>
        </w:rPr>
        <w:footnoteReference w:id="68"/>
      </w:r>
      <w:r w:rsidRPr="00B13B9A">
        <w:rPr>
          <w:rFonts w:asciiTheme="majorHAnsi" w:hAnsiTheme="majorHAnsi" w:cstheme="majorHAnsi"/>
          <w:i/>
          <w:sz w:val="24"/>
          <w:szCs w:val="24"/>
          <w:lang w:val="ro-MD"/>
        </w:rPr>
        <w:t xml:space="preserve">. </w:t>
      </w:r>
      <w:r w:rsidR="005777EB" w:rsidRPr="00B13B9A">
        <w:rPr>
          <w:rFonts w:asciiTheme="majorHAnsi" w:hAnsiTheme="majorHAnsi" w:cstheme="majorHAnsi"/>
          <w:sz w:val="24"/>
          <w:szCs w:val="24"/>
          <w:lang w:val="ro-MD"/>
        </w:rPr>
        <w:t>A</w:t>
      </w:r>
      <w:r w:rsidRPr="00B13B9A">
        <w:rPr>
          <w:rFonts w:asciiTheme="majorHAnsi" w:hAnsiTheme="majorHAnsi" w:cstheme="majorHAnsi"/>
          <w:sz w:val="24"/>
          <w:szCs w:val="24"/>
          <w:lang w:val="ro-MD"/>
        </w:rPr>
        <w:t>uditul a constatat că</w:t>
      </w:r>
      <w:r w:rsidR="008C3955" w:rsidRPr="00B13B9A">
        <w:rPr>
          <w:rFonts w:asciiTheme="majorHAnsi" w:hAnsiTheme="majorHAnsi" w:cstheme="majorHAnsi"/>
          <w:sz w:val="24"/>
          <w:szCs w:val="24"/>
          <w:lang w:val="ro-MD"/>
        </w:rPr>
        <w:t>,</w:t>
      </w:r>
      <w:r w:rsidRPr="00B13B9A">
        <w:rPr>
          <w:rFonts w:asciiTheme="majorHAnsi" w:hAnsiTheme="majorHAnsi" w:cstheme="majorHAnsi"/>
          <w:sz w:val="24"/>
          <w:szCs w:val="24"/>
          <w:lang w:val="ro-MD"/>
        </w:rPr>
        <w:t xml:space="preserve"> în cadrul clinicii Chi</w:t>
      </w:r>
      <w:r w:rsidR="00B13B9A" w:rsidRPr="00B13B9A">
        <w:rPr>
          <w:rFonts w:asciiTheme="majorHAnsi" w:hAnsiTheme="majorHAnsi" w:cstheme="majorHAnsi"/>
          <w:sz w:val="24"/>
          <w:szCs w:val="24"/>
          <w:lang w:val="ro-MD"/>
        </w:rPr>
        <w:t>ș</w:t>
      </w:r>
      <w:r w:rsidRPr="00B13B9A">
        <w:rPr>
          <w:rFonts w:asciiTheme="majorHAnsi" w:hAnsiTheme="majorHAnsi" w:cstheme="majorHAnsi"/>
          <w:sz w:val="24"/>
          <w:szCs w:val="24"/>
          <w:lang w:val="ro-MD"/>
        </w:rPr>
        <w:t>inău, acumularea necesită</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ilor se efectuează  până la or</w:t>
      </w:r>
      <w:r w:rsidR="00D80683" w:rsidRPr="00B13B9A">
        <w:rPr>
          <w:rFonts w:asciiTheme="majorHAnsi" w:hAnsiTheme="majorHAnsi" w:cstheme="majorHAnsi"/>
          <w:sz w:val="24"/>
          <w:szCs w:val="24"/>
          <w:lang w:val="ro-MD"/>
        </w:rPr>
        <w:t>a</w:t>
      </w:r>
      <w:r w:rsidRPr="00B13B9A">
        <w:rPr>
          <w:rFonts w:asciiTheme="majorHAnsi" w:hAnsiTheme="majorHAnsi" w:cstheme="majorHAnsi"/>
          <w:sz w:val="24"/>
          <w:szCs w:val="24"/>
          <w:lang w:val="ro-MD"/>
        </w:rPr>
        <w:t xml:space="preserve"> 11</w:t>
      </w:r>
      <w:r w:rsidR="00D80683" w:rsidRPr="00B13B9A">
        <w:rPr>
          <w:rFonts w:asciiTheme="majorHAnsi" w:hAnsiTheme="majorHAnsi" w:cstheme="majorHAnsi"/>
          <w:sz w:val="24"/>
          <w:szCs w:val="24"/>
          <w:lang w:val="ro-MD"/>
        </w:rPr>
        <w:t>.00</w:t>
      </w:r>
      <w:r w:rsidRPr="00B13B9A">
        <w:rPr>
          <w:rFonts w:asciiTheme="majorHAnsi" w:hAnsiTheme="majorHAnsi" w:cstheme="majorHAnsi"/>
          <w:sz w:val="24"/>
          <w:szCs w:val="24"/>
          <w:vertAlign w:val="superscript"/>
          <w:lang w:val="ro-MD"/>
        </w:rPr>
        <w:t xml:space="preserve"> </w:t>
      </w:r>
      <w:r w:rsidRPr="00B13B9A">
        <w:rPr>
          <w:rFonts w:asciiTheme="majorHAnsi" w:hAnsiTheme="majorHAnsi" w:cstheme="majorHAnsi"/>
          <w:sz w:val="24"/>
          <w:szCs w:val="24"/>
          <w:lang w:val="ro-MD"/>
        </w:rPr>
        <w:t>a zilei</w:t>
      </w:r>
      <w:r w:rsidR="005777EB" w:rsidRPr="00B13B9A">
        <w:rPr>
          <w:rFonts w:asciiTheme="majorHAnsi" w:hAnsiTheme="majorHAnsi" w:cstheme="majorHAnsi"/>
          <w:sz w:val="24"/>
          <w:szCs w:val="24"/>
          <w:lang w:val="ro-MD"/>
        </w:rPr>
        <w:t>,</w:t>
      </w:r>
      <w:r w:rsidR="00C31DBB" w:rsidRPr="00B13B9A">
        <w:rPr>
          <w:rFonts w:asciiTheme="majorHAnsi" w:hAnsiTheme="majorHAnsi" w:cstheme="majorHAnsi"/>
          <w:sz w:val="24"/>
          <w:szCs w:val="24"/>
          <w:lang w:val="ro-MD"/>
        </w:rPr>
        <w:t xml:space="preserve"> în baza </w:t>
      </w:r>
      <w:r w:rsidRPr="00B13B9A">
        <w:rPr>
          <w:rFonts w:asciiTheme="majorHAnsi" w:hAnsiTheme="majorHAnsi" w:cstheme="majorHAnsi"/>
          <w:sz w:val="24"/>
          <w:szCs w:val="24"/>
          <w:lang w:val="ro-MD"/>
        </w:rPr>
        <w:t>numărului de pacien</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i interna</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i</w:t>
      </w:r>
      <w:r w:rsidR="00C31DBB" w:rsidRPr="00B13B9A">
        <w:rPr>
          <w:rFonts w:asciiTheme="majorHAnsi" w:hAnsiTheme="majorHAnsi" w:cstheme="majorHAnsi"/>
          <w:sz w:val="24"/>
          <w:szCs w:val="24"/>
          <w:lang w:val="ro-MD"/>
        </w:rPr>
        <w:t xml:space="preserve"> în ziua precedentă</w:t>
      </w:r>
      <w:r w:rsidRPr="00B13B9A">
        <w:rPr>
          <w:rFonts w:asciiTheme="majorHAnsi" w:hAnsiTheme="majorHAnsi" w:cstheme="majorHAnsi"/>
          <w:sz w:val="24"/>
          <w:szCs w:val="24"/>
          <w:lang w:val="ro-MD"/>
        </w:rPr>
        <w:t>. Prin urmare, numărul efectiv de pacien</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i nu este corelat cu numărul de pacien</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i interna</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i/externa</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i/transfera</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i în/din sec</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 xml:space="preserve">ii, precum </w:t>
      </w:r>
      <w:r w:rsidR="00B13B9A" w:rsidRPr="00B13B9A">
        <w:rPr>
          <w:rFonts w:asciiTheme="majorHAnsi" w:hAnsiTheme="majorHAnsi" w:cstheme="majorHAnsi"/>
          <w:sz w:val="24"/>
          <w:szCs w:val="24"/>
          <w:lang w:val="ro-MD"/>
        </w:rPr>
        <w:t>ș</w:t>
      </w:r>
      <w:r w:rsidRPr="00B13B9A">
        <w:rPr>
          <w:rFonts w:asciiTheme="majorHAnsi" w:hAnsiTheme="majorHAnsi" w:cstheme="majorHAnsi"/>
          <w:sz w:val="24"/>
          <w:szCs w:val="24"/>
          <w:lang w:val="ro-MD"/>
        </w:rPr>
        <w:t>i cu statistica medicală. Calculele de audit indică că numărul pacien</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ilor deviază zilnic între 1</w:t>
      </w:r>
      <w:r w:rsidR="00D80683" w:rsidRPr="00B13B9A">
        <w:rPr>
          <w:rFonts w:asciiTheme="majorHAnsi" w:hAnsiTheme="majorHAnsi" w:cstheme="majorHAnsi"/>
          <w:sz w:val="24"/>
          <w:szCs w:val="24"/>
          <w:lang w:val="ro-MD"/>
        </w:rPr>
        <w:t xml:space="preserve"> </w:t>
      </w:r>
      <w:r w:rsidR="00B13B9A" w:rsidRPr="00B13B9A">
        <w:rPr>
          <w:rFonts w:asciiTheme="majorHAnsi" w:hAnsiTheme="majorHAnsi" w:cstheme="majorHAnsi"/>
          <w:sz w:val="24"/>
          <w:szCs w:val="24"/>
          <w:lang w:val="ro-MD"/>
        </w:rPr>
        <w:t>ș</w:t>
      </w:r>
      <w:r w:rsidR="00D80683" w:rsidRPr="00B13B9A">
        <w:rPr>
          <w:rFonts w:asciiTheme="majorHAnsi" w:hAnsiTheme="majorHAnsi" w:cstheme="majorHAnsi"/>
          <w:sz w:val="24"/>
          <w:szCs w:val="24"/>
          <w:lang w:val="ro-MD"/>
        </w:rPr>
        <w:t xml:space="preserve">i </w:t>
      </w:r>
      <w:r w:rsidRPr="00B13B9A">
        <w:rPr>
          <w:rFonts w:asciiTheme="majorHAnsi" w:hAnsiTheme="majorHAnsi" w:cstheme="majorHAnsi"/>
          <w:sz w:val="24"/>
          <w:szCs w:val="24"/>
          <w:lang w:val="ro-MD"/>
        </w:rPr>
        <w:t>6 pacien</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i per sec</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ie, preponderent mai mic, clinica Chi</w:t>
      </w:r>
      <w:r w:rsidR="00B13B9A" w:rsidRPr="00B13B9A">
        <w:rPr>
          <w:rFonts w:asciiTheme="majorHAnsi" w:hAnsiTheme="majorHAnsi" w:cstheme="majorHAnsi"/>
          <w:sz w:val="24"/>
          <w:szCs w:val="24"/>
          <w:lang w:val="ro-MD"/>
        </w:rPr>
        <w:t>ș</w:t>
      </w:r>
      <w:r w:rsidRPr="00B13B9A">
        <w:rPr>
          <w:rFonts w:asciiTheme="majorHAnsi" w:hAnsiTheme="majorHAnsi" w:cstheme="majorHAnsi"/>
          <w:sz w:val="24"/>
          <w:szCs w:val="24"/>
          <w:lang w:val="ro-MD"/>
        </w:rPr>
        <w:t>inău având 4 sec</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ii. Precizăm că, calculele audit</w:t>
      </w:r>
      <w:r w:rsidR="00C31DBB" w:rsidRPr="00B13B9A">
        <w:rPr>
          <w:rFonts w:asciiTheme="majorHAnsi" w:hAnsiTheme="majorHAnsi" w:cstheme="majorHAnsi"/>
          <w:sz w:val="24"/>
          <w:szCs w:val="24"/>
          <w:lang w:val="ro-MD"/>
        </w:rPr>
        <w:t>ului</w:t>
      </w:r>
      <w:r w:rsidRPr="00B13B9A">
        <w:rPr>
          <w:rFonts w:asciiTheme="majorHAnsi" w:hAnsiTheme="majorHAnsi" w:cstheme="majorHAnsi"/>
          <w:sz w:val="24"/>
          <w:szCs w:val="24"/>
          <w:lang w:val="ro-MD"/>
        </w:rPr>
        <w:t xml:space="preserve"> corespund informa</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ii</w:t>
      </w:r>
      <w:r w:rsidR="00D80683" w:rsidRPr="00B13B9A">
        <w:rPr>
          <w:rFonts w:asciiTheme="majorHAnsi" w:hAnsiTheme="majorHAnsi" w:cstheme="majorHAnsi"/>
          <w:sz w:val="24"/>
          <w:szCs w:val="24"/>
          <w:lang w:val="ro-MD"/>
        </w:rPr>
        <w:t>lor</w:t>
      </w:r>
      <w:r w:rsidRPr="00B13B9A">
        <w:rPr>
          <w:rFonts w:asciiTheme="majorHAnsi" w:hAnsiTheme="majorHAnsi" w:cstheme="majorHAnsi"/>
          <w:sz w:val="24"/>
          <w:szCs w:val="24"/>
          <w:lang w:val="ro-MD"/>
        </w:rPr>
        <w:t xml:space="preserve"> de</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inute de statistica entită</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 xml:space="preserve">ii ce elaborează formulare centralizatoare </w:t>
      </w:r>
      <w:r w:rsidR="00D80683" w:rsidRPr="00B13B9A">
        <w:rPr>
          <w:rFonts w:asciiTheme="majorHAnsi" w:hAnsiTheme="majorHAnsi" w:cstheme="majorHAnsi"/>
          <w:sz w:val="24"/>
          <w:szCs w:val="24"/>
          <w:lang w:val="ro-MD"/>
        </w:rPr>
        <w:t>privind</w:t>
      </w:r>
      <w:r w:rsidRPr="00B13B9A">
        <w:rPr>
          <w:rFonts w:asciiTheme="majorHAnsi" w:hAnsiTheme="majorHAnsi" w:cstheme="majorHAnsi"/>
          <w:sz w:val="24"/>
          <w:szCs w:val="24"/>
          <w:lang w:val="ro-MD"/>
        </w:rPr>
        <w:t xml:space="preserve"> mi</w:t>
      </w:r>
      <w:r w:rsidR="00B13B9A" w:rsidRPr="00B13B9A">
        <w:rPr>
          <w:rFonts w:asciiTheme="majorHAnsi" w:hAnsiTheme="majorHAnsi" w:cstheme="majorHAnsi"/>
          <w:sz w:val="24"/>
          <w:szCs w:val="24"/>
          <w:lang w:val="ro-MD"/>
        </w:rPr>
        <w:t>ș</w:t>
      </w:r>
      <w:r w:rsidRPr="00B13B9A">
        <w:rPr>
          <w:rFonts w:asciiTheme="majorHAnsi" w:hAnsiTheme="majorHAnsi" w:cstheme="majorHAnsi"/>
          <w:sz w:val="24"/>
          <w:szCs w:val="24"/>
          <w:lang w:val="ro-MD"/>
        </w:rPr>
        <w:t>c</w:t>
      </w:r>
      <w:r w:rsidR="00D80683" w:rsidRPr="00B13B9A">
        <w:rPr>
          <w:rFonts w:asciiTheme="majorHAnsi" w:hAnsiTheme="majorHAnsi" w:cstheme="majorHAnsi"/>
          <w:sz w:val="24"/>
          <w:szCs w:val="24"/>
          <w:lang w:val="ro-MD"/>
        </w:rPr>
        <w:t>area</w:t>
      </w:r>
      <w:r w:rsidRPr="00B13B9A">
        <w:rPr>
          <w:rFonts w:asciiTheme="majorHAnsi" w:hAnsiTheme="majorHAnsi" w:cstheme="majorHAnsi"/>
          <w:sz w:val="24"/>
          <w:szCs w:val="24"/>
          <w:lang w:val="ro-MD"/>
        </w:rPr>
        <w:t xml:space="preserve"> bolnavilor, dar nu </w:t>
      </w:r>
      <w:r w:rsidR="00B13B9A" w:rsidRPr="00B13B9A">
        <w:rPr>
          <w:rFonts w:asciiTheme="majorHAnsi" w:hAnsiTheme="majorHAnsi" w:cstheme="majorHAnsi"/>
          <w:sz w:val="24"/>
          <w:szCs w:val="24"/>
          <w:lang w:val="ro-MD"/>
        </w:rPr>
        <w:t>ș</w:t>
      </w:r>
      <w:r w:rsidRPr="00B13B9A">
        <w:rPr>
          <w:rFonts w:asciiTheme="majorHAnsi" w:hAnsiTheme="majorHAnsi" w:cstheme="majorHAnsi"/>
          <w:sz w:val="24"/>
          <w:szCs w:val="24"/>
          <w:lang w:val="ro-MD"/>
        </w:rPr>
        <w:t>i numărului pacien</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ilor din listele de eviden</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ă din sec</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 xml:space="preserve">ii, în baza căruia se înaintează solicitarea de alimente. </w:t>
      </w:r>
    </w:p>
    <w:p w14:paraId="742FB9D8" w14:textId="5283DF63" w:rsidR="00B37661" w:rsidRPr="00B13B9A" w:rsidRDefault="00B37661" w:rsidP="00B37661">
      <w:pPr>
        <w:pStyle w:val="ae"/>
        <w:shd w:val="clear" w:color="auto" w:fill="FFFFFF"/>
        <w:spacing w:before="0" w:beforeAutospacing="0" w:after="0" w:afterAutospacing="0" w:line="276" w:lineRule="auto"/>
        <w:jc w:val="both"/>
        <w:rPr>
          <w:rFonts w:asciiTheme="majorHAnsi" w:eastAsiaTheme="minorHAnsi" w:hAnsiTheme="majorHAnsi" w:cstheme="majorHAnsi"/>
          <w:lang w:val="ro-MD"/>
        </w:rPr>
      </w:pPr>
      <w:r w:rsidRPr="00B13B9A">
        <w:rPr>
          <w:rFonts w:asciiTheme="majorHAnsi" w:eastAsiaTheme="minorHAnsi" w:hAnsiTheme="majorHAnsi" w:cstheme="majorHAnsi"/>
          <w:lang w:val="ro-MD"/>
        </w:rPr>
        <w:t>De</w:t>
      </w:r>
      <w:r w:rsidR="00B13B9A" w:rsidRPr="00B13B9A">
        <w:rPr>
          <w:rFonts w:asciiTheme="majorHAnsi" w:eastAsiaTheme="minorHAnsi" w:hAnsiTheme="majorHAnsi" w:cstheme="majorHAnsi"/>
          <w:lang w:val="ro-MD"/>
        </w:rPr>
        <w:t>ș</w:t>
      </w:r>
      <w:r w:rsidRPr="00B13B9A">
        <w:rPr>
          <w:rFonts w:asciiTheme="majorHAnsi" w:eastAsiaTheme="minorHAnsi" w:hAnsiTheme="majorHAnsi" w:cstheme="majorHAnsi"/>
          <w:lang w:val="ro-MD"/>
        </w:rPr>
        <w:t>i cadrul normativ prevede că</w:t>
      </w:r>
      <w:r w:rsidR="008C3955" w:rsidRPr="00B13B9A">
        <w:rPr>
          <w:rFonts w:asciiTheme="majorHAnsi" w:eastAsiaTheme="minorHAnsi" w:hAnsiTheme="majorHAnsi" w:cstheme="majorHAnsi"/>
          <w:lang w:val="ro-MD"/>
        </w:rPr>
        <w:t>,</w:t>
      </w:r>
      <w:r w:rsidRPr="00B13B9A">
        <w:rPr>
          <w:rFonts w:asciiTheme="majorHAnsi" w:eastAsiaTheme="minorHAnsi" w:hAnsiTheme="majorHAnsi" w:cstheme="majorHAnsi"/>
          <w:lang w:val="ro-MD"/>
        </w:rPr>
        <w:t xml:space="preserve"> atunci când se schimbă numărul </w:t>
      </w:r>
      <w:r w:rsidR="00EC3F5F" w:rsidRPr="00B13B9A">
        <w:rPr>
          <w:rFonts w:asciiTheme="majorHAnsi" w:eastAsiaTheme="minorHAnsi" w:hAnsiTheme="majorHAnsi" w:cstheme="majorHAnsi"/>
          <w:lang w:val="ro-MD"/>
        </w:rPr>
        <w:t>pacien</w:t>
      </w:r>
      <w:r w:rsidR="00B13B9A" w:rsidRPr="00B13B9A">
        <w:rPr>
          <w:rFonts w:asciiTheme="majorHAnsi" w:eastAsiaTheme="minorHAnsi" w:hAnsiTheme="majorHAnsi" w:cstheme="majorHAnsi"/>
          <w:lang w:val="ro-MD"/>
        </w:rPr>
        <w:t>ț</w:t>
      </w:r>
      <w:r w:rsidR="00EC3F5F" w:rsidRPr="00B13B9A">
        <w:rPr>
          <w:rFonts w:asciiTheme="majorHAnsi" w:eastAsiaTheme="minorHAnsi" w:hAnsiTheme="majorHAnsi" w:cstheme="majorHAnsi"/>
          <w:lang w:val="ro-MD"/>
        </w:rPr>
        <w:t>ilor</w:t>
      </w:r>
      <w:r w:rsidRPr="00B13B9A">
        <w:rPr>
          <w:rFonts w:asciiTheme="majorHAnsi" w:eastAsiaTheme="minorHAnsi" w:hAnsiTheme="majorHAnsi" w:cstheme="majorHAnsi"/>
          <w:lang w:val="ro-MD"/>
        </w:rPr>
        <w:t xml:space="preserve"> </w:t>
      </w:r>
      <w:r w:rsidR="00EC3F5F" w:rsidRPr="00B13B9A">
        <w:rPr>
          <w:rFonts w:asciiTheme="majorHAnsi" w:eastAsiaTheme="minorHAnsi" w:hAnsiTheme="majorHAnsi" w:cstheme="majorHAnsi"/>
          <w:lang w:val="ro-MD"/>
        </w:rPr>
        <w:t>prezen</w:t>
      </w:r>
      <w:r w:rsidR="00B13B9A" w:rsidRPr="00B13B9A">
        <w:rPr>
          <w:rFonts w:asciiTheme="majorHAnsi" w:eastAsiaTheme="minorHAnsi" w:hAnsiTheme="majorHAnsi" w:cstheme="majorHAnsi"/>
          <w:lang w:val="ro-MD"/>
        </w:rPr>
        <w:t>ț</w:t>
      </w:r>
      <w:r w:rsidR="00EC3F5F" w:rsidRPr="00B13B9A">
        <w:rPr>
          <w:rFonts w:asciiTheme="majorHAnsi" w:eastAsiaTheme="minorHAnsi" w:hAnsiTheme="majorHAnsi" w:cstheme="majorHAnsi"/>
          <w:lang w:val="ro-MD"/>
        </w:rPr>
        <w:t>i</w:t>
      </w:r>
      <w:r w:rsidRPr="00B13B9A">
        <w:rPr>
          <w:rFonts w:asciiTheme="majorHAnsi" w:eastAsiaTheme="minorHAnsi" w:hAnsiTheme="majorHAnsi" w:cstheme="majorHAnsi"/>
          <w:lang w:val="ro-MD"/>
        </w:rPr>
        <w:t xml:space="preserve"> </w:t>
      </w:r>
      <w:r w:rsidR="008C3955" w:rsidRPr="00B13B9A">
        <w:rPr>
          <w:rFonts w:asciiTheme="majorHAnsi" w:eastAsiaTheme="minorHAnsi" w:hAnsiTheme="majorHAnsi" w:cstheme="majorHAnsi"/>
          <w:lang w:val="ro-MD"/>
        </w:rPr>
        <w:t>pentru</w:t>
      </w:r>
      <w:r w:rsidRPr="00B13B9A">
        <w:rPr>
          <w:rFonts w:asciiTheme="majorHAnsi" w:eastAsiaTheme="minorHAnsi" w:hAnsiTheme="majorHAnsi" w:cstheme="majorHAnsi"/>
          <w:lang w:val="ro-MD"/>
        </w:rPr>
        <w:t xml:space="preserve"> alimentare la ora </w:t>
      </w:r>
      <w:r w:rsidR="008C3955" w:rsidRPr="00B13B9A">
        <w:rPr>
          <w:rFonts w:asciiTheme="majorHAnsi" w:eastAsiaTheme="minorHAnsi" w:hAnsiTheme="majorHAnsi" w:cstheme="majorHAnsi"/>
          <w:lang w:val="ro-MD"/>
        </w:rPr>
        <w:t>0</w:t>
      </w:r>
      <w:r w:rsidRPr="00B13B9A">
        <w:rPr>
          <w:rFonts w:asciiTheme="majorHAnsi" w:eastAsiaTheme="minorHAnsi" w:hAnsiTheme="majorHAnsi" w:cstheme="majorHAnsi"/>
          <w:lang w:val="ro-MD"/>
        </w:rPr>
        <w:t>9</w:t>
      </w:r>
      <w:r w:rsidR="008C3955" w:rsidRPr="00B13B9A">
        <w:rPr>
          <w:rFonts w:asciiTheme="majorHAnsi" w:eastAsiaTheme="minorHAnsi" w:hAnsiTheme="majorHAnsi" w:cstheme="majorHAnsi"/>
          <w:lang w:val="ro-MD"/>
        </w:rPr>
        <w:t>.00</w:t>
      </w:r>
      <w:r w:rsidRPr="00B13B9A">
        <w:rPr>
          <w:rFonts w:asciiTheme="majorHAnsi" w:eastAsiaTheme="minorHAnsi" w:hAnsiTheme="majorHAnsi" w:cstheme="majorHAnsi"/>
          <w:lang w:val="ro-MD"/>
        </w:rPr>
        <w:t xml:space="preserve"> a zilei curente</w:t>
      </w:r>
      <w:r w:rsidR="00C31DBB" w:rsidRPr="00B13B9A">
        <w:rPr>
          <w:rFonts w:asciiTheme="majorHAnsi" w:eastAsiaTheme="minorHAnsi" w:hAnsiTheme="majorHAnsi" w:cstheme="majorHAnsi"/>
          <w:lang w:val="ro-MD"/>
        </w:rPr>
        <w:t>,</w:t>
      </w:r>
      <w:r w:rsidRPr="00B13B9A">
        <w:rPr>
          <w:rFonts w:asciiTheme="majorHAnsi" w:eastAsiaTheme="minorHAnsi" w:hAnsiTheme="majorHAnsi" w:cstheme="majorHAnsi"/>
          <w:lang w:val="ro-MD"/>
        </w:rPr>
        <w:t xml:space="preserve"> fa</w:t>
      </w:r>
      <w:r w:rsidR="00B13B9A" w:rsidRPr="00B13B9A">
        <w:rPr>
          <w:rFonts w:asciiTheme="majorHAnsi" w:eastAsiaTheme="minorHAnsi" w:hAnsiTheme="majorHAnsi" w:cstheme="majorHAnsi"/>
          <w:lang w:val="ro-MD"/>
        </w:rPr>
        <w:t>ț</w:t>
      </w:r>
      <w:r w:rsidRPr="00B13B9A">
        <w:rPr>
          <w:rFonts w:asciiTheme="majorHAnsi" w:eastAsiaTheme="minorHAnsi" w:hAnsiTheme="majorHAnsi" w:cstheme="majorHAnsi"/>
          <w:lang w:val="ro-MD"/>
        </w:rPr>
        <w:t xml:space="preserve">ă de numărul de </w:t>
      </w:r>
      <w:r w:rsidR="00EC3F5F" w:rsidRPr="00B13B9A">
        <w:rPr>
          <w:rFonts w:asciiTheme="majorHAnsi" w:eastAsiaTheme="minorHAnsi" w:hAnsiTheme="majorHAnsi" w:cstheme="majorHAnsi"/>
          <w:lang w:val="ro-MD"/>
        </w:rPr>
        <w:t>pacien</w:t>
      </w:r>
      <w:r w:rsidR="00B13B9A" w:rsidRPr="00B13B9A">
        <w:rPr>
          <w:rFonts w:asciiTheme="majorHAnsi" w:eastAsiaTheme="minorHAnsi" w:hAnsiTheme="majorHAnsi" w:cstheme="majorHAnsi"/>
          <w:lang w:val="ro-MD"/>
        </w:rPr>
        <w:t>ț</w:t>
      </w:r>
      <w:r w:rsidR="00EC3F5F" w:rsidRPr="00B13B9A">
        <w:rPr>
          <w:rFonts w:asciiTheme="majorHAnsi" w:eastAsiaTheme="minorHAnsi" w:hAnsiTheme="majorHAnsi" w:cstheme="majorHAnsi"/>
          <w:lang w:val="ro-MD"/>
        </w:rPr>
        <w:t>i</w:t>
      </w:r>
      <w:r w:rsidRPr="00B13B9A">
        <w:rPr>
          <w:rFonts w:asciiTheme="majorHAnsi" w:eastAsiaTheme="minorHAnsi" w:hAnsiTheme="majorHAnsi" w:cstheme="majorHAnsi"/>
          <w:lang w:val="ro-MD"/>
        </w:rPr>
        <w:t xml:space="preserve"> a</w:t>
      </w:r>
      <w:r w:rsidR="008C3955" w:rsidRPr="00B13B9A">
        <w:rPr>
          <w:rFonts w:asciiTheme="majorHAnsi" w:eastAsiaTheme="minorHAnsi" w:hAnsiTheme="majorHAnsi" w:cstheme="majorHAnsi"/>
          <w:lang w:val="ro-MD"/>
        </w:rPr>
        <w:t>i</w:t>
      </w:r>
      <w:r w:rsidRPr="00B13B9A">
        <w:rPr>
          <w:rFonts w:asciiTheme="majorHAnsi" w:eastAsiaTheme="minorHAnsi" w:hAnsiTheme="majorHAnsi" w:cstheme="majorHAnsi"/>
          <w:lang w:val="ro-MD"/>
        </w:rPr>
        <w:t xml:space="preserve"> zilei precedente (</w:t>
      </w:r>
      <w:r w:rsidR="00EC3F5F" w:rsidRPr="00B13B9A">
        <w:rPr>
          <w:rFonts w:asciiTheme="majorHAnsi" w:eastAsiaTheme="minorHAnsi" w:hAnsiTheme="majorHAnsi" w:cstheme="majorHAnsi"/>
          <w:lang w:val="ro-MD"/>
        </w:rPr>
        <w:t>interna</w:t>
      </w:r>
      <w:r w:rsidR="00B13B9A" w:rsidRPr="00B13B9A">
        <w:rPr>
          <w:rFonts w:asciiTheme="majorHAnsi" w:eastAsiaTheme="minorHAnsi" w:hAnsiTheme="majorHAnsi" w:cstheme="majorHAnsi"/>
          <w:lang w:val="ro-MD"/>
        </w:rPr>
        <w:t>ț</w:t>
      </w:r>
      <w:r w:rsidR="00EC3F5F" w:rsidRPr="00B13B9A">
        <w:rPr>
          <w:rFonts w:asciiTheme="majorHAnsi" w:eastAsiaTheme="minorHAnsi" w:hAnsiTheme="majorHAnsi" w:cstheme="majorHAnsi"/>
          <w:lang w:val="ro-MD"/>
        </w:rPr>
        <w:t>i</w:t>
      </w:r>
      <w:r w:rsidRPr="00B13B9A">
        <w:rPr>
          <w:rFonts w:asciiTheme="majorHAnsi" w:eastAsiaTheme="minorHAnsi" w:hAnsiTheme="majorHAnsi" w:cstheme="majorHAnsi"/>
          <w:lang w:val="ro-MD"/>
        </w:rPr>
        <w:t xml:space="preserve"> sau </w:t>
      </w:r>
      <w:r w:rsidR="00EC3F5F" w:rsidRPr="00B13B9A">
        <w:rPr>
          <w:rFonts w:asciiTheme="majorHAnsi" w:eastAsiaTheme="minorHAnsi" w:hAnsiTheme="majorHAnsi" w:cstheme="majorHAnsi"/>
          <w:lang w:val="ro-MD"/>
        </w:rPr>
        <w:t>externa</w:t>
      </w:r>
      <w:r w:rsidR="00B13B9A" w:rsidRPr="00B13B9A">
        <w:rPr>
          <w:rFonts w:asciiTheme="majorHAnsi" w:eastAsiaTheme="minorHAnsi" w:hAnsiTheme="majorHAnsi" w:cstheme="majorHAnsi"/>
          <w:lang w:val="ro-MD"/>
        </w:rPr>
        <w:t>ț</w:t>
      </w:r>
      <w:r w:rsidR="00EC3F5F" w:rsidRPr="00B13B9A">
        <w:rPr>
          <w:rFonts w:asciiTheme="majorHAnsi" w:eastAsiaTheme="minorHAnsi" w:hAnsiTheme="majorHAnsi" w:cstheme="majorHAnsi"/>
          <w:lang w:val="ro-MD"/>
        </w:rPr>
        <w:t>i</w:t>
      </w:r>
      <w:r w:rsidRPr="00B13B9A">
        <w:rPr>
          <w:rFonts w:asciiTheme="majorHAnsi" w:eastAsiaTheme="minorHAnsi" w:hAnsiTheme="majorHAnsi" w:cstheme="majorHAnsi"/>
          <w:lang w:val="ro-MD"/>
        </w:rPr>
        <w:t xml:space="preserve">), asistenta medicală dieteticiană </w:t>
      </w:r>
      <w:r w:rsidR="00EC3F5F" w:rsidRPr="00B13B9A">
        <w:rPr>
          <w:rFonts w:asciiTheme="majorHAnsi" w:eastAsiaTheme="minorHAnsi" w:hAnsiTheme="majorHAnsi" w:cstheme="majorHAnsi"/>
          <w:lang w:val="ro-MD"/>
        </w:rPr>
        <w:t>întocme</w:t>
      </w:r>
      <w:r w:rsidR="00B13B9A" w:rsidRPr="00B13B9A">
        <w:rPr>
          <w:rFonts w:asciiTheme="majorHAnsi" w:eastAsiaTheme="minorHAnsi" w:hAnsiTheme="majorHAnsi" w:cstheme="majorHAnsi"/>
          <w:lang w:val="ro-MD"/>
        </w:rPr>
        <w:t>ș</w:t>
      </w:r>
      <w:r w:rsidR="00EC3F5F" w:rsidRPr="00B13B9A">
        <w:rPr>
          <w:rFonts w:asciiTheme="majorHAnsi" w:eastAsiaTheme="minorHAnsi" w:hAnsiTheme="majorHAnsi" w:cstheme="majorHAnsi"/>
          <w:lang w:val="ro-MD"/>
        </w:rPr>
        <w:t>te</w:t>
      </w:r>
      <w:r w:rsidRPr="00B13B9A">
        <w:rPr>
          <w:rFonts w:asciiTheme="majorHAnsi" w:eastAsiaTheme="minorHAnsi" w:hAnsiTheme="majorHAnsi" w:cstheme="majorHAnsi"/>
          <w:lang w:val="ro-MD"/>
        </w:rPr>
        <w:t xml:space="preserve"> „</w:t>
      </w:r>
      <w:r w:rsidR="00EC3F5F" w:rsidRPr="00B13B9A">
        <w:rPr>
          <w:rFonts w:asciiTheme="majorHAnsi" w:eastAsiaTheme="minorHAnsi" w:hAnsiTheme="majorHAnsi" w:cstheme="majorHAnsi"/>
          <w:lang w:val="ro-MD"/>
        </w:rPr>
        <w:t>corec</w:t>
      </w:r>
      <w:r w:rsidR="00B13B9A" w:rsidRPr="00B13B9A">
        <w:rPr>
          <w:rFonts w:asciiTheme="majorHAnsi" w:eastAsiaTheme="minorHAnsi" w:hAnsiTheme="majorHAnsi" w:cstheme="majorHAnsi"/>
          <w:lang w:val="ro-MD"/>
        </w:rPr>
        <w:t>ț</w:t>
      </w:r>
      <w:r w:rsidR="00EC3F5F" w:rsidRPr="00B13B9A">
        <w:rPr>
          <w:rFonts w:asciiTheme="majorHAnsi" w:eastAsiaTheme="minorHAnsi" w:hAnsiTheme="majorHAnsi" w:cstheme="majorHAnsi"/>
          <w:lang w:val="ro-MD"/>
        </w:rPr>
        <w:t>ia</w:t>
      </w:r>
      <w:r w:rsidRPr="00B13B9A">
        <w:rPr>
          <w:rFonts w:asciiTheme="majorHAnsi" w:eastAsiaTheme="minorHAnsi" w:hAnsiTheme="majorHAnsi" w:cstheme="majorHAnsi"/>
          <w:lang w:val="ro-MD"/>
        </w:rPr>
        <w:t xml:space="preserve">” totală </w:t>
      </w:r>
      <w:r w:rsidR="00B13B9A" w:rsidRPr="00B13B9A">
        <w:rPr>
          <w:rFonts w:asciiTheme="majorHAnsi" w:eastAsiaTheme="minorHAnsi" w:hAnsiTheme="majorHAnsi" w:cstheme="majorHAnsi"/>
          <w:lang w:val="ro-MD"/>
        </w:rPr>
        <w:t>ș</w:t>
      </w:r>
      <w:r w:rsidRPr="00B13B9A">
        <w:rPr>
          <w:rFonts w:asciiTheme="majorHAnsi" w:eastAsiaTheme="minorHAnsi" w:hAnsiTheme="majorHAnsi" w:cstheme="majorHAnsi"/>
          <w:lang w:val="ro-MD"/>
        </w:rPr>
        <w:t xml:space="preserve">i </w:t>
      </w:r>
      <w:r w:rsidR="00EC3F5F" w:rsidRPr="00B13B9A">
        <w:rPr>
          <w:rFonts w:asciiTheme="majorHAnsi" w:eastAsiaTheme="minorHAnsi" w:hAnsiTheme="majorHAnsi" w:cstheme="majorHAnsi"/>
          <w:lang w:val="ro-MD"/>
        </w:rPr>
        <w:t>îndepline</w:t>
      </w:r>
      <w:r w:rsidR="00B13B9A" w:rsidRPr="00B13B9A">
        <w:rPr>
          <w:rFonts w:asciiTheme="majorHAnsi" w:eastAsiaTheme="minorHAnsi" w:hAnsiTheme="majorHAnsi" w:cstheme="majorHAnsi"/>
          <w:lang w:val="ro-MD"/>
        </w:rPr>
        <w:t>ș</w:t>
      </w:r>
      <w:r w:rsidR="00EC3F5F" w:rsidRPr="00B13B9A">
        <w:rPr>
          <w:rFonts w:asciiTheme="majorHAnsi" w:eastAsiaTheme="minorHAnsi" w:hAnsiTheme="majorHAnsi" w:cstheme="majorHAnsi"/>
          <w:lang w:val="ro-MD"/>
        </w:rPr>
        <w:t>te</w:t>
      </w:r>
      <w:r w:rsidRPr="00B13B9A">
        <w:rPr>
          <w:rFonts w:asciiTheme="majorHAnsi" w:eastAsiaTheme="minorHAnsi" w:hAnsiTheme="majorHAnsi" w:cstheme="majorHAnsi"/>
          <w:lang w:val="ro-MD"/>
        </w:rPr>
        <w:t xml:space="preserve"> lista produselor alimentare necesare în plus pentru unele din</w:t>
      </w:r>
      <w:r w:rsidR="008C3955" w:rsidRPr="00B13B9A">
        <w:rPr>
          <w:rFonts w:asciiTheme="majorHAnsi" w:eastAsiaTheme="minorHAnsi" w:hAnsiTheme="majorHAnsi" w:cstheme="majorHAnsi"/>
          <w:lang w:val="ro-MD"/>
        </w:rPr>
        <w:t>tre</w:t>
      </w:r>
      <w:r w:rsidRPr="00B13B9A">
        <w:rPr>
          <w:rFonts w:asciiTheme="majorHAnsi" w:eastAsiaTheme="minorHAnsi" w:hAnsiTheme="majorHAnsi" w:cstheme="majorHAnsi"/>
          <w:lang w:val="ro-MD"/>
        </w:rPr>
        <w:t xml:space="preserve"> dietele mai </w:t>
      </w:r>
      <w:r w:rsidR="008C3955" w:rsidRPr="00B13B9A">
        <w:rPr>
          <w:rFonts w:asciiTheme="majorHAnsi" w:eastAsiaTheme="minorHAnsi" w:hAnsiTheme="majorHAnsi" w:cstheme="majorHAnsi"/>
          <w:lang w:val="ro-MD"/>
        </w:rPr>
        <w:t>solicitate</w:t>
      </w:r>
      <w:r w:rsidRPr="00B13B9A">
        <w:rPr>
          <w:rStyle w:val="a9"/>
          <w:rFonts w:asciiTheme="majorHAnsi" w:eastAsiaTheme="minorHAnsi" w:hAnsiTheme="majorHAnsi" w:cstheme="majorHAnsi"/>
          <w:sz w:val="24"/>
          <w:lang w:val="ro-MD"/>
        </w:rPr>
        <w:footnoteReference w:id="69"/>
      </w:r>
      <w:r w:rsidRPr="00B13B9A">
        <w:rPr>
          <w:rFonts w:asciiTheme="majorHAnsi" w:eastAsiaTheme="minorHAnsi" w:hAnsiTheme="majorHAnsi" w:cstheme="majorHAnsi"/>
          <w:lang w:val="ro-MD"/>
        </w:rPr>
        <w:t xml:space="preserve">, </w:t>
      </w:r>
      <w:r w:rsidR="004A39D7" w:rsidRPr="00B13B9A">
        <w:rPr>
          <w:rFonts w:asciiTheme="majorHAnsi" w:eastAsiaTheme="minorHAnsi" w:hAnsiTheme="majorHAnsi" w:cstheme="majorHAnsi"/>
          <w:lang w:val="ro-MD"/>
        </w:rPr>
        <w:t xml:space="preserve">însă </w:t>
      </w:r>
      <w:r w:rsidRPr="00B13B9A">
        <w:rPr>
          <w:rFonts w:asciiTheme="majorHAnsi" w:eastAsiaTheme="minorHAnsi" w:hAnsiTheme="majorHAnsi" w:cstheme="majorHAnsi"/>
          <w:lang w:val="ro-MD"/>
        </w:rPr>
        <w:t>entitatea nu a asigurat acest proces.</w:t>
      </w:r>
    </w:p>
    <w:p w14:paraId="65F9838F" w14:textId="04345B89" w:rsidR="00B37661" w:rsidRPr="00B13B9A" w:rsidRDefault="00B37661" w:rsidP="00B37661">
      <w:pPr>
        <w:spacing w:line="276" w:lineRule="auto"/>
        <w:jc w:val="both"/>
        <w:rPr>
          <w:rFonts w:asciiTheme="majorHAnsi" w:hAnsiTheme="majorHAnsi" w:cstheme="majorHAnsi"/>
          <w:sz w:val="24"/>
          <w:szCs w:val="24"/>
          <w:lang w:val="ro-MD"/>
        </w:rPr>
      </w:pPr>
      <w:r w:rsidRPr="00B13B9A">
        <w:rPr>
          <w:rFonts w:asciiTheme="majorHAnsi" w:hAnsiTheme="majorHAnsi" w:cstheme="majorHAnsi"/>
          <w:sz w:val="24"/>
          <w:szCs w:val="24"/>
          <w:lang w:val="ro-MD"/>
        </w:rPr>
        <w:t>În consecin</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ă, auditul denotă că</w:t>
      </w:r>
      <w:r w:rsidR="008C3955" w:rsidRPr="00B13B9A">
        <w:rPr>
          <w:rFonts w:asciiTheme="majorHAnsi" w:hAnsiTheme="majorHAnsi" w:cstheme="majorHAnsi"/>
          <w:sz w:val="24"/>
          <w:szCs w:val="24"/>
          <w:lang w:val="ro-MD"/>
        </w:rPr>
        <w:t>,</w:t>
      </w:r>
      <w:r w:rsidRPr="00B13B9A">
        <w:rPr>
          <w:rFonts w:asciiTheme="majorHAnsi" w:hAnsiTheme="majorHAnsi" w:cstheme="majorHAnsi"/>
          <w:sz w:val="24"/>
          <w:szCs w:val="24"/>
          <w:lang w:val="ro-MD"/>
        </w:rPr>
        <w:t xml:space="preserve"> lipsa corelării numărului real de pacien</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i cu necesită</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ile de produse alimentare</w:t>
      </w:r>
      <w:r w:rsidR="008C3955" w:rsidRPr="00B13B9A">
        <w:rPr>
          <w:rFonts w:asciiTheme="majorHAnsi" w:hAnsiTheme="majorHAnsi" w:cstheme="majorHAnsi"/>
          <w:sz w:val="24"/>
          <w:szCs w:val="24"/>
          <w:lang w:val="ro-MD"/>
        </w:rPr>
        <w:t>,</w:t>
      </w:r>
      <w:r w:rsidRPr="00B13B9A">
        <w:rPr>
          <w:rFonts w:asciiTheme="majorHAnsi" w:hAnsiTheme="majorHAnsi" w:cstheme="majorHAnsi"/>
          <w:sz w:val="24"/>
          <w:szCs w:val="24"/>
          <w:lang w:val="ro-MD"/>
        </w:rPr>
        <w:t xml:space="preserve"> generează riscul nerespectării normativelor por</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 xml:space="preserve">iilor distribuite pentru alimentare. </w:t>
      </w:r>
    </w:p>
    <w:p w14:paraId="3038FAF6" w14:textId="141F2442" w:rsidR="00AC490F" w:rsidRPr="00B13B9A" w:rsidRDefault="00B37661" w:rsidP="00AC490F">
      <w:pPr>
        <w:jc w:val="both"/>
        <w:rPr>
          <w:lang w:val="ro-MD"/>
        </w:rPr>
      </w:pPr>
      <w:r w:rsidRPr="00B13B9A">
        <w:rPr>
          <w:rFonts w:asciiTheme="majorHAnsi" w:hAnsiTheme="majorHAnsi" w:cstheme="majorHAnsi"/>
          <w:sz w:val="24"/>
          <w:szCs w:val="24"/>
          <w:lang w:val="ro-MD"/>
        </w:rPr>
        <w:t xml:space="preserve">În </w:t>
      </w:r>
      <w:r w:rsidR="008C3955" w:rsidRPr="00B13B9A">
        <w:rPr>
          <w:rFonts w:asciiTheme="majorHAnsi" w:hAnsiTheme="majorHAnsi" w:cstheme="majorHAnsi"/>
          <w:sz w:val="24"/>
          <w:szCs w:val="24"/>
          <w:lang w:val="ro-MD"/>
        </w:rPr>
        <w:t xml:space="preserve">acest </w:t>
      </w:r>
      <w:r w:rsidRPr="00B13B9A">
        <w:rPr>
          <w:rFonts w:asciiTheme="majorHAnsi" w:hAnsiTheme="majorHAnsi" w:cstheme="majorHAnsi"/>
          <w:sz w:val="24"/>
          <w:szCs w:val="24"/>
          <w:lang w:val="ro-MD"/>
        </w:rPr>
        <w:t>context, auditul concluzionează că</w:t>
      </w:r>
      <w:r w:rsidR="00573465" w:rsidRPr="00B13B9A">
        <w:rPr>
          <w:rFonts w:asciiTheme="majorHAnsi" w:hAnsiTheme="majorHAnsi" w:cstheme="majorHAnsi"/>
          <w:sz w:val="24"/>
          <w:szCs w:val="24"/>
          <w:lang w:val="ro-MD"/>
        </w:rPr>
        <w:t>,</w:t>
      </w:r>
      <w:r w:rsidRPr="00B13B9A">
        <w:rPr>
          <w:rFonts w:asciiTheme="majorHAnsi" w:hAnsiTheme="majorHAnsi" w:cstheme="majorHAnsi"/>
          <w:sz w:val="24"/>
          <w:szCs w:val="24"/>
          <w:lang w:val="ro-MD"/>
        </w:rPr>
        <w:t xml:space="preserve"> în lipsa corelării por</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 xml:space="preserve">iilor de </w:t>
      </w:r>
      <w:r w:rsidR="00EC3F5F" w:rsidRPr="00B13B9A">
        <w:rPr>
          <w:rFonts w:asciiTheme="majorHAnsi" w:hAnsiTheme="majorHAnsi" w:cstheme="majorHAnsi"/>
          <w:sz w:val="24"/>
          <w:szCs w:val="24"/>
          <w:lang w:val="ro-MD"/>
        </w:rPr>
        <w:t>mâncare</w:t>
      </w:r>
      <w:r w:rsidRPr="00B13B9A">
        <w:rPr>
          <w:rFonts w:asciiTheme="majorHAnsi" w:hAnsiTheme="majorHAnsi" w:cstheme="majorHAnsi"/>
          <w:sz w:val="24"/>
          <w:szCs w:val="24"/>
          <w:lang w:val="ro-MD"/>
        </w:rPr>
        <w:t xml:space="preserve"> cu numărul real de pacien</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i interna</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 xml:space="preserve">i, nu se asigură </w:t>
      </w:r>
      <w:r w:rsidR="00573465" w:rsidRPr="00B13B9A">
        <w:rPr>
          <w:rFonts w:asciiTheme="majorHAnsi" w:hAnsiTheme="majorHAnsi" w:cstheme="majorHAnsi"/>
          <w:color w:val="333333"/>
          <w:sz w:val="24"/>
          <w:szCs w:val="24"/>
          <w:shd w:val="clear" w:color="auto" w:fill="FFFFFF"/>
          <w:lang w:val="ro-MD"/>
        </w:rPr>
        <w:t xml:space="preserve">cantitatea </w:t>
      </w:r>
      <w:r w:rsidRPr="00B13B9A">
        <w:rPr>
          <w:rFonts w:asciiTheme="majorHAnsi" w:hAnsiTheme="majorHAnsi" w:cstheme="majorHAnsi"/>
          <w:color w:val="333333"/>
          <w:sz w:val="24"/>
          <w:szCs w:val="24"/>
          <w:shd w:val="clear" w:color="auto" w:fill="FFFFFF"/>
          <w:lang w:val="ro-MD"/>
        </w:rPr>
        <w:t xml:space="preserve">reală a unei </w:t>
      </w:r>
      <w:r w:rsidR="00EC3F5F" w:rsidRPr="00B13B9A">
        <w:rPr>
          <w:rFonts w:asciiTheme="majorHAnsi" w:hAnsiTheme="majorHAnsi" w:cstheme="majorHAnsi"/>
          <w:color w:val="333333"/>
          <w:sz w:val="24"/>
          <w:szCs w:val="24"/>
          <w:shd w:val="clear" w:color="auto" w:fill="FFFFFF"/>
          <w:lang w:val="ro-MD"/>
        </w:rPr>
        <w:t>por</w:t>
      </w:r>
      <w:r w:rsidR="00B13B9A" w:rsidRPr="00B13B9A">
        <w:rPr>
          <w:rFonts w:asciiTheme="majorHAnsi" w:hAnsiTheme="majorHAnsi" w:cstheme="majorHAnsi"/>
          <w:color w:val="333333"/>
          <w:sz w:val="24"/>
          <w:szCs w:val="24"/>
          <w:shd w:val="clear" w:color="auto" w:fill="FFFFFF"/>
          <w:lang w:val="ro-MD"/>
        </w:rPr>
        <w:t>ț</w:t>
      </w:r>
      <w:r w:rsidR="00EC3F5F" w:rsidRPr="00B13B9A">
        <w:rPr>
          <w:rFonts w:asciiTheme="majorHAnsi" w:hAnsiTheme="majorHAnsi" w:cstheme="majorHAnsi"/>
          <w:color w:val="333333"/>
          <w:sz w:val="24"/>
          <w:szCs w:val="24"/>
          <w:shd w:val="clear" w:color="auto" w:fill="FFFFFF"/>
          <w:lang w:val="ro-MD"/>
        </w:rPr>
        <w:t>ii</w:t>
      </w:r>
      <w:r w:rsidRPr="00B13B9A">
        <w:rPr>
          <w:rFonts w:asciiTheme="majorHAnsi" w:hAnsiTheme="majorHAnsi" w:cstheme="majorHAnsi"/>
          <w:color w:val="333333"/>
          <w:sz w:val="24"/>
          <w:szCs w:val="24"/>
          <w:shd w:val="clear" w:color="auto" w:fill="FFFFFF"/>
          <w:lang w:val="ro-MD"/>
        </w:rPr>
        <w:t xml:space="preserve"> pentru bucatele preparate </w:t>
      </w:r>
      <w:r w:rsidR="00573465" w:rsidRPr="00B13B9A">
        <w:rPr>
          <w:rFonts w:asciiTheme="majorHAnsi" w:hAnsiTheme="majorHAnsi" w:cstheme="majorHAnsi"/>
          <w:color w:val="333333"/>
          <w:sz w:val="24"/>
          <w:szCs w:val="24"/>
          <w:shd w:val="clear" w:color="auto" w:fill="FFFFFF"/>
          <w:lang w:val="ro-MD"/>
        </w:rPr>
        <w:t>„în vrac”</w:t>
      </w:r>
      <w:r w:rsidRPr="00B13B9A">
        <w:rPr>
          <w:rFonts w:asciiTheme="majorHAnsi" w:hAnsiTheme="majorHAnsi" w:cstheme="majorHAnsi"/>
          <w:color w:val="333333"/>
          <w:sz w:val="24"/>
          <w:szCs w:val="24"/>
          <w:shd w:val="clear" w:color="auto" w:fill="FFFFFF"/>
          <w:lang w:val="ro-MD"/>
        </w:rPr>
        <w:t xml:space="preserve"> (</w:t>
      </w:r>
      <w:r w:rsidR="00573465" w:rsidRPr="00B13B9A">
        <w:rPr>
          <w:rFonts w:asciiTheme="majorHAnsi" w:hAnsiTheme="majorHAnsi" w:cstheme="majorHAnsi"/>
          <w:color w:val="333333"/>
          <w:sz w:val="24"/>
          <w:szCs w:val="24"/>
          <w:shd w:val="clear" w:color="auto" w:fill="FFFFFF"/>
          <w:lang w:val="ro-MD"/>
        </w:rPr>
        <w:t>supe</w:t>
      </w:r>
      <w:r w:rsidRPr="00B13B9A">
        <w:rPr>
          <w:rFonts w:asciiTheme="majorHAnsi" w:hAnsiTheme="majorHAnsi" w:cstheme="majorHAnsi"/>
          <w:color w:val="333333"/>
          <w:sz w:val="24"/>
          <w:szCs w:val="24"/>
          <w:shd w:val="clear" w:color="auto" w:fill="FFFFFF"/>
          <w:lang w:val="ro-MD"/>
        </w:rPr>
        <w:t>, terci</w:t>
      </w:r>
      <w:r w:rsidR="00573465" w:rsidRPr="00B13B9A">
        <w:rPr>
          <w:rFonts w:asciiTheme="majorHAnsi" w:hAnsiTheme="majorHAnsi" w:cstheme="majorHAnsi"/>
          <w:color w:val="333333"/>
          <w:sz w:val="24"/>
          <w:szCs w:val="24"/>
          <w:shd w:val="clear" w:color="auto" w:fill="FFFFFF"/>
          <w:lang w:val="ro-MD"/>
        </w:rPr>
        <w:t>uri</w:t>
      </w:r>
      <w:r w:rsidRPr="00B13B9A">
        <w:rPr>
          <w:rFonts w:asciiTheme="majorHAnsi" w:hAnsiTheme="majorHAnsi" w:cstheme="majorHAnsi"/>
          <w:color w:val="333333"/>
          <w:sz w:val="24"/>
          <w:szCs w:val="24"/>
          <w:shd w:val="clear" w:color="auto" w:fill="FFFFFF"/>
          <w:lang w:val="ro-MD"/>
        </w:rPr>
        <w:t>, budinc</w:t>
      </w:r>
      <w:r w:rsidR="00573465" w:rsidRPr="00B13B9A">
        <w:rPr>
          <w:rFonts w:asciiTheme="majorHAnsi" w:hAnsiTheme="majorHAnsi" w:cstheme="majorHAnsi"/>
          <w:color w:val="333333"/>
          <w:sz w:val="24"/>
          <w:szCs w:val="24"/>
          <w:shd w:val="clear" w:color="auto" w:fill="FFFFFF"/>
          <w:lang w:val="ro-MD"/>
        </w:rPr>
        <w:t>i</w:t>
      </w:r>
      <w:r w:rsidRPr="00B13B9A">
        <w:rPr>
          <w:rFonts w:asciiTheme="majorHAnsi" w:hAnsiTheme="majorHAnsi" w:cstheme="majorHAnsi"/>
          <w:color w:val="333333"/>
          <w:sz w:val="24"/>
          <w:szCs w:val="24"/>
          <w:shd w:val="clear" w:color="auto" w:fill="FFFFFF"/>
          <w:lang w:val="ro-MD"/>
        </w:rPr>
        <w:t xml:space="preserve"> etc.), </w:t>
      </w:r>
      <w:r w:rsidR="00573465" w:rsidRPr="00B13B9A">
        <w:rPr>
          <w:rFonts w:asciiTheme="majorHAnsi" w:hAnsiTheme="majorHAnsi" w:cstheme="majorHAnsi"/>
          <w:color w:val="333333"/>
          <w:sz w:val="24"/>
          <w:szCs w:val="24"/>
          <w:shd w:val="clear" w:color="auto" w:fill="FFFFFF"/>
          <w:lang w:val="ro-MD"/>
        </w:rPr>
        <w:t>iar</w:t>
      </w:r>
      <w:r w:rsidRPr="00B13B9A">
        <w:rPr>
          <w:rFonts w:asciiTheme="majorHAnsi" w:hAnsiTheme="majorHAnsi" w:cstheme="majorHAnsi"/>
          <w:color w:val="333333"/>
          <w:sz w:val="24"/>
          <w:szCs w:val="24"/>
          <w:shd w:val="clear" w:color="auto" w:fill="FFFFFF"/>
          <w:lang w:val="ro-MD"/>
        </w:rPr>
        <w:t xml:space="preserve"> pentru bucatele por</w:t>
      </w:r>
      <w:r w:rsidR="00B13B9A" w:rsidRPr="00B13B9A">
        <w:rPr>
          <w:rFonts w:asciiTheme="majorHAnsi" w:hAnsiTheme="majorHAnsi" w:cstheme="majorHAnsi"/>
          <w:color w:val="333333"/>
          <w:sz w:val="24"/>
          <w:szCs w:val="24"/>
          <w:shd w:val="clear" w:color="auto" w:fill="FFFFFF"/>
          <w:lang w:val="ro-MD"/>
        </w:rPr>
        <w:t>ț</w:t>
      </w:r>
      <w:r w:rsidRPr="00B13B9A">
        <w:rPr>
          <w:rFonts w:asciiTheme="majorHAnsi" w:hAnsiTheme="majorHAnsi" w:cstheme="majorHAnsi"/>
          <w:color w:val="333333"/>
          <w:sz w:val="24"/>
          <w:szCs w:val="24"/>
          <w:shd w:val="clear" w:color="auto" w:fill="FFFFFF"/>
          <w:lang w:val="ro-MD"/>
        </w:rPr>
        <w:t>ionate (</w:t>
      </w:r>
      <w:r w:rsidR="00EC3F5F" w:rsidRPr="00B13B9A">
        <w:rPr>
          <w:rFonts w:asciiTheme="majorHAnsi" w:hAnsiTheme="majorHAnsi" w:cstheme="majorHAnsi"/>
          <w:color w:val="333333"/>
          <w:sz w:val="24"/>
          <w:szCs w:val="24"/>
          <w:shd w:val="clear" w:color="auto" w:fill="FFFFFF"/>
          <w:lang w:val="ro-MD"/>
        </w:rPr>
        <w:t>pârjoale</w:t>
      </w:r>
      <w:r w:rsidRPr="00B13B9A">
        <w:rPr>
          <w:rFonts w:asciiTheme="majorHAnsi" w:hAnsiTheme="majorHAnsi" w:cstheme="majorHAnsi"/>
          <w:color w:val="333333"/>
          <w:sz w:val="24"/>
          <w:szCs w:val="24"/>
          <w:shd w:val="clear" w:color="auto" w:fill="FFFFFF"/>
          <w:lang w:val="ro-MD"/>
        </w:rPr>
        <w:t xml:space="preserve">, </w:t>
      </w:r>
      <w:r w:rsidR="00B13B9A" w:rsidRPr="00B13B9A">
        <w:rPr>
          <w:rFonts w:asciiTheme="majorHAnsi" w:hAnsiTheme="majorHAnsi" w:cstheme="majorHAnsi"/>
          <w:color w:val="333333"/>
          <w:sz w:val="24"/>
          <w:szCs w:val="24"/>
          <w:shd w:val="clear" w:color="auto" w:fill="FFFFFF"/>
          <w:lang w:val="ro-MD"/>
        </w:rPr>
        <w:t>ș</w:t>
      </w:r>
      <w:r w:rsidR="00573465" w:rsidRPr="00B13B9A">
        <w:rPr>
          <w:rFonts w:asciiTheme="majorHAnsi" w:hAnsiTheme="majorHAnsi" w:cstheme="majorHAnsi"/>
          <w:color w:val="333333"/>
          <w:sz w:val="24"/>
          <w:szCs w:val="24"/>
          <w:shd w:val="clear" w:color="auto" w:fill="FFFFFF"/>
          <w:lang w:val="ro-MD"/>
        </w:rPr>
        <w:t>ni</w:t>
      </w:r>
      <w:r w:rsidR="00B13B9A" w:rsidRPr="00B13B9A">
        <w:rPr>
          <w:rFonts w:asciiTheme="majorHAnsi" w:hAnsiTheme="majorHAnsi" w:cstheme="majorHAnsi"/>
          <w:color w:val="333333"/>
          <w:sz w:val="24"/>
          <w:szCs w:val="24"/>
          <w:shd w:val="clear" w:color="auto" w:fill="FFFFFF"/>
          <w:lang w:val="ro-MD"/>
        </w:rPr>
        <w:t>ț</w:t>
      </w:r>
      <w:r w:rsidR="00573465" w:rsidRPr="00B13B9A">
        <w:rPr>
          <w:rFonts w:asciiTheme="majorHAnsi" w:hAnsiTheme="majorHAnsi" w:cstheme="majorHAnsi"/>
          <w:color w:val="333333"/>
          <w:sz w:val="24"/>
          <w:szCs w:val="24"/>
          <w:shd w:val="clear" w:color="auto" w:fill="FFFFFF"/>
          <w:lang w:val="ro-MD"/>
        </w:rPr>
        <w:t>ele</w:t>
      </w:r>
      <w:r w:rsidRPr="00B13B9A">
        <w:rPr>
          <w:rFonts w:asciiTheme="majorHAnsi" w:hAnsiTheme="majorHAnsi" w:cstheme="majorHAnsi"/>
          <w:color w:val="333333"/>
          <w:sz w:val="24"/>
          <w:szCs w:val="24"/>
          <w:shd w:val="clear" w:color="auto" w:fill="FFFFFF"/>
          <w:lang w:val="ro-MD"/>
        </w:rPr>
        <w:t xml:space="preserve">, </w:t>
      </w:r>
      <w:r w:rsidR="00EC3F5F" w:rsidRPr="00B13B9A">
        <w:rPr>
          <w:rFonts w:asciiTheme="majorHAnsi" w:hAnsiTheme="majorHAnsi" w:cstheme="majorHAnsi"/>
          <w:color w:val="333333"/>
          <w:sz w:val="24"/>
          <w:szCs w:val="24"/>
          <w:shd w:val="clear" w:color="auto" w:fill="FFFFFF"/>
          <w:lang w:val="ro-MD"/>
        </w:rPr>
        <w:t>brânzoaice</w:t>
      </w:r>
      <w:r w:rsidRPr="00B13B9A">
        <w:rPr>
          <w:rFonts w:asciiTheme="majorHAnsi" w:hAnsiTheme="majorHAnsi" w:cstheme="majorHAnsi"/>
          <w:color w:val="333333"/>
          <w:sz w:val="24"/>
          <w:szCs w:val="24"/>
          <w:shd w:val="clear" w:color="auto" w:fill="FFFFFF"/>
          <w:lang w:val="ro-MD"/>
        </w:rPr>
        <w:t xml:space="preserve">, </w:t>
      </w:r>
      <w:r w:rsidR="00EC3F5F" w:rsidRPr="00B13B9A">
        <w:rPr>
          <w:rFonts w:asciiTheme="majorHAnsi" w:hAnsiTheme="majorHAnsi" w:cstheme="majorHAnsi"/>
          <w:color w:val="333333"/>
          <w:sz w:val="24"/>
          <w:szCs w:val="24"/>
          <w:shd w:val="clear" w:color="auto" w:fill="FFFFFF"/>
          <w:lang w:val="ro-MD"/>
        </w:rPr>
        <w:t>chiftelu</w:t>
      </w:r>
      <w:r w:rsidR="00B13B9A" w:rsidRPr="00B13B9A">
        <w:rPr>
          <w:rFonts w:asciiTheme="majorHAnsi" w:hAnsiTheme="majorHAnsi" w:cstheme="majorHAnsi"/>
          <w:color w:val="333333"/>
          <w:sz w:val="24"/>
          <w:szCs w:val="24"/>
          <w:shd w:val="clear" w:color="auto" w:fill="FFFFFF"/>
          <w:lang w:val="ro-MD"/>
        </w:rPr>
        <w:t>ț</w:t>
      </w:r>
      <w:r w:rsidR="00EC3F5F" w:rsidRPr="00B13B9A">
        <w:rPr>
          <w:rFonts w:asciiTheme="majorHAnsi" w:hAnsiTheme="majorHAnsi" w:cstheme="majorHAnsi"/>
          <w:color w:val="333333"/>
          <w:sz w:val="24"/>
          <w:szCs w:val="24"/>
          <w:shd w:val="clear" w:color="auto" w:fill="FFFFFF"/>
          <w:lang w:val="ro-MD"/>
        </w:rPr>
        <w:t>e</w:t>
      </w:r>
      <w:r w:rsidRPr="00B13B9A">
        <w:rPr>
          <w:rFonts w:asciiTheme="majorHAnsi" w:hAnsiTheme="majorHAnsi" w:cstheme="majorHAnsi"/>
          <w:color w:val="333333"/>
          <w:sz w:val="24"/>
          <w:szCs w:val="24"/>
          <w:shd w:val="clear" w:color="auto" w:fill="FFFFFF"/>
          <w:lang w:val="ro-MD"/>
        </w:rPr>
        <w:t xml:space="preserve">, </w:t>
      </w:r>
      <w:r w:rsidR="00EC3F5F" w:rsidRPr="00B13B9A">
        <w:rPr>
          <w:rFonts w:asciiTheme="majorHAnsi" w:hAnsiTheme="majorHAnsi" w:cstheme="majorHAnsi"/>
          <w:color w:val="333333"/>
          <w:sz w:val="24"/>
          <w:szCs w:val="24"/>
          <w:shd w:val="clear" w:color="auto" w:fill="FFFFFF"/>
          <w:lang w:val="ro-MD"/>
        </w:rPr>
        <w:t>pe</w:t>
      </w:r>
      <w:r w:rsidR="00B13B9A" w:rsidRPr="00B13B9A">
        <w:rPr>
          <w:rFonts w:asciiTheme="majorHAnsi" w:hAnsiTheme="majorHAnsi" w:cstheme="majorHAnsi"/>
          <w:color w:val="333333"/>
          <w:sz w:val="24"/>
          <w:szCs w:val="24"/>
          <w:shd w:val="clear" w:color="auto" w:fill="FFFFFF"/>
          <w:lang w:val="ro-MD"/>
        </w:rPr>
        <w:t>ș</w:t>
      </w:r>
      <w:r w:rsidR="00EC3F5F" w:rsidRPr="00B13B9A">
        <w:rPr>
          <w:rFonts w:asciiTheme="majorHAnsi" w:hAnsiTheme="majorHAnsi" w:cstheme="majorHAnsi"/>
          <w:color w:val="333333"/>
          <w:sz w:val="24"/>
          <w:szCs w:val="24"/>
          <w:shd w:val="clear" w:color="auto" w:fill="FFFFFF"/>
          <w:lang w:val="ro-MD"/>
        </w:rPr>
        <w:t>te</w:t>
      </w:r>
      <w:r w:rsidRPr="00B13B9A">
        <w:rPr>
          <w:rFonts w:asciiTheme="majorHAnsi" w:hAnsiTheme="majorHAnsi" w:cstheme="majorHAnsi"/>
          <w:color w:val="333333"/>
          <w:sz w:val="24"/>
          <w:szCs w:val="24"/>
          <w:shd w:val="clear" w:color="auto" w:fill="FFFFFF"/>
          <w:lang w:val="ro-MD"/>
        </w:rPr>
        <w:t xml:space="preserve"> etc.) unii pacien</w:t>
      </w:r>
      <w:r w:rsidR="00B13B9A" w:rsidRPr="00B13B9A">
        <w:rPr>
          <w:rFonts w:asciiTheme="majorHAnsi" w:hAnsiTheme="majorHAnsi" w:cstheme="majorHAnsi"/>
          <w:color w:val="333333"/>
          <w:sz w:val="24"/>
          <w:szCs w:val="24"/>
          <w:shd w:val="clear" w:color="auto" w:fill="FFFFFF"/>
          <w:lang w:val="ro-MD"/>
        </w:rPr>
        <w:t>ț</w:t>
      </w:r>
      <w:r w:rsidRPr="00B13B9A">
        <w:rPr>
          <w:rFonts w:asciiTheme="majorHAnsi" w:hAnsiTheme="majorHAnsi" w:cstheme="majorHAnsi"/>
          <w:color w:val="333333"/>
          <w:sz w:val="24"/>
          <w:szCs w:val="24"/>
          <w:shd w:val="clear" w:color="auto" w:fill="FFFFFF"/>
          <w:lang w:val="ro-MD"/>
        </w:rPr>
        <w:t>i, efectiv</w:t>
      </w:r>
      <w:r w:rsidR="00573465" w:rsidRPr="00B13B9A">
        <w:rPr>
          <w:rFonts w:asciiTheme="majorHAnsi" w:hAnsiTheme="majorHAnsi" w:cstheme="majorHAnsi"/>
          <w:color w:val="333333"/>
          <w:sz w:val="24"/>
          <w:szCs w:val="24"/>
          <w:shd w:val="clear" w:color="auto" w:fill="FFFFFF"/>
          <w:lang w:val="ro-MD"/>
        </w:rPr>
        <w:t>,</w:t>
      </w:r>
      <w:r w:rsidRPr="00B13B9A">
        <w:rPr>
          <w:rFonts w:asciiTheme="majorHAnsi" w:hAnsiTheme="majorHAnsi" w:cstheme="majorHAnsi"/>
          <w:color w:val="333333"/>
          <w:sz w:val="24"/>
          <w:szCs w:val="24"/>
          <w:shd w:val="clear" w:color="auto" w:fill="FFFFFF"/>
          <w:lang w:val="ro-MD"/>
        </w:rPr>
        <w:t xml:space="preserve"> nu le primesc. Precizăm că a</w:t>
      </w:r>
      <w:r w:rsidRPr="00B13B9A">
        <w:rPr>
          <w:rFonts w:asciiTheme="majorHAnsi" w:hAnsiTheme="majorHAnsi" w:cstheme="majorHAnsi"/>
          <w:sz w:val="24"/>
          <w:szCs w:val="24"/>
          <w:lang w:val="ro-MD"/>
        </w:rPr>
        <w:t>limenta</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ia corectă pentru bolnavii de tuberculoză este importantă</w:t>
      </w:r>
      <w:r w:rsidRPr="00B13B9A">
        <w:rPr>
          <w:rFonts w:asciiTheme="majorHAnsi" w:hAnsiTheme="majorHAnsi" w:cstheme="majorHAnsi"/>
          <w:color w:val="333333"/>
          <w:sz w:val="24"/>
          <w:szCs w:val="24"/>
          <w:shd w:val="clear" w:color="auto" w:fill="FFFFFF"/>
          <w:lang w:val="ro-MD"/>
        </w:rPr>
        <w:t>, iar în cazul neasigurării ra</w:t>
      </w:r>
      <w:r w:rsidR="00B13B9A" w:rsidRPr="00B13B9A">
        <w:rPr>
          <w:rFonts w:asciiTheme="majorHAnsi" w:hAnsiTheme="majorHAnsi" w:cstheme="majorHAnsi"/>
          <w:color w:val="333333"/>
          <w:sz w:val="24"/>
          <w:szCs w:val="24"/>
          <w:shd w:val="clear" w:color="auto" w:fill="FFFFFF"/>
          <w:lang w:val="ro-MD"/>
        </w:rPr>
        <w:t>ț</w:t>
      </w:r>
      <w:r w:rsidRPr="00B13B9A">
        <w:rPr>
          <w:rFonts w:asciiTheme="majorHAnsi" w:hAnsiTheme="majorHAnsi" w:cstheme="majorHAnsi"/>
          <w:color w:val="333333"/>
          <w:sz w:val="24"/>
          <w:szCs w:val="24"/>
          <w:shd w:val="clear" w:color="auto" w:fill="FFFFFF"/>
          <w:lang w:val="ro-MD"/>
        </w:rPr>
        <w:t>iei de mâncare, nu se asigură nici cantitatea de proteine recomandată.</w:t>
      </w:r>
      <w:r w:rsidRPr="00B13B9A">
        <w:rPr>
          <w:lang w:val="ro-MD"/>
        </w:rPr>
        <w:t xml:space="preserve"> </w:t>
      </w:r>
    </w:p>
    <w:p w14:paraId="15008C6E" w14:textId="71D5CBE9" w:rsidR="00B37661" w:rsidRPr="00B13B9A" w:rsidRDefault="00AC490F" w:rsidP="00AC490F">
      <w:pPr>
        <w:jc w:val="both"/>
        <w:rPr>
          <w:rFonts w:asciiTheme="majorHAnsi" w:hAnsiTheme="majorHAnsi" w:cstheme="majorHAnsi"/>
          <w:sz w:val="24"/>
          <w:szCs w:val="24"/>
          <w:lang w:val="ro-MD"/>
        </w:rPr>
      </w:pPr>
      <w:r w:rsidRPr="00B13B9A">
        <w:rPr>
          <w:rFonts w:asciiTheme="majorHAnsi" w:hAnsiTheme="majorHAnsi" w:cstheme="majorHAnsi"/>
          <w:color w:val="000000" w:themeColor="text1"/>
          <w:sz w:val="24"/>
          <w:lang w:val="ro-MD"/>
        </w:rPr>
        <w:t>Totodată, e</w:t>
      </w:r>
      <w:r w:rsidR="00B37661" w:rsidRPr="00B13B9A">
        <w:rPr>
          <w:rFonts w:asciiTheme="majorHAnsi" w:hAnsiTheme="majorHAnsi" w:cstheme="majorHAnsi"/>
          <w:color w:val="000000" w:themeColor="text1"/>
          <w:sz w:val="24"/>
          <w:lang w:val="ro-MD"/>
        </w:rPr>
        <w:t>viden</w:t>
      </w:r>
      <w:r w:rsidR="00B13B9A" w:rsidRPr="00B13B9A">
        <w:rPr>
          <w:rFonts w:asciiTheme="majorHAnsi" w:hAnsiTheme="majorHAnsi" w:cstheme="majorHAnsi"/>
          <w:color w:val="000000" w:themeColor="text1"/>
          <w:sz w:val="24"/>
          <w:lang w:val="ro-MD"/>
        </w:rPr>
        <w:t>ț</w:t>
      </w:r>
      <w:r w:rsidR="00B37661" w:rsidRPr="00B13B9A">
        <w:rPr>
          <w:rFonts w:asciiTheme="majorHAnsi" w:hAnsiTheme="majorHAnsi" w:cstheme="majorHAnsi"/>
          <w:color w:val="000000" w:themeColor="text1"/>
          <w:sz w:val="24"/>
          <w:lang w:val="ro-MD"/>
        </w:rPr>
        <w:t xml:space="preserve">a produselor alimentare se efectuează în corespundere cu normele </w:t>
      </w:r>
      <w:r w:rsidR="004A39D7" w:rsidRPr="00B13B9A">
        <w:rPr>
          <w:rFonts w:asciiTheme="majorHAnsi" w:hAnsiTheme="majorHAnsi" w:cstheme="majorHAnsi"/>
          <w:color w:val="000000" w:themeColor="text1"/>
          <w:sz w:val="24"/>
          <w:lang w:val="ro-MD"/>
        </w:rPr>
        <w:t>existente</w:t>
      </w:r>
      <w:r w:rsidR="00860A7C" w:rsidRPr="00B13B9A">
        <w:rPr>
          <w:rFonts w:asciiTheme="majorHAnsi" w:hAnsiTheme="majorHAnsi" w:cstheme="majorHAnsi"/>
          <w:color w:val="000000" w:themeColor="text1"/>
          <w:sz w:val="24"/>
          <w:lang w:val="ro-MD"/>
        </w:rPr>
        <w:t>,</w:t>
      </w:r>
      <w:r w:rsidRPr="00B13B9A">
        <w:rPr>
          <w:rFonts w:asciiTheme="majorHAnsi" w:hAnsiTheme="majorHAnsi" w:cstheme="majorHAnsi"/>
          <w:color w:val="000000" w:themeColor="text1"/>
          <w:sz w:val="24"/>
          <w:lang w:val="ro-MD"/>
        </w:rPr>
        <w:t xml:space="preserve"> e</w:t>
      </w:r>
      <w:r w:rsidR="00B37661" w:rsidRPr="00B13B9A">
        <w:rPr>
          <w:rFonts w:asciiTheme="majorHAnsi" w:hAnsiTheme="majorHAnsi" w:cstheme="majorHAnsi"/>
          <w:sz w:val="24"/>
          <w:szCs w:val="24"/>
          <w:lang w:val="ro-MD"/>
        </w:rPr>
        <w:t>valuările auditului prin efectuarea inventarierilor inopinate au stabilit abateri nesemnificative în aspect cantitativ</w:t>
      </w:r>
      <w:r w:rsidR="00573465" w:rsidRPr="00B13B9A">
        <w:rPr>
          <w:rFonts w:asciiTheme="majorHAnsi" w:hAnsiTheme="majorHAnsi" w:cstheme="majorHAnsi"/>
          <w:sz w:val="24"/>
          <w:szCs w:val="24"/>
          <w:lang w:val="ro-MD"/>
        </w:rPr>
        <w:t>:</w:t>
      </w:r>
      <w:r w:rsidRPr="00B13B9A">
        <w:rPr>
          <w:rFonts w:asciiTheme="majorHAnsi" w:hAnsiTheme="majorHAnsi" w:cstheme="majorHAnsi"/>
          <w:sz w:val="24"/>
          <w:szCs w:val="24"/>
          <w:lang w:val="ro-MD"/>
        </w:rPr>
        <w:t xml:space="preserve"> </w:t>
      </w:r>
      <w:r w:rsidR="00B37661" w:rsidRPr="00B13B9A">
        <w:rPr>
          <w:rFonts w:asciiTheme="majorHAnsi" w:hAnsiTheme="majorHAnsi" w:cstheme="majorHAnsi"/>
          <w:sz w:val="24"/>
          <w:szCs w:val="24"/>
          <w:lang w:val="ro-MD"/>
        </w:rPr>
        <w:t xml:space="preserve">lipsuri (0,2 mii lei) </w:t>
      </w:r>
      <w:r w:rsidR="00B13B9A" w:rsidRPr="00B13B9A">
        <w:rPr>
          <w:rFonts w:asciiTheme="majorHAnsi" w:hAnsiTheme="majorHAnsi" w:cstheme="majorHAnsi"/>
          <w:sz w:val="24"/>
          <w:szCs w:val="24"/>
          <w:lang w:val="ro-MD"/>
        </w:rPr>
        <w:t>ș</w:t>
      </w:r>
      <w:r w:rsidR="00B37661" w:rsidRPr="00B13B9A">
        <w:rPr>
          <w:rFonts w:asciiTheme="majorHAnsi" w:hAnsiTheme="majorHAnsi" w:cstheme="majorHAnsi"/>
          <w:sz w:val="24"/>
          <w:szCs w:val="24"/>
          <w:lang w:val="ro-MD"/>
        </w:rPr>
        <w:t>i surplusuri de p</w:t>
      </w:r>
      <w:r w:rsidRPr="00B13B9A">
        <w:rPr>
          <w:rFonts w:asciiTheme="majorHAnsi" w:hAnsiTheme="majorHAnsi" w:cstheme="majorHAnsi"/>
          <w:sz w:val="24"/>
          <w:szCs w:val="24"/>
          <w:lang w:val="ro-MD"/>
        </w:rPr>
        <w:t>roduse alimentare (0,4 mii lei).</w:t>
      </w:r>
    </w:p>
    <w:p w14:paraId="5118225D" w14:textId="77777777" w:rsidR="00B37661" w:rsidRPr="00B13B9A" w:rsidRDefault="00B37661" w:rsidP="00B37661">
      <w:pPr>
        <w:spacing w:after="0" w:line="276" w:lineRule="auto"/>
        <w:jc w:val="both"/>
        <w:rPr>
          <w:rFonts w:asciiTheme="majorHAnsi" w:hAnsiTheme="majorHAnsi" w:cstheme="majorHAnsi"/>
          <w:sz w:val="24"/>
          <w:szCs w:val="24"/>
          <w:lang w:val="ro-MD"/>
        </w:rPr>
      </w:pPr>
    </w:p>
    <w:p w14:paraId="25EB31CA" w14:textId="3F0519A3" w:rsidR="00B37661" w:rsidRPr="00B13B9A" w:rsidRDefault="00B37661" w:rsidP="00241AB3">
      <w:pPr>
        <w:pStyle w:val="a7"/>
        <w:numPr>
          <w:ilvl w:val="2"/>
          <w:numId w:val="10"/>
        </w:numPr>
        <w:ind w:left="0" w:firstLine="0"/>
        <w:jc w:val="both"/>
        <w:outlineLvl w:val="2"/>
        <w:rPr>
          <w:rFonts w:asciiTheme="majorHAnsi" w:hAnsiTheme="majorHAnsi" w:cstheme="majorHAnsi"/>
          <w:b/>
          <w:color w:val="000000" w:themeColor="text1"/>
          <w:sz w:val="24"/>
          <w:lang w:val="ro-MD"/>
        </w:rPr>
      </w:pPr>
      <w:bookmarkStart w:id="43" w:name="_Toc154562515"/>
      <w:r w:rsidRPr="00B13B9A">
        <w:rPr>
          <w:rFonts w:asciiTheme="majorHAnsi" w:hAnsiTheme="majorHAnsi" w:cstheme="majorHAnsi"/>
          <w:b/>
          <w:color w:val="000000" w:themeColor="text1"/>
          <w:sz w:val="24"/>
          <w:lang w:val="ro-MD"/>
        </w:rPr>
        <w:t>Planificarea necesită</w:t>
      </w:r>
      <w:r w:rsidR="00B13B9A" w:rsidRPr="00B13B9A">
        <w:rPr>
          <w:rFonts w:asciiTheme="majorHAnsi" w:hAnsiTheme="majorHAnsi" w:cstheme="majorHAnsi"/>
          <w:b/>
          <w:color w:val="000000" w:themeColor="text1"/>
          <w:sz w:val="24"/>
          <w:lang w:val="ro-MD"/>
        </w:rPr>
        <w:t>ț</w:t>
      </w:r>
      <w:r w:rsidRPr="00B13B9A">
        <w:rPr>
          <w:rFonts w:asciiTheme="majorHAnsi" w:hAnsiTheme="majorHAnsi" w:cstheme="majorHAnsi"/>
          <w:b/>
          <w:color w:val="000000" w:themeColor="text1"/>
          <w:sz w:val="24"/>
          <w:lang w:val="ro-MD"/>
        </w:rPr>
        <w:t>ilor de produse alimentare nu este bazată pe date reale, ceea ce a dus la achizi</w:t>
      </w:r>
      <w:r w:rsidR="00B13B9A" w:rsidRPr="00B13B9A">
        <w:rPr>
          <w:rFonts w:asciiTheme="majorHAnsi" w:hAnsiTheme="majorHAnsi" w:cstheme="majorHAnsi"/>
          <w:b/>
          <w:color w:val="000000" w:themeColor="text1"/>
          <w:sz w:val="24"/>
          <w:lang w:val="ro-MD"/>
        </w:rPr>
        <w:t>ț</w:t>
      </w:r>
      <w:r w:rsidRPr="00B13B9A">
        <w:rPr>
          <w:rFonts w:asciiTheme="majorHAnsi" w:hAnsiTheme="majorHAnsi" w:cstheme="majorHAnsi"/>
          <w:b/>
          <w:color w:val="000000" w:themeColor="text1"/>
          <w:sz w:val="24"/>
          <w:lang w:val="ro-MD"/>
        </w:rPr>
        <w:t>ionarea produselor alimentare într-un cuantum semnificativ mai mic decât cel planificat.</w:t>
      </w:r>
      <w:bookmarkEnd w:id="43"/>
      <w:r w:rsidRPr="00B13B9A">
        <w:rPr>
          <w:rFonts w:asciiTheme="majorHAnsi" w:hAnsiTheme="majorHAnsi" w:cstheme="majorHAnsi"/>
          <w:b/>
          <w:color w:val="000000" w:themeColor="text1"/>
          <w:sz w:val="24"/>
          <w:lang w:val="ro-MD"/>
        </w:rPr>
        <w:t xml:space="preserve"> </w:t>
      </w:r>
    </w:p>
    <w:p w14:paraId="4AE1CA5B" w14:textId="7D048BB6" w:rsidR="00B37661" w:rsidRPr="00B13B9A" w:rsidRDefault="00B37661" w:rsidP="00B37661">
      <w:pPr>
        <w:spacing w:after="0" w:line="276" w:lineRule="auto"/>
        <w:jc w:val="both"/>
        <w:rPr>
          <w:rFonts w:asciiTheme="majorHAnsi" w:hAnsiTheme="majorHAnsi" w:cstheme="majorHAnsi"/>
          <w:color w:val="333333"/>
          <w:sz w:val="24"/>
          <w:szCs w:val="24"/>
          <w:shd w:val="clear" w:color="auto" w:fill="FFFFFF"/>
          <w:lang w:val="ro-MD"/>
        </w:rPr>
      </w:pPr>
      <w:r w:rsidRPr="00B13B9A">
        <w:rPr>
          <w:rFonts w:asciiTheme="majorHAnsi" w:hAnsiTheme="majorHAnsi" w:cstheme="majorHAnsi"/>
          <w:color w:val="333333"/>
          <w:sz w:val="24"/>
          <w:szCs w:val="24"/>
          <w:shd w:val="clear" w:color="auto" w:fill="FFFFFF"/>
          <w:lang w:val="ro-MD"/>
        </w:rPr>
        <w:t>În cadrul planificării cheltuielilor, pentru procurarea produselor alimentare au fost preconizate următoare</w:t>
      </w:r>
      <w:r w:rsidR="00573465" w:rsidRPr="00B13B9A">
        <w:rPr>
          <w:rFonts w:asciiTheme="majorHAnsi" w:hAnsiTheme="majorHAnsi" w:cstheme="majorHAnsi"/>
          <w:color w:val="333333"/>
          <w:sz w:val="24"/>
          <w:szCs w:val="24"/>
          <w:shd w:val="clear" w:color="auto" w:fill="FFFFFF"/>
          <w:lang w:val="ro-MD"/>
        </w:rPr>
        <w:t>le</w:t>
      </w:r>
      <w:r w:rsidRPr="00B13B9A">
        <w:rPr>
          <w:rFonts w:asciiTheme="majorHAnsi" w:hAnsiTheme="majorHAnsi" w:cstheme="majorHAnsi"/>
          <w:color w:val="333333"/>
          <w:sz w:val="24"/>
          <w:szCs w:val="24"/>
          <w:shd w:val="clear" w:color="auto" w:fill="FFFFFF"/>
          <w:lang w:val="ro-MD"/>
        </w:rPr>
        <w:t xml:space="preserve"> mijloace financiare, redate în tabelul de mai jos</w:t>
      </w:r>
      <w:r w:rsidR="00573465" w:rsidRPr="00B13B9A">
        <w:rPr>
          <w:rFonts w:asciiTheme="majorHAnsi" w:hAnsiTheme="majorHAnsi" w:cstheme="majorHAnsi"/>
          <w:color w:val="333333"/>
          <w:sz w:val="24"/>
          <w:szCs w:val="24"/>
          <w:shd w:val="clear" w:color="auto" w:fill="FFFFFF"/>
          <w:lang w:val="ro-MD"/>
        </w:rPr>
        <w:t>.</w:t>
      </w:r>
      <w:r w:rsidRPr="00B13B9A">
        <w:rPr>
          <w:rFonts w:asciiTheme="majorHAnsi" w:hAnsiTheme="majorHAnsi" w:cstheme="majorHAnsi"/>
          <w:color w:val="333333"/>
          <w:sz w:val="24"/>
          <w:szCs w:val="24"/>
          <w:shd w:val="clear" w:color="auto" w:fill="FFFFFF"/>
          <w:lang w:val="ro-MD"/>
        </w:rPr>
        <w:t xml:space="preserve"> </w:t>
      </w:r>
    </w:p>
    <w:p w14:paraId="1149A993" w14:textId="77777777" w:rsidR="00A477F5" w:rsidRDefault="00A477F5" w:rsidP="00B37661">
      <w:pPr>
        <w:pStyle w:val="a7"/>
        <w:spacing w:after="0" w:line="276" w:lineRule="auto"/>
        <w:ind w:left="5940"/>
        <w:jc w:val="right"/>
        <w:rPr>
          <w:rFonts w:asciiTheme="majorHAnsi" w:hAnsiTheme="majorHAnsi" w:cstheme="majorHAnsi"/>
          <w:b/>
          <w:i/>
          <w:sz w:val="24"/>
          <w:szCs w:val="24"/>
          <w:lang w:val="ro-MD"/>
        </w:rPr>
      </w:pPr>
    </w:p>
    <w:p w14:paraId="727D6005" w14:textId="77777777" w:rsidR="00A477F5" w:rsidRDefault="00A477F5" w:rsidP="00B37661">
      <w:pPr>
        <w:pStyle w:val="a7"/>
        <w:spacing w:after="0" w:line="276" w:lineRule="auto"/>
        <w:ind w:left="5940"/>
        <w:jc w:val="right"/>
        <w:rPr>
          <w:rFonts w:asciiTheme="majorHAnsi" w:hAnsiTheme="majorHAnsi" w:cstheme="majorHAnsi"/>
          <w:b/>
          <w:i/>
          <w:sz w:val="24"/>
          <w:szCs w:val="24"/>
          <w:lang w:val="ro-MD"/>
        </w:rPr>
      </w:pPr>
    </w:p>
    <w:p w14:paraId="7318160B" w14:textId="77777777" w:rsidR="00A477F5" w:rsidRDefault="00A477F5" w:rsidP="00B37661">
      <w:pPr>
        <w:pStyle w:val="a7"/>
        <w:spacing w:after="0" w:line="276" w:lineRule="auto"/>
        <w:ind w:left="5940"/>
        <w:jc w:val="right"/>
        <w:rPr>
          <w:rFonts w:asciiTheme="majorHAnsi" w:hAnsiTheme="majorHAnsi" w:cstheme="majorHAnsi"/>
          <w:b/>
          <w:i/>
          <w:sz w:val="24"/>
          <w:szCs w:val="24"/>
          <w:lang w:val="ro-MD"/>
        </w:rPr>
      </w:pPr>
    </w:p>
    <w:p w14:paraId="3FDDE2C4" w14:textId="77777777" w:rsidR="00A477F5" w:rsidRDefault="00A477F5" w:rsidP="00B37661">
      <w:pPr>
        <w:pStyle w:val="a7"/>
        <w:spacing w:after="0" w:line="276" w:lineRule="auto"/>
        <w:ind w:left="5940"/>
        <w:jc w:val="right"/>
        <w:rPr>
          <w:rFonts w:asciiTheme="majorHAnsi" w:hAnsiTheme="majorHAnsi" w:cstheme="majorHAnsi"/>
          <w:b/>
          <w:i/>
          <w:sz w:val="24"/>
          <w:szCs w:val="24"/>
          <w:lang w:val="ro-MD"/>
        </w:rPr>
      </w:pPr>
    </w:p>
    <w:p w14:paraId="531CD2D5" w14:textId="37046D32" w:rsidR="00B37661" w:rsidRPr="00B13B9A" w:rsidRDefault="00B37661" w:rsidP="00B37661">
      <w:pPr>
        <w:pStyle w:val="a7"/>
        <w:spacing w:after="0" w:line="276" w:lineRule="auto"/>
        <w:ind w:left="5940"/>
        <w:jc w:val="right"/>
        <w:rPr>
          <w:rFonts w:asciiTheme="majorHAnsi" w:hAnsiTheme="majorHAnsi" w:cstheme="majorHAnsi"/>
          <w:b/>
          <w:i/>
          <w:sz w:val="24"/>
          <w:szCs w:val="24"/>
          <w:lang w:val="ro-MD"/>
        </w:rPr>
      </w:pPr>
      <w:r w:rsidRPr="00B13B9A">
        <w:rPr>
          <w:rFonts w:asciiTheme="majorHAnsi" w:hAnsiTheme="majorHAnsi" w:cstheme="majorHAnsi"/>
          <w:b/>
          <w:i/>
          <w:sz w:val="24"/>
          <w:szCs w:val="24"/>
          <w:lang w:val="ro-MD"/>
        </w:rPr>
        <w:t>Tabel nr.</w:t>
      </w:r>
      <w:r w:rsidR="00D37D8A" w:rsidRPr="00B13B9A">
        <w:rPr>
          <w:rFonts w:asciiTheme="majorHAnsi" w:hAnsiTheme="majorHAnsi" w:cstheme="majorHAnsi"/>
          <w:b/>
          <w:i/>
          <w:sz w:val="24"/>
          <w:szCs w:val="24"/>
          <w:lang w:val="ro-MD"/>
        </w:rPr>
        <w:t>3</w:t>
      </w:r>
    </w:p>
    <w:p w14:paraId="5960C510" w14:textId="77EA4F7B" w:rsidR="00B37661" w:rsidRPr="00B13B9A" w:rsidRDefault="00B37661" w:rsidP="00B37661">
      <w:pPr>
        <w:spacing w:after="0" w:line="276" w:lineRule="auto"/>
        <w:jc w:val="center"/>
        <w:rPr>
          <w:rFonts w:asciiTheme="majorHAnsi" w:hAnsiTheme="majorHAnsi" w:cstheme="majorHAnsi"/>
          <w:b/>
          <w:i/>
          <w:sz w:val="24"/>
          <w:szCs w:val="24"/>
          <w:lang w:val="ro-MD"/>
        </w:rPr>
      </w:pPr>
      <w:r w:rsidRPr="00B13B9A">
        <w:rPr>
          <w:rFonts w:asciiTheme="majorHAnsi" w:hAnsiTheme="majorHAnsi" w:cstheme="majorHAnsi"/>
          <w:b/>
          <w:i/>
          <w:sz w:val="24"/>
          <w:szCs w:val="24"/>
          <w:lang w:val="ro-MD"/>
        </w:rPr>
        <w:t>Informa</w:t>
      </w:r>
      <w:r w:rsidR="00B13B9A" w:rsidRPr="00B13B9A">
        <w:rPr>
          <w:rFonts w:asciiTheme="majorHAnsi" w:hAnsiTheme="majorHAnsi" w:cstheme="majorHAnsi"/>
          <w:b/>
          <w:i/>
          <w:sz w:val="24"/>
          <w:szCs w:val="24"/>
          <w:lang w:val="ro-MD"/>
        </w:rPr>
        <w:t>ț</w:t>
      </w:r>
      <w:r w:rsidRPr="00B13B9A">
        <w:rPr>
          <w:rFonts w:asciiTheme="majorHAnsi" w:hAnsiTheme="majorHAnsi" w:cstheme="majorHAnsi"/>
          <w:b/>
          <w:i/>
          <w:sz w:val="24"/>
          <w:szCs w:val="24"/>
          <w:lang w:val="ro-MD"/>
        </w:rPr>
        <w:t>i</w:t>
      </w:r>
      <w:r w:rsidR="00573465" w:rsidRPr="00B13B9A">
        <w:rPr>
          <w:rFonts w:asciiTheme="majorHAnsi" w:hAnsiTheme="majorHAnsi" w:cstheme="majorHAnsi"/>
          <w:b/>
          <w:i/>
          <w:sz w:val="24"/>
          <w:szCs w:val="24"/>
          <w:lang w:val="ro-MD"/>
        </w:rPr>
        <w:t>i</w:t>
      </w:r>
      <w:r w:rsidRPr="00B13B9A">
        <w:rPr>
          <w:rFonts w:asciiTheme="majorHAnsi" w:hAnsiTheme="majorHAnsi" w:cstheme="majorHAnsi"/>
          <w:b/>
          <w:i/>
          <w:sz w:val="24"/>
          <w:szCs w:val="24"/>
          <w:lang w:val="ro-MD"/>
        </w:rPr>
        <w:t xml:space="preserve"> aferent</w:t>
      </w:r>
      <w:r w:rsidR="00573465" w:rsidRPr="00B13B9A">
        <w:rPr>
          <w:rFonts w:asciiTheme="majorHAnsi" w:hAnsiTheme="majorHAnsi" w:cstheme="majorHAnsi"/>
          <w:b/>
          <w:i/>
          <w:sz w:val="24"/>
          <w:szCs w:val="24"/>
          <w:lang w:val="ro-MD"/>
        </w:rPr>
        <w:t>e</w:t>
      </w:r>
      <w:r w:rsidRPr="00B13B9A">
        <w:rPr>
          <w:rFonts w:asciiTheme="majorHAnsi" w:hAnsiTheme="majorHAnsi" w:cstheme="majorHAnsi"/>
          <w:b/>
          <w:i/>
          <w:sz w:val="24"/>
          <w:szCs w:val="24"/>
          <w:lang w:val="ro-MD"/>
        </w:rPr>
        <w:t xml:space="preserve"> cheltuielilor privind procurarea produselor alimentare</w:t>
      </w:r>
      <w:r w:rsidR="00A477F5">
        <w:rPr>
          <w:rFonts w:asciiTheme="majorHAnsi" w:hAnsiTheme="majorHAnsi" w:cstheme="majorHAnsi"/>
          <w:b/>
          <w:i/>
          <w:sz w:val="24"/>
          <w:szCs w:val="24"/>
          <w:lang w:val="ro-MD"/>
        </w:rPr>
        <w:t>, mii lei</w:t>
      </w:r>
    </w:p>
    <w:tbl>
      <w:tblPr>
        <w:tblStyle w:val="a3"/>
        <w:tblW w:w="0" w:type="auto"/>
        <w:tblInd w:w="-5" w:type="dxa"/>
        <w:tblLook w:val="04A0" w:firstRow="1" w:lastRow="0" w:firstColumn="1" w:lastColumn="0" w:noHBand="0" w:noVBand="1"/>
      </w:tblPr>
      <w:tblGrid>
        <w:gridCol w:w="1721"/>
        <w:gridCol w:w="2548"/>
        <w:gridCol w:w="1921"/>
        <w:gridCol w:w="1922"/>
        <w:gridCol w:w="1664"/>
      </w:tblGrid>
      <w:tr w:rsidR="00B37661" w:rsidRPr="00B13B9A" w14:paraId="1B671E1B" w14:textId="77777777" w:rsidTr="00553C24">
        <w:tc>
          <w:tcPr>
            <w:tcW w:w="1721" w:type="dxa"/>
            <w:shd w:val="clear" w:color="auto" w:fill="auto"/>
            <w:vAlign w:val="center"/>
          </w:tcPr>
          <w:p w14:paraId="7074D572" w14:textId="77777777" w:rsidR="00B37661" w:rsidRPr="00B13B9A" w:rsidRDefault="00B37661" w:rsidP="00553C24">
            <w:pPr>
              <w:pStyle w:val="a7"/>
              <w:spacing w:line="276" w:lineRule="auto"/>
              <w:ind w:left="0"/>
              <w:jc w:val="center"/>
              <w:rPr>
                <w:rFonts w:asciiTheme="majorHAnsi" w:hAnsiTheme="majorHAnsi" w:cstheme="majorHAnsi"/>
                <w:b/>
                <w:sz w:val="20"/>
                <w:szCs w:val="20"/>
                <w:lang w:val="ro-MD"/>
              </w:rPr>
            </w:pPr>
            <w:bookmarkStart w:id="44" w:name="_Hlk149299488"/>
            <w:r w:rsidRPr="00B13B9A">
              <w:rPr>
                <w:rFonts w:asciiTheme="majorHAnsi" w:hAnsiTheme="majorHAnsi" w:cstheme="majorHAnsi"/>
                <w:b/>
                <w:sz w:val="20"/>
                <w:szCs w:val="20"/>
                <w:lang w:val="ro-MD"/>
              </w:rPr>
              <w:t>Anul</w:t>
            </w:r>
          </w:p>
        </w:tc>
        <w:tc>
          <w:tcPr>
            <w:tcW w:w="2548" w:type="dxa"/>
            <w:shd w:val="clear" w:color="auto" w:fill="auto"/>
            <w:vAlign w:val="center"/>
          </w:tcPr>
          <w:p w14:paraId="4D2D6010" w14:textId="77777777" w:rsidR="00B37661" w:rsidRPr="00B13B9A" w:rsidRDefault="00B37661" w:rsidP="00553C24">
            <w:pPr>
              <w:pStyle w:val="a7"/>
              <w:spacing w:line="276" w:lineRule="auto"/>
              <w:ind w:left="0"/>
              <w:jc w:val="center"/>
              <w:rPr>
                <w:rFonts w:asciiTheme="majorHAnsi" w:hAnsiTheme="majorHAnsi" w:cstheme="majorHAnsi"/>
                <w:b/>
                <w:sz w:val="20"/>
                <w:szCs w:val="20"/>
                <w:lang w:val="ro-MD"/>
              </w:rPr>
            </w:pPr>
            <w:r w:rsidRPr="00B13B9A">
              <w:rPr>
                <w:rFonts w:asciiTheme="majorHAnsi" w:hAnsiTheme="majorHAnsi" w:cstheme="majorHAnsi"/>
                <w:b/>
                <w:sz w:val="20"/>
                <w:szCs w:val="20"/>
                <w:lang w:val="ro-MD"/>
              </w:rPr>
              <w:t>Cheltuieli planificate</w:t>
            </w:r>
          </w:p>
        </w:tc>
        <w:tc>
          <w:tcPr>
            <w:tcW w:w="1921" w:type="dxa"/>
            <w:shd w:val="clear" w:color="auto" w:fill="auto"/>
            <w:vAlign w:val="center"/>
          </w:tcPr>
          <w:p w14:paraId="60CB2425" w14:textId="77777777" w:rsidR="00B37661" w:rsidRPr="00B13B9A" w:rsidRDefault="00B37661" w:rsidP="00553C24">
            <w:pPr>
              <w:pStyle w:val="a7"/>
              <w:spacing w:line="276" w:lineRule="auto"/>
              <w:ind w:left="0"/>
              <w:jc w:val="center"/>
              <w:rPr>
                <w:rFonts w:asciiTheme="majorHAnsi" w:hAnsiTheme="majorHAnsi" w:cstheme="majorHAnsi"/>
                <w:b/>
                <w:sz w:val="20"/>
                <w:szCs w:val="20"/>
                <w:lang w:val="ro-MD"/>
              </w:rPr>
            </w:pPr>
            <w:r w:rsidRPr="00B13B9A">
              <w:rPr>
                <w:rFonts w:asciiTheme="majorHAnsi" w:hAnsiTheme="majorHAnsi" w:cstheme="majorHAnsi"/>
                <w:b/>
                <w:sz w:val="20"/>
                <w:szCs w:val="20"/>
                <w:lang w:val="ro-MD"/>
              </w:rPr>
              <w:t>Cheltuieli efective</w:t>
            </w:r>
          </w:p>
        </w:tc>
        <w:tc>
          <w:tcPr>
            <w:tcW w:w="1922" w:type="dxa"/>
            <w:shd w:val="clear" w:color="auto" w:fill="auto"/>
            <w:vAlign w:val="center"/>
          </w:tcPr>
          <w:p w14:paraId="6C369394" w14:textId="2A10948A" w:rsidR="00B37661" w:rsidRPr="00B13B9A" w:rsidRDefault="00B37661" w:rsidP="00553C24">
            <w:pPr>
              <w:pStyle w:val="a7"/>
              <w:spacing w:line="276" w:lineRule="auto"/>
              <w:ind w:left="0"/>
              <w:jc w:val="center"/>
              <w:rPr>
                <w:rFonts w:asciiTheme="majorHAnsi" w:hAnsiTheme="majorHAnsi" w:cstheme="majorHAnsi"/>
                <w:b/>
                <w:sz w:val="20"/>
                <w:szCs w:val="20"/>
                <w:lang w:val="ro-MD"/>
              </w:rPr>
            </w:pPr>
            <w:r w:rsidRPr="00B13B9A">
              <w:rPr>
                <w:rFonts w:asciiTheme="majorHAnsi" w:hAnsiTheme="majorHAnsi" w:cstheme="majorHAnsi"/>
                <w:b/>
                <w:sz w:val="20"/>
                <w:szCs w:val="20"/>
                <w:lang w:val="ro-MD"/>
              </w:rPr>
              <w:t>Diferen</w:t>
            </w:r>
            <w:r w:rsidR="00B13B9A" w:rsidRPr="00B13B9A">
              <w:rPr>
                <w:rFonts w:asciiTheme="majorHAnsi" w:hAnsiTheme="majorHAnsi" w:cstheme="majorHAnsi"/>
                <w:b/>
                <w:sz w:val="20"/>
                <w:szCs w:val="20"/>
                <w:lang w:val="ro-MD"/>
              </w:rPr>
              <w:t>ț</w:t>
            </w:r>
            <w:r w:rsidRPr="00B13B9A">
              <w:rPr>
                <w:rFonts w:asciiTheme="majorHAnsi" w:hAnsiTheme="majorHAnsi" w:cstheme="majorHAnsi"/>
                <w:b/>
                <w:sz w:val="20"/>
                <w:szCs w:val="20"/>
                <w:lang w:val="ro-MD"/>
              </w:rPr>
              <w:t>a</w:t>
            </w:r>
          </w:p>
        </w:tc>
        <w:tc>
          <w:tcPr>
            <w:tcW w:w="1664" w:type="dxa"/>
            <w:shd w:val="clear" w:color="auto" w:fill="auto"/>
            <w:vAlign w:val="center"/>
          </w:tcPr>
          <w:p w14:paraId="04C88370" w14:textId="77777777" w:rsidR="00B37661" w:rsidRPr="00B13B9A" w:rsidRDefault="00B37661" w:rsidP="00553C24">
            <w:pPr>
              <w:pStyle w:val="a7"/>
              <w:spacing w:line="276" w:lineRule="auto"/>
              <w:ind w:left="0"/>
              <w:jc w:val="center"/>
              <w:rPr>
                <w:rFonts w:asciiTheme="majorHAnsi" w:hAnsiTheme="majorHAnsi" w:cstheme="majorHAnsi"/>
                <w:b/>
                <w:sz w:val="20"/>
                <w:szCs w:val="20"/>
                <w:lang w:val="ro-MD"/>
              </w:rPr>
            </w:pPr>
            <w:r w:rsidRPr="00B13B9A">
              <w:rPr>
                <w:rFonts w:asciiTheme="majorHAnsi" w:hAnsiTheme="majorHAnsi" w:cstheme="majorHAnsi"/>
                <w:b/>
                <w:sz w:val="20"/>
                <w:szCs w:val="20"/>
                <w:lang w:val="ro-MD"/>
              </w:rPr>
              <w:t>% îndeplinirii planului</w:t>
            </w:r>
          </w:p>
        </w:tc>
      </w:tr>
      <w:tr w:rsidR="00B37661" w:rsidRPr="00B13B9A" w14:paraId="13AA71AF" w14:textId="77777777" w:rsidTr="00553C24">
        <w:tc>
          <w:tcPr>
            <w:tcW w:w="1721" w:type="dxa"/>
            <w:shd w:val="clear" w:color="auto" w:fill="auto"/>
          </w:tcPr>
          <w:p w14:paraId="5DFAB10C" w14:textId="77777777" w:rsidR="00B37661" w:rsidRPr="00B13B9A" w:rsidRDefault="00B37661" w:rsidP="00553C24">
            <w:pPr>
              <w:pStyle w:val="a7"/>
              <w:spacing w:line="276" w:lineRule="auto"/>
              <w:ind w:left="0"/>
              <w:jc w:val="center"/>
              <w:rPr>
                <w:rFonts w:asciiTheme="majorHAnsi" w:hAnsiTheme="majorHAnsi" w:cstheme="majorHAnsi"/>
                <w:sz w:val="20"/>
                <w:szCs w:val="20"/>
                <w:lang w:val="ro-MD"/>
              </w:rPr>
            </w:pPr>
            <w:r w:rsidRPr="00B13B9A">
              <w:rPr>
                <w:rFonts w:asciiTheme="majorHAnsi" w:hAnsiTheme="majorHAnsi" w:cstheme="majorHAnsi"/>
                <w:sz w:val="20"/>
                <w:szCs w:val="20"/>
                <w:lang w:val="ro-MD"/>
              </w:rPr>
              <w:t>2021</w:t>
            </w:r>
          </w:p>
        </w:tc>
        <w:tc>
          <w:tcPr>
            <w:tcW w:w="2548" w:type="dxa"/>
            <w:shd w:val="clear" w:color="auto" w:fill="auto"/>
          </w:tcPr>
          <w:p w14:paraId="7566FEE2" w14:textId="77777777" w:rsidR="00B37661" w:rsidRPr="00B13B9A" w:rsidRDefault="00B37661" w:rsidP="00553C24">
            <w:pPr>
              <w:pStyle w:val="a7"/>
              <w:spacing w:line="276" w:lineRule="auto"/>
              <w:ind w:left="0"/>
              <w:jc w:val="center"/>
              <w:rPr>
                <w:rFonts w:asciiTheme="majorHAnsi" w:hAnsiTheme="majorHAnsi" w:cstheme="majorHAnsi"/>
                <w:sz w:val="20"/>
                <w:szCs w:val="20"/>
                <w:lang w:val="ro-MD"/>
              </w:rPr>
            </w:pPr>
            <w:r w:rsidRPr="00B13B9A">
              <w:rPr>
                <w:rFonts w:asciiTheme="majorHAnsi" w:hAnsiTheme="majorHAnsi" w:cstheme="majorHAnsi"/>
                <w:sz w:val="20"/>
                <w:szCs w:val="20"/>
                <w:lang w:val="ro-MD"/>
              </w:rPr>
              <w:t>5 347,1</w:t>
            </w:r>
          </w:p>
        </w:tc>
        <w:tc>
          <w:tcPr>
            <w:tcW w:w="1921" w:type="dxa"/>
            <w:shd w:val="clear" w:color="auto" w:fill="auto"/>
          </w:tcPr>
          <w:p w14:paraId="0B4D2907" w14:textId="77777777" w:rsidR="00B37661" w:rsidRPr="00B13B9A" w:rsidRDefault="00B37661" w:rsidP="00553C24">
            <w:pPr>
              <w:pStyle w:val="a7"/>
              <w:spacing w:line="276" w:lineRule="auto"/>
              <w:ind w:left="0"/>
              <w:jc w:val="center"/>
              <w:rPr>
                <w:rFonts w:asciiTheme="majorHAnsi" w:hAnsiTheme="majorHAnsi" w:cstheme="majorHAnsi"/>
                <w:sz w:val="20"/>
                <w:szCs w:val="20"/>
                <w:lang w:val="ro-MD"/>
              </w:rPr>
            </w:pPr>
            <w:r w:rsidRPr="00B13B9A">
              <w:rPr>
                <w:rFonts w:asciiTheme="majorHAnsi" w:hAnsiTheme="majorHAnsi" w:cstheme="majorHAnsi"/>
                <w:sz w:val="20"/>
                <w:szCs w:val="20"/>
                <w:lang w:val="ro-MD"/>
              </w:rPr>
              <w:t>3 485,9</w:t>
            </w:r>
          </w:p>
        </w:tc>
        <w:tc>
          <w:tcPr>
            <w:tcW w:w="1922" w:type="dxa"/>
            <w:shd w:val="clear" w:color="auto" w:fill="auto"/>
          </w:tcPr>
          <w:p w14:paraId="2A2BAE03" w14:textId="77777777" w:rsidR="00B37661" w:rsidRPr="00B13B9A" w:rsidRDefault="00B37661" w:rsidP="00553C24">
            <w:pPr>
              <w:pStyle w:val="a7"/>
              <w:spacing w:line="276" w:lineRule="auto"/>
              <w:ind w:left="0"/>
              <w:jc w:val="center"/>
              <w:rPr>
                <w:rFonts w:asciiTheme="majorHAnsi" w:hAnsiTheme="majorHAnsi" w:cstheme="majorHAnsi"/>
                <w:b/>
                <w:sz w:val="20"/>
                <w:szCs w:val="20"/>
                <w:lang w:val="ro-MD"/>
              </w:rPr>
            </w:pPr>
            <w:r w:rsidRPr="00B13B9A">
              <w:rPr>
                <w:rFonts w:asciiTheme="majorHAnsi" w:hAnsiTheme="majorHAnsi" w:cstheme="majorHAnsi"/>
                <w:b/>
                <w:sz w:val="20"/>
                <w:szCs w:val="20"/>
                <w:lang w:val="ro-MD"/>
              </w:rPr>
              <w:t>1 861,2</w:t>
            </w:r>
          </w:p>
        </w:tc>
        <w:tc>
          <w:tcPr>
            <w:tcW w:w="1664" w:type="dxa"/>
            <w:shd w:val="clear" w:color="auto" w:fill="auto"/>
          </w:tcPr>
          <w:p w14:paraId="68BF72F8" w14:textId="77777777" w:rsidR="00B37661" w:rsidRPr="00B13B9A" w:rsidRDefault="00B37661" w:rsidP="00553C24">
            <w:pPr>
              <w:pStyle w:val="a7"/>
              <w:spacing w:line="276" w:lineRule="auto"/>
              <w:ind w:left="0"/>
              <w:jc w:val="center"/>
              <w:rPr>
                <w:rFonts w:asciiTheme="majorHAnsi" w:hAnsiTheme="majorHAnsi" w:cstheme="majorHAnsi"/>
                <w:b/>
                <w:sz w:val="20"/>
                <w:szCs w:val="20"/>
                <w:lang w:val="ro-MD"/>
              </w:rPr>
            </w:pPr>
            <w:r w:rsidRPr="00B13B9A">
              <w:rPr>
                <w:rFonts w:asciiTheme="majorHAnsi" w:hAnsiTheme="majorHAnsi" w:cstheme="majorHAnsi"/>
                <w:b/>
                <w:sz w:val="20"/>
                <w:szCs w:val="20"/>
                <w:lang w:val="ro-MD"/>
              </w:rPr>
              <w:t>65,2</w:t>
            </w:r>
          </w:p>
        </w:tc>
      </w:tr>
      <w:tr w:rsidR="00B37661" w:rsidRPr="00B13B9A" w14:paraId="2C027C4F" w14:textId="77777777" w:rsidTr="00553C24">
        <w:tc>
          <w:tcPr>
            <w:tcW w:w="1721" w:type="dxa"/>
          </w:tcPr>
          <w:p w14:paraId="0CD7F509" w14:textId="77777777" w:rsidR="00B37661" w:rsidRPr="00B13B9A" w:rsidRDefault="00B37661" w:rsidP="00553C24">
            <w:pPr>
              <w:pStyle w:val="a7"/>
              <w:spacing w:line="276" w:lineRule="auto"/>
              <w:ind w:left="0"/>
              <w:jc w:val="center"/>
              <w:rPr>
                <w:rFonts w:asciiTheme="majorHAnsi" w:hAnsiTheme="majorHAnsi" w:cstheme="majorHAnsi"/>
                <w:sz w:val="20"/>
                <w:szCs w:val="20"/>
                <w:lang w:val="ro-MD"/>
              </w:rPr>
            </w:pPr>
            <w:r w:rsidRPr="00B13B9A">
              <w:rPr>
                <w:rFonts w:asciiTheme="majorHAnsi" w:hAnsiTheme="majorHAnsi" w:cstheme="majorHAnsi"/>
                <w:sz w:val="20"/>
                <w:szCs w:val="20"/>
                <w:lang w:val="ro-MD"/>
              </w:rPr>
              <w:t>2022</w:t>
            </w:r>
          </w:p>
        </w:tc>
        <w:tc>
          <w:tcPr>
            <w:tcW w:w="2548" w:type="dxa"/>
          </w:tcPr>
          <w:p w14:paraId="53DFFF0F" w14:textId="77777777" w:rsidR="00B37661" w:rsidRPr="00B13B9A" w:rsidRDefault="00B37661" w:rsidP="00553C24">
            <w:pPr>
              <w:pStyle w:val="a7"/>
              <w:spacing w:line="276" w:lineRule="auto"/>
              <w:ind w:left="0"/>
              <w:jc w:val="center"/>
              <w:rPr>
                <w:rFonts w:asciiTheme="majorHAnsi" w:hAnsiTheme="majorHAnsi" w:cstheme="majorHAnsi"/>
                <w:sz w:val="20"/>
                <w:szCs w:val="20"/>
                <w:lang w:val="ro-MD"/>
              </w:rPr>
            </w:pPr>
            <w:r w:rsidRPr="00B13B9A">
              <w:rPr>
                <w:rFonts w:asciiTheme="majorHAnsi" w:hAnsiTheme="majorHAnsi" w:cstheme="majorHAnsi"/>
                <w:sz w:val="20"/>
                <w:szCs w:val="20"/>
                <w:lang w:val="ro-MD"/>
              </w:rPr>
              <w:t>5 622,5</w:t>
            </w:r>
          </w:p>
        </w:tc>
        <w:tc>
          <w:tcPr>
            <w:tcW w:w="1921" w:type="dxa"/>
          </w:tcPr>
          <w:p w14:paraId="5348C368" w14:textId="77777777" w:rsidR="00B37661" w:rsidRPr="00B13B9A" w:rsidRDefault="00B37661" w:rsidP="00553C24">
            <w:pPr>
              <w:pStyle w:val="a7"/>
              <w:spacing w:line="276" w:lineRule="auto"/>
              <w:ind w:left="0"/>
              <w:jc w:val="center"/>
              <w:rPr>
                <w:rFonts w:asciiTheme="majorHAnsi" w:hAnsiTheme="majorHAnsi" w:cstheme="majorHAnsi"/>
                <w:sz w:val="20"/>
                <w:szCs w:val="20"/>
                <w:lang w:val="ro-MD"/>
              </w:rPr>
            </w:pPr>
            <w:r w:rsidRPr="00B13B9A">
              <w:rPr>
                <w:rFonts w:asciiTheme="majorHAnsi" w:hAnsiTheme="majorHAnsi" w:cstheme="majorHAnsi"/>
                <w:sz w:val="20"/>
                <w:szCs w:val="20"/>
                <w:lang w:val="ro-MD"/>
              </w:rPr>
              <w:t>4 661,7</w:t>
            </w:r>
          </w:p>
        </w:tc>
        <w:tc>
          <w:tcPr>
            <w:tcW w:w="1922" w:type="dxa"/>
          </w:tcPr>
          <w:p w14:paraId="297D4845" w14:textId="77777777" w:rsidR="00B37661" w:rsidRPr="00B13B9A" w:rsidRDefault="00B37661" w:rsidP="00553C24">
            <w:pPr>
              <w:pStyle w:val="a7"/>
              <w:spacing w:line="276" w:lineRule="auto"/>
              <w:ind w:left="0"/>
              <w:jc w:val="center"/>
              <w:rPr>
                <w:rFonts w:asciiTheme="majorHAnsi" w:hAnsiTheme="majorHAnsi" w:cstheme="majorHAnsi"/>
                <w:b/>
                <w:sz w:val="20"/>
                <w:szCs w:val="20"/>
                <w:lang w:val="ro-MD"/>
              </w:rPr>
            </w:pPr>
            <w:r w:rsidRPr="00B13B9A">
              <w:rPr>
                <w:rFonts w:asciiTheme="majorHAnsi" w:hAnsiTheme="majorHAnsi" w:cstheme="majorHAnsi"/>
                <w:b/>
                <w:sz w:val="20"/>
                <w:szCs w:val="20"/>
                <w:lang w:val="ro-MD"/>
              </w:rPr>
              <w:t>960,8</w:t>
            </w:r>
          </w:p>
        </w:tc>
        <w:tc>
          <w:tcPr>
            <w:tcW w:w="1664" w:type="dxa"/>
          </w:tcPr>
          <w:p w14:paraId="464A5097" w14:textId="77777777" w:rsidR="00B37661" w:rsidRPr="00B13B9A" w:rsidRDefault="00B37661" w:rsidP="00553C24">
            <w:pPr>
              <w:pStyle w:val="a7"/>
              <w:spacing w:line="276" w:lineRule="auto"/>
              <w:ind w:left="0"/>
              <w:jc w:val="center"/>
              <w:rPr>
                <w:rFonts w:asciiTheme="majorHAnsi" w:hAnsiTheme="majorHAnsi" w:cstheme="majorHAnsi"/>
                <w:b/>
                <w:sz w:val="20"/>
                <w:szCs w:val="20"/>
                <w:lang w:val="ro-MD"/>
              </w:rPr>
            </w:pPr>
            <w:r w:rsidRPr="00B13B9A">
              <w:rPr>
                <w:rFonts w:asciiTheme="majorHAnsi" w:hAnsiTheme="majorHAnsi" w:cstheme="majorHAnsi"/>
                <w:b/>
                <w:sz w:val="20"/>
                <w:szCs w:val="20"/>
                <w:lang w:val="ro-MD"/>
              </w:rPr>
              <w:t>82,9</w:t>
            </w:r>
          </w:p>
        </w:tc>
      </w:tr>
      <w:tr w:rsidR="00B37661" w:rsidRPr="00B13B9A" w14:paraId="22F96641" w14:textId="77777777" w:rsidTr="00553C24">
        <w:tc>
          <w:tcPr>
            <w:tcW w:w="1721" w:type="dxa"/>
          </w:tcPr>
          <w:p w14:paraId="7667B92A" w14:textId="77777777" w:rsidR="00B37661" w:rsidRPr="00B13B9A" w:rsidRDefault="00B37661" w:rsidP="00553C24">
            <w:pPr>
              <w:pStyle w:val="a7"/>
              <w:spacing w:line="276" w:lineRule="auto"/>
              <w:ind w:left="0"/>
              <w:jc w:val="center"/>
              <w:rPr>
                <w:rFonts w:asciiTheme="majorHAnsi" w:hAnsiTheme="majorHAnsi" w:cstheme="majorHAnsi"/>
                <w:sz w:val="20"/>
                <w:szCs w:val="20"/>
                <w:lang w:val="ro-MD"/>
              </w:rPr>
            </w:pPr>
            <w:r w:rsidRPr="00B13B9A">
              <w:rPr>
                <w:rFonts w:asciiTheme="majorHAnsi" w:hAnsiTheme="majorHAnsi" w:cstheme="majorHAnsi"/>
                <w:sz w:val="20"/>
                <w:szCs w:val="20"/>
                <w:lang w:val="ro-MD"/>
              </w:rPr>
              <w:t>2023</w:t>
            </w:r>
          </w:p>
        </w:tc>
        <w:tc>
          <w:tcPr>
            <w:tcW w:w="2548" w:type="dxa"/>
          </w:tcPr>
          <w:p w14:paraId="043771A1" w14:textId="77777777" w:rsidR="00B37661" w:rsidRPr="00B13B9A" w:rsidRDefault="00B37661" w:rsidP="00553C24">
            <w:pPr>
              <w:pStyle w:val="a7"/>
              <w:spacing w:line="276" w:lineRule="auto"/>
              <w:ind w:left="0"/>
              <w:jc w:val="center"/>
              <w:rPr>
                <w:rFonts w:asciiTheme="majorHAnsi" w:hAnsiTheme="majorHAnsi" w:cstheme="majorHAnsi"/>
                <w:sz w:val="20"/>
                <w:szCs w:val="20"/>
                <w:lang w:val="ro-MD"/>
              </w:rPr>
            </w:pPr>
            <w:r w:rsidRPr="00B13B9A">
              <w:rPr>
                <w:rFonts w:asciiTheme="majorHAnsi" w:hAnsiTheme="majorHAnsi" w:cstheme="majorHAnsi"/>
                <w:sz w:val="20"/>
                <w:szCs w:val="20"/>
                <w:lang w:val="ro-MD"/>
              </w:rPr>
              <w:t>6 657,6</w:t>
            </w:r>
          </w:p>
        </w:tc>
        <w:tc>
          <w:tcPr>
            <w:tcW w:w="1921" w:type="dxa"/>
          </w:tcPr>
          <w:p w14:paraId="5E0EDA38" w14:textId="77777777" w:rsidR="00B37661" w:rsidRPr="00B13B9A" w:rsidRDefault="00F67D49" w:rsidP="00553C24">
            <w:pPr>
              <w:pStyle w:val="a7"/>
              <w:spacing w:line="276" w:lineRule="auto"/>
              <w:ind w:left="0"/>
              <w:jc w:val="center"/>
              <w:rPr>
                <w:rFonts w:asciiTheme="majorHAnsi" w:hAnsiTheme="majorHAnsi" w:cstheme="majorHAnsi"/>
                <w:sz w:val="20"/>
                <w:szCs w:val="20"/>
                <w:lang w:val="ro-MD"/>
              </w:rPr>
            </w:pPr>
            <w:r w:rsidRPr="00B13B9A">
              <w:rPr>
                <w:rFonts w:asciiTheme="majorHAnsi" w:hAnsiTheme="majorHAnsi" w:cstheme="majorHAnsi"/>
                <w:sz w:val="20"/>
                <w:szCs w:val="20"/>
                <w:lang w:val="ro-MD"/>
              </w:rPr>
              <w:t>2 888,7</w:t>
            </w:r>
            <w:r w:rsidRPr="00B13B9A">
              <w:rPr>
                <w:rStyle w:val="a9"/>
                <w:rFonts w:asciiTheme="majorHAnsi" w:hAnsiTheme="majorHAnsi" w:cstheme="majorHAnsi"/>
                <w:szCs w:val="20"/>
                <w:lang w:val="ro-MD"/>
              </w:rPr>
              <w:footnoteReference w:id="70"/>
            </w:r>
          </w:p>
        </w:tc>
        <w:tc>
          <w:tcPr>
            <w:tcW w:w="1922" w:type="dxa"/>
          </w:tcPr>
          <w:p w14:paraId="7AD6810A" w14:textId="77777777" w:rsidR="00B37661" w:rsidRPr="00B13B9A" w:rsidRDefault="00B37661" w:rsidP="00553C24">
            <w:pPr>
              <w:pStyle w:val="a7"/>
              <w:spacing w:line="276" w:lineRule="auto"/>
              <w:ind w:left="0"/>
              <w:jc w:val="center"/>
              <w:rPr>
                <w:rFonts w:asciiTheme="majorHAnsi" w:hAnsiTheme="majorHAnsi" w:cstheme="majorHAnsi"/>
                <w:b/>
                <w:sz w:val="20"/>
                <w:szCs w:val="20"/>
                <w:lang w:val="ro-MD"/>
              </w:rPr>
            </w:pPr>
            <w:r w:rsidRPr="00B13B9A">
              <w:rPr>
                <w:rFonts w:asciiTheme="majorHAnsi" w:hAnsiTheme="majorHAnsi" w:cstheme="majorHAnsi"/>
                <w:b/>
                <w:sz w:val="20"/>
                <w:szCs w:val="20"/>
                <w:lang w:val="ro-MD"/>
              </w:rPr>
              <w:t>x</w:t>
            </w:r>
          </w:p>
        </w:tc>
        <w:tc>
          <w:tcPr>
            <w:tcW w:w="1664" w:type="dxa"/>
          </w:tcPr>
          <w:p w14:paraId="12214FA7" w14:textId="77777777" w:rsidR="00B37661" w:rsidRPr="00B13B9A" w:rsidRDefault="00B37661" w:rsidP="00553C24">
            <w:pPr>
              <w:pStyle w:val="a7"/>
              <w:spacing w:line="276" w:lineRule="auto"/>
              <w:ind w:left="0"/>
              <w:jc w:val="center"/>
              <w:rPr>
                <w:rFonts w:asciiTheme="majorHAnsi" w:hAnsiTheme="majorHAnsi" w:cstheme="majorHAnsi"/>
                <w:b/>
                <w:sz w:val="20"/>
                <w:szCs w:val="20"/>
                <w:lang w:val="ro-MD"/>
              </w:rPr>
            </w:pPr>
            <w:r w:rsidRPr="00B13B9A">
              <w:rPr>
                <w:rFonts w:asciiTheme="majorHAnsi" w:hAnsiTheme="majorHAnsi" w:cstheme="majorHAnsi"/>
                <w:b/>
                <w:sz w:val="20"/>
                <w:szCs w:val="20"/>
                <w:lang w:val="ro-MD"/>
              </w:rPr>
              <w:t>x</w:t>
            </w:r>
          </w:p>
        </w:tc>
      </w:tr>
    </w:tbl>
    <w:bookmarkEnd w:id="44"/>
    <w:p w14:paraId="54D48203" w14:textId="1006A617" w:rsidR="00B37661" w:rsidRPr="00B13B9A" w:rsidRDefault="00B37661" w:rsidP="002A7177">
      <w:pPr>
        <w:pStyle w:val="a7"/>
        <w:spacing w:after="0" w:line="276" w:lineRule="auto"/>
        <w:ind w:left="0"/>
        <w:rPr>
          <w:rFonts w:asciiTheme="majorHAnsi" w:hAnsiTheme="majorHAnsi" w:cstheme="majorHAnsi"/>
          <w:i/>
          <w:sz w:val="20"/>
          <w:szCs w:val="20"/>
          <w:lang w:val="ro-MD"/>
        </w:rPr>
      </w:pPr>
      <w:r w:rsidRPr="00B13B9A">
        <w:rPr>
          <w:rFonts w:asciiTheme="majorHAnsi" w:hAnsiTheme="majorHAnsi" w:cstheme="majorHAnsi"/>
          <w:b/>
          <w:i/>
          <w:sz w:val="20"/>
          <w:szCs w:val="20"/>
          <w:lang w:val="ro-MD"/>
        </w:rPr>
        <w:t>Sursa</w:t>
      </w:r>
      <w:r w:rsidRPr="00B13B9A">
        <w:rPr>
          <w:rFonts w:asciiTheme="majorHAnsi" w:hAnsiTheme="majorHAnsi" w:cstheme="majorHAnsi"/>
          <w:i/>
          <w:sz w:val="20"/>
          <w:szCs w:val="20"/>
          <w:lang w:val="ro-MD"/>
        </w:rPr>
        <w:t>: Datele eviden</w:t>
      </w:r>
      <w:r w:rsidR="00B13B9A" w:rsidRPr="00B13B9A">
        <w:rPr>
          <w:rFonts w:asciiTheme="majorHAnsi" w:hAnsiTheme="majorHAnsi" w:cstheme="majorHAnsi"/>
          <w:i/>
          <w:sz w:val="20"/>
          <w:szCs w:val="20"/>
          <w:lang w:val="ro-MD"/>
        </w:rPr>
        <w:t>ț</w:t>
      </w:r>
      <w:r w:rsidRPr="00B13B9A">
        <w:rPr>
          <w:rFonts w:asciiTheme="majorHAnsi" w:hAnsiTheme="majorHAnsi" w:cstheme="majorHAnsi"/>
          <w:i/>
          <w:sz w:val="20"/>
          <w:szCs w:val="20"/>
          <w:lang w:val="ro-MD"/>
        </w:rPr>
        <w:t xml:space="preserve">ei contabile în cadrul </w:t>
      </w:r>
      <w:r w:rsidR="00F431A2" w:rsidRPr="00B13B9A">
        <w:rPr>
          <w:rFonts w:asciiTheme="majorHAnsi" w:hAnsiTheme="majorHAnsi" w:cstheme="majorHAnsi"/>
          <w:i/>
          <w:color w:val="000000" w:themeColor="text1"/>
          <w:sz w:val="20"/>
          <w:szCs w:val="20"/>
          <w:lang w:val="ro-MD"/>
        </w:rPr>
        <w:t xml:space="preserve">IMSP IFP </w:t>
      </w:r>
      <w:r w:rsidR="00F431A2" w:rsidRPr="00B13B9A">
        <w:rPr>
          <w:rFonts w:asciiTheme="majorHAnsi" w:hAnsiTheme="majorHAnsi" w:cstheme="majorHAnsi"/>
          <w:i/>
          <w:sz w:val="20"/>
          <w:szCs w:val="20"/>
          <w:lang w:val="ro-MD"/>
        </w:rPr>
        <w:t>„Chiril Draganiuc”</w:t>
      </w:r>
      <w:r w:rsidR="004C53A1" w:rsidRPr="00B13B9A">
        <w:rPr>
          <w:rFonts w:asciiTheme="majorHAnsi" w:hAnsiTheme="majorHAnsi" w:cstheme="majorHAnsi"/>
          <w:i/>
          <w:sz w:val="20"/>
          <w:szCs w:val="20"/>
          <w:lang w:val="ro-MD"/>
        </w:rPr>
        <w:t>.</w:t>
      </w:r>
    </w:p>
    <w:p w14:paraId="3E6CDCF6" w14:textId="1055BFEB" w:rsidR="005225D5" w:rsidRPr="00B13B9A" w:rsidRDefault="00B37661" w:rsidP="00B37661">
      <w:pPr>
        <w:jc w:val="both"/>
        <w:rPr>
          <w:rFonts w:asciiTheme="majorHAnsi" w:hAnsiTheme="majorHAnsi" w:cstheme="majorHAnsi"/>
          <w:color w:val="000000" w:themeColor="text1"/>
          <w:sz w:val="24"/>
          <w:lang w:val="ro-MD"/>
        </w:rPr>
      </w:pPr>
      <w:r w:rsidRPr="00B13B9A">
        <w:rPr>
          <w:rFonts w:asciiTheme="majorHAnsi" w:hAnsiTheme="majorHAnsi" w:cstheme="majorHAnsi"/>
          <w:color w:val="000000" w:themeColor="text1"/>
          <w:sz w:val="24"/>
          <w:lang w:val="ro-MD"/>
        </w:rPr>
        <w:t>Divergen</w:t>
      </w:r>
      <w:r w:rsidR="00B13B9A" w:rsidRPr="00B13B9A">
        <w:rPr>
          <w:rFonts w:asciiTheme="majorHAnsi" w:hAnsiTheme="majorHAnsi" w:cstheme="majorHAnsi"/>
          <w:color w:val="000000" w:themeColor="text1"/>
          <w:sz w:val="24"/>
          <w:lang w:val="ro-MD"/>
        </w:rPr>
        <w:t>ț</w:t>
      </w:r>
      <w:r w:rsidRPr="00B13B9A">
        <w:rPr>
          <w:rFonts w:asciiTheme="majorHAnsi" w:hAnsiTheme="majorHAnsi" w:cstheme="majorHAnsi"/>
          <w:color w:val="000000" w:themeColor="text1"/>
          <w:sz w:val="24"/>
          <w:lang w:val="ro-MD"/>
        </w:rPr>
        <w:t xml:space="preserve">ele identificate pentru anul 2021 în sumă de 1 861,2 mii lei </w:t>
      </w:r>
      <w:r w:rsidR="00B13B9A" w:rsidRPr="00B13B9A">
        <w:rPr>
          <w:rFonts w:asciiTheme="majorHAnsi" w:hAnsiTheme="majorHAnsi" w:cstheme="majorHAnsi"/>
          <w:color w:val="000000" w:themeColor="text1"/>
          <w:sz w:val="24"/>
          <w:lang w:val="ro-MD"/>
        </w:rPr>
        <w:t>ș</w:t>
      </w:r>
      <w:r w:rsidRPr="00B13B9A">
        <w:rPr>
          <w:rFonts w:asciiTheme="majorHAnsi" w:hAnsiTheme="majorHAnsi" w:cstheme="majorHAnsi"/>
          <w:color w:val="000000" w:themeColor="text1"/>
          <w:sz w:val="24"/>
          <w:lang w:val="ro-MD"/>
        </w:rPr>
        <w:t>i</w:t>
      </w:r>
      <w:r w:rsidR="004C53A1" w:rsidRPr="00B13B9A">
        <w:rPr>
          <w:rFonts w:asciiTheme="majorHAnsi" w:hAnsiTheme="majorHAnsi" w:cstheme="majorHAnsi"/>
          <w:color w:val="000000" w:themeColor="text1"/>
          <w:sz w:val="24"/>
          <w:lang w:val="ro-MD"/>
        </w:rPr>
        <w:t>,</w:t>
      </w:r>
      <w:r w:rsidRPr="00B13B9A">
        <w:rPr>
          <w:rFonts w:asciiTheme="majorHAnsi" w:hAnsiTheme="majorHAnsi" w:cstheme="majorHAnsi"/>
          <w:color w:val="000000" w:themeColor="text1"/>
          <w:sz w:val="24"/>
          <w:lang w:val="ro-MD"/>
        </w:rPr>
        <w:t xml:space="preserve"> respectiv, pentru anul 2022 în sumă de 960,8 mii lei</w:t>
      </w:r>
      <w:r w:rsidR="004C53A1" w:rsidRPr="00B13B9A">
        <w:rPr>
          <w:rFonts w:asciiTheme="majorHAnsi" w:hAnsiTheme="majorHAnsi" w:cstheme="majorHAnsi"/>
          <w:color w:val="000000" w:themeColor="text1"/>
          <w:sz w:val="24"/>
          <w:lang w:val="ro-MD"/>
        </w:rPr>
        <w:t>,</w:t>
      </w:r>
      <w:r w:rsidRPr="00B13B9A">
        <w:rPr>
          <w:rFonts w:asciiTheme="majorHAnsi" w:hAnsiTheme="majorHAnsi" w:cstheme="majorHAnsi"/>
          <w:color w:val="000000" w:themeColor="text1"/>
          <w:sz w:val="24"/>
          <w:lang w:val="ro-MD"/>
        </w:rPr>
        <w:t xml:space="preserve"> între sumele planificate pentru achizi</w:t>
      </w:r>
      <w:r w:rsidR="00B13B9A" w:rsidRPr="00B13B9A">
        <w:rPr>
          <w:rFonts w:asciiTheme="majorHAnsi" w:hAnsiTheme="majorHAnsi" w:cstheme="majorHAnsi"/>
          <w:color w:val="000000" w:themeColor="text1"/>
          <w:sz w:val="24"/>
          <w:lang w:val="ro-MD"/>
        </w:rPr>
        <w:t>ț</w:t>
      </w:r>
      <w:r w:rsidRPr="00B13B9A">
        <w:rPr>
          <w:rFonts w:asciiTheme="majorHAnsi" w:hAnsiTheme="majorHAnsi" w:cstheme="majorHAnsi"/>
          <w:color w:val="000000" w:themeColor="text1"/>
          <w:sz w:val="24"/>
          <w:lang w:val="ro-MD"/>
        </w:rPr>
        <w:t xml:space="preserve">ionarea produselor alimentare </w:t>
      </w:r>
      <w:r w:rsidR="00B13B9A" w:rsidRPr="00B13B9A">
        <w:rPr>
          <w:rFonts w:asciiTheme="majorHAnsi" w:hAnsiTheme="majorHAnsi" w:cstheme="majorHAnsi"/>
          <w:color w:val="000000" w:themeColor="text1"/>
          <w:sz w:val="24"/>
          <w:lang w:val="ro-MD"/>
        </w:rPr>
        <w:t>ș</w:t>
      </w:r>
      <w:r w:rsidRPr="00B13B9A">
        <w:rPr>
          <w:rFonts w:asciiTheme="majorHAnsi" w:hAnsiTheme="majorHAnsi" w:cstheme="majorHAnsi"/>
          <w:color w:val="000000" w:themeColor="text1"/>
          <w:sz w:val="24"/>
          <w:lang w:val="ro-MD"/>
        </w:rPr>
        <w:t xml:space="preserve">i cheltuielile efective pentru procurarea acestora, denotă o planificare ineficientă a necesarului de produse </w:t>
      </w:r>
      <w:r w:rsidR="004C53A1" w:rsidRPr="00B13B9A">
        <w:rPr>
          <w:rFonts w:asciiTheme="majorHAnsi" w:hAnsiTheme="majorHAnsi" w:cstheme="majorHAnsi"/>
          <w:color w:val="000000" w:themeColor="text1"/>
          <w:sz w:val="24"/>
          <w:lang w:val="ro-MD"/>
        </w:rPr>
        <w:t>pentru</w:t>
      </w:r>
      <w:r w:rsidRPr="00B13B9A">
        <w:rPr>
          <w:rFonts w:asciiTheme="majorHAnsi" w:hAnsiTheme="majorHAnsi" w:cstheme="majorHAnsi"/>
          <w:color w:val="000000" w:themeColor="text1"/>
          <w:sz w:val="24"/>
          <w:lang w:val="ro-MD"/>
        </w:rPr>
        <w:t xml:space="preserve"> alimentarea pacien</w:t>
      </w:r>
      <w:r w:rsidR="00B13B9A" w:rsidRPr="00B13B9A">
        <w:rPr>
          <w:rFonts w:asciiTheme="majorHAnsi" w:hAnsiTheme="majorHAnsi" w:cstheme="majorHAnsi"/>
          <w:color w:val="000000" w:themeColor="text1"/>
          <w:sz w:val="24"/>
          <w:lang w:val="ro-MD"/>
        </w:rPr>
        <w:t>ț</w:t>
      </w:r>
      <w:r w:rsidRPr="00B13B9A">
        <w:rPr>
          <w:rFonts w:asciiTheme="majorHAnsi" w:hAnsiTheme="majorHAnsi" w:cstheme="majorHAnsi"/>
          <w:color w:val="000000" w:themeColor="text1"/>
          <w:sz w:val="24"/>
          <w:lang w:val="ro-MD"/>
        </w:rPr>
        <w:t xml:space="preserve">ilor. </w:t>
      </w:r>
    </w:p>
    <w:p w14:paraId="778C81FB" w14:textId="70782095" w:rsidR="00B37661" w:rsidRPr="00B13B9A" w:rsidRDefault="00B37661" w:rsidP="00B37661">
      <w:pPr>
        <w:jc w:val="both"/>
        <w:rPr>
          <w:rFonts w:asciiTheme="majorHAnsi" w:hAnsiTheme="majorHAnsi" w:cstheme="majorHAnsi"/>
          <w:sz w:val="24"/>
          <w:szCs w:val="24"/>
          <w:lang w:val="ro-MD"/>
        </w:rPr>
      </w:pPr>
      <w:r w:rsidRPr="00B13B9A">
        <w:rPr>
          <w:rFonts w:asciiTheme="majorHAnsi" w:hAnsiTheme="majorHAnsi" w:cstheme="majorHAnsi"/>
          <w:color w:val="000000" w:themeColor="text1"/>
          <w:sz w:val="24"/>
          <w:lang w:val="ro-MD"/>
        </w:rPr>
        <w:t>Astfel, potrivit motiva</w:t>
      </w:r>
      <w:r w:rsidR="00B13B9A" w:rsidRPr="00B13B9A">
        <w:rPr>
          <w:rFonts w:asciiTheme="majorHAnsi" w:hAnsiTheme="majorHAnsi" w:cstheme="majorHAnsi"/>
          <w:color w:val="000000" w:themeColor="text1"/>
          <w:sz w:val="24"/>
          <w:lang w:val="ro-MD"/>
        </w:rPr>
        <w:t>ț</w:t>
      </w:r>
      <w:r w:rsidRPr="00B13B9A">
        <w:rPr>
          <w:rFonts w:asciiTheme="majorHAnsi" w:hAnsiTheme="majorHAnsi" w:cstheme="majorHAnsi"/>
          <w:color w:val="000000" w:themeColor="text1"/>
          <w:sz w:val="24"/>
          <w:lang w:val="ro-MD"/>
        </w:rPr>
        <w:t>iilor entită</w:t>
      </w:r>
      <w:r w:rsidR="00B13B9A" w:rsidRPr="00B13B9A">
        <w:rPr>
          <w:rFonts w:asciiTheme="majorHAnsi" w:hAnsiTheme="majorHAnsi" w:cstheme="majorHAnsi"/>
          <w:color w:val="000000" w:themeColor="text1"/>
          <w:sz w:val="24"/>
          <w:lang w:val="ro-MD"/>
        </w:rPr>
        <w:t>ț</w:t>
      </w:r>
      <w:r w:rsidRPr="00B13B9A">
        <w:rPr>
          <w:rFonts w:asciiTheme="majorHAnsi" w:hAnsiTheme="majorHAnsi" w:cstheme="majorHAnsi"/>
          <w:color w:val="000000" w:themeColor="text1"/>
          <w:sz w:val="24"/>
          <w:lang w:val="ro-MD"/>
        </w:rPr>
        <w:t xml:space="preserve">ii, </w:t>
      </w:r>
      <w:r w:rsidRPr="00B13B9A">
        <w:rPr>
          <w:rFonts w:asciiTheme="majorHAnsi" w:hAnsiTheme="majorHAnsi" w:cstheme="majorHAnsi"/>
          <w:sz w:val="24"/>
          <w:szCs w:val="24"/>
          <w:lang w:val="ro-MD"/>
        </w:rPr>
        <w:t>necesită</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 xml:space="preserve">ile sunt elaborate </w:t>
      </w:r>
      <w:r w:rsidR="005225D5" w:rsidRPr="00B13B9A">
        <w:rPr>
          <w:rFonts w:asciiTheme="majorHAnsi" w:hAnsiTheme="majorHAnsi" w:cstheme="majorHAnsi"/>
          <w:sz w:val="24"/>
          <w:szCs w:val="24"/>
          <w:lang w:val="ro-MD"/>
        </w:rPr>
        <w:t xml:space="preserve">conform </w:t>
      </w:r>
      <w:r w:rsidRPr="00B13B9A">
        <w:rPr>
          <w:rFonts w:asciiTheme="majorHAnsi" w:hAnsiTheme="majorHAnsi" w:cstheme="majorHAnsi"/>
          <w:sz w:val="24"/>
          <w:szCs w:val="24"/>
          <w:lang w:val="ro-MD"/>
        </w:rPr>
        <w:t>numărul</w:t>
      </w:r>
      <w:r w:rsidR="005225D5" w:rsidRPr="00B13B9A">
        <w:rPr>
          <w:rFonts w:asciiTheme="majorHAnsi" w:hAnsiTheme="majorHAnsi" w:cstheme="majorHAnsi"/>
          <w:sz w:val="24"/>
          <w:szCs w:val="24"/>
          <w:lang w:val="ro-MD"/>
        </w:rPr>
        <w:t>ui</w:t>
      </w:r>
      <w:r w:rsidRPr="00B13B9A">
        <w:rPr>
          <w:rFonts w:asciiTheme="majorHAnsi" w:hAnsiTheme="majorHAnsi" w:cstheme="majorHAnsi"/>
          <w:sz w:val="24"/>
          <w:szCs w:val="24"/>
          <w:lang w:val="ro-MD"/>
        </w:rPr>
        <w:t xml:space="preserve"> maxim de paturi existente </w:t>
      </w:r>
      <w:r w:rsidR="005225D5" w:rsidRPr="00B13B9A">
        <w:rPr>
          <w:rFonts w:asciiTheme="majorHAnsi" w:hAnsiTheme="majorHAnsi" w:cstheme="majorHAnsi"/>
          <w:sz w:val="24"/>
          <w:szCs w:val="24"/>
          <w:lang w:val="ro-MD"/>
        </w:rPr>
        <w:t>–</w:t>
      </w:r>
      <w:r w:rsidRPr="00B13B9A">
        <w:rPr>
          <w:rFonts w:asciiTheme="majorHAnsi" w:hAnsiTheme="majorHAnsi" w:cstheme="majorHAnsi"/>
          <w:sz w:val="24"/>
          <w:szCs w:val="24"/>
          <w:lang w:val="ro-MD"/>
        </w:rPr>
        <w:t xml:space="preserve"> 310, inclusiv pentru clinica Vorniceni </w:t>
      </w:r>
      <w:r w:rsidR="005225D5" w:rsidRPr="00B13B9A">
        <w:rPr>
          <w:rFonts w:asciiTheme="majorHAnsi" w:hAnsiTheme="majorHAnsi" w:cstheme="majorHAnsi"/>
          <w:sz w:val="24"/>
          <w:szCs w:val="24"/>
          <w:lang w:val="ro-MD"/>
        </w:rPr>
        <w:t>–</w:t>
      </w:r>
      <w:r w:rsidRPr="00B13B9A">
        <w:rPr>
          <w:rFonts w:asciiTheme="majorHAnsi" w:hAnsiTheme="majorHAnsi" w:cstheme="majorHAnsi"/>
          <w:sz w:val="24"/>
          <w:szCs w:val="24"/>
          <w:lang w:val="ro-MD"/>
        </w:rPr>
        <w:t xml:space="preserve"> 60</w:t>
      </w:r>
      <w:r w:rsidR="005225D5" w:rsidRPr="00B13B9A">
        <w:rPr>
          <w:rFonts w:asciiTheme="majorHAnsi" w:hAnsiTheme="majorHAnsi" w:cstheme="majorHAnsi"/>
          <w:sz w:val="24"/>
          <w:szCs w:val="24"/>
          <w:lang w:val="ro-MD"/>
        </w:rPr>
        <w:t xml:space="preserve"> de</w:t>
      </w:r>
      <w:r w:rsidRPr="00B13B9A">
        <w:rPr>
          <w:rFonts w:asciiTheme="majorHAnsi" w:hAnsiTheme="majorHAnsi" w:cstheme="majorHAnsi"/>
          <w:sz w:val="24"/>
          <w:szCs w:val="24"/>
          <w:lang w:val="ro-MD"/>
        </w:rPr>
        <w:t xml:space="preserve"> paturi</w:t>
      </w:r>
      <w:r w:rsidR="005225D5" w:rsidRPr="00B13B9A">
        <w:rPr>
          <w:rFonts w:asciiTheme="majorHAnsi" w:hAnsiTheme="majorHAnsi" w:cstheme="majorHAnsi"/>
          <w:sz w:val="24"/>
          <w:szCs w:val="24"/>
          <w:lang w:val="ro-MD"/>
        </w:rPr>
        <w:t>,</w:t>
      </w:r>
      <w:r w:rsidRPr="00B13B9A">
        <w:rPr>
          <w:rFonts w:asciiTheme="majorHAnsi" w:hAnsiTheme="majorHAnsi" w:cstheme="majorHAnsi"/>
          <w:sz w:val="24"/>
          <w:szCs w:val="24"/>
          <w:lang w:val="ro-MD"/>
        </w:rPr>
        <w:t xml:space="preserve"> </w:t>
      </w:r>
      <w:r w:rsidR="00B13B9A" w:rsidRPr="00B13B9A">
        <w:rPr>
          <w:rFonts w:asciiTheme="majorHAnsi" w:hAnsiTheme="majorHAnsi" w:cstheme="majorHAnsi"/>
          <w:sz w:val="24"/>
          <w:szCs w:val="24"/>
          <w:lang w:val="ro-MD"/>
        </w:rPr>
        <w:t>ș</w:t>
      </w:r>
      <w:r w:rsidRPr="00B13B9A">
        <w:rPr>
          <w:rFonts w:asciiTheme="majorHAnsi" w:hAnsiTheme="majorHAnsi" w:cstheme="majorHAnsi"/>
          <w:sz w:val="24"/>
          <w:szCs w:val="24"/>
          <w:lang w:val="ro-MD"/>
        </w:rPr>
        <w:t>i clinica Chi</w:t>
      </w:r>
      <w:r w:rsidR="00B13B9A" w:rsidRPr="00B13B9A">
        <w:rPr>
          <w:rFonts w:asciiTheme="majorHAnsi" w:hAnsiTheme="majorHAnsi" w:cstheme="majorHAnsi"/>
          <w:sz w:val="24"/>
          <w:szCs w:val="24"/>
          <w:lang w:val="ro-MD"/>
        </w:rPr>
        <w:t>ș</w:t>
      </w:r>
      <w:r w:rsidRPr="00B13B9A">
        <w:rPr>
          <w:rFonts w:asciiTheme="majorHAnsi" w:hAnsiTheme="majorHAnsi" w:cstheme="majorHAnsi"/>
          <w:sz w:val="24"/>
          <w:szCs w:val="24"/>
          <w:lang w:val="ro-MD"/>
        </w:rPr>
        <w:t xml:space="preserve">inău </w:t>
      </w:r>
      <w:r w:rsidR="005225D5" w:rsidRPr="00B13B9A">
        <w:rPr>
          <w:rFonts w:asciiTheme="majorHAnsi" w:hAnsiTheme="majorHAnsi" w:cstheme="majorHAnsi"/>
          <w:sz w:val="24"/>
          <w:szCs w:val="24"/>
          <w:lang w:val="ro-MD"/>
        </w:rPr>
        <w:t>–</w:t>
      </w:r>
      <w:r w:rsidRPr="00B13B9A">
        <w:rPr>
          <w:rFonts w:asciiTheme="majorHAnsi" w:hAnsiTheme="majorHAnsi" w:cstheme="majorHAnsi"/>
          <w:sz w:val="24"/>
          <w:szCs w:val="24"/>
          <w:lang w:val="ro-MD"/>
        </w:rPr>
        <w:t xml:space="preserve"> 250 </w:t>
      </w:r>
      <w:r w:rsidR="005225D5" w:rsidRPr="00B13B9A">
        <w:rPr>
          <w:rFonts w:asciiTheme="majorHAnsi" w:hAnsiTheme="majorHAnsi" w:cstheme="majorHAnsi"/>
          <w:sz w:val="24"/>
          <w:szCs w:val="24"/>
          <w:lang w:val="ro-MD"/>
        </w:rPr>
        <w:t xml:space="preserve">de </w:t>
      </w:r>
      <w:r w:rsidRPr="00B13B9A">
        <w:rPr>
          <w:rFonts w:asciiTheme="majorHAnsi" w:hAnsiTheme="majorHAnsi" w:cstheme="majorHAnsi"/>
          <w:sz w:val="24"/>
          <w:szCs w:val="24"/>
          <w:lang w:val="ro-MD"/>
        </w:rPr>
        <w:t xml:space="preserve">paturi. </w:t>
      </w:r>
      <w:r w:rsidRPr="00B13B9A">
        <w:rPr>
          <w:rFonts w:asciiTheme="majorHAnsi" w:hAnsiTheme="majorHAnsi" w:cstheme="majorHAnsi"/>
          <w:color w:val="000000" w:themeColor="text1"/>
          <w:sz w:val="24"/>
          <w:lang w:val="ro-MD"/>
        </w:rPr>
        <w:t>Precizăm că numărul mediu de pacien</w:t>
      </w:r>
      <w:r w:rsidR="00B13B9A" w:rsidRPr="00B13B9A">
        <w:rPr>
          <w:rFonts w:asciiTheme="majorHAnsi" w:hAnsiTheme="majorHAnsi" w:cstheme="majorHAnsi"/>
          <w:color w:val="000000" w:themeColor="text1"/>
          <w:sz w:val="24"/>
          <w:lang w:val="ro-MD"/>
        </w:rPr>
        <w:t>ț</w:t>
      </w:r>
      <w:r w:rsidRPr="00B13B9A">
        <w:rPr>
          <w:rFonts w:asciiTheme="majorHAnsi" w:hAnsiTheme="majorHAnsi" w:cstheme="majorHAnsi"/>
          <w:color w:val="000000" w:themeColor="text1"/>
          <w:sz w:val="24"/>
          <w:lang w:val="ro-MD"/>
        </w:rPr>
        <w:t>i interna</w:t>
      </w:r>
      <w:r w:rsidR="00B13B9A" w:rsidRPr="00B13B9A">
        <w:rPr>
          <w:rFonts w:asciiTheme="majorHAnsi" w:hAnsiTheme="majorHAnsi" w:cstheme="majorHAnsi"/>
          <w:color w:val="000000" w:themeColor="text1"/>
          <w:sz w:val="24"/>
          <w:lang w:val="ro-MD"/>
        </w:rPr>
        <w:t>ț</w:t>
      </w:r>
      <w:r w:rsidRPr="00B13B9A">
        <w:rPr>
          <w:rFonts w:asciiTheme="majorHAnsi" w:hAnsiTheme="majorHAnsi" w:cstheme="majorHAnsi"/>
          <w:color w:val="000000" w:themeColor="text1"/>
          <w:sz w:val="24"/>
          <w:lang w:val="ro-MD"/>
        </w:rPr>
        <w:t xml:space="preserve">i pe parcursul anilor 2021-2022 a constituit 232 </w:t>
      </w:r>
      <w:r w:rsidR="005225D5" w:rsidRPr="00B13B9A">
        <w:rPr>
          <w:rFonts w:asciiTheme="majorHAnsi" w:hAnsiTheme="majorHAnsi" w:cstheme="majorHAnsi"/>
          <w:color w:val="000000" w:themeColor="text1"/>
          <w:sz w:val="24"/>
          <w:lang w:val="ro-MD"/>
        </w:rPr>
        <w:t xml:space="preserve">de </w:t>
      </w:r>
      <w:r w:rsidRPr="00B13B9A">
        <w:rPr>
          <w:rFonts w:asciiTheme="majorHAnsi" w:hAnsiTheme="majorHAnsi" w:cstheme="majorHAnsi"/>
          <w:color w:val="000000" w:themeColor="text1"/>
          <w:sz w:val="24"/>
          <w:lang w:val="ro-MD"/>
        </w:rPr>
        <w:t>pacien</w:t>
      </w:r>
      <w:r w:rsidR="00B13B9A" w:rsidRPr="00B13B9A">
        <w:rPr>
          <w:rFonts w:asciiTheme="majorHAnsi" w:hAnsiTheme="majorHAnsi" w:cstheme="majorHAnsi"/>
          <w:color w:val="000000" w:themeColor="text1"/>
          <w:sz w:val="24"/>
          <w:lang w:val="ro-MD"/>
        </w:rPr>
        <w:t>ț</w:t>
      </w:r>
      <w:r w:rsidRPr="00B13B9A">
        <w:rPr>
          <w:rFonts w:asciiTheme="majorHAnsi" w:hAnsiTheme="majorHAnsi" w:cstheme="majorHAnsi"/>
          <w:color w:val="000000" w:themeColor="text1"/>
          <w:sz w:val="24"/>
          <w:lang w:val="ro-MD"/>
        </w:rPr>
        <w:t>i, pentru ambele clinici, iar numărul efectiv de zile/pat s-a diminuat de la 91 975 în anul 2021, până la 89 843 în anul 2022. Totodată, de</w:t>
      </w:r>
      <w:r w:rsidR="00B13B9A" w:rsidRPr="00B13B9A">
        <w:rPr>
          <w:rFonts w:asciiTheme="majorHAnsi" w:hAnsiTheme="majorHAnsi" w:cstheme="majorHAnsi"/>
          <w:color w:val="000000" w:themeColor="text1"/>
          <w:sz w:val="24"/>
          <w:lang w:val="ro-MD"/>
        </w:rPr>
        <w:t>ș</w:t>
      </w:r>
      <w:r w:rsidRPr="00B13B9A">
        <w:rPr>
          <w:rFonts w:asciiTheme="majorHAnsi" w:hAnsiTheme="majorHAnsi" w:cstheme="majorHAnsi"/>
          <w:color w:val="000000" w:themeColor="text1"/>
          <w:sz w:val="24"/>
          <w:lang w:val="ro-MD"/>
        </w:rPr>
        <w:t>i numărul de zile</w:t>
      </w:r>
      <w:r w:rsidR="005225D5" w:rsidRPr="00B13B9A">
        <w:rPr>
          <w:rFonts w:asciiTheme="majorHAnsi" w:hAnsiTheme="majorHAnsi" w:cstheme="majorHAnsi"/>
          <w:color w:val="000000" w:themeColor="text1"/>
          <w:sz w:val="24"/>
          <w:lang w:val="ro-MD"/>
        </w:rPr>
        <w:t>/</w:t>
      </w:r>
      <w:r w:rsidRPr="00B13B9A">
        <w:rPr>
          <w:rFonts w:asciiTheme="majorHAnsi" w:hAnsiTheme="majorHAnsi" w:cstheme="majorHAnsi"/>
          <w:color w:val="000000" w:themeColor="text1"/>
          <w:sz w:val="24"/>
          <w:lang w:val="ro-MD"/>
        </w:rPr>
        <w:t>pat s-a diminuat în anul 2022, coeficientul îndeplinirii planului de achizi</w:t>
      </w:r>
      <w:r w:rsidR="00B13B9A" w:rsidRPr="00B13B9A">
        <w:rPr>
          <w:rFonts w:asciiTheme="majorHAnsi" w:hAnsiTheme="majorHAnsi" w:cstheme="majorHAnsi"/>
          <w:color w:val="000000" w:themeColor="text1"/>
          <w:sz w:val="24"/>
          <w:lang w:val="ro-MD"/>
        </w:rPr>
        <w:t>ț</w:t>
      </w:r>
      <w:r w:rsidRPr="00B13B9A">
        <w:rPr>
          <w:rFonts w:asciiTheme="majorHAnsi" w:hAnsiTheme="majorHAnsi" w:cstheme="majorHAnsi"/>
          <w:color w:val="000000" w:themeColor="text1"/>
          <w:sz w:val="24"/>
          <w:lang w:val="ro-MD"/>
        </w:rPr>
        <w:t>ii a produselor alimentare este mai mic în 2021, ceea ce indică o posibilă planificare majorată. Astfel, prin formarea economiilor pentru alimenta</w:t>
      </w:r>
      <w:r w:rsidR="00B13B9A" w:rsidRPr="00B13B9A">
        <w:rPr>
          <w:rFonts w:asciiTheme="majorHAnsi" w:hAnsiTheme="majorHAnsi" w:cstheme="majorHAnsi"/>
          <w:color w:val="000000" w:themeColor="text1"/>
          <w:sz w:val="24"/>
          <w:lang w:val="ro-MD"/>
        </w:rPr>
        <w:t>ț</w:t>
      </w:r>
      <w:r w:rsidRPr="00B13B9A">
        <w:rPr>
          <w:rFonts w:asciiTheme="majorHAnsi" w:hAnsiTheme="majorHAnsi" w:cstheme="majorHAnsi"/>
          <w:color w:val="000000" w:themeColor="text1"/>
          <w:sz w:val="24"/>
          <w:lang w:val="ro-MD"/>
        </w:rPr>
        <w:t>ie, d</w:t>
      </w:r>
      <w:r w:rsidRPr="00B13B9A">
        <w:rPr>
          <w:rFonts w:asciiTheme="majorHAnsi" w:hAnsiTheme="majorHAnsi" w:cstheme="majorHAnsi"/>
          <w:sz w:val="24"/>
          <w:szCs w:val="24"/>
          <w:lang w:val="ro-MD"/>
        </w:rPr>
        <w:t>iferen</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ele înregistrate sunt direc</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 xml:space="preserve">ionate </w:t>
      </w:r>
      <w:r w:rsidR="005225D5" w:rsidRPr="00B13B9A">
        <w:rPr>
          <w:rFonts w:asciiTheme="majorHAnsi" w:hAnsiTheme="majorHAnsi" w:cstheme="majorHAnsi"/>
          <w:sz w:val="24"/>
          <w:szCs w:val="24"/>
          <w:lang w:val="ro-MD"/>
        </w:rPr>
        <w:t>la</w:t>
      </w:r>
      <w:r w:rsidRPr="00B13B9A">
        <w:rPr>
          <w:rFonts w:asciiTheme="majorHAnsi" w:hAnsiTheme="majorHAnsi" w:cstheme="majorHAnsi"/>
          <w:sz w:val="24"/>
          <w:szCs w:val="24"/>
          <w:lang w:val="ro-MD"/>
        </w:rPr>
        <w:t xml:space="preserve"> acoperirea altor necesită</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i în activi</w:t>
      </w:r>
      <w:r w:rsidR="00F67D49" w:rsidRPr="00B13B9A">
        <w:rPr>
          <w:rFonts w:asciiTheme="majorHAnsi" w:hAnsiTheme="majorHAnsi" w:cstheme="majorHAnsi"/>
          <w:sz w:val="24"/>
          <w:szCs w:val="24"/>
          <w:lang w:val="ro-MD"/>
        </w:rPr>
        <w:t>tatea institu</w:t>
      </w:r>
      <w:r w:rsidR="00B13B9A" w:rsidRPr="00B13B9A">
        <w:rPr>
          <w:rFonts w:asciiTheme="majorHAnsi" w:hAnsiTheme="majorHAnsi" w:cstheme="majorHAnsi"/>
          <w:sz w:val="24"/>
          <w:szCs w:val="24"/>
          <w:lang w:val="ro-MD"/>
        </w:rPr>
        <w:t>ț</w:t>
      </w:r>
      <w:r w:rsidR="00F67D49" w:rsidRPr="00B13B9A">
        <w:rPr>
          <w:rFonts w:asciiTheme="majorHAnsi" w:hAnsiTheme="majorHAnsi" w:cstheme="majorHAnsi"/>
          <w:sz w:val="24"/>
          <w:szCs w:val="24"/>
          <w:lang w:val="ro-MD"/>
        </w:rPr>
        <w:t>iei, fapt motivat</w:t>
      </w:r>
      <w:r w:rsidRPr="00B13B9A">
        <w:rPr>
          <w:rFonts w:asciiTheme="majorHAnsi" w:hAnsiTheme="majorHAnsi" w:cstheme="majorHAnsi"/>
          <w:sz w:val="24"/>
          <w:szCs w:val="24"/>
          <w:lang w:val="ro-MD"/>
        </w:rPr>
        <w:t xml:space="preserve"> de entitate.</w:t>
      </w:r>
    </w:p>
    <w:p w14:paraId="646372AB" w14:textId="133B73EC" w:rsidR="00E713CB" w:rsidRPr="00B13B9A" w:rsidRDefault="00E713CB" w:rsidP="001E775F">
      <w:pPr>
        <w:pStyle w:val="cn"/>
        <w:numPr>
          <w:ilvl w:val="2"/>
          <w:numId w:val="10"/>
        </w:numPr>
        <w:spacing w:line="276" w:lineRule="auto"/>
        <w:ind w:left="0" w:right="71" w:firstLine="0"/>
        <w:jc w:val="both"/>
        <w:outlineLvl w:val="2"/>
        <w:rPr>
          <w:rFonts w:asciiTheme="majorHAnsi" w:eastAsiaTheme="minorHAnsi" w:hAnsiTheme="majorHAnsi" w:cstheme="minorHAnsi"/>
          <w:b/>
          <w:lang w:val="ro-MD" w:eastAsia="en-US"/>
        </w:rPr>
      </w:pPr>
      <w:bookmarkStart w:id="45" w:name="_Toc154562516"/>
      <w:r w:rsidRPr="00B13B9A">
        <w:rPr>
          <w:rFonts w:asciiTheme="majorHAnsi" w:eastAsiaTheme="minorHAnsi" w:hAnsiTheme="majorHAnsi" w:cstheme="minorHAnsi"/>
          <w:b/>
          <w:lang w:val="ro-MD" w:eastAsia="en-US"/>
        </w:rPr>
        <w:t>Valoarea bunurilor primite cu titlul gratuit este mai mică decât valoarea veniturilor anticipate aferente acestora, ceea ce indică subevaluarea veniturilor curente din dona</w:t>
      </w:r>
      <w:r w:rsidR="00B13B9A" w:rsidRPr="00B13B9A">
        <w:rPr>
          <w:rFonts w:asciiTheme="majorHAnsi" w:eastAsiaTheme="minorHAnsi" w:hAnsiTheme="majorHAnsi" w:cstheme="minorHAnsi"/>
          <w:b/>
          <w:lang w:val="ro-MD" w:eastAsia="en-US"/>
        </w:rPr>
        <w:t>ț</w:t>
      </w:r>
      <w:r w:rsidRPr="00B13B9A">
        <w:rPr>
          <w:rFonts w:asciiTheme="majorHAnsi" w:eastAsiaTheme="minorHAnsi" w:hAnsiTheme="majorHAnsi" w:cstheme="minorHAnsi"/>
          <w:b/>
          <w:lang w:val="ro-MD" w:eastAsia="en-US"/>
        </w:rPr>
        <w:t>ii în perioadele precedente anului 2023</w:t>
      </w:r>
      <w:r w:rsidR="005225D5" w:rsidRPr="00B13B9A">
        <w:rPr>
          <w:rFonts w:asciiTheme="majorHAnsi" w:eastAsiaTheme="minorHAnsi" w:hAnsiTheme="majorHAnsi" w:cstheme="minorHAnsi"/>
          <w:b/>
          <w:lang w:val="ro-MD" w:eastAsia="en-US"/>
        </w:rPr>
        <w:t>.</w:t>
      </w:r>
      <w:bookmarkEnd w:id="45"/>
    </w:p>
    <w:p w14:paraId="5632E6F5" w14:textId="6A6B7086" w:rsidR="00E713CB" w:rsidRPr="00B13B9A" w:rsidRDefault="00F431A2" w:rsidP="00E713CB">
      <w:pPr>
        <w:pStyle w:val="cn"/>
        <w:spacing w:line="276" w:lineRule="auto"/>
        <w:ind w:right="71"/>
        <w:jc w:val="both"/>
        <w:rPr>
          <w:rFonts w:asciiTheme="majorHAnsi" w:eastAsiaTheme="minorHAnsi" w:hAnsiTheme="majorHAnsi" w:cstheme="minorHAnsi"/>
          <w:lang w:val="ro-MD" w:eastAsia="en-US"/>
        </w:rPr>
      </w:pPr>
      <w:r w:rsidRPr="00B13B9A">
        <w:rPr>
          <w:rFonts w:asciiTheme="majorHAnsi" w:hAnsiTheme="majorHAnsi" w:cstheme="majorHAnsi"/>
          <w:color w:val="000000" w:themeColor="text1"/>
          <w:lang w:val="ro-MD"/>
        </w:rPr>
        <w:t xml:space="preserve">IMSP IFP </w:t>
      </w:r>
      <w:r w:rsidRPr="00B13B9A">
        <w:rPr>
          <w:rFonts w:asciiTheme="majorHAnsi" w:hAnsiTheme="majorHAnsi" w:cstheme="majorHAnsi"/>
          <w:lang w:val="ro-MD"/>
        </w:rPr>
        <w:t>„Chiril Draganiuc”</w:t>
      </w:r>
      <w:r w:rsidR="00E713CB" w:rsidRPr="00B13B9A">
        <w:rPr>
          <w:rFonts w:asciiTheme="majorHAnsi" w:eastAsiaTheme="minorHAnsi" w:hAnsiTheme="majorHAnsi" w:cstheme="minorHAnsi"/>
          <w:lang w:val="ro-MD" w:eastAsia="en-US"/>
        </w:rPr>
        <w:t xml:space="preserve"> beneficiază cu titlul gratuit de asisten</w:t>
      </w:r>
      <w:r w:rsidR="00B13B9A" w:rsidRPr="00B13B9A">
        <w:rPr>
          <w:rFonts w:asciiTheme="majorHAnsi" w:eastAsiaTheme="minorHAnsi" w:hAnsiTheme="majorHAnsi" w:cstheme="minorHAnsi"/>
          <w:lang w:val="ro-MD" w:eastAsia="en-US"/>
        </w:rPr>
        <w:t>ț</w:t>
      </w:r>
      <w:r w:rsidR="00E713CB" w:rsidRPr="00B13B9A">
        <w:rPr>
          <w:rFonts w:asciiTheme="majorHAnsi" w:eastAsiaTheme="minorHAnsi" w:hAnsiTheme="majorHAnsi" w:cstheme="minorHAnsi"/>
          <w:lang w:val="ro-MD" w:eastAsia="en-US"/>
        </w:rPr>
        <w:t xml:space="preserve">ă financiară </w:t>
      </w:r>
      <w:r w:rsidR="00B13B9A" w:rsidRPr="00B13B9A">
        <w:rPr>
          <w:rFonts w:asciiTheme="majorHAnsi" w:eastAsiaTheme="minorHAnsi" w:hAnsiTheme="majorHAnsi" w:cstheme="minorHAnsi"/>
          <w:lang w:val="ro-MD" w:eastAsia="en-US"/>
        </w:rPr>
        <w:t>ș</w:t>
      </w:r>
      <w:r w:rsidR="00E713CB" w:rsidRPr="00B13B9A">
        <w:rPr>
          <w:rFonts w:asciiTheme="majorHAnsi" w:eastAsiaTheme="minorHAnsi" w:hAnsiTheme="majorHAnsi" w:cstheme="minorHAnsi"/>
          <w:lang w:val="ro-MD" w:eastAsia="en-US"/>
        </w:rPr>
        <w:t>i asisten</w:t>
      </w:r>
      <w:r w:rsidR="00B13B9A" w:rsidRPr="00B13B9A">
        <w:rPr>
          <w:rFonts w:asciiTheme="majorHAnsi" w:eastAsiaTheme="minorHAnsi" w:hAnsiTheme="majorHAnsi" w:cstheme="minorHAnsi"/>
          <w:lang w:val="ro-MD" w:eastAsia="en-US"/>
        </w:rPr>
        <w:t>ț</w:t>
      </w:r>
      <w:r w:rsidR="00E713CB" w:rsidRPr="00B13B9A">
        <w:rPr>
          <w:rFonts w:asciiTheme="majorHAnsi" w:eastAsiaTheme="minorHAnsi" w:hAnsiTheme="majorHAnsi" w:cstheme="minorHAnsi"/>
          <w:lang w:val="ro-MD" w:eastAsia="en-US"/>
        </w:rPr>
        <w:t>ă tehnică de la Ministerul Sănătă</w:t>
      </w:r>
      <w:r w:rsidR="00B13B9A" w:rsidRPr="00B13B9A">
        <w:rPr>
          <w:rFonts w:asciiTheme="majorHAnsi" w:eastAsiaTheme="minorHAnsi" w:hAnsiTheme="majorHAnsi" w:cstheme="minorHAnsi"/>
          <w:lang w:val="ro-MD" w:eastAsia="en-US"/>
        </w:rPr>
        <w:t>ț</w:t>
      </w:r>
      <w:r w:rsidR="00E713CB" w:rsidRPr="00B13B9A">
        <w:rPr>
          <w:rFonts w:asciiTheme="majorHAnsi" w:eastAsiaTheme="minorHAnsi" w:hAnsiTheme="majorHAnsi" w:cstheme="minorHAnsi"/>
          <w:lang w:val="ro-MD" w:eastAsia="en-US"/>
        </w:rPr>
        <w:t>ii, UCIMP, CPAS.</w:t>
      </w:r>
    </w:p>
    <w:p w14:paraId="79D320DD" w14:textId="55FD7024" w:rsidR="00E713CB" w:rsidRPr="00B13B9A" w:rsidRDefault="00E713CB" w:rsidP="00E713CB">
      <w:pPr>
        <w:pStyle w:val="cn"/>
        <w:spacing w:line="276" w:lineRule="auto"/>
        <w:ind w:right="71"/>
        <w:jc w:val="both"/>
        <w:rPr>
          <w:rFonts w:asciiTheme="majorHAnsi" w:eastAsiaTheme="minorHAnsi" w:hAnsiTheme="majorHAnsi" w:cstheme="minorHAnsi"/>
          <w:lang w:val="ro-MD" w:eastAsia="en-US"/>
        </w:rPr>
      </w:pPr>
      <w:r w:rsidRPr="00B13B9A">
        <w:rPr>
          <w:rFonts w:asciiTheme="majorHAnsi" w:eastAsiaTheme="minorHAnsi" w:hAnsiTheme="majorHAnsi" w:cstheme="minorHAnsi"/>
          <w:lang w:val="ro-MD" w:eastAsia="en-US"/>
        </w:rPr>
        <w:t>Dona</w:t>
      </w:r>
      <w:r w:rsidR="00B13B9A" w:rsidRPr="00B13B9A">
        <w:rPr>
          <w:rFonts w:asciiTheme="majorHAnsi" w:eastAsiaTheme="minorHAnsi" w:hAnsiTheme="majorHAnsi" w:cstheme="minorHAnsi"/>
          <w:lang w:val="ro-MD" w:eastAsia="en-US"/>
        </w:rPr>
        <w:t>ț</w:t>
      </w:r>
      <w:r w:rsidRPr="00B13B9A">
        <w:rPr>
          <w:rFonts w:asciiTheme="majorHAnsi" w:eastAsiaTheme="minorHAnsi" w:hAnsiTheme="majorHAnsi" w:cstheme="minorHAnsi"/>
          <w:lang w:val="ro-MD" w:eastAsia="en-US"/>
        </w:rPr>
        <w:t xml:space="preserve">iile constau în acordarea de echipamente </w:t>
      </w:r>
      <w:r w:rsidR="00B13B9A" w:rsidRPr="00B13B9A">
        <w:rPr>
          <w:rFonts w:asciiTheme="majorHAnsi" w:eastAsiaTheme="minorHAnsi" w:hAnsiTheme="majorHAnsi" w:cstheme="minorHAnsi"/>
          <w:lang w:val="ro-MD" w:eastAsia="en-US"/>
        </w:rPr>
        <w:t>ș</w:t>
      </w:r>
      <w:r w:rsidRPr="00B13B9A">
        <w:rPr>
          <w:rFonts w:asciiTheme="majorHAnsi" w:eastAsiaTheme="minorHAnsi" w:hAnsiTheme="majorHAnsi" w:cstheme="minorHAnsi"/>
          <w:lang w:val="ro-MD" w:eastAsia="en-US"/>
        </w:rPr>
        <w:t>i dispozitive medicale, medicamente, OMVSD, echipamente de protec</w:t>
      </w:r>
      <w:r w:rsidR="00B13B9A" w:rsidRPr="00B13B9A">
        <w:rPr>
          <w:rFonts w:asciiTheme="majorHAnsi" w:eastAsiaTheme="minorHAnsi" w:hAnsiTheme="majorHAnsi" w:cstheme="minorHAnsi"/>
          <w:lang w:val="ro-MD" w:eastAsia="en-US"/>
        </w:rPr>
        <w:t>ț</w:t>
      </w:r>
      <w:r w:rsidRPr="00B13B9A">
        <w:rPr>
          <w:rFonts w:asciiTheme="majorHAnsi" w:eastAsiaTheme="minorHAnsi" w:hAnsiTheme="majorHAnsi" w:cstheme="minorHAnsi"/>
          <w:lang w:val="ro-MD" w:eastAsia="en-US"/>
        </w:rPr>
        <w:t xml:space="preserve">ie </w:t>
      </w:r>
      <w:r w:rsidR="00B13B9A" w:rsidRPr="00B13B9A">
        <w:rPr>
          <w:rFonts w:asciiTheme="majorHAnsi" w:eastAsiaTheme="minorHAnsi" w:hAnsiTheme="majorHAnsi" w:cstheme="minorHAnsi"/>
          <w:lang w:val="ro-MD" w:eastAsia="en-US"/>
        </w:rPr>
        <w:t>ș</w:t>
      </w:r>
      <w:r w:rsidRPr="00B13B9A">
        <w:rPr>
          <w:rFonts w:asciiTheme="majorHAnsi" w:eastAsiaTheme="minorHAnsi" w:hAnsiTheme="majorHAnsi" w:cstheme="minorHAnsi"/>
          <w:lang w:val="ro-MD" w:eastAsia="en-US"/>
        </w:rPr>
        <w:t xml:space="preserve">i alte consumabile necesare în tratamentul </w:t>
      </w:r>
      <w:r w:rsidR="00B13B9A" w:rsidRPr="00B13B9A">
        <w:rPr>
          <w:rFonts w:asciiTheme="majorHAnsi" w:eastAsiaTheme="minorHAnsi" w:hAnsiTheme="majorHAnsi" w:cstheme="minorHAnsi"/>
          <w:lang w:val="ro-MD" w:eastAsia="en-US"/>
        </w:rPr>
        <w:t>ș</w:t>
      </w:r>
      <w:r w:rsidRPr="00B13B9A">
        <w:rPr>
          <w:rFonts w:asciiTheme="majorHAnsi" w:eastAsiaTheme="minorHAnsi" w:hAnsiTheme="majorHAnsi" w:cstheme="minorHAnsi"/>
          <w:lang w:val="ro-MD" w:eastAsia="en-US"/>
        </w:rPr>
        <w:t>i prevenirea tuberculozei. Astfel, în anii 2021-2023 (6 luni) acestea au însumat 117 886,4 mii lei, situa</w:t>
      </w:r>
      <w:r w:rsidR="00B13B9A" w:rsidRPr="00B13B9A">
        <w:rPr>
          <w:rFonts w:asciiTheme="majorHAnsi" w:eastAsiaTheme="minorHAnsi" w:hAnsiTheme="majorHAnsi" w:cstheme="minorHAnsi"/>
          <w:lang w:val="ro-MD" w:eastAsia="en-US"/>
        </w:rPr>
        <w:t>ț</w:t>
      </w:r>
      <w:r w:rsidRPr="00B13B9A">
        <w:rPr>
          <w:rFonts w:asciiTheme="majorHAnsi" w:eastAsiaTheme="minorHAnsi" w:hAnsiTheme="majorHAnsi" w:cstheme="minorHAnsi"/>
          <w:lang w:val="ro-MD" w:eastAsia="en-US"/>
        </w:rPr>
        <w:t>ie redată în tabelul de mai jos.</w:t>
      </w:r>
    </w:p>
    <w:p w14:paraId="255B81A7" w14:textId="77777777" w:rsidR="001E775F" w:rsidRPr="00B13B9A" w:rsidRDefault="001E775F" w:rsidP="00E713CB">
      <w:pPr>
        <w:pStyle w:val="cn"/>
        <w:spacing w:line="276" w:lineRule="auto"/>
        <w:ind w:right="71"/>
        <w:jc w:val="right"/>
        <w:rPr>
          <w:rFonts w:asciiTheme="majorHAnsi" w:eastAsiaTheme="minorHAnsi" w:hAnsiTheme="majorHAnsi" w:cstheme="minorHAnsi"/>
          <w:lang w:val="ro-MD" w:eastAsia="en-US"/>
        </w:rPr>
      </w:pPr>
    </w:p>
    <w:p w14:paraId="4289A6E1" w14:textId="77777777" w:rsidR="00E713CB" w:rsidRPr="00B13B9A" w:rsidRDefault="00D37D8A" w:rsidP="00E713CB">
      <w:pPr>
        <w:pStyle w:val="cn"/>
        <w:spacing w:line="276" w:lineRule="auto"/>
        <w:ind w:right="71"/>
        <w:jc w:val="right"/>
        <w:rPr>
          <w:rFonts w:asciiTheme="majorHAnsi" w:eastAsiaTheme="minorHAnsi" w:hAnsiTheme="majorHAnsi" w:cstheme="minorHAnsi"/>
          <w:lang w:val="ro-MD" w:eastAsia="en-US"/>
        </w:rPr>
      </w:pPr>
      <w:r w:rsidRPr="00B13B9A">
        <w:rPr>
          <w:rFonts w:asciiTheme="majorHAnsi" w:eastAsiaTheme="minorHAnsi" w:hAnsiTheme="majorHAnsi" w:cstheme="minorHAnsi"/>
          <w:lang w:val="ro-MD" w:eastAsia="en-US"/>
        </w:rPr>
        <w:t>Tabel nr. 4</w:t>
      </w:r>
    </w:p>
    <w:p w14:paraId="35D3DCF5" w14:textId="563E58B4" w:rsidR="00E713CB" w:rsidRPr="00B13B9A" w:rsidRDefault="00E713CB" w:rsidP="00E713CB">
      <w:pPr>
        <w:pStyle w:val="cn"/>
        <w:spacing w:line="276" w:lineRule="auto"/>
        <w:ind w:right="71"/>
        <w:rPr>
          <w:rFonts w:asciiTheme="majorHAnsi" w:eastAsiaTheme="minorHAnsi" w:hAnsiTheme="majorHAnsi" w:cstheme="minorHAnsi"/>
          <w:b/>
          <w:lang w:val="ro-MD" w:eastAsia="en-US"/>
        </w:rPr>
      </w:pPr>
      <w:r w:rsidRPr="00B13B9A">
        <w:rPr>
          <w:rFonts w:asciiTheme="majorHAnsi" w:eastAsiaTheme="minorHAnsi" w:hAnsiTheme="majorHAnsi" w:cstheme="minorHAnsi"/>
          <w:b/>
          <w:lang w:val="ro-MD" w:eastAsia="en-US"/>
        </w:rPr>
        <w:t>Informa</w:t>
      </w:r>
      <w:r w:rsidR="00B13B9A" w:rsidRPr="00B13B9A">
        <w:rPr>
          <w:rFonts w:asciiTheme="majorHAnsi" w:eastAsiaTheme="minorHAnsi" w:hAnsiTheme="majorHAnsi" w:cstheme="minorHAnsi"/>
          <w:b/>
          <w:lang w:val="ro-MD" w:eastAsia="en-US"/>
        </w:rPr>
        <w:t>ț</w:t>
      </w:r>
      <w:r w:rsidRPr="00B13B9A">
        <w:rPr>
          <w:rFonts w:asciiTheme="majorHAnsi" w:eastAsiaTheme="minorHAnsi" w:hAnsiTheme="majorHAnsi" w:cstheme="minorHAnsi"/>
          <w:b/>
          <w:lang w:val="ro-MD" w:eastAsia="en-US"/>
        </w:rPr>
        <w:t>ii privind ajutorul umanitar primit în cadrul IMSP, mii lei</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871"/>
        <w:gridCol w:w="1985"/>
        <w:gridCol w:w="1982"/>
        <w:gridCol w:w="1108"/>
        <w:gridCol w:w="1251"/>
      </w:tblGrid>
      <w:tr w:rsidR="00E713CB" w:rsidRPr="00B13B9A" w14:paraId="612B8C63" w14:textId="77777777" w:rsidTr="004C3370">
        <w:trPr>
          <w:trHeight w:val="288"/>
        </w:trPr>
        <w:tc>
          <w:tcPr>
            <w:tcW w:w="1271" w:type="dxa"/>
            <w:shd w:val="clear" w:color="auto" w:fill="auto"/>
            <w:noWrap/>
            <w:vAlign w:val="center"/>
            <w:hideMark/>
          </w:tcPr>
          <w:p w14:paraId="1BD066F7" w14:textId="77777777" w:rsidR="00E713CB" w:rsidRPr="00B13B9A" w:rsidRDefault="00E713CB" w:rsidP="00B00556">
            <w:pPr>
              <w:spacing w:after="0" w:line="240" w:lineRule="auto"/>
              <w:jc w:val="center"/>
              <w:rPr>
                <w:rFonts w:asciiTheme="majorHAnsi" w:eastAsia="Times New Roman" w:hAnsiTheme="majorHAnsi" w:cstheme="majorHAnsi"/>
                <w:b/>
                <w:color w:val="000000"/>
                <w:sz w:val="20"/>
                <w:szCs w:val="20"/>
                <w:lang w:val="ro-MD"/>
              </w:rPr>
            </w:pPr>
            <w:r w:rsidRPr="00B13B9A">
              <w:rPr>
                <w:rFonts w:asciiTheme="majorHAnsi" w:eastAsia="Times New Roman" w:hAnsiTheme="majorHAnsi" w:cstheme="majorHAnsi"/>
                <w:b/>
                <w:color w:val="000000"/>
                <w:sz w:val="20"/>
                <w:szCs w:val="20"/>
                <w:lang w:val="ro-MD"/>
              </w:rPr>
              <w:t>Anul</w:t>
            </w:r>
          </w:p>
        </w:tc>
        <w:tc>
          <w:tcPr>
            <w:tcW w:w="1871" w:type="dxa"/>
            <w:shd w:val="clear" w:color="auto" w:fill="auto"/>
            <w:noWrap/>
            <w:vAlign w:val="center"/>
            <w:hideMark/>
          </w:tcPr>
          <w:p w14:paraId="250AE1E8" w14:textId="696DA760" w:rsidR="00E713CB" w:rsidRPr="00B13B9A" w:rsidRDefault="00E713CB" w:rsidP="00B00556">
            <w:pPr>
              <w:spacing w:after="0" w:line="240" w:lineRule="auto"/>
              <w:jc w:val="center"/>
              <w:rPr>
                <w:rFonts w:asciiTheme="majorHAnsi" w:eastAsia="Times New Roman" w:hAnsiTheme="majorHAnsi" w:cstheme="majorHAnsi"/>
                <w:b/>
                <w:color w:val="000000"/>
                <w:sz w:val="20"/>
                <w:szCs w:val="20"/>
                <w:lang w:val="ro-MD"/>
              </w:rPr>
            </w:pPr>
            <w:r w:rsidRPr="00B13B9A">
              <w:rPr>
                <w:rFonts w:asciiTheme="majorHAnsi" w:eastAsia="Times New Roman" w:hAnsiTheme="majorHAnsi" w:cstheme="majorHAnsi"/>
                <w:b/>
                <w:color w:val="000000"/>
                <w:sz w:val="20"/>
                <w:szCs w:val="20"/>
                <w:lang w:val="ro-MD"/>
              </w:rPr>
              <w:t>Materiale (medicamente, consumabile)</w:t>
            </w:r>
            <w:r w:rsidR="00B36240" w:rsidRPr="00B13B9A">
              <w:rPr>
                <w:rFonts w:asciiTheme="majorHAnsi" w:eastAsia="Times New Roman" w:hAnsiTheme="majorHAnsi" w:cstheme="majorHAnsi"/>
                <w:b/>
                <w:color w:val="000000"/>
                <w:sz w:val="20"/>
                <w:szCs w:val="20"/>
                <w:lang w:val="ro-MD"/>
              </w:rPr>
              <w:t>,</w:t>
            </w:r>
            <w:r w:rsidRPr="00B13B9A">
              <w:rPr>
                <w:rFonts w:asciiTheme="majorHAnsi" w:eastAsia="Times New Roman" w:hAnsiTheme="majorHAnsi" w:cstheme="majorHAnsi"/>
                <w:b/>
                <w:color w:val="000000"/>
                <w:sz w:val="20"/>
                <w:szCs w:val="20"/>
                <w:lang w:val="ro-MD"/>
              </w:rPr>
              <w:t xml:space="preserve"> 211</w:t>
            </w:r>
          </w:p>
        </w:tc>
        <w:tc>
          <w:tcPr>
            <w:tcW w:w="1985" w:type="dxa"/>
            <w:shd w:val="clear" w:color="auto" w:fill="auto"/>
            <w:noWrap/>
            <w:vAlign w:val="center"/>
            <w:hideMark/>
          </w:tcPr>
          <w:p w14:paraId="2D894265" w14:textId="5252187E" w:rsidR="00E713CB" w:rsidRPr="00B13B9A" w:rsidRDefault="00E713CB" w:rsidP="00B00556">
            <w:pPr>
              <w:spacing w:after="0" w:line="240" w:lineRule="auto"/>
              <w:jc w:val="center"/>
              <w:rPr>
                <w:rFonts w:asciiTheme="majorHAnsi" w:eastAsia="Times New Roman" w:hAnsiTheme="majorHAnsi" w:cstheme="majorHAnsi"/>
                <w:b/>
                <w:color w:val="000000"/>
                <w:sz w:val="20"/>
                <w:szCs w:val="20"/>
                <w:lang w:val="ro-MD"/>
              </w:rPr>
            </w:pPr>
            <w:r w:rsidRPr="00B13B9A">
              <w:rPr>
                <w:rFonts w:asciiTheme="majorHAnsi" w:eastAsia="Times New Roman" w:hAnsiTheme="majorHAnsi" w:cstheme="majorHAnsi"/>
                <w:b/>
                <w:color w:val="000000"/>
                <w:sz w:val="20"/>
                <w:szCs w:val="20"/>
                <w:lang w:val="ro-MD"/>
              </w:rPr>
              <w:t>Mijloace fixe, utilaje, echipament medical</w:t>
            </w:r>
            <w:r w:rsidR="00B36240" w:rsidRPr="00B13B9A">
              <w:rPr>
                <w:rFonts w:asciiTheme="majorHAnsi" w:eastAsia="Times New Roman" w:hAnsiTheme="majorHAnsi" w:cstheme="majorHAnsi"/>
                <w:b/>
                <w:color w:val="000000"/>
                <w:sz w:val="20"/>
                <w:szCs w:val="20"/>
                <w:lang w:val="ro-MD"/>
              </w:rPr>
              <w:t>,</w:t>
            </w:r>
            <w:r w:rsidRPr="00B13B9A">
              <w:rPr>
                <w:rFonts w:asciiTheme="majorHAnsi" w:eastAsia="Times New Roman" w:hAnsiTheme="majorHAnsi" w:cstheme="majorHAnsi"/>
                <w:b/>
                <w:color w:val="000000"/>
                <w:sz w:val="20"/>
                <w:szCs w:val="20"/>
                <w:lang w:val="ro-MD"/>
              </w:rPr>
              <w:t xml:space="preserve"> 121</w:t>
            </w:r>
          </w:p>
        </w:tc>
        <w:tc>
          <w:tcPr>
            <w:tcW w:w="1982" w:type="dxa"/>
            <w:shd w:val="clear" w:color="auto" w:fill="auto"/>
            <w:noWrap/>
            <w:vAlign w:val="center"/>
            <w:hideMark/>
          </w:tcPr>
          <w:p w14:paraId="05C4F09D" w14:textId="2245BFED" w:rsidR="00E713CB" w:rsidRPr="00B13B9A" w:rsidRDefault="00E713CB" w:rsidP="00B00556">
            <w:pPr>
              <w:spacing w:after="0" w:line="240" w:lineRule="auto"/>
              <w:jc w:val="center"/>
              <w:rPr>
                <w:rFonts w:asciiTheme="majorHAnsi" w:eastAsia="Times New Roman" w:hAnsiTheme="majorHAnsi" w:cstheme="majorHAnsi"/>
                <w:b/>
                <w:color w:val="000000"/>
                <w:sz w:val="20"/>
                <w:szCs w:val="20"/>
                <w:lang w:val="ro-MD"/>
              </w:rPr>
            </w:pPr>
            <w:r w:rsidRPr="00B13B9A">
              <w:rPr>
                <w:rFonts w:asciiTheme="majorHAnsi" w:eastAsia="Times New Roman" w:hAnsiTheme="majorHAnsi" w:cstheme="majorHAnsi"/>
                <w:b/>
                <w:color w:val="000000"/>
                <w:sz w:val="20"/>
                <w:szCs w:val="20"/>
                <w:lang w:val="ro-MD"/>
              </w:rPr>
              <w:t>Mijloace fixe, utilaje, echipament medical</w:t>
            </w:r>
            <w:r w:rsidR="00B36240" w:rsidRPr="00B13B9A">
              <w:rPr>
                <w:rFonts w:asciiTheme="majorHAnsi" w:eastAsia="Times New Roman" w:hAnsiTheme="majorHAnsi" w:cstheme="majorHAnsi"/>
                <w:b/>
                <w:color w:val="000000"/>
                <w:sz w:val="20"/>
                <w:szCs w:val="20"/>
                <w:lang w:val="ro-MD"/>
              </w:rPr>
              <w:t>,</w:t>
            </w:r>
            <w:r w:rsidRPr="00B13B9A">
              <w:rPr>
                <w:rFonts w:asciiTheme="majorHAnsi" w:eastAsia="Times New Roman" w:hAnsiTheme="majorHAnsi" w:cstheme="majorHAnsi"/>
                <w:b/>
                <w:color w:val="000000"/>
                <w:sz w:val="20"/>
                <w:szCs w:val="20"/>
                <w:lang w:val="ro-MD"/>
              </w:rPr>
              <w:t xml:space="preserve"> 123</w:t>
            </w:r>
          </w:p>
        </w:tc>
        <w:tc>
          <w:tcPr>
            <w:tcW w:w="1108" w:type="dxa"/>
            <w:shd w:val="clear" w:color="auto" w:fill="auto"/>
            <w:noWrap/>
            <w:vAlign w:val="center"/>
            <w:hideMark/>
          </w:tcPr>
          <w:p w14:paraId="6F4F7B4B" w14:textId="39D18958" w:rsidR="00E713CB" w:rsidRPr="00B13B9A" w:rsidRDefault="00E713CB" w:rsidP="00B00556">
            <w:pPr>
              <w:spacing w:after="0" w:line="240" w:lineRule="auto"/>
              <w:jc w:val="center"/>
              <w:rPr>
                <w:rFonts w:asciiTheme="majorHAnsi" w:eastAsia="Times New Roman" w:hAnsiTheme="majorHAnsi" w:cstheme="majorHAnsi"/>
                <w:b/>
                <w:color w:val="000000"/>
                <w:sz w:val="20"/>
                <w:szCs w:val="20"/>
                <w:lang w:val="ro-MD"/>
              </w:rPr>
            </w:pPr>
            <w:r w:rsidRPr="00B13B9A">
              <w:rPr>
                <w:rFonts w:asciiTheme="majorHAnsi" w:eastAsia="Times New Roman" w:hAnsiTheme="majorHAnsi" w:cstheme="majorHAnsi"/>
                <w:b/>
                <w:color w:val="000000"/>
                <w:sz w:val="20"/>
                <w:szCs w:val="20"/>
                <w:lang w:val="ro-MD"/>
              </w:rPr>
              <w:t>OMVSD</w:t>
            </w:r>
            <w:r w:rsidR="00B36240" w:rsidRPr="00B13B9A">
              <w:rPr>
                <w:rFonts w:asciiTheme="majorHAnsi" w:eastAsia="Times New Roman" w:hAnsiTheme="majorHAnsi" w:cstheme="majorHAnsi"/>
                <w:b/>
                <w:color w:val="000000"/>
                <w:sz w:val="20"/>
                <w:szCs w:val="20"/>
                <w:lang w:val="ro-MD"/>
              </w:rPr>
              <w:t>,</w:t>
            </w:r>
            <w:r w:rsidRPr="00B13B9A">
              <w:rPr>
                <w:rFonts w:asciiTheme="majorHAnsi" w:eastAsia="Times New Roman" w:hAnsiTheme="majorHAnsi" w:cstheme="majorHAnsi"/>
                <w:b/>
                <w:color w:val="000000"/>
                <w:sz w:val="20"/>
                <w:szCs w:val="20"/>
                <w:lang w:val="ro-MD"/>
              </w:rPr>
              <w:t xml:space="preserve"> 213</w:t>
            </w:r>
          </w:p>
        </w:tc>
        <w:tc>
          <w:tcPr>
            <w:tcW w:w="1251" w:type="dxa"/>
            <w:shd w:val="clear" w:color="auto" w:fill="auto"/>
            <w:noWrap/>
            <w:vAlign w:val="center"/>
            <w:hideMark/>
          </w:tcPr>
          <w:p w14:paraId="5739D84B" w14:textId="77777777" w:rsidR="00E713CB" w:rsidRPr="00B13B9A" w:rsidRDefault="00E713CB" w:rsidP="00B00556">
            <w:pPr>
              <w:spacing w:after="0" w:line="240" w:lineRule="auto"/>
              <w:jc w:val="center"/>
              <w:rPr>
                <w:rFonts w:asciiTheme="majorHAnsi" w:eastAsia="Times New Roman" w:hAnsiTheme="majorHAnsi" w:cstheme="majorHAnsi"/>
                <w:b/>
                <w:color w:val="000000"/>
                <w:sz w:val="20"/>
                <w:szCs w:val="20"/>
                <w:lang w:val="ro-MD"/>
              </w:rPr>
            </w:pPr>
            <w:r w:rsidRPr="00B13B9A">
              <w:rPr>
                <w:rFonts w:asciiTheme="majorHAnsi" w:eastAsia="Times New Roman" w:hAnsiTheme="majorHAnsi" w:cstheme="majorHAnsi"/>
                <w:b/>
                <w:color w:val="000000"/>
                <w:sz w:val="20"/>
                <w:szCs w:val="20"/>
                <w:lang w:val="ro-MD"/>
              </w:rPr>
              <w:t>Total</w:t>
            </w:r>
          </w:p>
        </w:tc>
      </w:tr>
      <w:tr w:rsidR="00E713CB" w:rsidRPr="00B13B9A" w14:paraId="4676630E" w14:textId="77777777" w:rsidTr="004C3370">
        <w:trPr>
          <w:trHeight w:val="288"/>
        </w:trPr>
        <w:tc>
          <w:tcPr>
            <w:tcW w:w="1271" w:type="dxa"/>
            <w:shd w:val="clear" w:color="auto" w:fill="auto"/>
            <w:noWrap/>
            <w:vAlign w:val="bottom"/>
            <w:hideMark/>
          </w:tcPr>
          <w:p w14:paraId="5EB59551" w14:textId="77777777" w:rsidR="00E713CB" w:rsidRPr="00B13B9A" w:rsidRDefault="00E713CB" w:rsidP="00B00556">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2021</w:t>
            </w:r>
          </w:p>
        </w:tc>
        <w:tc>
          <w:tcPr>
            <w:tcW w:w="1871" w:type="dxa"/>
            <w:shd w:val="clear" w:color="auto" w:fill="auto"/>
            <w:noWrap/>
            <w:vAlign w:val="bottom"/>
            <w:hideMark/>
          </w:tcPr>
          <w:p w14:paraId="772E3F15" w14:textId="77777777" w:rsidR="00E713CB" w:rsidRPr="00B13B9A" w:rsidRDefault="00E713CB" w:rsidP="00B00556">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37 837,5</w:t>
            </w:r>
          </w:p>
        </w:tc>
        <w:tc>
          <w:tcPr>
            <w:tcW w:w="1985" w:type="dxa"/>
            <w:shd w:val="clear" w:color="auto" w:fill="auto"/>
            <w:noWrap/>
            <w:hideMark/>
          </w:tcPr>
          <w:p w14:paraId="4436EFBB" w14:textId="77777777" w:rsidR="00E713CB" w:rsidRPr="00B13B9A" w:rsidRDefault="00E713CB" w:rsidP="00B00556">
            <w:pPr>
              <w:spacing w:after="0" w:line="240" w:lineRule="auto"/>
              <w:jc w:val="right"/>
              <w:rPr>
                <w:rFonts w:asciiTheme="majorHAnsi" w:eastAsia="Times New Roman" w:hAnsiTheme="majorHAnsi" w:cstheme="majorHAnsi"/>
                <w:sz w:val="20"/>
                <w:szCs w:val="20"/>
                <w:lang w:val="ro-MD"/>
              </w:rPr>
            </w:pPr>
            <w:r w:rsidRPr="00B13B9A">
              <w:rPr>
                <w:rFonts w:asciiTheme="majorHAnsi" w:eastAsia="Times New Roman" w:hAnsiTheme="majorHAnsi" w:cstheme="majorHAnsi"/>
                <w:sz w:val="20"/>
                <w:szCs w:val="20"/>
                <w:lang w:val="ro-MD"/>
              </w:rPr>
              <w:t>5 409,0</w:t>
            </w:r>
          </w:p>
        </w:tc>
        <w:tc>
          <w:tcPr>
            <w:tcW w:w="1982" w:type="dxa"/>
            <w:shd w:val="clear" w:color="auto" w:fill="auto"/>
            <w:noWrap/>
            <w:vAlign w:val="bottom"/>
            <w:hideMark/>
          </w:tcPr>
          <w:p w14:paraId="0A97B061" w14:textId="77777777" w:rsidR="00E713CB" w:rsidRPr="00B13B9A" w:rsidRDefault="00E713CB" w:rsidP="00B00556">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139,5</w:t>
            </w:r>
          </w:p>
        </w:tc>
        <w:tc>
          <w:tcPr>
            <w:tcW w:w="1108" w:type="dxa"/>
            <w:shd w:val="clear" w:color="auto" w:fill="auto"/>
            <w:noWrap/>
            <w:vAlign w:val="bottom"/>
            <w:hideMark/>
          </w:tcPr>
          <w:p w14:paraId="78562BBD" w14:textId="77777777" w:rsidR="00E713CB" w:rsidRPr="00B13B9A" w:rsidRDefault="00E713CB" w:rsidP="00B00556">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413,6</w:t>
            </w:r>
          </w:p>
        </w:tc>
        <w:tc>
          <w:tcPr>
            <w:tcW w:w="1251" w:type="dxa"/>
            <w:shd w:val="clear" w:color="auto" w:fill="auto"/>
            <w:noWrap/>
            <w:vAlign w:val="bottom"/>
            <w:hideMark/>
          </w:tcPr>
          <w:p w14:paraId="1CD8DBD6" w14:textId="77777777" w:rsidR="00E713CB" w:rsidRPr="00B13B9A" w:rsidRDefault="00E713CB" w:rsidP="00B00556">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43 799,6</w:t>
            </w:r>
          </w:p>
        </w:tc>
      </w:tr>
      <w:tr w:rsidR="00E713CB" w:rsidRPr="00B13B9A" w14:paraId="47C21CD9" w14:textId="77777777" w:rsidTr="004C3370">
        <w:trPr>
          <w:trHeight w:val="288"/>
        </w:trPr>
        <w:tc>
          <w:tcPr>
            <w:tcW w:w="1271" w:type="dxa"/>
            <w:shd w:val="clear" w:color="auto" w:fill="auto"/>
            <w:noWrap/>
            <w:vAlign w:val="bottom"/>
            <w:hideMark/>
          </w:tcPr>
          <w:p w14:paraId="46C2E069" w14:textId="77777777" w:rsidR="00E713CB" w:rsidRPr="00B13B9A" w:rsidRDefault="00E713CB" w:rsidP="00B00556">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2022</w:t>
            </w:r>
          </w:p>
        </w:tc>
        <w:tc>
          <w:tcPr>
            <w:tcW w:w="1871" w:type="dxa"/>
            <w:shd w:val="clear" w:color="auto" w:fill="auto"/>
            <w:noWrap/>
            <w:vAlign w:val="bottom"/>
            <w:hideMark/>
          </w:tcPr>
          <w:p w14:paraId="3D27EB32" w14:textId="77777777" w:rsidR="00E713CB" w:rsidRPr="00B13B9A" w:rsidRDefault="00E713CB" w:rsidP="00B00556">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41 324,6</w:t>
            </w:r>
          </w:p>
        </w:tc>
        <w:tc>
          <w:tcPr>
            <w:tcW w:w="1985" w:type="dxa"/>
            <w:shd w:val="clear" w:color="auto" w:fill="auto"/>
            <w:noWrap/>
            <w:hideMark/>
          </w:tcPr>
          <w:p w14:paraId="3F76A8D8" w14:textId="77777777" w:rsidR="00E713CB" w:rsidRPr="00B13B9A" w:rsidRDefault="00E713CB" w:rsidP="00B00556">
            <w:pPr>
              <w:spacing w:after="0" w:line="240" w:lineRule="auto"/>
              <w:jc w:val="right"/>
              <w:rPr>
                <w:rFonts w:asciiTheme="majorHAnsi" w:eastAsia="Times New Roman" w:hAnsiTheme="majorHAnsi" w:cstheme="majorHAnsi"/>
                <w:sz w:val="20"/>
                <w:szCs w:val="20"/>
                <w:lang w:val="ro-MD"/>
              </w:rPr>
            </w:pPr>
            <w:r w:rsidRPr="00B13B9A">
              <w:rPr>
                <w:rFonts w:asciiTheme="majorHAnsi" w:eastAsia="Times New Roman" w:hAnsiTheme="majorHAnsi" w:cstheme="majorHAnsi"/>
                <w:sz w:val="20"/>
                <w:szCs w:val="20"/>
                <w:lang w:val="ro-MD"/>
              </w:rPr>
              <w:t>8 515,4</w:t>
            </w:r>
          </w:p>
        </w:tc>
        <w:tc>
          <w:tcPr>
            <w:tcW w:w="1982" w:type="dxa"/>
            <w:shd w:val="clear" w:color="auto" w:fill="auto"/>
            <w:noWrap/>
            <w:vAlign w:val="bottom"/>
            <w:hideMark/>
          </w:tcPr>
          <w:p w14:paraId="46382B7A" w14:textId="77777777" w:rsidR="00E713CB" w:rsidRPr="00B13B9A" w:rsidRDefault="00E713CB" w:rsidP="00B00556">
            <w:pPr>
              <w:spacing w:after="0" w:line="240" w:lineRule="auto"/>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 </w:t>
            </w:r>
          </w:p>
        </w:tc>
        <w:tc>
          <w:tcPr>
            <w:tcW w:w="1108" w:type="dxa"/>
            <w:shd w:val="clear" w:color="auto" w:fill="auto"/>
            <w:noWrap/>
            <w:vAlign w:val="bottom"/>
            <w:hideMark/>
          </w:tcPr>
          <w:p w14:paraId="73E8CC52" w14:textId="77777777" w:rsidR="00E713CB" w:rsidRPr="00B13B9A" w:rsidRDefault="00E713CB" w:rsidP="00B00556">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540,6</w:t>
            </w:r>
          </w:p>
        </w:tc>
        <w:tc>
          <w:tcPr>
            <w:tcW w:w="1251" w:type="dxa"/>
            <w:shd w:val="clear" w:color="auto" w:fill="auto"/>
            <w:noWrap/>
            <w:vAlign w:val="bottom"/>
            <w:hideMark/>
          </w:tcPr>
          <w:p w14:paraId="44F3604C" w14:textId="77777777" w:rsidR="00E713CB" w:rsidRPr="00B13B9A" w:rsidRDefault="00E713CB" w:rsidP="00B00556">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50 380,6</w:t>
            </w:r>
          </w:p>
        </w:tc>
      </w:tr>
      <w:tr w:rsidR="00E713CB" w:rsidRPr="00B13B9A" w14:paraId="769684D2" w14:textId="77777777" w:rsidTr="004C3370">
        <w:trPr>
          <w:trHeight w:val="288"/>
        </w:trPr>
        <w:tc>
          <w:tcPr>
            <w:tcW w:w="1271" w:type="dxa"/>
            <w:shd w:val="clear" w:color="auto" w:fill="auto"/>
            <w:noWrap/>
            <w:vAlign w:val="bottom"/>
            <w:hideMark/>
          </w:tcPr>
          <w:p w14:paraId="7CD9977B" w14:textId="151A9F65" w:rsidR="00E713CB" w:rsidRPr="00B13B9A" w:rsidRDefault="00E713CB" w:rsidP="00B00556">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2023</w:t>
            </w:r>
            <w:r w:rsidR="00753A58" w:rsidRPr="00B13B9A">
              <w:rPr>
                <w:rFonts w:asciiTheme="majorHAnsi" w:eastAsia="Times New Roman" w:hAnsiTheme="majorHAnsi" w:cstheme="majorHAnsi"/>
                <w:color w:val="000000"/>
                <w:sz w:val="20"/>
                <w:szCs w:val="20"/>
                <w:lang w:val="ro-MD"/>
              </w:rPr>
              <w:t xml:space="preserve"> (6 luni)</w:t>
            </w:r>
          </w:p>
        </w:tc>
        <w:tc>
          <w:tcPr>
            <w:tcW w:w="1871" w:type="dxa"/>
            <w:shd w:val="clear" w:color="auto" w:fill="auto"/>
            <w:noWrap/>
            <w:vAlign w:val="bottom"/>
            <w:hideMark/>
          </w:tcPr>
          <w:p w14:paraId="4295440B" w14:textId="77777777" w:rsidR="00E713CB" w:rsidRPr="00B13B9A" w:rsidRDefault="00E713CB" w:rsidP="00B00556">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20 292,0</w:t>
            </w:r>
          </w:p>
        </w:tc>
        <w:tc>
          <w:tcPr>
            <w:tcW w:w="1985" w:type="dxa"/>
            <w:shd w:val="clear" w:color="auto" w:fill="auto"/>
            <w:noWrap/>
            <w:vAlign w:val="bottom"/>
            <w:hideMark/>
          </w:tcPr>
          <w:p w14:paraId="7360254C" w14:textId="77777777" w:rsidR="00E713CB" w:rsidRPr="00B13B9A" w:rsidRDefault="00E713CB" w:rsidP="00B00556">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3 353,7</w:t>
            </w:r>
          </w:p>
        </w:tc>
        <w:tc>
          <w:tcPr>
            <w:tcW w:w="1982" w:type="dxa"/>
            <w:shd w:val="clear" w:color="auto" w:fill="auto"/>
            <w:noWrap/>
            <w:vAlign w:val="bottom"/>
            <w:hideMark/>
          </w:tcPr>
          <w:p w14:paraId="4A83C381" w14:textId="77777777" w:rsidR="00E713CB" w:rsidRPr="00B13B9A" w:rsidRDefault="00E713CB" w:rsidP="00B00556">
            <w:pPr>
              <w:spacing w:after="0" w:line="240" w:lineRule="auto"/>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 </w:t>
            </w:r>
          </w:p>
        </w:tc>
        <w:tc>
          <w:tcPr>
            <w:tcW w:w="1108" w:type="dxa"/>
            <w:shd w:val="clear" w:color="auto" w:fill="auto"/>
            <w:noWrap/>
            <w:vAlign w:val="bottom"/>
            <w:hideMark/>
          </w:tcPr>
          <w:p w14:paraId="3BEFFF1C" w14:textId="77777777" w:rsidR="00E713CB" w:rsidRPr="00B13B9A" w:rsidRDefault="00E713CB" w:rsidP="00B00556">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60,5</w:t>
            </w:r>
          </w:p>
        </w:tc>
        <w:tc>
          <w:tcPr>
            <w:tcW w:w="1251" w:type="dxa"/>
            <w:shd w:val="clear" w:color="auto" w:fill="auto"/>
            <w:noWrap/>
            <w:vAlign w:val="bottom"/>
            <w:hideMark/>
          </w:tcPr>
          <w:p w14:paraId="011AA773" w14:textId="77777777" w:rsidR="00E713CB" w:rsidRPr="00B13B9A" w:rsidRDefault="00E713CB" w:rsidP="00B00556">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23 706,1</w:t>
            </w:r>
          </w:p>
        </w:tc>
      </w:tr>
      <w:tr w:rsidR="00E713CB" w:rsidRPr="00B13B9A" w14:paraId="496BB310" w14:textId="77777777" w:rsidTr="004C3370">
        <w:trPr>
          <w:trHeight w:val="288"/>
        </w:trPr>
        <w:tc>
          <w:tcPr>
            <w:tcW w:w="1271" w:type="dxa"/>
            <w:shd w:val="clear" w:color="auto" w:fill="auto"/>
            <w:noWrap/>
            <w:vAlign w:val="bottom"/>
            <w:hideMark/>
          </w:tcPr>
          <w:p w14:paraId="07726647" w14:textId="77777777" w:rsidR="00E713CB" w:rsidRPr="00B13B9A" w:rsidRDefault="00E713CB" w:rsidP="00B00556">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Total</w:t>
            </w:r>
          </w:p>
        </w:tc>
        <w:tc>
          <w:tcPr>
            <w:tcW w:w="1871" w:type="dxa"/>
            <w:shd w:val="clear" w:color="auto" w:fill="auto"/>
            <w:noWrap/>
            <w:vAlign w:val="bottom"/>
            <w:hideMark/>
          </w:tcPr>
          <w:p w14:paraId="4ACA65B8" w14:textId="77777777" w:rsidR="00E713CB" w:rsidRPr="00B13B9A" w:rsidRDefault="00E713CB" w:rsidP="00B00556">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99 454,1</w:t>
            </w:r>
          </w:p>
        </w:tc>
        <w:tc>
          <w:tcPr>
            <w:tcW w:w="1985" w:type="dxa"/>
            <w:shd w:val="clear" w:color="auto" w:fill="auto"/>
            <w:noWrap/>
            <w:vAlign w:val="bottom"/>
            <w:hideMark/>
          </w:tcPr>
          <w:p w14:paraId="51AD18F6" w14:textId="77777777" w:rsidR="00E713CB" w:rsidRPr="00B13B9A" w:rsidRDefault="00E713CB" w:rsidP="00B00556">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17 278,1</w:t>
            </w:r>
          </w:p>
        </w:tc>
        <w:tc>
          <w:tcPr>
            <w:tcW w:w="1982" w:type="dxa"/>
            <w:shd w:val="clear" w:color="auto" w:fill="auto"/>
            <w:noWrap/>
            <w:vAlign w:val="bottom"/>
            <w:hideMark/>
          </w:tcPr>
          <w:p w14:paraId="78A37C64" w14:textId="77777777" w:rsidR="00E713CB" w:rsidRPr="00B13B9A" w:rsidRDefault="00E713CB" w:rsidP="00B00556">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139,5</w:t>
            </w:r>
          </w:p>
        </w:tc>
        <w:tc>
          <w:tcPr>
            <w:tcW w:w="1108" w:type="dxa"/>
            <w:shd w:val="clear" w:color="auto" w:fill="auto"/>
            <w:noWrap/>
            <w:vAlign w:val="bottom"/>
            <w:hideMark/>
          </w:tcPr>
          <w:p w14:paraId="32E7FF2A" w14:textId="77777777" w:rsidR="00E713CB" w:rsidRPr="00B13B9A" w:rsidRDefault="00E713CB" w:rsidP="00B00556">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1 014,7</w:t>
            </w:r>
          </w:p>
        </w:tc>
        <w:tc>
          <w:tcPr>
            <w:tcW w:w="1251" w:type="dxa"/>
            <w:shd w:val="clear" w:color="auto" w:fill="auto"/>
            <w:noWrap/>
            <w:vAlign w:val="bottom"/>
            <w:hideMark/>
          </w:tcPr>
          <w:p w14:paraId="0934CB66" w14:textId="77777777" w:rsidR="00E713CB" w:rsidRPr="00B13B9A" w:rsidRDefault="00E713CB" w:rsidP="00B00556">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117 886,4</w:t>
            </w:r>
          </w:p>
        </w:tc>
      </w:tr>
    </w:tbl>
    <w:p w14:paraId="43C150B1" w14:textId="4BF7B7FF" w:rsidR="00E713CB" w:rsidRPr="00B13B9A" w:rsidRDefault="00E713CB" w:rsidP="00E713CB">
      <w:pPr>
        <w:pStyle w:val="cn"/>
        <w:spacing w:line="276" w:lineRule="auto"/>
        <w:ind w:right="71"/>
        <w:jc w:val="both"/>
        <w:rPr>
          <w:rFonts w:asciiTheme="majorHAnsi" w:eastAsiaTheme="minorHAnsi" w:hAnsiTheme="majorHAnsi" w:cstheme="minorHAnsi"/>
          <w:i/>
          <w:sz w:val="20"/>
          <w:szCs w:val="20"/>
          <w:lang w:val="ro-MD" w:eastAsia="en-US"/>
        </w:rPr>
      </w:pPr>
      <w:r w:rsidRPr="00B13B9A">
        <w:rPr>
          <w:rFonts w:asciiTheme="majorHAnsi" w:eastAsiaTheme="minorHAnsi" w:hAnsiTheme="majorHAnsi" w:cstheme="minorHAnsi"/>
          <w:b/>
          <w:i/>
          <w:sz w:val="20"/>
          <w:szCs w:val="20"/>
          <w:lang w:val="ro-MD" w:eastAsia="en-US"/>
        </w:rPr>
        <w:t>Sursa:</w:t>
      </w:r>
      <w:r w:rsidRPr="00B13B9A">
        <w:rPr>
          <w:rFonts w:asciiTheme="majorHAnsi" w:eastAsiaTheme="minorHAnsi" w:hAnsiTheme="majorHAnsi" w:cstheme="minorHAnsi"/>
          <w:i/>
          <w:sz w:val="20"/>
          <w:szCs w:val="20"/>
          <w:lang w:val="ro-MD" w:eastAsia="en-US"/>
        </w:rPr>
        <w:t xml:space="preserve"> Eviden</w:t>
      </w:r>
      <w:r w:rsidR="00B13B9A" w:rsidRPr="00B13B9A">
        <w:rPr>
          <w:rFonts w:asciiTheme="majorHAnsi" w:eastAsiaTheme="minorHAnsi" w:hAnsiTheme="majorHAnsi" w:cstheme="minorHAnsi"/>
          <w:i/>
          <w:sz w:val="20"/>
          <w:szCs w:val="20"/>
          <w:lang w:val="ro-MD" w:eastAsia="en-US"/>
        </w:rPr>
        <w:t>ț</w:t>
      </w:r>
      <w:r w:rsidRPr="00B13B9A">
        <w:rPr>
          <w:rFonts w:asciiTheme="majorHAnsi" w:eastAsiaTheme="minorHAnsi" w:hAnsiTheme="majorHAnsi" w:cstheme="minorHAnsi"/>
          <w:i/>
          <w:sz w:val="20"/>
          <w:szCs w:val="20"/>
          <w:lang w:val="ro-MD" w:eastAsia="en-US"/>
        </w:rPr>
        <w:t xml:space="preserve">a contabilă a </w:t>
      </w:r>
      <w:r w:rsidR="00F431A2" w:rsidRPr="00B13B9A">
        <w:rPr>
          <w:rFonts w:asciiTheme="majorHAnsi" w:hAnsiTheme="majorHAnsi" w:cstheme="majorHAnsi"/>
          <w:i/>
          <w:color w:val="000000" w:themeColor="text1"/>
          <w:sz w:val="20"/>
          <w:szCs w:val="20"/>
          <w:lang w:val="ro-MD"/>
        </w:rPr>
        <w:t xml:space="preserve">IMSP IFP </w:t>
      </w:r>
      <w:r w:rsidR="00F431A2" w:rsidRPr="00B13B9A">
        <w:rPr>
          <w:rFonts w:asciiTheme="majorHAnsi" w:hAnsiTheme="majorHAnsi" w:cstheme="majorHAnsi"/>
          <w:i/>
          <w:sz w:val="20"/>
          <w:szCs w:val="20"/>
          <w:lang w:val="ro-MD"/>
        </w:rPr>
        <w:t>„Chiril Draganiuc”</w:t>
      </w:r>
      <w:r w:rsidR="00B36240" w:rsidRPr="00B13B9A">
        <w:rPr>
          <w:rFonts w:asciiTheme="majorHAnsi" w:hAnsiTheme="majorHAnsi" w:cstheme="majorHAnsi"/>
          <w:i/>
          <w:sz w:val="20"/>
          <w:szCs w:val="20"/>
          <w:lang w:val="ro-MD"/>
        </w:rPr>
        <w:t>.</w:t>
      </w:r>
    </w:p>
    <w:p w14:paraId="6A417502" w14:textId="77777777" w:rsidR="00E713CB" w:rsidRPr="00B13B9A" w:rsidRDefault="00E713CB" w:rsidP="00E713CB">
      <w:pPr>
        <w:pStyle w:val="cn"/>
        <w:spacing w:line="276" w:lineRule="auto"/>
        <w:ind w:right="71"/>
        <w:jc w:val="both"/>
        <w:rPr>
          <w:rFonts w:asciiTheme="majorHAnsi" w:eastAsiaTheme="minorHAnsi" w:hAnsiTheme="majorHAnsi" w:cstheme="minorHAnsi"/>
          <w:lang w:val="ro-MD" w:eastAsia="en-US"/>
        </w:rPr>
      </w:pPr>
    </w:p>
    <w:p w14:paraId="6C32BE57" w14:textId="6AFAFD9A" w:rsidR="00E713CB" w:rsidRPr="00B13B9A" w:rsidRDefault="00E713CB" w:rsidP="00E713CB">
      <w:pPr>
        <w:pStyle w:val="cn"/>
        <w:spacing w:line="276" w:lineRule="auto"/>
        <w:ind w:right="71"/>
        <w:jc w:val="both"/>
        <w:rPr>
          <w:rFonts w:asciiTheme="majorHAnsi" w:eastAsiaTheme="minorHAnsi" w:hAnsiTheme="majorHAnsi" w:cstheme="minorHAnsi"/>
          <w:lang w:val="ro-MD" w:eastAsia="en-US"/>
        </w:rPr>
      </w:pPr>
      <w:r w:rsidRPr="00B13B9A">
        <w:rPr>
          <w:rFonts w:asciiTheme="majorHAnsi" w:eastAsiaTheme="minorHAnsi" w:hAnsiTheme="majorHAnsi" w:cstheme="minorHAnsi"/>
          <w:lang w:val="ro-MD" w:eastAsia="en-US"/>
        </w:rPr>
        <w:t>Cu referire la eviden</w:t>
      </w:r>
      <w:r w:rsidR="00B13B9A" w:rsidRPr="00B13B9A">
        <w:rPr>
          <w:rFonts w:asciiTheme="majorHAnsi" w:eastAsiaTheme="minorHAnsi" w:hAnsiTheme="majorHAnsi" w:cstheme="minorHAnsi"/>
          <w:lang w:val="ro-MD" w:eastAsia="en-US"/>
        </w:rPr>
        <w:t>ț</w:t>
      </w:r>
      <w:r w:rsidRPr="00B13B9A">
        <w:rPr>
          <w:rFonts w:asciiTheme="majorHAnsi" w:eastAsiaTheme="minorHAnsi" w:hAnsiTheme="majorHAnsi" w:cstheme="minorHAnsi"/>
          <w:lang w:val="ro-MD" w:eastAsia="en-US"/>
        </w:rPr>
        <w:t>a dona</w:t>
      </w:r>
      <w:r w:rsidR="00B13B9A" w:rsidRPr="00B13B9A">
        <w:rPr>
          <w:rFonts w:asciiTheme="majorHAnsi" w:eastAsiaTheme="minorHAnsi" w:hAnsiTheme="majorHAnsi" w:cstheme="minorHAnsi"/>
          <w:lang w:val="ro-MD" w:eastAsia="en-US"/>
        </w:rPr>
        <w:t>ț</w:t>
      </w:r>
      <w:r w:rsidRPr="00B13B9A">
        <w:rPr>
          <w:rFonts w:asciiTheme="majorHAnsi" w:eastAsiaTheme="minorHAnsi" w:hAnsiTheme="majorHAnsi" w:cstheme="minorHAnsi"/>
          <w:lang w:val="ro-MD" w:eastAsia="en-US"/>
        </w:rPr>
        <w:t>iilor (subven</w:t>
      </w:r>
      <w:r w:rsidR="00B13B9A" w:rsidRPr="00B13B9A">
        <w:rPr>
          <w:rFonts w:asciiTheme="majorHAnsi" w:eastAsiaTheme="minorHAnsi" w:hAnsiTheme="majorHAnsi" w:cstheme="minorHAnsi"/>
          <w:lang w:val="ro-MD" w:eastAsia="en-US"/>
        </w:rPr>
        <w:t>ț</w:t>
      </w:r>
      <w:r w:rsidRPr="00B13B9A">
        <w:rPr>
          <w:rFonts w:asciiTheme="majorHAnsi" w:eastAsiaTheme="minorHAnsi" w:hAnsiTheme="majorHAnsi" w:cstheme="minorHAnsi"/>
          <w:lang w:val="ro-MD" w:eastAsia="en-US"/>
        </w:rPr>
        <w:t>iilor) se constată că</w:t>
      </w:r>
      <w:r w:rsidR="00B36240" w:rsidRPr="00B13B9A">
        <w:rPr>
          <w:rFonts w:asciiTheme="majorHAnsi" w:eastAsiaTheme="minorHAnsi" w:hAnsiTheme="majorHAnsi" w:cstheme="minorHAnsi"/>
          <w:lang w:val="ro-MD" w:eastAsia="en-US"/>
        </w:rPr>
        <w:t>,</w:t>
      </w:r>
      <w:r w:rsidRPr="00B13B9A">
        <w:rPr>
          <w:rFonts w:asciiTheme="majorHAnsi" w:eastAsiaTheme="minorHAnsi" w:hAnsiTheme="majorHAnsi" w:cstheme="minorHAnsi"/>
          <w:lang w:val="ro-MD" w:eastAsia="en-US"/>
        </w:rPr>
        <w:t xml:space="preserve"> odată primite, activele curente se înregistrează ca venituri </w:t>
      </w:r>
      <w:r w:rsidRPr="00B13B9A">
        <w:rPr>
          <w:rFonts w:asciiTheme="majorHAnsi" w:hAnsiTheme="majorHAnsi" w:cstheme="minorHAnsi"/>
          <w:lang w:val="ro-MD"/>
        </w:rPr>
        <w:t xml:space="preserve">anticipate </w:t>
      </w:r>
      <w:r w:rsidRPr="00B13B9A">
        <w:rPr>
          <w:rFonts w:asciiTheme="majorHAnsi" w:eastAsiaTheme="minorHAnsi" w:hAnsiTheme="majorHAnsi" w:cstheme="minorHAnsi"/>
          <w:lang w:val="ro-MD" w:eastAsia="en-US"/>
        </w:rPr>
        <w:t>curente</w:t>
      </w:r>
      <w:r w:rsidRPr="00B13B9A">
        <w:rPr>
          <w:rFonts w:asciiTheme="majorHAnsi" w:hAnsiTheme="majorHAnsi" w:cstheme="minorHAnsi"/>
          <w:lang w:val="ro-MD"/>
        </w:rPr>
        <w:t xml:space="preserve"> (535), iar </w:t>
      </w:r>
      <w:r w:rsidRPr="00B13B9A">
        <w:rPr>
          <w:rFonts w:asciiTheme="majorHAnsi" w:eastAsiaTheme="minorHAnsi" w:hAnsiTheme="majorHAnsi" w:cstheme="minorHAnsi"/>
          <w:lang w:val="ro-MD" w:eastAsia="en-US"/>
        </w:rPr>
        <w:t>potrivit SNC „Venituri” (pct. 10)</w:t>
      </w:r>
      <w:r w:rsidR="00B36240" w:rsidRPr="00B13B9A">
        <w:rPr>
          <w:rFonts w:asciiTheme="majorHAnsi" w:eastAsiaTheme="minorHAnsi" w:hAnsiTheme="majorHAnsi" w:cstheme="minorHAnsi"/>
          <w:lang w:val="ro-MD" w:eastAsia="en-US"/>
        </w:rPr>
        <w:t>,</w:t>
      </w:r>
      <w:r w:rsidRPr="00B13B9A">
        <w:rPr>
          <w:rFonts w:asciiTheme="majorHAnsi" w:eastAsiaTheme="minorHAnsi" w:hAnsiTheme="majorHAnsi" w:cstheme="minorHAnsi"/>
          <w:lang w:val="ro-MD" w:eastAsia="en-US"/>
        </w:rPr>
        <w:t xml:space="preserve"> veniturile </w:t>
      </w:r>
      <w:r w:rsidR="00B13B9A" w:rsidRPr="00B13B9A">
        <w:rPr>
          <w:rFonts w:asciiTheme="majorHAnsi" w:eastAsiaTheme="minorHAnsi" w:hAnsiTheme="majorHAnsi" w:cstheme="minorHAnsi"/>
          <w:lang w:val="ro-MD" w:eastAsia="en-US"/>
        </w:rPr>
        <w:t>ș</w:t>
      </w:r>
      <w:r w:rsidRPr="00B13B9A">
        <w:rPr>
          <w:rFonts w:asciiTheme="majorHAnsi" w:eastAsiaTheme="minorHAnsi" w:hAnsiTheme="majorHAnsi" w:cstheme="minorHAnsi"/>
          <w:lang w:val="ro-MD" w:eastAsia="en-US"/>
        </w:rPr>
        <w:t xml:space="preserve">i cheltuielile aferente unora </w:t>
      </w:r>
      <w:r w:rsidR="00B13B9A" w:rsidRPr="00B13B9A">
        <w:rPr>
          <w:rFonts w:asciiTheme="majorHAnsi" w:eastAsiaTheme="minorHAnsi" w:hAnsiTheme="majorHAnsi" w:cstheme="minorHAnsi"/>
          <w:lang w:val="ro-MD" w:eastAsia="en-US"/>
        </w:rPr>
        <w:t>ș</w:t>
      </w:r>
      <w:r w:rsidRPr="00B13B9A">
        <w:rPr>
          <w:rFonts w:asciiTheme="majorHAnsi" w:eastAsiaTheme="minorHAnsi" w:hAnsiTheme="majorHAnsi" w:cstheme="minorHAnsi"/>
          <w:lang w:val="ro-MD" w:eastAsia="en-US"/>
        </w:rPr>
        <w:t xml:space="preserve">i </w:t>
      </w:r>
      <w:r w:rsidR="00082422" w:rsidRPr="00B13B9A">
        <w:rPr>
          <w:rFonts w:asciiTheme="majorHAnsi" w:eastAsiaTheme="minorHAnsi" w:hAnsiTheme="majorHAnsi" w:cstheme="minorHAnsi"/>
          <w:lang w:val="ro-MD" w:eastAsia="en-US"/>
        </w:rPr>
        <w:t>acelora</w:t>
      </w:r>
      <w:r w:rsidR="00B13B9A" w:rsidRPr="00B13B9A">
        <w:rPr>
          <w:rFonts w:asciiTheme="majorHAnsi" w:eastAsiaTheme="minorHAnsi" w:hAnsiTheme="majorHAnsi" w:cstheme="minorHAnsi"/>
          <w:lang w:val="ro-MD" w:eastAsia="en-US"/>
        </w:rPr>
        <w:t>ș</w:t>
      </w:r>
      <w:r w:rsidR="00082422" w:rsidRPr="00B13B9A">
        <w:rPr>
          <w:rFonts w:asciiTheme="majorHAnsi" w:eastAsiaTheme="minorHAnsi" w:hAnsiTheme="majorHAnsi" w:cstheme="minorHAnsi"/>
          <w:lang w:val="ro-MD" w:eastAsia="en-US"/>
        </w:rPr>
        <w:t>i</w:t>
      </w:r>
      <w:r w:rsidRPr="00B13B9A">
        <w:rPr>
          <w:rFonts w:asciiTheme="majorHAnsi" w:eastAsiaTheme="minorHAnsi" w:hAnsiTheme="majorHAnsi" w:cstheme="minorHAnsi"/>
          <w:lang w:val="ro-MD" w:eastAsia="en-US"/>
        </w:rPr>
        <w:t xml:space="preserve"> fapte economice se recunosc în </w:t>
      </w:r>
      <w:r w:rsidR="00082422" w:rsidRPr="00B13B9A">
        <w:rPr>
          <w:rFonts w:asciiTheme="majorHAnsi" w:eastAsiaTheme="minorHAnsi" w:hAnsiTheme="majorHAnsi" w:cstheme="minorHAnsi"/>
          <w:lang w:val="ro-MD" w:eastAsia="en-US"/>
        </w:rPr>
        <w:t>ace</w:t>
      </w:r>
      <w:r w:rsidR="00B36240" w:rsidRPr="00B13B9A">
        <w:rPr>
          <w:rFonts w:asciiTheme="majorHAnsi" w:eastAsiaTheme="minorHAnsi" w:hAnsiTheme="majorHAnsi" w:cstheme="minorHAnsi"/>
          <w:lang w:val="ro-MD" w:eastAsia="en-US"/>
        </w:rPr>
        <w:t>e</w:t>
      </w:r>
      <w:r w:rsidR="00082422" w:rsidRPr="00B13B9A">
        <w:rPr>
          <w:rFonts w:asciiTheme="majorHAnsi" w:eastAsiaTheme="minorHAnsi" w:hAnsiTheme="majorHAnsi" w:cstheme="minorHAnsi"/>
          <w:lang w:val="ro-MD" w:eastAsia="en-US"/>
        </w:rPr>
        <w:t>a</w:t>
      </w:r>
      <w:r w:rsidR="00B13B9A" w:rsidRPr="00B13B9A">
        <w:rPr>
          <w:rFonts w:asciiTheme="majorHAnsi" w:eastAsiaTheme="minorHAnsi" w:hAnsiTheme="majorHAnsi" w:cstheme="minorHAnsi"/>
          <w:lang w:val="ro-MD" w:eastAsia="en-US"/>
        </w:rPr>
        <w:t>ș</w:t>
      </w:r>
      <w:r w:rsidR="00082422" w:rsidRPr="00B13B9A">
        <w:rPr>
          <w:rFonts w:asciiTheme="majorHAnsi" w:eastAsiaTheme="minorHAnsi" w:hAnsiTheme="majorHAnsi" w:cstheme="minorHAnsi"/>
          <w:lang w:val="ro-MD" w:eastAsia="en-US"/>
        </w:rPr>
        <w:t>i</w:t>
      </w:r>
      <w:r w:rsidRPr="00B13B9A">
        <w:rPr>
          <w:rFonts w:asciiTheme="majorHAnsi" w:eastAsiaTheme="minorHAnsi" w:hAnsiTheme="majorHAnsi" w:cstheme="minorHAnsi"/>
          <w:lang w:val="ro-MD" w:eastAsia="en-US"/>
        </w:rPr>
        <w:t xml:space="preserve"> perioadă de gestiune, iar potrivit cadrului legal</w:t>
      </w:r>
      <w:r w:rsidRPr="00B13B9A">
        <w:rPr>
          <w:rStyle w:val="a9"/>
          <w:rFonts w:asciiTheme="majorHAnsi" w:eastAsiaTheme="minorHAnsi" w:hAnsiTheme="majorHAnsi" w:cstheme="minorHAnsi"/>
          <w:sz w:val="24"/>
          <w:lang w:val="ro-MD" w:eastAsia="en-US"/>
        </w:rPr>
        <w:footnoteReference w:id="71"/>
      </w:r>
      <w:r w:rsidR="00B36240" w:rsidRPr="00B13B9A">
        <w:rPr>
          <w:rFonts w:asciiTheme="majorHAnsi" w:eastAsiaTheme="minorHAnsi" w:hAnsiTheme="majorHAnsi" w:cstheme="minorHAnsi"/>
          <w:lang w:val="ro-MD" w:eastAsia="en-US"/>
        </w:rPr>
        <w:t>,</w:t>
      </w:r>
      <w:r w:rsidRPr="00B13B9A">
        <w:rPr>
          <w:rFonts w:asciiTheme="majorHAnsi" w:eastAsiaTheme="minorHAnsi" w:hAnsiTheme="majorHAnsi" w:cstheme="minorHAnsi"/>
          <w:lang w:val="ro-MD" w:eastAsia="en-US"/>
        </w:rPr>
        <w:t xml:space="preserve"> faptele economice se înregistrează în temeiul documentelor primare.</w:t>
      </w:r>
      <w:r w:rsidRPr="00B13B9A">
        <w:rPr>
          <w:rFonts w:asciiTheme="majorHAnsi" w:hAnsiTheme="majorHAnsi" w:cstheme="minorHAnsi"/>
          <w:bCs/>
          <w:lang w:val="ro-MD"/>
        </w:rPr>
        <w:t xml:space="preserve"> Astfel, auditul constată că</w:t>
      </w:r>
      <w:r w:rsidR="00B36240" w:rsidRPr="00B13B9A">
        <w:rPr>
          <w:rFonts w:asciiTheme="majorHAnsi" w:hAnsiTheme="majorHAnsi" w:cstheme="minorHAnsi"/>
          <w:bCs/>
          <w:lang w:val="ro-MD"/>
        </w:rPr>
        <w:t>,</w:t>
      </w:r>
      <w:r w:rsidRPr="00B13B9A">
        <w:rPr>
          <w:rFonts w:asciiTheme="majorHAnsi" w:hAnsiTheme="majorHAnsi" w:cstheme="minorHAnsi"/>
          <w:bCs/>
          <w:lang w:val="ro-MD"/>
        </w:rPr>
        <w:t xml:space="preserve"> odată cu utilizarea activelor curente, în special pentru medicamentele provenite din dona</w:t>
      </w:r>
      <w:r w:rsidR="00B13B9A" w:rsidRPr="00B13B9A">
        <w:rPr>
          <w:rFonts w:asciiTheme="majorHAnsi" w:hAnsiTheme="majorHAnsi" w:cstheme="minorHAnsi"/>
          <w:bCs/>
          <w:lang w:val="ro-MD"/>
        </w:rPr>
        <w:t>ț</w:t>
      </w:r>
      <w:r w:rsidRPr="00B13B9A">
        <w:rPr>
          <w:rFonts w:asciiTheme="majorHAnsi" w:hAnsiTheme="majorHAnsi" w:cstheme="minorHAnsi"/>
          <w:bCs/>
          <w:lang w:val="ro-MD"/>
        </w:rPr>
        <w:t>ii, pe parcursul anilor 2021-2022 entitatea recunoa</w:t>
      </w:r>
      <w:r w:rsidR="00B13B9A" w:rsidRPr="00B13B9A">
        <w:rPr>
          <w:rFonts w:asciiTheme="majorHAnsi" w:hAnsiTheme="majorHAnsi" w:cstheme="minorHAnsi"/>
          <w:bCs/>
          <w:lang w:val="ro-MD"/>
        </w:rPr>
        <w:t>ș</w:t>
      </w:r>
      <w:r w:rsidRPr="00B13B9A">
        <w:rPr>
          <w:rFonts w:asciiTheme="majorHAnsi" w:hAnsiTheme="majorHAnsi" w:cstheme="minorHAnsi"/>
          <w:bCs/>
          <w:lang w:val="ro-MD"/>
        </w:rPr>
        <w:t>te cheltuielile aferente, lunar, fără a reflecta concomitent sumele respective de la venituri anticipate la veniturile curente.</w:t>
      </w:r>
      <w:r w:rsidRPr="00B13B9A">
        <w:rPr>
          <w:rFonts w:asciiTheme="majorHAnsi" w:eastAsiaTheme="minorHAnsi" w:hAnsiTheme="majorHAnsi" w:cstheme="minorHAnsi"/>
          <w:lang w:val="ro-MD" w:eastAsia="en-US"/>
        </w:rPr>
        <w:t xml:space="preserve"> Totodată, auditul denotă că IMSP a recunoscut veniturile curente aferente bunurilor donate în lipsa documentelor primare. Astfel, rezultatul financiar a fost ajustat în a</w:t>
      </w:r>
      <w:r w:rsidR="00B13B9A" w:rsidRPr="00B13B9A">
        <w:rPr>
          <w:rFonts w:asciiTheme="majorHAnsi" w:eastAsiaTheme="minorHAnsi" w:hAnsiTheme="majorHAnsi" w:cstheme="minorHAnsi"/>
          <w:lang w:val="ro-MD" w:eastAsia="en-US"/>
        </w:rPr>
        <w:t>ș</w:t>
      </w:r>
      <w:r w:rsidRPr="00B13B9A">
        <w:rPr>
          <w:rFonts w:asciiTheme="majorHAnsi" w:eastAsiaTheme="minorHAnsi" w:hAnsiTheme="majorHAnsi" w:cstheme="minorHAnsi"/>
          <w:lang w:val="ro-MD" w:eastAsia="en-US"/>
        </w:rPr>
        <w:t xml:space="preserve">a fel ca valoarea veniturilor </w:t>
      </w:r>
      <w:r w:rsidR="00B13B9A" w:rsidRPr="00B13B9A">
        <w:rPr>
          <w:rFonts w:asciiTheme="majorHAnsi" w:eastAsiaTheme="minorHAnsi" w:hAnsiTheme="majorHAnsi" w:cstheme="minorHAnsi"/>
          <w:lang w:val="ro-MD" w:eastAsia="en-US"/>
        </w:rPr>
        <w:t>ș</w:t>
      </w:r>
      <w:r w:rsidRPr="00B13B9A">
        <w:rPr>
          <w:rFonts w:asciiTheme="majorHAnsi" w:eastAsiaTheme="minorHAnsi" w:hAnsiTheme="majorHAnsi" w:cstheme="minorHAnsi"/>
          <w:lang w:val="ro-MD" w:eastAsia="en-US"/>
        </w:rPr>
        <w:t xml:space="preserve">i </w:t>
      </w:r>
      <w:r w:rsidR="003E1FB0" w:rsidRPr="00B13B9A">
        <w:rPr>
          <w:rFonts w:asciiTheme="majorHAnsi" w:eastAsiaTheme="minorHAnsi" w:hAnsiTheme="majorHAnsi" w:cstheme="minorHAnsi"/>
          <w:lang w:val="ro-MD" w:eastAsia="en-US"/>
        </w:rPr>
        <w:t xml:space="preserve">cea a </w:t>
      </w:r>
      <w:r w:rsidRPr="00B13B9A">
        <w:rPr>
          <w:rFonts w:asciiTheme="majorHAnsi" w:eastAsiaTheme="minorHAnsi" w:hAnsiTheme="majorHAnsi" w:cstheme="minorHAnsi"/>
          <w:lang w:val="ro-MD" w:eastAsia="en-US"/>
        </w:rPr>
        <w:t xml:space="preserve">cheltuielilor să fie egale </w:t>
      </w:r>
      <w:r w:rsidRPr="00B13B9A">
        <w:rPr>
          <w:rFonts w:asciiTheme="majorHAnsi" w:eastAsiaTheme="minorHAnsi" w:hAnsiTheme="majorHAnsi" w:cstheme="minorHAnsi"/>
          <w:i/>
          <w:lang w:val="ro-MD" w:eastAsia="en-US"/>
        </w:rPr>
        <w:t>(prin reflectarea trimestrială la venituri curente a valorii veniturilor anticipate</w:t>
      </w:r>
      <w:r w:rsidR="003E1FB0" w:rsidRPr="00B13B9A">
        <w:rPr>
          <w:rFonts w:asciiTheme="majorHAnsi" w:eastAsiaTheme="minorHAnsi" w:hAnsiTheme="majorHAnsi" w:cstheme="minorHAnsi"/>
          <w:i/>
          <w:lang w:val="ro-MD" w:eastAsia="en-US"/>
        </w:rPr>
        <w:t>,</w:t>
      </w:r>
      <w:r w:rsidRPr="00B13B9A">
        <w:rPr>
          <w:rFonts w:asciiTheme="majorHAnsi" w:eastAsiaTheme="minorHAnsi" w:hAnsiTheme="majorHAnsi" w:cstheme="minorHAnsi"/>
          <w:i/>
          <w:lang w:val="ro-MD" w:eastAsia="en-US"/>
        </w:rPr>
        <w:t xml:space="preserve"> egale cu diferen</w:t>
      </w:r>
      <w:r w:rsidR="00B13B9A" w:rsidRPr="00B13B9A">
        <w:rPr>
          <w:rFonts w:asciiTheme="majorHAnsi" w:eastAsiaTheme="minorHAnsi" w:hAnsiTheme="majorHAnsi" w:cstheme="minorHAnsi"/>
          <w:i/>
          <w:lang w:val="ro-MD" w:eastAsia="en-US"/>
        </w:rPr>
        <w:t>ț</w:t>
      </w:r>
      <w:r w:rsidRPr="00B13B9A">
        <w:rPr>
          <w:rFonts w:asciiTheme="majorHAnsi" w:eastAsiaTheme="minorHAnsi" w:hAnsiTheme="majorHAnsi" w:cstheme="minorHAnsi"/>
          <w:i/>
          <w:lang w:val="ro-MD" w:eastAsia="en-US"/>
        </w:rPr>
        <w:t xml:space="preserve">a dintre suma totală a veniturilor curente </w:t>
      </w:r>
      <w:r w:rsidR="00B13B9A" w:rsidRPr="00B13B9A">
        <w:rPr>
          <w:rFonts w:asciiTheme="majorHAnsi" w:eastAsiaTheme="minorHAnsi" w:hAnsiTheme="majorHAnsi" w:cstheme="minorHAnsi"/>
          <w:i/>
          <w:lang w:val="ro-MD" w:eastAsia="en-US"/>
        </w:rPr>
        <w:t>ș</w:t>
      </w:r>
      <w:r w:rsidRPr="00B13B9A">
        <w:rPr>
          <w:rFonts w:asciiTheme="majorHAnsi" w:eastAsiaTheme="minorHAnsi" w:hAnsiTheme="majorHAnsi" w:cstheme="minorHAnsi"/>
          <w:i/>
          <w:lang w:val="ro-MD" w:eastAsia="en-US"/>
        </w:rPr>
        <w:t xml:space="preserve">i </w:t>
      </w:r>
      <w:r w:rsidR="003E1FB0" w:rsidRPr="00B13B9A">
        <w:rPr>
          <w:rFonts w:asciiTheme="majorHAnsi" w:eastAsiaTheme="minorHAnsi" w:hAnsiTheme="majorHAnsi" w:cstheme="minorHAnsi"/>
          <w:i/>
          <w:lang w:val="ro-MD" w:eastAsia="en-US"/>
        </w:rPr>
        <w:t xml:space="preserve">cea </w:t>
      </w:r>
      <w:r w:rsidRPr="00B13B9A">
        <w:rPr>
          <w:rFonts w:asciiTheme="majorHAnsi" w:eastAsiaTheme="minorHAnsi" w:hAnsiTheme="majorHAnsi" w:cstheme="minorHAnsi"/>
          <w:i/>
          <w:lang w:val="ro-MD" w:eastAsia="en-US"/>
        </w:rPr>
        <w:t>a cheltuielilor curente</w:t>
      </w:r>
      <w:r w:rsidRPr="00B13B9A">
        <w:rPr>
          <w:rFonts w:asciiTheme="majorHAnsi" w:eastAsiaTheme="minorHAnsi" w:hAnsiTheme="majorHAnsi" w:cstheme="minorHAnsi"/>
          <w:lang w:val="ro-MD" w:eastAsia="en-US"/>
        </w:rPr>
        <w:t>).</w:t>
      </w:r>
    </w:p>
    <w:p w14:paraId="71BD1008" w14:textId="77777777" w:rsidR="00E713CB" w:rsidRPr="00B13B9A" w:rsidRDefault="00E713CB" w:rsidP="00E713CB">
      <w:pPr>
        <w:pStyle w:val="cn"/>
        <w:spacing w:line="276" w:lineRule="auto"/>
        <w:ind w:right="71"/>
        <w:jc w:val="both"/>
        <w:rPr>
          <w:rFonts w:asciiTheme="majorHAnsi" w:eastAsiaTheme="minorHAnsi" w:hAnsiTheme="majorHAnsi" w:cstheme="minorHAnsi"/>
          <w:lang w:val="ro-MD" w:eastAsia="en-US"/>
        </w:rPr>
      </w:pPr>
    </w:p>
    <w:p w14:paraId="7D1CE9A1" w14:textId="0A3D57AB" w:rsidR="00082422" w:rsidRPr="00B13B9A" w:rsidRDefault="00E713CB" w:rsidP="00082422">
      <w:pPr>
        <w:spacing w:after="0" w:line="276" w:lineRule="auto"/>
        <w:ind w:right="71"/>
        <w:jc w:val="both"/>
        <w:rPr>
          <w:rFonts w:asciiTheme="majorHAnsi" w:eastAsia="Times New Roman" w:hAnsiTheme="majorHAnsi" w:cstheme="minorHAnsi"/>
          <w:bCs/>
          <w:color w:val="000000" w:themeColor="text1"/>
          <w:sz w:val="24"/>
          <w:szCs w:val="24"/>
          <w:lang w:val="ro-MD" w:eastAsia="ru-RU"/>
        </w:rPr>
      </w:pPr>
      <w:r w:rsidRPr="00B13B9A">
        <w:rPr>
          <w:rFonts w:asciiTheme="majorHAnsi" w:eastAsia="Times New Roman" w:hAnsiTheme="majorHAnsi" w:cstheme="minorHAnsi"/>
          <w:bCs/>
          <w:sz w:val="24"/>
          <w:szCs w:val="24"/>
          <w:lang w:val="ro-MD" w:eastAsia="ru-RU"/>
        </w:rPr>
        <w:t>Astfel, reie</w:t>
      </w:r>
      <w:r w:rsidR="00B13B9A" w:rsidRPr="00B13B9A">
        <w:rPr>
          <w:rFonts w:asciiTheme="majorHAnsi" w:eastAsia="Times New Roman" w:hAnsiTheme="majorHAnsi" w:cstheme="minorHAnsi"/>
          <w:bCs/>
          <w:sz w:val="24"/>
          <w:szCs w:val="24"/>
          <w:lang w:val="ro-MD" w:eastAsia="ru-RU"/>
        </w:rPr>
        <w:t>ș</w:t>
      </w:r>
      <w:r w:rsidRPr="00B13B9A">
        <w:rPr>
          <w:rFonts w:asciiTheme="majorHAnsi" w:eastAsia="Times New Roman" w:hAnsiTheme="majorHAnsi" w:cstheme="minorHAnsi"/>
          <w:bCs/>
          <w:sz w:val="24"/>
          <w:szCs w:val="24"/>
          <w:lang w:val="ro-MD" w:eastAsia="ru-RU"/>
        </w:rPr>
        <w:t>ind din lipsa documentelor primare, auditul a evaluat indirect valoarea veniturilor anticipate, care nu a fost trecut</w:t>
      </w:r>
      <w:r w:rsidR="003E1FB0" w:rsidRPr="00B13B9A">
        <w:rPr>
          <w:rFonts w:asciiTheme="majorHAnsi" w:eastAsia="Times New Roman" w:hAnsiTheme="majorHAnsi" w:cstheme="minorHAnsi"/>
          <w:bCs/>
          <w:sz w:val="24"/>
          <w:szCs w:val="24"/>
          <w:lang w:val="ro-MD" w:eastAsia="ru-RU"/>
        </w:rPr>
        <w:t>ă</w:t>
      </w:r>
      <w:r w:rsidRPr="00B13B9A">
        <w:rPr>
          <w:rFonts w:asciiTheme="majorHAnsi" w:eastAsia="Times New Roman" w:hAnsiTheme="majorHAnsi" w:cstheme="minorHAnsi"/>
          <w:bCs/>
          <w:sz w:val="24"/>
          <w:szCs w:val="24"/>
          <w:lang w:val="ro-MD" w:eastAsia="ru-RU"/>
        </w:rPr>
        <w:t xml:space="preserve"> la veniturile curente, reie</w:t>
      </w:r>
      <w:r w:rsidR="00B13B9A" w:rsidRPr="00B13B9A">
        <w:rPr>
          <w:rFonts w:asciiTheme="majorHAnsi" w:eastAsia="Times New Roman" w:hAnsiTheme="majorHAnsi" w:cstheme="minorHAnsi"/>
          <w:bCs/>
          <w:sz w:val="24"/>
          <w:szCs w:val="24"/>
          <w:lang w:val="ro-MD" w:eastAsia="ru-RU"/>
        </w:rPr>
        <w:t>ș</w:t>
      </w:r>
      <w:r w:rsidRPr="00B13B9A">
        <w:rPr>
          <w:rFonts w:asciiTheme="majorHAnsi" w:eastAsia="Times New Roman" w:hAnsiTheme="majorHAnsi" w:cstheme="minorHAnsi"/>
          <w:bCs/>
          <w:sz w:val="24"/>
          <w:szCs w:val="24"/>
          <w:lang w:val="ro-MD" w:eastAsia="ru-RU"/>
        </w:rPr>
        <w:t xml:space="preserve">ind din valoarea activelor curente primite ca </w:t>
      </w:r>
      <w:r w:rsidRPr="00B13B9A">
        <w:rPr>
          <w:rFonts w:asciiTheme="majorHAnsi" w:eastAsia="Times New Roman" w:hAnsiTheme="majorHAnsi" w:cstheme="minorHAnsi"/>
          <w:bCs/>
          <w:color w:val="000000" w:themeColor="text1"/>
          <w:sz w:val="24"/>
          <w:szCs w:val="24"/>
          <w:lang w:val="ro-MD" w:eastAsia="ru-RU"/>
        </w:rPr>
        <w:t>dona</w:t>
      </w:r>
      <w:r w:rsidR="00B13B9A" w:rsidRPr="00B13B9A">
        <w:rPr>
          <w:rFonts w:asciiTheme="majorHAnsi" w:eastAsia="Times New Roman" w:hAnsiTheme="majorHAnsi" w:cstheme="minorHAnsi"/>
          <w:bCs/>
          <w:color w:val="000000" w:themeColor="text1"/>
          <w:sz w:val="24"/>
          <w:szCs w:val="24"/>
          <w:lang w:val="ro-MD" w:eastAsia="ru-RU"/>
        </w:rPr>
        <w:t>ț</w:t>
      </w:r>
      <w:r w:rsidRPr="00B13B9A">
        <w:rPr>
          <w:rFonts w:asciiTheme="majorHAnsi" w:eastAsia="Times New Roman" w:hAnsiTheme="majorHAnsi" w:cstheme="minorHAnsi"/>
          <w:bCs/>
          <w:color w:val="000000" w:themeColor="text1"/>
          <w:sz w:val="24"/>
          <w:szCs w:val="24"/>
          <w:lang w:val="ro-MD" w:eastAsia="ru-RU"/>
        </w:rPr>
        <w:t>ii, în corelare cu veniturile anticipate pe termen lung</w:t>
      </w:r>
      <w:r w:rsidR="004C3370">
        <w:rPr>
          <w:rFonts w:asciiTheme="majorHAnsi" w:eastAsia="Times New Roman" w:hAnsiTheme="majorHAnsi" w:cstheme="minorHAnsi"/>
          <w:bCs/>
          <w:color w:val="000000" w:themeColor="text1"/>
          <w:sz w:val="24"/>
          <w:szCs w:val="24"/>
          <w:lang w:val="ro-MD" w:eastAsia="ru-RU"/>
        </w:rPr>
        <w:t xml:space="preserve"> și pe termen scurt</w:t>
      </w:r>
      <w:r w:rsidRPr="00B13B9A">
        <w:rPr>
          <w:rFonts w:asciiTheme="majorHAnsi" w:eastAsia="Times New Roman" w:hAnsiTheme="majorHAnsi" w:cstheme="minorHAnsi"/>
          <w:bCs/>
          <w:color w:val="000000" w:themeColor="text1"/>
          <w:sz w:val="24"/>
          <w:szCs w:val="24"/>
          <w:lang w:val="ro-MD" w:eastAsia="ru-RU"/>
        </w:rPr>
        <w:t xml:space="preserve">. Se denotă că cele din urmă prevalează cu </w:t>
      </w:r>
      <w:r w:rsidRPr="00B13B9A">
        <w:rPr>
          <w:rFonts w:asciiTheme="majorHAnsi" w:eastAsia="Times New Roman" w:hAnsiTheme="majorHAnsi" w:cstheme="majorHAnsi"/>
          <w:color w:val="000000" w:themeColor="text1"/>
          <w:sz w:val="24"/>
          <w:szCs w:val="24"/>
          <w:lang w:val="ro-MD" w:eastAsia="ru-RU"/>
        </w:rPr>
        <w:t>63 337,0</w:t>
      </w:r>
      <w:r w:rsidRPr="00B13B9A">
        <w:rPr>
          <w:rFonts w:asciiTheme="majorHAnsi" w:eastAsia="Times New Roman" w:hAnsiTheme="majorHAnsi" w:cstheme="minorHAnsi"/>
          <w:bCs/>
          <w:color w:val="000000" w:themeColor="text1"/>
          <w:sz w:val="24"/>
          <w:szCs w:val="24"/>
          <w:lang w:val="ro-MD" w:eastAsia="ru-RU"/>
        </w:rPr>
        <w:t xml:space="preserve"> mii lei, ceea ce indică riscul subevaluării veniturilor curente ale perioadelor precedente anului 2023.</w:t>
      </w:r>
    </w:p>
    <w:p w14:paraId="593BC6E3" w14:textId="77777777" w:rsidR="00E713CB" w:rsidRPr="00B13B9A" w:rsidRDefault="00E713CB" w:rsidP="00082422">
      <w:pPr>
        <w:spacing w:after="0" w:line="276" w:lineRule="auto"/>
        <w:ind w:right="71"/>
        <w:jc w:val="right"/>
        <w:rPr>
          <w:rFonts w:asciiTheme="majorHAnsi" w:hAnsiTheme="majorHAnsi" w:cstheme="minorHAnsi"/>
          <w:b/>
          <w:bCs/>
          <w:sz w:val="24"/>
          <w:szCs w:val="24"/>
          <w:lang w:val="ro-MD"/>
        </w:rPr>
      </w:pPr>
      <w:r w:rsidRPr="00B13B9A">
        <w:rPr>
          <w:rFonts w:asciiTheme="majorHAnsi" w:hAnsiTheme="majorHAnsi" w:cstheme="minorHAnsi"/>
          <w:b/>
          <w:bCs/>
          <w:sz w:val="24"/>
          <w:szCs w:val="24"/>
          <w:lang w:val="ro-MD"/>
        </w:rPr>
        <w:t>Tabel nr.</w:t>
      </w:r>
      <w:r w:rsidR="00D37D8A" w:rsidRPr="00B13B9A">
        <w:rPr>
          <w:rFonts w:asciiTheme="majorHAnsi" w:hAnsiTheme="majorHAnsi" w:cstheme="minorHAnsi"/>
          <w:b/>
          <w:bCs/>
          <w:sz w:val="24"/>
          <w:szCs w:val="24"/>
          <w:lang w:val="ro-MD"/>
        </w:rPr>
        <w:t>5</w:t>
      </w:r>
    </w:p>
    <w:p w14:paraId="6549E6FA" w14:textId="271E8DC4" w:rsidR="00E713CB" w:rsidRPr="00B13B9A" w:rsidRDefault="00E713CB" w:rsidP="00E713CB">
      <w:pPr>
        <w:spacing w:after="0" w:line="276" w:lineRule="auto"/>
        <w:jc w:val="center"/>
        <w:rPr>
          <w:rFonts w:asciiTheme="majorHAnsi" w:hAnsiTheme="majorHAnsi" w:cstheme="minorHAnsi"/>
          <w:b/>
          <w:bCs/>
          <w:sz w:val="24"/>
          <w:szCs w:val="24"/>
          <w:lang w:val="ro-MD"/>
        </w:rPr>
      </w:pPr>
      <w:r w:rsidRPr="00B13B9A">
        <w:rPr>
          <w:rFonts w:asciiTheme="majorHAnsi" w:hAnsiTheme="majorHAnsi" w:cstheme="minorHAnsi"/>
          <w:b/>
          <w:bCs/>
          <w:sz w:val="24"/>
          <w:szCs w:val="24"/>
          <w:lang w:val="ro-MD"/>
        </w:rPr>
        <w:t>Informa</w:t>
      </w:r>
      <w:r w:rsidR="00B13B9A" w:rsidRPr="00B13B9A">
        <w:rPr>
          <w:rFonts w:asciiTheme="majorHAnsi" w:hAnsiTheme="majorHAnsi" w:cstheme="minorHAnsi"/>
          <w:b/>
          <w:bCs/>
          <w:sz w:val="24"/>
          <w:szCs w:val="24"/>
          <w:lang w:val="ro-MD"/>
        </w:rPr>
        <w:t>ț</w:t>
      </w:r>
      <w:r w:rsidRPr="00B13B9A">
        <w:rPr>
          <w:rFonts w:asciiTheme="majorHAnsi" w:hAnsiTheme="majorHAnsi" w:cstheme="minorHAnsi"/>
          <w:b/>
          <w:bCs/>
          <w:sz w:val="24"/>
          <w:szCs w:val="24"/>
          <w:lang w:val="ro-MD"/>
        </w:rPr>
        <w:t xml:space="preserve">ii privind soldul activelor </w:t>
      </w:r>
      <w:r w:rsidR="00B13B9A" w:rsidRPr="00B13B9A">
        <w:rPr>
          <w:rFonts w:asciiTheme="majorHAnsi" w:hAnsiTheme="majorHAnsi" w:cstheme="minorHAnsi"/>
          <w:b/>
          <w:bCs/>
          <w:sz w:val="24"/>
          <w:szCs w:val="24"/>
          <w:lang w:val="ro-MD"/>
        </w:rPr>
        <w:t>ș</w:t>
      </w:r>
      <w:r w:rsidRPr="00B13B9A">
        <w:rPr>
          <w:rFonts w:asciiTheme="majorHAnsi" w:hAnsiTheme="majorHAnsi" w:cstheme="minorHAnsi"/>
          <w:b/>
          <w:bCs/>
          <w:sz w:val="24"/>
          <w:szCs w:val="24"/>
          <w:lang w:val="ro-MD"/>
        </w:rPr>
        <w:t>i pasivelor aferente dona</w:t>
      </w:r>
      <w:r w:rsidR="00B13B9A" w:rsidRPr="00B13B9A">
        <w:rPr>
          <w:rFonts w:asciiTheme="majorHAnsi" w:hAnsiTheme="majorHAnsi" w:cstheme="minorHAnsi"/>
          <w:b/>
          <w:bCs/>
          <w:sz w:val="24"/>
          <w:szCs w:val="24"/>
          <w:lang w:val="ro-MD"/>
        </w:rPr>
        <w:t>ț</w:t>
      </w:r>
      <w:r w:rsidRPr="00B13B9A">
        <w:rPr>
          <w:rFonts w:asciiTheme="majorHAnsi" w:hAnsiTheme="majorHAnsi" w:cstheme="minorHAnsi"/>
          <w:b/>
          <w:bCs/>
          <w:sz w:val="24"/>
          <w:szCs w:val="24"/>
          <w:lang w:val="ro-MD"/>
        </w:rPr>
        <w:t>iilor la 30.06.2023</w:t>
      </w:r>
      <w:r w:rsidR="00082422" w:rsidRPr="00B13B9A">
        <w:rPr>
          <w:rFonts w:asciiTheme="majorHAnsi" w:hAnsiTheme="majorHAnsi" w:cstheme="minorHAnsi"/>
          <w:b/>
          <w:bCs/>
          <w:sz w:val="24"/>
          <w:szCs w:val="24"/>
          <w:lang w:val="ro-MD"/>
        </w:rPr>
        <w:t>, mii lei</w:t>
      </w:r>
    </w:p>
    <w:tbl>
      <w:tblPr>
        <w:tblW w:w="9209" w:type="dxa"/>
        <w:tblLook w:val="04A0" w:firstRow="1" w:lastRow="0" w:firstColumn="1" w:lastColumn="0" w:noHBand="0" w:noVBand="1"/>
      </w:tblPr>
      <w:tblGrid>
        <w:gridCol w:w="5807"/>
        <w:gridCol w:w="960"/>
        <w:gridCol w:w="2442"/>
      </w:tblGrid>
      <w:tr w:rsidR="00E713CB" w:rsidRPr="00B13B9A" w14:paraId="3B32FBBE" w14:textId="77777777" w:rsidTr="00F431A2">
        <w:trPr>
          <w:trHeight w:val="20"/>
        </w:trPr>
        <w:tc>
          <w:tcPr>
            <w:tcW w:w="5807" w:type="dxa"/>
            <w:tcBorders>
              <w:top w:val="single" w:sz="4" w:space="0" w:color="auto"/>
              <w:left w:val="single" w:sz="4" w:space="0" w:color="auto"/>
              <w:bottom w:val="single" w:sz="4" w:space="0" w:color="auto"/>
              <w:right w:val="single" w:sz="4" w:space="0" w:color="auto"/>
            </w:tcBorders>
            <w:shd w:val="clear" w:color="auto" w:fill="auto"/>
            <w:vAlign w:val="center"/>
          </w:tcPr>
          <w:p w14:paraId="5F2EEFF7" w14:textId="77777777" w:rsidR="00E713CB" w:rsidRPr="00B13B9A" w:rsidRDefault="00E713CB" w:rsidP="00B00556">
            <w:pPr>
              <w:spacing w:after="0" w:line="240" w:lineRule="auto"/>
              <w:contextualSpacing/>
              <w:jc w:val="center"/>
              <w:rPr>
                <w:rFonts w:asciiTheme="majorHAnsi" w:eastAsia="Times New Roman" w:hAnsiTheme="majorHAnsi" w:cstheme="majorHAnsi"/>
                <w:b/>
                <w:color w:val="000000"/>
                <w:sz w:val="20"/>
                <w:szCs w:val="20"/>
                <w:lang w:val="ro-MD"/>
              </w:rPr>
            </w:pPr>
            <w:r w:rsidRPr="00B13B9A">
              <w:rPr>
                <w:rFonts w:asciiTheme="majorHAnsi" w:eastAsia="Times New Roman" w:hAnsiTheme="majorHAnsi" w:cstheme="majorHAnsi"/>
                <w:b/>
                <w:color w:val="000000"/>
                <w:sz w:val="20"/>
                <w:szCs w:val="20"/>
                <w:lang w:val="ro-MD"/>
              </w:rPr>
              <w:t>Denumirea contului</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B8CD32" w14:textId="77777777" w:rsidR="00E713CB" w:rsidRPr="00B13B9A" w:rsidRDefault="00E713CB" w:rsidP="00B00556">
            <w:pPr>
              <w:spacing w:after="0" w:line="240" w:lineRule="auto"/>
              <w:contextualSpacing/>
              <w:jc w:val="center"/>
              <w:rPr>
                <w:rFonts w:asciiTheme="majorHAnsi" w:eastAsia="Times New Roman" w:hAnsiTheme="majorHAnsi" w:cstheme="majorHAnsi"/>
                <w:b/>
                <w:color w:val="000000"/>
                <w:sz w:val="20"/>
                <w:szCs w:val="20"/>
                <w:lang w:val="ro-MD"/>
              </w:rPr>
            </w:pPr>
            <w:r w:rsidRPr="00B13B9A">
              <w:rPr>
                <w:rFonts w:asciiTheme="majorHAnsi" w:eastAsia="Times New Roman" w:hAnsiTheme="majorHAnsi" w:cstheme="majorHAnsi"/>
                <w:b/>
                <w:color w:val="000000"/>
                <w:sz w:val="20"/>
                <w:szCs w:val="20"/>
                <w:lang w:val="ro-MD"/>
              </w:rPr>
              <w:t>Cont</w:t>
            </w:r>
          </w:p>
        </w:tc>
        <w:tc>
          <w:tcPr>
            <w:tcW w:w="2442" w:type="dxa"/>
            <w:tcBorders>
              <w:top w:val="single" w:sz="4" w:space="0" w:color="auto"/>
              <w:left w:val="nil"/>
              <w:bottom w:val="single" w:sz="4" w:space="0" w:color="auto"/>
              <w:right w:val="single" w:sz="4" w:space="0" w:color="auto"/>
            </w:tcBorders>
            <w:shd w:val="clear" w:color="auto" w:fill="auto"/>
            <w:noWrap/>
            <w:vAlign w:val="center"/>
            <w:hideMark/>
          </w:tcPr>
          <w:p w14:paraId="1AA4B150" w14:textId="7E43EE51" w:rsidR="00E713CB" w:rsidRPr="00B13B9A" w:rsidRDefault="00E713CB" w:rsidP="00B00556">
            <w:pPr>
              <w:spacing w:after="0" w:line="240" w:lineRule="auto"/>
              <w:contextualSpacing/>
              <w:jc w:val="center"/>
              <w:rPr>
                <w:rFonts w:asciiTheme="majorHAnsi" w:eastAsia="Times New Roman" w:hAnsiTheme="majorHAnsi" w:cstheme="majorHAnsi"/>
                <w:b/>
                <w:color w:val="000000"/>
                <w:sz w:val="20"/>
                <w:szCs w:val="20"/>
                <w:lang w:val="ro-MD"/>
              </w:rPr>
            </w:pPr>
            <w:r w:rsidRPr="00B13B9A">
              <w:rPr>
                <w:rFonts w:asciiTheme="majorHAnsi" w:eastAsia="Times New Roman" w:hAnsiTheme="majorHAnsi" w:cstheme="majorHAnsi"/>
                <w:b/>
                <w:color w:val="000000"/>
                <w:sz w:val="20"/>
                <w:szCs w:val="20"/>
                <w:lang w:val="ro-MD"/>
              </w:rPr>
              <w:t xml:space="preserve">Sold </w:t>
            </w:r>
            <w:r w:rsidR="003E1FB0" w:rsidRPr="00B13B9A">
              <w:rPr>
                <w:rFonts w:asciiTheme="majorHAnsi" w:eastAsia="Times New Roman" w:hAnsiTheme="majorHAnsi" w:cstheme="majorHAnsi"/>
                <w:b/>
                <w:color w:val="000000"/>
                <w:sz w:val="20"/>
                <w:szCs w:val="20"/>
                <w:lang w:val="ro-MD"/>
              </w:rPr>
              <w:t xml:space="preserve">la </w:t>
            </w:r>
            <w:r w:rsidRPr="00B13B9A">
              <w:rPr>
                <w:rFonts w:asciiTheme="majorHAnsi" w:eastAsia="Times New Roman" w:hAnsiTheme="majorHAnsi" w:cstheme="majorHAnsi"/>
                <w:b/>
                <w:color w:val="000000"/>
                <w:sz w:val="20"/>
                <w:szCs w:val="20"/>
                <w:lang w:val="ro-MD"/>
              </w:rPr>
              <w:t>30.06.2023</w:t>
            </w:r>
          </w:p>
        </w:tc>
      </w:tr>
      <w:tr w:rsidR="00E713CB" w:rsidRPr="00B13B9A" w14:paraId="4023A182" w14:textId="77777777" w:rsidTr="00F431A2">
        <w:trPr>
          <w:trHeight w:val="20"/>
        </w:trPr>
        <w:tc>
          <w:tcPr>
            <w:tcW w:w="5807" w:type="dxa"/>
            <w:tcBorders>
              <w:top w:val="single" w:sz="4" w:space="0" w:color="auto"/>
              <w:left w:val="single" w:sz="4" w:space="0" w:color="auto"/>
              <w:bottom w:val="single" w:sz="4" w:space="0" w:color="auto"/>
              <w:right w:val="single" w:sz="4" w:space="0" w:color="auto"/>
            </w:tcBorders>
            <w:shd w:val="clear" w:color="auto" w:fill="auto"/>
            <w:vAlign w:val="center"/>
          </w:tcPr>
          <w:p w14:paraId="2DF06BE9" w14:textId="77777777" w:rsidR="00E713CB" w:rsidRPr="00B13B9A" w:rsidRDefault="00E713CB" w:rsidP="00B00556">
            <w:pPr>
              <w:spacing w:after="0" w:line="240" w:lineRule="auto"/>
              <w:contextualSpacing/>
              <w:rPr>
                <w:rFonts w:asciiTheme="majorHAnsi" w:hAnsiTheme="majorHAnsi" w:cstheme="majorHAnsi"/>
                <w:bCs/>
                <w:sz w:val="20"/>
                <w:szCs w:val="20"/>
                <w:lang w:val="ro-MD"/>
              </w:rPr>
            </w:pPr>
            <w:r w:rsidRPr="00B13B9A">
              <w:rPr>
                <w:rFonts w:asciiTheme="majorHAnsi" w:hAnsiTheme="majorHAnsi" w:cstheme="majorHAnsi"/>
                <w:bCs/>
                <w:sz w:val="20"/>
                <w:szCs w:val="20"/>
                <w:lang w:val="ro-MD"/>
              </w:rPr>
              <w:t>Materiale</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6892D9" w14:textId="77777777" w:rsidR="00E713CB" w:rsidRPr="00B13B9A" w:rsidRDefault="00E713CB" w:rsidP="00B00556">
            <w:pPr>
              <w:spacing w:after="0" w:line="240" w:lineRule="auto"/>
              <w:contextualSpacing/>
              <w:jc w:val="center"/>
              <w:rPr>
                <w:rFonts w:asciiTheme="majorHAnsi" w:hAnsiTheme="majorHAnsi" w:cstheme="majorHAnsi"/>
                <w:color w:val="000000"/>
                <w:sz w:val="20"/>
                <w:szCs w:val="20"/>
                <w:lang w:val="ro-MD"/>
              </w:rPr>
            </w:pPr>
            <w:r w:rsidRPr="00B13B9A">
              <w:rPr>
                <w:rFonts w:asciiTheme="majorHAnsi" w:hAnsiTheme="majorHAnsi" w:cstheme="majorHAnsi"/>
                <w:color w:val="000000"/>
                <w:sz w:val="20"/>
                <w:szCs w:val="20"/>
                <w:lang w:val="ro-MD"/>
              </w:rPr>
              <w:t>211</w:t>
            </w:r>
          </w:p>
        </w:tc>
        <w:tc>
          <w:tcPr>
            <w:tcW w:w="2442" w:type="dxa"/>
            <w:tcBorders>
              <w:top w:val="single" w:sz="4" w:space="0" w:color="auto"/>
              <w:left w:val="nil"/>
              <w:bottom w:val="single" w:sz="4" w:space="0" w:color="auto"/>
              <w:right w:val="single" w:sz="4" w:space="0" w:color="auto"/>
            </w:tcBorders>
            <w:shd w:val="clear" w:color="auto" w:fill="auto"/>
            <w:noWrap/>
            <w:vAlign w:val="center"/>
          </w:tcPr>
          <w:p w14:paraId="75D67A6D" w14:textId="77777777" w:rsidR="00E713CB" w:rsidRPr="00B13B9A" w:rsidRDefault="00E713CB" w:rsidP="00B00556">
            <w:pPr>
              <w:spacing w:after="0" w:line="240" w:lineRule="auto"/>
              <w:contextualSpacing/>
              <w:jc w:val="right"/>
              <w:rPr>
                <w:rFonts w:asciiTheme="majorHAnsi" w:hAnsiTheme="majorHAnsi" w:cstheme="majorHAnsi"/>
                <w:color w:val="000000"/>
                <w:sz w:val="20"/>
                <w:szCs w:val="20"/>
                <w:lang w:val="ro-MD"/>
              </w:rPr>
            </w:pPr>
            <w:r w:rsidRPr="00B13B9A">
              <w:rPr>
                <w:rFonts w:asciiTheme="majorHAnsi" w:hAnsiTheme="majorHAnsi" w:cstheme="majorHAnsi"/>
                <w:color w:val="000000"/>
                <w:sz w:val="20"/>
                <w:szCs w:val="20"/>
                <w:lang w:val="ro-MD"/>
              </w:rPr>
              <w:t>20.451,8</w:t>
            </w:r>
          </w:p>
        </w:tc>
      </w:tr>
      <w:tr w:rsidR="00E713CB" w:rsidRPr="00B13B9A" w14:paraId="44996D45" w14:textId="77777777" w:rsidTr="00F431A2">
        <w:trPr>
          <w:trHeight w:val="20"/>
        </w:trPr>
        <w:tc>
          <w:tcPr>
            <w:tcW w:w="5807" w:type="dxa"/>
            <w:tcBorders>
              <w:top w:val="single" w:sz="4" w:space="0" w:color="auto"/>
              <w:left w:val="single" w:sz="4" w:space="0" w:color="auto"/>
              <w:bottom w:val="single" w:sz="4" w:space="0" w:color="auto"/>
              <w:right w:val="single" w:sz="4" w:space="0" w:color="auto"/>
            </w:tcBorders>
            <w:shd w:val="clear" w:color="auto" w:fill="auto"/>
            <w:vAlign w:val="center"/>
          </w:tcPr>
          <w:p w14:paraId="31F7C015" w14:textId="77777777" w:rsidR="00E713CB" w:rsidRPr="00B13B9A" w:rsidRDefault="00E713CB" w:rsidP="00B00556">
            <w:pPr>
              <w:spacing w:after="0" w:line="240" w:lineRule="auto"/>
              <w:contextualSpacing/>
              <w:rPr>
                <w:rFonts w:asciiTheme="majorHAnsi" w:hAnsiTheme="majorHAnsi" w:cstheme="majorHAnsi"/>
                <w:bCs/>
                <w:sz w:val="20"/>
                <w:szCs w:val="20"/>
                <w:lang w:val="ro-MD"/>
              </w:rPr>
            </w:pPr>
            <w:r w:rsidRPr="00B13B9A">
              <w:rPr>
                <w:rFonts w:asciiTheme="majorHAnsi" w:hAnsiTheme="majorHAnsi" w:cstheme="majorHAnsi"/>
                <w:bCs/>
                <w:sz w:val="20"/>
                <w:szCs w:val="20"/>
                <w:lang w:val="ro-MD"/>
              </w:rPr>
              <w:t>OMVSD</w:t>
            </w:r>
          </w:p>
        </w:tc>
        <w:tc>
          <w:tcPr>
            <w:tcW w:w="960" w:type="dxa"/>
            <w:tcBorders>
              <w:top w:val="nil"/>
              <w:left w:val="single" w:sz="4" w:space="0" w:color="auto"/>
              <w:bottom w:val="single" w:sz="4" w:space="0" w:color="auto"/>
              <w:right w:val="single" w:sz="4" w:space="0" w:color="auto"/>
            </w:tcBorders>
            <w:shd w:val="clear" w:color="auto" w:fill="auto"/>
            <w:noWrap/>
            <w:vAlign w:val="center"/>
          </w:tcPr>
          <w:p w14:paraId="0890C6E4" w14:textId="77777777" w:rsidR="00E713CB" w:rsidRPr="00B13B9A" w:rsidRDefault="00E713CB" w:rsidP="00B00556">
            <w:pPr>
              <w:spacing w:after="0" w:line="240" w:lineRule="auto"/>
              <w:contextualSpacing/>
              <w:jc w:val="center"/>
              <w:rPr>
                <w:rFonts w:asciiTheme="majorHAnsi" w:hAnsiTheme="majorHAnsi" w:cstheme="majorHAnsi"/>
                <w:color w:val="000000"/>
                <w:sz w:val="20"/>
                <w:szCs w:val="20"/>
                <w:lang w:val="ro-MD"/>
              </w:rPr>
            </w:pPr>
            <w:r w:rsidRPr="00B13B9A">
              <w:rPr>
                <w:rFonts w:asciiTheme="majorHAnsi" w:hAnsiTheme="majorHAnsi" w:cstheme="majorHAnsi"/>
                <w:color w:val="000000"/>
                <w:sz w:val="20"/>
                <w:szCs w:val="20"/>
                <w:lang w:val="ro-MD"/>
              </w:rPr>
              <w:t>213</w:t>
            </w:r>
          </w:p>
        </w:tc>
        <w:tc>
          <w:tcPr>
            <w:tcW w:w="2442" w:type="dxa"/>
            <w:tcBorders>
              <w:top w:val="nil"/>
              <w:left w:val="nil"/>
              <w:bottom w:val="single" w:sz="4" w:space="0" w:color="auto"/>
              <w:right w:val="single" w:sz="4" w:space="0" w:color="auto"/>
            </w:tcBorders>
            <w:shd w:val="clear" w:color="auto" w:fill="auto"/>
            <w:noWrap/>
            <w:vAlign w:val="center"/>
          </w:tcPr>
          <w:p w14:paraId="352AC377" w14:textId="77777777" w:rsidR="00E713CB" w:rsidRPr="00B13B9A" w:rsidRDefault="00E713CB" w:rsidP="00B00556">
            <w:pPr>
              <w:spacing w:after="0" w:line="240" w:lineRule="auto"/>
              <w:contextualSpacing/>
              <w:jc w:val="right"/>
              <w:rPr>
                <w:rFonts w:asciiTheme="majorHAnsi" w:hAnsiTheme="majorHAnsi" w:cstheme="majorHAnsi"/>
                <w:color w:val="000000"/>
                <w:sz w:val="20"/>
                <w:szCs w:val="20"/>
                <w:lang w:val="ro-MD"/>
              </w:rPr>
            </w:pPr>
            <w:r w:rsidRPr="00B13B9A">
              <w:rPr>
                <w:rFonts w:asciiTheme="majorHAnsi" w:hAnsiTheme="majorHAnsi" w:cstheme="majorHAnsi"/>
                <w:color w:val="000000"/>
                <w:sz w:val="20"/>
                <w:szCs w:val="20"/>
                <w:lang w:val="ro-MD"/>
              </w:rPr>
              <w:t>286,0</w:t>
            </w:r>
          </w:p>
        </w:tc>
      </w:tr>
      <w:tr w:rsidR="00E713CB" w:rsidRPr="00B13B9A" w14:paraId="4FE58A41" w14:textId="77777777" w:rsidTr="00F431A2">
        <w:trPr>
          <w:trHeight w:val="20"/>
        </w:trPr>
        <w:tc>
          <w:tcPr>
            <w:tcW w:w="5807" w:type="dxa"/>
            <w:tcBorders>
              <w:top w:val="single" w:sz="4" w:space="0" w:color="auto"/>
              <w:left w:val="single" w:sz="4" w:space="0" w:color="auto"/>
              <w:bottom w:val="single" w:sz="4" w:space="0" w:color="auto"/>
              <w:right w:val="single" w:sz="4" w:space="0" w:color="auto"/>
            </w:tcBorders>
            <w:shd w:val="clear" w:color="auto" w:fill="auto"/>
            <w:vAlign w:val="center"/>
          </w:tcPr>
          <w:p w14:paraId="4D01BD04" w14:textId="77777777" w:rsidR="00E713CB" w:rsidRPr="00B13B9A" w:rsidRDefault="00E713CB" w:rsidP="00B00556">
            <w:pPr>
              <w:spacing w:after="0" w:line="240" w:lineRule="auto"/>
              <w:contextualSpacing/>
              <w:rPr>
                <w:rFonts w:asciiTheme="majorHAnsi" w:hAnsiTheme="majorHAnsi" w:cstheme="majorHAnsi"/>
                <w:bCs/>
                <w:sz w:val="20"/>
                <w:szCs w:val="20"/>
                <w:lang w:val="ro-MD"/>
              </w:rPr>
            </w:pPr>
            <w:r w:rsidRPr="00B13B9A">
              <w:rPr>
                <w:rFonts w:asciiTheme="majorHAnsi" w:hAnsiTheme="majorHAnsi" w:cstheme="majorHAnsi"/>
                <w:bCs/>
                <w:sz w:val="20"/>
                <w:szCs w:val="20"/>
                <w:lang w:val="ro-MD"/>
              </w:rPr>
              <w:t>Mijloace fixe</w:t>
            </w:r>
          </w:p>
        </w:tc>
        <w:tc>
          <w:tcPr>
            <w:tcW w:w="960" w:type="dxa"/>
            <w:tcBorders>
              <w:top w:val="nil"/>
              <w:left w:val="single" w:sz="4" w:space="0" w:color="auto"/>
              <w:bottom w:val="single" w:sz="4" w:space="0" w:color="auto"/>
              <w:right w:val="single" w:sz="4" w:space="0" w:color="auto"/>
            </w:tcBorders>
            <w:shd w:val="clear" w:color="auto" w:fill="auto"/>
            <w:noWrap/>
            <w:vAlign w:val="center"/>
          </w:tcPr>
          <w:p w14:paraId="56BD3132" w14:textId="77777777" w:rsidR="00E713CB" w:rsidRPr="00B13B9A" w:rsidRDefault="00E713CB" w:rsidP="00B00556">
            <w:pPr>
              <w:spacing w:after="0" w:line="240" w:lineRule="auto"/>
              <w:contextualSpacing/>
              <w:jc w:val="center"/>
              <w:rPr>
                <w:rFonts w:asciiTheme="majorHAnsi" w:hAnsiTheme="majorHAnsi" w:cstheme="majorHAnsi"/>
                <w:color w:val="000000"/>
                <w:sz w:val="20"/>
                <w:szCs w:val="20"/>
                <w:lang w:val="ro-MD"/>
              </w:rPr>
            </w:pPr>
            <w:r w:rsidRPr="00B13B9A">
              <w:rPr>
                <w:rFonts w:asciiTheme="majorHAnsi" w:hAnsiTheme="majorHAnsi" w:cstheme="majorHAnsi"/>
                <w:color w:val="000000"/>
                <w:sz w:val="20"/>
                <w:szCs w:val="20"/>
                <w:lang w:val="ro-MD"/>
              </w:rPr>
              <w:t>123</w:t>
            </w:r>
          </w:p>
        </w:tc>
        <w:tc>
          <w:tcPr>
            <w:tcW w:w="2442" w:type="dxa"/>
            <w:tcBorders>
              <w:top w:val="nil"/>
              <w:left w:val="nil"/>
              <w:bottom w:val="single" w:sz="4" w:space="0" w:color="auto"/>
              <w:right w:val="single" w:sz="4" w:space="0" w:color="auto"/>
            </w:tcBorders>
            <w:shd w:val="clear" w:color="auto" w:fill="auto"/>
            <w:noWrap/>
            <w:vAlign w:val="center"/>
          </w:tcPr>
          <w:p w14:paraId="331536D6" w14:textId="77777777" w:rsidR="00E713CB" w:rsidRPr="00B13B9A" w:rsidRDefault="00E713CB" w:rsidP="00B00556">
            <w:pPr>
              <w:spacing w:after="0" w:line="240" w:lineRule="auto"/>
              <w:contextualSpacing/>
              <w:jc w:val="right"/>
              <w:rPr>
                <w:rFonts w:asciiTheme="majorHAnsi" w:hAnsiTheme="majorHAnsi" w:cstheme="majorHAnsi"/>
                <w:color w:val="000000"/>
                <w:sz w:val="20"/>
                <w:szCs w:val="20"/>
                <w:lang w:val="ro-MD"/>
              </w:rPr>
            </w:pPr>
            <w:r w:rsidRPr="00B13B9A">
              <w:rPr>
                <w:rFonts w:asciiTheme="majorHAnsi" w:hAnsiTheme="majorHAnsi" w:cstheme="majorHAnsi"/>
                <w:color w:val="000000"/>
                <w:sz w:val="20"/>
                <w:szCs w:val="20"/>
                <w:lang w:val="ro-MD"/>
              </w:rPr>
              <w:t>10.721,7</w:t>
            </w:r>
          </w:p>
        </w:tc>
      </w:tr>
      <w:tr w:rsidR="00E713CB" w:rsidRPr="00B13B9A" w14:paraId="65DC26BC" w14:textId="77777777" w:rsidTr="00F431A2">
        <w:trPr>
          <w:trHeight w:val="20"/>
        </w:trPr>
        <w:tc>
          <w:tcPr>
            <w:tcW w:w="5807" w:type="dxa"/>
            <w:tcBorders>
              <w:top w:val="single" w:sz="4" w:space="0" w:color="auto"/>
              <w:left w:val="single" w:sz="4" w:space="0" w:color="auto"/>
              <w:bottom w:val="single" w:sz="4" w:space="0" w:color="auto"/>
              <w:right w:val="single" w:sz="4" w:space="0" w:color="auto"/>
            </w:tcBorders>
            <w:shd w:val="clear" w:color="auto" w:fill="auto"/>
            <w:vAlign w:val="center"/>
          </w:tcPr>
          <w:p w14:paraId="33F5C9A3" w14:textId="340B1786" w:rsidR="00E713CB" w:rsidRPr="00B13B9A" w:rsidRDefault="00E713CB" w:rsidP="00B00556">
            <w:pPr>
              <w:spacing w:after="0" w:line="240" w:lineRule="auto"/>
              <w:contextualSpacing/>
              <w:rPr>
                <w:rFonts w:asciiTheme="majorHAnsi" w:hAnsiTheme="majorHAnsi" w:cstheme="majorHAnsi"/>
                <w:bCs/>
                <w:sz w:val="20"/>
                <w:szCs w:val="20"/>
                <w:lang w:val="ro-MD"/>
              </w:rPr>
            </w:pPr>
            <w:r w:rsidRPr="00B13B9A">
              <w:rPr>
                <w:rFonts w:asciiTheme="majorHAnsi" w:hAnsiTheme="majorHAnsi" w:cstheme="majorHAnsi"/>
                <w:bCs/>
                <w:sz w:val="20"/>
                <w:szCs w:val="20"/>
                <w:lang w:val="ro-MD"/>
              </w:rPr>
              <w:t>Imobilizări corporale în curs de execu</w:t>
            </w:r>
            <w:r w:rsidR="00B13B9A" w:rsidRPr="00B13B9A">
              <w:rPr>
                <w:rFonts w:asciiTheme="majorHAnsi" w:hAnsiTheme="majorHAnsi" w:cstheme="majorHAnsi"/>
                <w:bCs/>
                <w:sz w:val="20"/>
                <w:szCs w:val="20"/>
                <w:lang w:val="ro-MD"/>
              </w:rPr>
              <w:t>ț</w:t>
            </w:r>
            <w:r w:rsidRPr="00B13B9A">
              <w:rPr>
                <w:rFonts w:asciiTheme="majorHAnsi" w:hAnsiTheme="majorHAnsi" w:cstheme="majorHAnsi"/>
                <w:bCs/>
                <w:sz w:val="20"/>
                <w:szCs w:val="20"/>
                <w:lang w:val="ro-MD"/>
              </w:rPr>
              <w:t>ie</w:t>
            </w:r>
          </w:p>
        </w:tc>
        <w:tc>
          <w:tcPr>
            <w:tcW w:w="960" w:type="dxa"/>
            <w:tcBorders>
              <w:top w:val="nil"/>
              <w:left w:val="single" w:sz="4" w:space="0" w:color="auto"/>
              <w:bottom w:val="single" w:sz="4" w:space="0" w:color="auto"/>
              <w:right w:val="single" w:sz="4" w:space="0" w:color="auto"/>
            </w:tcBorders>
            <w:shd w:val="clear" w:color="auto" w:fill="auto"/>
            <w:noWrap/>
            <w:vAlign w:val="center"/>
          </w:tcPr>
          <w:p w14:paraId="77454CE0" w14:textId="77777777" w:rsidR="00E713CB" w:rsidRPr="00B13B9A" w:rsidRDefault="00E713CB" w:rsidP="00B00556">
            <w:pPr>
              <w:spacing w:after="0" w:line="240" w:lineRule="auto"/>
              <w:contextualSpacing/>
              <w:jc w:val="center"/>
              <w:rPr>
                <w:rFonts w:asciiTheme="majorHAnsi" w:hAnsiTheme="majorHAnsi" w:cstheme="majorHAnsi"/>
                <w:color w:val="000000"/>
                <w:sz w:val="20"/>
                <w:szCs w:val="20"/>
                <w:lang w:val="ro-MD"/>
              </w:rPr>
            </w:pPr>
            <w:r w:rsidRPr="00B13B9A">
              <w:rPr>
                <w:rFonts w:asciiTheme="majorHAnsi" w:hAnsiTheme="majorHAnsi" w:cstheme="majorHAnsi"/>
                <w:color w:val="000000"/>
                <w:sz w:val="20"/>
                <w:szCs w:val="20"/>
                <w:lang w:val="ro-MD"/>
              </w:rPr>
              <w:t>121</w:t>
            </w:r>
          </w:p>
        </w:tc>
        <w:tc>
          <w:tcPr>
            <w:tcW w:w="2442" w:type="dxa"/>
            <w:tcBorders>
              <w:top w:val="nil"/>
              <w:left w:val="nil"/>
              <w:bottom w:val="single" w:sz="4" w:space="0" w:color="auto"/>
              <w:right w:val="single" w:sz="4" w:space="0" w:color="auto"/>
            </w:tcBorders>
            <w:shd w:val="clear" w:color="auto" w:fill="auto"/>
            <w:noWrap/>
            <w:vAlign w:val="center"/>
          </w:tcPr>
          <w:p w14:paraId="38A32556" w14:textId="77777777" w:rsidR="00E713CB" w:rsidRPr="00B13B9A" w:rsidRDefault="00E713CB" w:rsidP="00B00556">
            <w:pPr>
              <w:spacing w:after="0" w:line="240" w:lineRule="auto"/>
              <w:contextualSpacing/>
              <w:jc w:val="right"/>
              <w:rPr>
                <w:rFonts w:asciiTheme="majorHAnsi" w:hAnsiTheme="majorHAnsi" w:cstheme="majorHAnsi"/>
                <w:color w:val="000000"/>
                <w:sz w:val="20"/>
                <w:szCs w:val="20"/>
                <w:lang w:val="ro-MD"/>
              </w:rPr>
            </w:pPr>
            <w:r w:rsidRPr="00B13B9A">
              <w:rPr>
                <w:rFonts w:asciiTheme="majorHAnsi" w:hAnsiTheme="majorHAnsi" w:cstheme="majorHAnsi"/>
                <w:color w:val="000000"/>
                <w:sz w:val="20"/>
                <w:szCs w:val="20"/>
                <w:lang w:val="ro-MD"/>
              </w:rPr>
              <w:t>4.797,2</w:t>
            </w:r>
          </w:p>
        </w:tc>
      </w:tr>
      <w:tr w:rsidR="00E713CB" w:rsidRPr="00B13B9A" w14:paraId="1B2DEED5" w14:textId="77777777" w:rsidTr="00F431A2">
        <w:trPr>
          <w:trHeight w:val="20"/>
        </w:trPr>
        <w:tc>
          <w:tcPr>
            <w:tcW w:w="5807" w:type="dxa"/>
            <w:tcBorders>
              <w:top w:val="single" w:sz="4" w:space="0" w:color="auto"/>
              <w:left w:val="single" w:sz="4" w:space="0" w:color="auto"/>
              <w:bottom w:val="single" w:sz="4" w:space="0" w:color="auto"/>
              <w:right w:val="single" w:sz="4" w:space="0" w:color="auto"/>
            </w:tcBorders>
            <w:shd w:val="clear" w:color="auto" w:fill="auto"/>
            <w:vAlign w:val="center"/>
          </w:tcPr>
          <w:p w14:paraId="49C6F9F9" w14:textId="77777777" w:rsidR="00E713CB" w:rsidRPr="00B13B9A" w:rsidRDefault="00E713CB" w:rsidP="00B00556">
            <w:pPr>
              <w:spacing w:after="0" w:line="240" w:lineRule="auto"/>
              <w:contextualSpacing/>
              <w:rPr>
                <w:rFonts w:asciiTheme="majorHAnsi" w:hAnsiTheme="majorHAnsi" w:cstheme="majorHAnsi"/>
                <w:bCs/>
                <w:sz w:val="20"/>
                <w:szCs w:val="20"/>
                <w:lang w:val="ro-MD"/>
              </w:rPr>
            </w:pPr>
            <w:r w:rsidRPr="00B13B9A">
              <w:rPr>
                <w:rFonts w:asciiTheme="majorHAnsi" w:hAnsiTheme="majorHAnsi" w:cstheme="majorHAnsi"/>
                <w:bCs/>
                <w:sz w:val="20"/>
                <w:szCs w:val="20"/>
                <w:lang w:val="ro-MD"/>
              </w:rPr>
              <w:t>Conturi curente în valută străină</w:t>
            </w:r>
          </w:p>
        </w:tc>
        <w:tc>
          <w:tcPr>
            <w:tcW w:w="960" w:type="dxa"/>
            <w:tcBorders>
              <w:top w:val="nil"/>
              <w:left w:val="single" w:sz="4" w:space="0" w:color="auto"/>
              <w:bottom w:val="single" w:sz="4" w:space="0" w:color="auto"/>
              <w:right w:val="single" w:sz="4" w:space="0" w:color="auto"/>
            </w:tcBorders>
            <w:shd w:val="clear" w:color="auto" w:fill="auto"/>
            <w:noWrap/>
            <w:vAlign w:val="center"/>
          </w:tcPr>
          <w:p w14:paraId="7170B313" w14:textId="77777777" w:rsidR="00E713CB" w:rsidRPr="00B13B9A" w:rsidRDefault="00E713CB" w:rsidP="00B00556">
            <w:pPr>
              <w:spacing w:after="0" w:line="240" w:lineRule="auto"/>
              <w:contextualSpacing/>
              <w:jc w:val="center"/>
              <w:rPr>
                <w:rFonts w:asciiTheme="majorHAnsi" w:hAnsiTheme="majorHAnsi" w:cstheme="majorHAnsi"/>
                <w:color w:val="000000"/>
                <w:sz w:val="20"/>
                <w:szCs w:val="20"/>
                <w:lang w:val="ro-MD"/>
              </w:rPr>
            </w:pPr>
            <w:r w:rsidRPr="00B13B9A">
              <w:rPr>
                <w:rFonts w:asciiTheme="majorHAnsi" w:hAnsiTheme="majorHAnsi" w:cstheme="majorHAnsi"/>
                <w:color w:val="000000"/>
                <w:sz w:val="20"/>
                <w:szCs w:val="20"/>
                <w:lang w:val="ro-MD"/>
              </w:rPr>
              <w:t>243</w:t>
            </w:r>
          </w:p>
        </w:tc>
        <w:tc>
          <w:tcPr>
            <w:tcW w:w="2442" w:type="dxa"/>
            <w:tcBorders>
              <w:top w:val="nil"/>
              <w:left w:val="nil"/>
              <w:bottom w:val="single" w:sz="4" w:space="0" w:color="auto"/>
              <w:right w:val="single" w:sz="4" w:space="0" w:color="auto"/>
            </w:tcBorders>
            <w:shd w:val="clear" w:color="auto" w:fill="auto"/>
            <w:noWrap/>
            <w:vAlign w:val="center"/>
          </w:tcPr>
          <w:p w14:paraId="0B92D625" w14:textId="3B8DF437" w:rsidR="00E713CB" w:rsidRPr="00B13B9A" w:rsidRDefault="00E713CB" w:rsidP="00B00556">
            <w:pPr>
              <w:spacing w:after="0" w:line="240" w:lineRule="auto"/>
              <w:contextualSpacing/>
              <w:jc w:val="right"/>
              <w:rPr>
                <w:rFonts w:asciiTheme="majorHAnsi" w:hAnsiTheme="majorHAnsi" w:cstheme="majorHAnsi"/>
                <w:color w:val="000000"/>
                <w:sz w:val="20"/>
                <w:szCs w:val="20"/>
                <w:lang w:val="ro-MD"/>
              </w:rPr>
            </w:pPr>
            <w:r w:rsidRPr="00B13B9A">
              <w:rPr>
                <w:rFonts w:asciiTheme="majorHAnsi" w:hAnsiTheme="majorHAnsi" w:cstheme="majorHAnsi"/>
                <w:color w:val="000000"/>
                <w:sz w:val="20"/>
                <w:szCs w:val="20"/>
                <w:lang w:val="ro-MD"/>
              </w:rPr>
              <w:t>3</w:t>
            </w:r>
            <w:r w:rsidR="004C3370">
              <w:rPr>
                <w:rFonts w:asciiTheme="majorHAnsi" w:hAnsiTheme="majorHAnsi" w:cstheme="majorHAnsi"/>
                <w:color w:val="000000"/>
                <w:sz w:val="20"/>
                <w:szCs w:val="20"/>
                <w:lang w:val="ro-MD"/>
              </w:rPr>
              <w:t>.</w:t>
            </w:r>
            <w:r w:rsidRPr="00B13B9A">
              <w:rPr>
                <w:rFonts w:asciiTheme="majorHAnsi" w:hAnsiTheme="majorHAnsi" w:cstheme="majorHAnsi"/>
                <w:color w:val="000000"/>
                <w:sz w:val="20"/>
                <w:szCs w:val="20"/>
                <w:lang w:val="ro-MD"/>
              </w:rPr>
              <w:t>813,5</w:t>
            </w:r>
          </w:p>
        </w:tc>
      </w:tr>
      <w:tr w:rsidR="00E713CB" w:rsidRPr="00B13B9A" w14:paraId="5950DE12" w14:textId="77777777" w:rsidTr="00F431A2">
        <w:trPr>
          <w:trHeight w:val="20"/>
        </w:trPr>
        <w:tc>
          <w:tcPr>
            <w:tcW w:w="67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302D5B" w14:textId="40C3E42F" w:rsidR="00E713CB" w:rsidRPr="00B13B9A" w:rsidRDefault="00E713CB" w:rsidP="00B00556">
            <w:pPr>
              <w:spacing w:after="0" w:line="240" w:lineRule="auto"/>
              <w:contextualSpacing/>
              <w:rPr>
                <w:rFonts w:asciiTheme="majorHAnsi" w:hAnsiTheme="majorHAnsi" w:cstheme="majorHAnsi"/>
                <w:color w:val="000000"/>
                <w:sz w:val="20"/>
                <w:szCs w:val="20"/>
                <w:lang w:val="ro-MD"/>
              </w:rPr>
            </w:pPr>
            <w:r w:rsidRPr="00B13B9A">
              <w:rPr>
                <w:rFonts w:asciiTheme="majorHAnsi" w:hAnsiTheme="majorHAnsi" w:cstheme="majorHAnsi"/>
                <w:color w:val="000000"/>
                <w:sz w:val="20"/>
                <w:szCs w:val="20"/>
                <w:lang w:val="ro-MD"/>
              </w:rPr>
              <w:t xml:space="preserve">Total </w:t>
            </w:r>
            <w:r w:rsidR="003E1FB0" w:rsidRPr="00B13B9A">
              <w:rPr>
                <w:rFonts w:asciiTheme="majorHAnsi" w:hAnsiTheme="majorHAnsi" w:cstheme="majorHAnsi"/>
                <w:color w:val="000000"/>
                <w:sz w:val="20"/>
                <w:szCs w:val="20"/>
                <w:lang w:val="ro-MD"/>
              </w:rPr>
              <w:t>active</w:t>
            </w:r>
          </w:p>
        </w:tc>
        <w:tc>
          <w:tcPr>
            <w:tcW w:w="2442" w:type="dxa"/>
            <w:tcBorders>
              <w:top w:val="nil"/>
              <w:left w:val="nil"/>
              <w:bottom w:val="single" w:sz="4" w:space="0" w:color="auto"/>
              <w:right w:val="single" w:sz="4" w:space="0" w:color="auto"/>
            </w:tcBorders>
            <w:shd w:val="clear" w:color="auto" w:fill="auto"/>
            <w:noWrap/>
            <w:vAlign w:val="center"/>
          </w:tcPr>
          <w:p w14:paraId="6F48DCF0" w14:textId="77777777" w:rsidR="00E713CB" w:rsidRPr="00B13B9A" w:rsidRDefault="00E713CB" w:rsidP="00B00556">
            <w:pPr>
              <w:spacing w:after="0" w:line="240" w:lineRule="auto"/>
              <w:contextualSpacing/>
              <w:jc w:val="right"/>
              <w:rPr>
                <w:rFonts w:asciiTheme="majorHAnsi" w:hAnsiTheme="majorHAnsi" w:cstheme="majorHAnsi"/>
                <w:color w:val="000000"/>
                <w:sz w:val="20"/>
                <w:szCs w:val="20"/>
                <w:lang w:val="ro-MD"/>
              </w:rPr>
            </w:pPr>
            <w:r w:rsidRPr="00B13B9A">
              <w:rPr>
                <w:rFonts w:asciiTheme="majorHAnsi" w:hAnsiTheme="majorHAnsi" w:cstheme="majorHAnsi"/>
                <w:color w:val="000000"/>
                <w:sz w:val="20"/>
                <w:szCs w:val="20"/>
                <w:lang w:val="ro-MD"/>
              </w:rPr>
              <w:t>36.256,7</w:t>
            </w:r>
          </w:p>
        </w:tc>
      </w:tr>
      <w:tr w:rsidR="00E713CB" w:rsidRPr="00B13B9A" w14:paraId="3EBF7424" w14:textId="77777777" w:rsidTr="00F431A2">
        <w:trPr>
          <w:trHeight w:val="20"/>
        </w:trPr>
        <w:tc>
          <w:tcPr>
            <w:tcW w:w="5807" w:type="dxa"/>
            <w:tcBorders>
              <w:top w:val="nil"/>
              <w:left w:val="single" w:sz="4" w:space="0" w:color="auto"/>
              <w:bottom w:val="single" w:sz="4" w:space="0" w:color="auto"/>
              <w:right w:val="single" w:sz="4" w:space="0" w:color="auto"/>
            </w:tcBorders>
            <w:shd w:val="clear" w:color="auto" w:fill="auto"/>
            <w:vAlign w:val="center"/>
          </w:tcPr>
          <w:p w14:paraId="0E642E2F" w14:textId="77777777" w:rsidR="00E713CB" w:rsidRPr="00B13B9A" w:rsidRDefault="00E713CB" w:rsidP="00B00556">
            <w:pPr>
              <w:spacing w:after="0" w:line="240" w:lineRule="auto"/>
              <w:contextualSpacing/>
              <w:rPr>
                <w:rFonts w:asciiTheme="majorHAnsi" w:hAnsiTheme="majorHAnsi" w:cstheme="majorHAnsi"/>
                <w:sz w:val="20"/>
                <w:szCs w:val="20"/>
                <w:lang w:val="ro-MD"/>
              </w:rPr>
            </w:pPr>
            <w:r w:rsidRPr="00B13B9A">
              <w:rPr>
                <w:rFonts w:asciiTheme="majorHAnsi" w:hAnsiTheme="majorHAnsi" w:cstheme="majorHAnsi"/>
                <w:bCs/>
                <w:sz w:val="20"/>
                <w:szCs w:val="20"/>
                <w:lang w:val="ro-MD"/>
              </w:rPr>
              <w:t>Venituri anticipate curente</w:t>
            </w:r>
          </w:p>
        </w:tc>
        <w:tc>
          <w:tcPr>
            <w:tcW w:w="960" w:type="dxa"/>
            <w:tcBorders>
              <w:top w:val="nil"/>
              <w:left w:val="single" w:sz="4" w:space="0" w:color="auto"/>
              <w:bottom w:val="single" w:sz="4" w:space="0" w:color="auto"/>
              <w:right w:val="single" w:sz="4" w:space="0" w:color="auto"/>
            </w:tcBorders>
            <w:shd w:val="clear" w:color="auto" w:fill="auto"/>
            <w:noWrap/>
            <w:vAlign w:val="center"/>
          </w:tcPr>
          <w:p w14:paraId="344C8C27" w14:textId="77777777" w:rsidR="00E713CB" w:rsidRPr="00B13B9A" w:rsidRDefault="00E713CB" w:rsidP="00B00556">
            <w:pPr>
              <w:spacing w:after="0" w:line="240" w:lineRule="auto"/>
              <w:contextualSpacing/>
              <w:jc w:val="center"/>
              <w:rPr>
                <w:rFonts w:asciiTheme="majorHAnsi" w:hAnsiTheme="majorHAnsi" w:cstheme="majorHAnsi"/>
                <w:color w:val="000000"/>
                <w:sz w:val="20"/>
                <w:szCs w:val="20"/>
                <w:lang w:val="ro-MD"/>
              </w:rPr>
            </w:pPr>
            <w:r w:rsidRPr="00B13B9A">
              <w:rPr>
                <w:rFonts w:asciiTheme="majorHAnsi" w:hAnsiTheme="majorHAnsi" w:cstheme="majorHAnsi"/>
                <w:color w:val="000000"/>
                <w:sz w:val="20"/>
                <w:szCs w:val="20"/>
                <w:lang w:val="ro-MD"/>
              </w:rPr>
              <w:t>535</w:t>
            </w:r>
          </w:p>
        </w:tc>
        <w:tc>
          <w:tcPr>
            <w:tcW w:w="2442" w:type="dxa"/>
            <w:tcBorders>
              <w:top w:val="nil"/>
              <w:left w:val="nil"/>
              <w:bottom w:val="single" w:sz="4" w:space="0" w:color="auto"/>
              <w:right w:val="single" w:sz="4" w:space="0" w:color="auto"/>
            </w:tcBorders>
            <w:shd w:val="clear" w:color="auto" w:fill="auto"/>
            <w:noWrap/>
            <w:vAlign w:val="center"/>
          </w:tcPr>
          <w:p w14:paraId="77A98E27" w14:textId="77777777" w:rsidR="00E713CB" w:rsidRPr="00B13B9A" w:rsidRDefault="00E713CB" w:rsidP="00B00556">
            <w:pPr>
              <w:spacing w:after="0" w:line="240" w:lineRule="auto"/>
              <w:contextualSpacing/>
              <w:jc w:val="right"/>
              <w:rPr>
                <w:rFonts w:asciiTheme="majorHAnsi" w:hAnsiTheme="majorHAnsi" w:cstheme="majorHAnsi"/>
                <w:color w:val="000000"/>
                <w:sz w:val="20"/>
                <w:szCs w:val="20"/>
                <w:lang w:val="ro-MD"/>
              </w:rPr>
            </w:pPr>
            <w:r w:rsidRPr="00B13B9A">
              <w:rPr>
                <w:rFonts w:asciiTheme="majorHAnsi" w:hAnsiTheme="majorHAnsi" w:cstheme="majorHAnsi"/>
                <w:color w:val="000000"/>
                <w:sz w:val="20"/>
                <w:szCs w:val="20"/>
                <w:lang w:val="ro-MD"/>
              </w:rPr>
              <w:t>21.408,7</w:t>
            </w:r>
          </w:p>
        </w:tc>
      </w:tr>
      <w:tr w:rsidR="00E713CB" w:rsidRPr="00B13B9A" w14:paraId="41C66AAB" w14:textId="77777777" w:rsidTr="00F431A2">
        <w:trPr>
          <w:trHeight w:val="20"/>
        </w:trPr>
        <w:tc>
          <w:tcPr>
            <w:tcW w:w="5807" w:type="dxa"/>
            <w:tcBorders>
              <w:top w:val="nil"/>
              <w:left w:val="single" w:sz="4" w:space="0" w:color="auto"/>
              <w:bottom w:val="single" w:sz="4" w:space="0" w:color="auto"/>
              <w:right w:val="single" w:sz="4" w:space="0" w:color="auto"/>
            </w:tcBorders>
            <w:shd w:val="clear" w:color="auto" w:fill="auto"/>
            <w:vAlign w:val="center"/>
          </w:tcPr>
          <w:p w14:paraId="51D75A3A" w14:textId="2FDA7200" w:rsidR="00E713CB" w:rsidRPr="00B13B9A" w:rsidRDefault="00E713CB" w:rsidP="00B00556">
            <w:pPr>
              <w:spacing w:after="0" w:line="240" w:lineRule="auto"/>
              <w:contextualSpacing/>
              <w:rPr>
                <w:rFonts w:asciiTheme="majorHAnsi" w:hAnsiTheme="majorHAnsi" w:cstheme="majorHAnsi"/>
                <w:sz w:val="20"/>
                <w:szCs w:val="20"/>
                <w:lang w:val="ro-MD"/>
              </w:rPr>
            </w:pPr>
            <w:r w:rsidRPr="00B13B9A">
              <w:rPr>
                <w:rFonts w:asciiTheme="majorHAnsi" w:hAnsiTheme="majorHAnsi" w:cstheme="majorHAnsi"/>
                <w:bCs/>
                <w:sz w:val="20"/>
                <w:szCs w:val="20"/>
                <w:lang w:val="ro-MD"/>
              </w:rPr>
              <w:t>Finan</w:t>
            </w:r>
            <w:r w:rsidR="00B13B9A" w:rsidRPr="00B13B9A">
              <w:rPr>
                <w:rFonts w:asciiTheme="majorHAnsi" w:hAnsiTheme="majorHAnsi" w:cstheme="majorHAnsi"/>
                <w:bCs/>
                <w:sz w:val="20"/>
                <w:szCs w:val="20"/>
                <w:lang w:val="ro-MD"/>
              </w:rPr>
              <w:t>ț</w:t>
            </w:r>
            <w:r w:rsidRPr="00B13B9A">
              <w:rPr>
                <w:rFonts w:asciiTheme="majorHAnsi" w:hAnsiTheme="majorHAnsi" w:cstheme="majorHAnsi"/>
                <w:bCs/>
                <w:sz w:val="20"/>
                <w:szCs w:val="20"/>
                <w:lang w:val="ro-MD"/>
              </w:rPr>
              <w:t xml:space="preserve">ări </w:t>
            </w:r>
            <w:r w:rsidR="00B13B9A" w:rsidRPr="00B13B9A">
              <w:rPr>
                <w:rFonts w:asciiTheme="majorHAnsi" w:hAnsiTheme="majorHAnsi" w:cstheme="majorHAnsi"/>
                <w:bCs/>
                <w:sz w:val="20"/>
                <w:szCs w:val="20"/>
                <w:lang w:val="ro-MD"/>
              </w:rPr>
              <w:t>ș</w:t>
            </w:r>
            <w:r w:rsidRPr="00B13B9A">
              <w:rPr>
                <w:rFonts w:asciiTheme="majorHAnsi" w:hAnsiTheme="majorHAnsi" w:cstheme="majorHAnsi"/>
                <w:bCs/>
                <w:sz w:val="20"/>
                <w:szCs w:val="20"/>
                <w:lang w:val="ro-MD"/>
              </w:rPr>
              <w:t>i încasări cu destina</w:t>
            </w:r>
            <w:r w:rsidR="00B13B9A" w:rsidRPr="00B13B9A">
              <w:rPr>
                <w:rFonts w:asciiTheme="majorHAnsi" w:hAnsiTheme="majorHAnsi" w:cstheme="majorHAnsi"/>
                <w:bCs/>
                <w:sz w:val="20"/>
                <w:szCs w:val="20"/>
                <w:lang w:val="ro-MD"/>
              </w:rPr>
              <w:t>ț</w:t>
            </w:r>
            <w:r w:rsidRPr="00B13B9A">
              <w:rPr>
                <w:rFonts w:asciiTheme="majorHAnsi" w:hAnsiTheme="majorHAnsi" w:cstheme="majorHAnsi"/>
                <w:bCs/>
                <w:sz w:val="20"/>
                <w:szCs w:val="20"/>
                <w:lang w:val="ro-MD"/>
              </w:rPr>
              <w:t>ie specială pe termen lung</w:t>
            </w:r>
          </w:p>
        </w:tc>
        <w:tc>
          <w:tcPr>
            <w:tcW w:w="960" w:type="dxa"/>
            <w:tcBorders>
              <w:top w:val="nil"/>
              <w:left w:val="single" w:sz="4" w:space="0" w:color="auto"/>
              <w:bottom w:val="single" w:sz="4" w:space="0" w:color="auto"/>
              <w:right w:val="single" w:sz="4" w:space="0" w:color="auto"/>
            </w:tcBorders>
            <w:shd w:val="clear" w:color="auto" w:fill="auto"/>
            <w:noWrap/>
            <w:vAlign w:val="center"/>
          </w:tcPr>
          <w:p w14:paraId="4DAD320B" w14:textId="77777777" w:rsidR="00E713CB" w:rsidRPr="00B13B9A" w:rsidRDefault="00E713CB" w:rsidP="00B00556">
            <w:pPr>
              <w:spacing w:after="0" w:line="240" w:lineRule="auto"/>
              <w:contextualSpacing/>
              <w:jc w:val="center"/>
              <w:rPr>
                <w:rFonts w:asciiTheme="majorHAnsi" w:hAnsiTheme="majorHAnsi" w:cstheme="majorHAnsi"/>
                <w:color w:val="000000"/>
                <w:sz w:val="20"/>
                <w:szCs w:val="20"/>
                <w:lang w:val="ro-MD"/>
              </w:rPr>
            </w:pPr>
            <w:r w:rsidRPr="00B13B9A">
              <w:rPr>
                <w:rFonts w:asciiTheme="majorHAnsi" w:hAnsiTheme="majorHAnsi" w:cstheme="majorHAnsi"/>
                <w:color w:val="000000"/>
                <w:sz w:val="20"/>
                <w:szCs w:val="20"/>
                <w:lang w:val="ro-MD"/>
              </w:rPr>
              <w:t>425</w:t>
            </w:r>
          </w:p>
        </w:tc>
        <w:tc>
          <w:tcPr>
            <w:tcW w:w="2442" w:type="dxa"/>
            <w:tcBorders>
              <w:top w:val="nil"/>
              <w:left w:val="nil"/>
              <w:bottom w:val="single" w:sz="4" w:space="0" w:color="auto"/>
              <w:right w:val="single" w:sz="4" w:space="0" w:color="auto"/>
            </w:tcBorders>
            <w:shd w:val="clear" w:color="auto" w:fill="auto"/>
            <w:noWrap/>
            <w:vAlign w:val="center"/>
          </w:tcPr>
          <w:p w14:paraId="0865BB13" w14:textId="77777777" w:rsidR="00E713CB" w:rsidRPr="00B13B9A" w:rsidRDefault="00E713CB" w:rsidP="00B00556">
            <w:pPr>
              <w:spacing w:after="0" w:line="240" w:lineRule="auto"/>
              <w:contextualSpacing/>
              <w:jc w:val="right"/>
              <w:rPr>
                <w:rFonts w:asciiTheme="majorHAnsi" w:hAnsiTheme="majorHAnsi" w:cstheme="majorHAnsi"/>
                <w:color w:val="000000"/>
                <w:sz w:val="20"/>
                <w:szCs w:val="20"/>
                <w:lang w:val="ro-MD"/>
              </w:rPr>
            </w:pPr>
            <w:r w:rsidRPr="00B13B9A">
              <w:rPr>
                <w:rFonts w:asciiTheme="majorHAnsi" w:hAnsiTheme="majorHAnsi" w:cstheme="majorHAnsi"/>
                <w:color w:val="000000"/>
                <w:sz w:val="20"/>
                <w:szCs w:val="20"/>
                <w:lang w:val="ro-MD"/>
              </w:rPr>
              <w:t>13.706,9</w:t>
            </w:r>
          </w:p>
        </w:tc>
      </w:tr>
      <w:tr w:rsidR="00E713CB" w:rsidRPr="00B13B9A" w14:paraId="1D8D3459" w14:textId="77777777" w:rsidTr="00F431A2">
        <w:trPr>
          <w:trHeight w:val="20"/>
        </w:trPr>
        <w:tc>
          <w:tcPr>
            <w:tcW w:w="5807" w:type="dxa"/>
            <w:tcBorders>
              <w:top w:val="nil"/>
              <w:left w:val="single" w:sz="4" w:space="0" w:color="auto"/>
              <w:bottom w:val="single" w:sz="4" w:space="0" w:color="auto"/>
              <w:right w:val="single" w:sz="4" w:space="0" w:color="auto"/>
            </w:tcBorders>
            <w:shd w:val="clear" w:color="auto" w:fill="auto"/>
            <w:vAlign w:val="center"/>
          </w:tcPr>
          <w:p w14:paraId="73F706BF" w14:textId="49988FB4" w:rsidR="00E713CB" w:rsidRPr="00B13B9A" w:rsidRDefault="00E713CB" w:rsidP="00B00556">
            <w:pPr>
              <w:spacing w:after="0" w:line="240" w:lineRule="auto"/>
              <w:contextualSpacing/>
              <w:rPr>
                <w:rFonts w:asciiTheme="majorHAnsi" w:hAnsiTheme="majorHAnsi" w:cstheme="majorHAnsi"/>
                <w:sz w:val="20"/>
                <w:szCs w:val="20"/>
                <w:lang w:val="ro-MD"/>
              </w:rPr>
            </w:pPr>
            <w:r w:rsidRPr="00B13B9A">
              <w:rPr>
                <w:rFonts w:asciiTheme="majorHAnsi" w:hAnsiTheme="majorHAnsi" w:cstheme="majorHAnsi"/>
                <w:bCs/>
                <w:sz w:val="20"/>
                <w:szCs w:val="20"/>
                <w:lang w:val="ro-MD"/>
              </w:rPr>
              <w:t>Subven</w:t>
            </w:r>
            <w:r w:rsidR="00B13B9A" w:rsidRPr="00B13B9A">
              <w:rPr>
                <w:rFonts w:asciiTheme="majorHAnsi" w:hAnsiTheme="majorHAnsi" w:cstheme="majorHAnsi"/>
                <w:bCs/>
                <w:sz w:val="20"/>
                <w:szCs w:val="20"/>
                <w:lang w:val="ro-MD"/>
              </w:rPr>
              <w:t>ț</w:t>
            </w:r>
            <w:r w:rsidRPr="00B13B9A">
              <w:rPr>
                <w:rFonts w:asciiTheme="majorHAnsi" w:hAnsiTheme="majorHAnsi" w:cstheme="majorHAnsi"/>
                <w:bCs/>
                <w:sz w:val="20"/>
                <w:szCs w:val="20"/>
                <w:lang w:val="ro-MD"/>
              </w:rPr>
              <w:t>ii</w:t>
            </w:r>
            <w:r w:rsidR="003E1FB0" w:rsidRPr="00B13B9A">
              <w:rPr>
                <w:rFonts w:asciiTheme="majorHAnsi" w:hAnsiTheme="majorHAnsi" w:cstheme="majorHAnsi"/>
                <w:bCs/>
                <w:sz w:val="20"/>
                <w:szCs w:val="20"/>
                <w:lang w:val="ro-MD"/>
              </w:rPr>
              <w:t>le</w:t>
            </w:r>
            <w:r w:rsidRPr="00B13B9A">
              <w:rPr>
                <w:rFonts w:asciiTheme="majorHAnsi" w:hAnsiTheme="majorHAnsi" w:cstheme="majorHAnsi"/>
                <w:bCs/>
                <w:sz w:val="20"/>
                <w:szCs w:val="20"/>
                <w:lang w:val="ro-MD"/>
              </w:rPr>
              <w:t xml:space="preserve"> entită</w:t>
            </w:r>
            <w:r w:rsidR="00B13B9A" w:rsidRPr="00B13B9A">
              <w:rPr>
                <w:rFonts w:asciiTheme="majorHAnsi" w:hAnsiTheme="majorHAnsi" w:cstheme="majorHAnsi"/>
                <w:bCs/>
                <w:sz w:val="20"/>
                <w:szCs w:val="20"/>
                <w:lang w:val="ro-MD"/>
              </w:rPr>
              <w:t>ț</w:t>
            </w:r>
            <w:r w:rsidRPr="00B13B9A">
              <w:rPr>
                <w:rFonts w:asciiTheme="majorHAnsi" w:hAnsiTheme="majorHAnsi" w:cstheme="majorHAnsi"/>
                <w:bCs/>
                <w:sz w:val="20"/>
                <w:szCs w:val="20"/>
                <w:lang w:val="ro-MD"/>
              </w:rPr>
              <w:t>ilor cu proprietate publică</w:t>
            </w:r>
          </w:p>
        </w:tc>
        <w:tc>
          <w:tcPr>
            <w:tcW w:w="960" w:type="dxa"/>
            <w:tcBorders>
              <w:top w:val="nil"/>
              <w:left w:val="single" w:sz="4" w:space="0" w:color="auto"/>
              <w:bottom w:val="single" w:sz="4" w:space="0" w:color="auto"/>
              <w:right w:val="single" w:sz="4" w:space="0" w:color="auto"/>
            </w:tcBorders>
            <w:shd w:val="clear" w:color="auto" w:fill="auto"/>
            <w:noWrap/>
            <w:vAlign w:val="center"/>
          </w:tcPr>
          <w:p w14:paraId="66CACB6A" w14:textId="77777777" w:rsidR="00E713CB" w:rsidRPr="00B13B9A" w:rsidRDefault="00E713CB" w:rsidP="00B00556">
            <w:pPr>
              <w:spacing w:after="0" w:line="240" w:lineRule="auto"/>
              <w:contextualSpacing/>
              <w:jc w:val="center"/>
              <w:rPr>
                <w:rFonts w:asciiTheme="majorHAnsi" w:hAnsiTheme="majorHAnsi" w:cstheme="majorHAnsi"/>
                <w:color w:val="000000"/>
                <w:sz w:val="20"/>
                <w:szCs w:val="20"/>
                <w:lang w:val="ro-MD"/>
              </w:rPr>
            </w:pPr>
            <w:r w:rsidRPr="00B13B9A">
              <w:rPr>
                <w:rFonts w:asciiTheme="majorHAnsi" w:hAnsiTheme="majorHAnsi" w:cstheme="majorHAnsi"/>
                <w:color w:val="000000"/>
                <w:sz w:val="20"/>
                <w:szCs w:val="20"/>
                <w:lang w:val="ro-MD"/>
              </w:rPr>
              <w:t>342</w:t>
            </w:r>
          </w:p>
        </w:tc>
        <w:tc>
          <w:tcPr>
            <w:tcW w:w="2442" w:type="dxa"/>
            <w:tcBorders>
              <w:top w:val="nil"/>
              <w:left w:val="nil"/>
              <w:bottom w:val="single" w:sz="4" w:space="0" w:color="auto"/>
              <w:right w:val="single" w:sz="4" w:space="0" w:color="auto"/>
            </w:tcBorders>
            <w:shd w:val="clear" w:color="auto" w:fill="auto"/>
            <w:noWrap/>
            <w:vAlign w:val="center"/>
          </w:tcPr>
          <w:p w14:paraId="0CEA8F6E" w14:textId="77777777" w:rsidR="00E713CB" w:rsidRPr="00B13B9A" w:rsidRDefault="00E713CB" w:rsidP="00B00556">
            <w:pPr>
              <w:spacing w:after="0" w:line="240" w:lineRule="auto"/>
              <w:contextualSpacing/>
              <w:jc w:val="right"/>
              <w:rPr>
                <w:rFonts w:asciiTheme="majorHAnsi" w:hAnsiTheme="majorHAnsi" w:cstheme="majorHAnsi"/>
                <w:color w:val="000000"/>
                <w:sz w:val="20"/>
                <w:szCs w:val="20"/>
                <w:lang w:val="ro-MD"/>
              </w:rPr>
            </w:pPr>
            <w:r w:rsidRPr="00B13B9A">
              <w:rPr>
                <w:rFonts w:asciiTheme="majorHAnsi" w:hAnsiTheme="majorHAnsi" w:cstheme="majorHAnsi"/>
                <w:color w:val="000000"/>
                <w:sz w:val="20"/>
                <w:szCs w:val="20"/>
                <w:lang w:val="ro-MD"/>
              </w:rPr>
              <w:t>68.291,6</w:t>
            </w:r>
          </w:p>
        </w:tc>
      </w:tr>
      <w:tr w:rsidR="00E713CB" w:rsidRPr="00B13B9A" w14:paraId="6365483F" w14:textId="77777777" w:rsidTr="00F431A2">
        <w:trPr>
          <w:trHeight w:val="20"/>
        </w:trPr>
        <w:tc>
          <w:tcPr>
            <w:tcW w:w="67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1DF573" w14:textId="77777777" w:rsidR="00E713CB" w:rsidRPr="00B13B9A" w:rsidRDefault="00E713CB" w:rsidP="00B00556">
            <w:pPr>
              <w:spacing w:after="0" w:line="240" w:lineRule="auto"/>
              <w:contextualSpacing/>
              <w:rPr>
                <w:rFonts w:asciiTheme="majorHAnsi" w:hAnsiTheme="majorHAnsi" w:cstheme="majorHAnsi"/>
                <w:color w:val="000000"/>
                <w:sz w:val="20"/>
                <w:szCs w:val="20"/>
                <w:lang w:val="ro-MD"/>
              </w:rPr>
            </w:pPr>
            <w:r w:rsidRPr="00B13B9A">
              <w:rPr>
                <w:rFonts w:asciiTheme="majorHAnsi" w:hAnsiTheme="majorHAnsi" w:cstheme="majorHAnsi"/>
                <w:color w:val="000000"/>
                <w:sz w:val="20"/>
                <w:szCs w:val="20"/>
                <w:lang w:val="ro-MD"/>
              </w:rPr>
              <w:t>Total pasiv</w:t>
            </w:r>
          </w:p>
        </w:tc>
        <w:tc>
          <w:tcPr>
            <w:tcW w:w="2442" w:type="dxa"/>
            <w:tcBorders>
              <w:top w:val="nil"/>
              <w:left w:val="nil"/>
              <w:bottom w:val="single" w:sz="4" w:space="0" w:color="auto"/>
              <w:right w:val="single" w:sz="4" w:space="0" w:color="auto"/>
            </w:tcBorders>
            <w:shd w:val="clear" w:color="auto" w:fill="auto"/>
            <w:noWrap/>
            <w:vAlign w:val="center"/>
          </w:tcPr>
          <w:p w14:paraId="115E22AF" w14:textId="77777777" w:rsidR="00E713CB" w:rsidRPr="00B13B9A" w:rsidRDefault="00E713CB" w:rsidP="00B00556">
            <w:pPr>
              <w:spacing w:after="0" w:line="240" w:lineRule="auto"/>
              <w:contextualSpacing/>
              <w:jc w:val="right"/>
              <w:rPr>
                <w:rFonts w:asciiTheme="majorHAnsi" w:hAnsiTheme="majorHAnsi" w:cstheme="majorHAnsi"/>
                <w:color w:val="000000"/>
                <w:sz w:val="20"/>
                <w:szCs w:val="20"/>
                <w:lang w:val="ro-MD"/>
              </w:rPr>
            </w:pPr>
            <w:r w:rsidRPr="00B13B9A">
              <w:rPr>
                <w:rFonts w:asciiTheme="majorHAnsi" w:hAnsiTheme="majorHAnsi" w:cstheme="majorHAnsi"/>
                <w:color w:val="000000"/>
                <w:sz w:val="20"/>
                <w:szCs w:val="20"/>
                <w:lang w:val="ro-MD"/>
              </w:rPr>
              <w:t>103.407,2</w:t>
            </w:r>
          </w:p>
        </w:tc>
      </w:tr>
      <w:tr w:rsidR="00E713CB" w:rsidRPr="00B13B9A" w14:paraId="0FC70138" w14:textId="77777777" w:rsidTr="00F431A2">
        <w:trPr>
          <w:trHeight w:val="20"/>
        </w:trPr>
        <w:tc>
          <w:tcPr>
            <w:tcW w:w="5807" w:type="dxa"/>
            <w:tcBorders>
              <w:top w:val="single" w:sz="4" w:space="0" w:color="auto"/>
              <w:left w:val="single" w:sz="4" w:space="0" w:color="auto"/>
              <w:bottom w:val="single" w:sz="4" w:space="0" w:color="auto"/>
              <w:right w:val="single" w:sz="4" w:space="0" w:color="auto"/>
            </w:tcBorders>
            <w:shd w:val="clear" w:color="auto" w:fill="auto"/>
            <w:vAlign w:val="center"/>
          </w:tcPr>
          <w:p w14:paraId="3F918D53" w14:textId="7C578152" w:rsidR="00E713CB" w:rsidRPr="00B13B9A" w:rsidRDefault="00E713CB" w:rsidP="00B00556">
            <w:pPr>
              <w:spacing w:after="0" w:line="240" w:lineRule="auto"/>
              <w:contextualSpacing/>
              <w:rPr>
                <w:rFonts w:asciiTheme="majorHAnsi" w:hAnsiTheme="majorHAnsi" w:cstheme="majorHAnsi"/>
                <w:bCs/>
                <w:sz w:val="20"/>
                <w:szCs w:val="20"/>
                <w:lang w:val="ro-MD"/>
              </w:rPr>
            </w:pPr>
            <w:r w:rsidRPr="00B13B9A">
              <w:rPr>
                <w:rFonts w:asciiTheme="majorHAnsi" w:hAnsiTheme="majorHAnsi" w:cstheme="majorHAnsi"/>
                <w:color w:val="000000"/>
                <w:sz w:val="20"/>
                <w:szCs w:val="20"/>
                <w:lang w:val="ro-MD"/>
              </w:rPr>
              <w:t>Diferen</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a Activ - Pasiv</w:t>
            </w:r>
          </w:p>
        </w:tc>
        <w:tc>
          <w:tcPr>
            <w:tcW w:w="960" w:type="dxa"/>
            <w:tcBorders>
              <w:top w:val="nil"/>
              <w:left w:val="single" w:sz="4" w:space="0" w:color="auto"/>
              <w:bottom w:val="single" w:sz="4" w:space="0" w:color="auto"/>
              <w:right w:val="single" w:sz="4" w:space="0" w:color="auto"/>
            </w:tcBorders>
            <w:shd w:val="clear" w:color="auto" w:fill="auto"/>
            <w:noWrap/>
            <w:vAlign w:val="center"/>
          </w:tcPr>
          <w:p w14:paraId="4DE78D55" w14:textId="77777777" w:rsidR="00E713CB" w:rsidRPr="00B13B9A" w:rsidRDefault="00E713CB" w:rsidP="00B00556">
            <w:pPr>
              <w:spacing w:after="0" w:line="240" w:lineRule="auto"/>
              <w:contextualSpacing/>
              <w:jc w:val="center"/>
              <w:rPr>
                <w:rFonts w:asciiTheme="majorHAnsi" w:hAnsiTheme="majorHAnsi" w:cstheme="majorHAnsi"/>
                <w:color w:val="000000"/>
                <w:sz w:val="20"/>
                <w:szCs w:val="20"/>
                <w:lang w:val="ro-MD"/>
              </w:rPr>
            </w:pPr>
          </w:p>
        </w:tc>
        <w:tc>
          <w:tcPr>
            <w:tcW w:w="2442" w:type="dxa"/>
            <w:tcBorders>
              <w:top w:val="nil"/>
              <w:left w:val="nil"/>
              <w:bottom w:val="single" w:sz="4" w:space="0" w:color="auto"/>
              <w:right w:val="single" w:sz="4" w:space="0" w:color="auto"/>
            </w:tcBorders>
            <w:shd w:val="clear" w:color="auto" w:fill="auto"/>
            <w:noWrap/>
            <w:vAlign w:val="center"/>
          </w:tcPr>
          <w:p w14:paraId="4725CA19" w14:textId="77777777" w:rsidR="00E713CB" w:rsidRPr="00B13B9A" w:rsidRDefault="00E713CB" w:rsidP="00B00556">
            <w:pPr>
              <w:spacing w:after="0" w:line="240" w:lineRule="auto"/>
              <w:contextualSpacing/>
              <w:jc w:val="right"/>
              <w:rPr>
                <w:rFonts w:asciiTheme="majorHAnsi" w:hAnsiTheme="majorHAnsi" w:cstheme="majorHAnsi"/>
                <w:color w:val="000000"/>
                <w:sz w:val="20"/>
                <w:szCs w:val="20"/>
                <w:lang w:val="ro-MD"/>
              </w:rPr>
            </w:pPr>
            <w:r w:rsidRPr="00B13B9A">
              <w:rPr>
                <w:rFonts w:asciiTheme="majorHAnsi" w:hAnsiTheme="majorHAnsi" w:cstheme="majorHAnsi"/>
                <w:color w:val="FF0000"/>
                <w:sz w:val="20"/>
                <w:szCs w:val="20"/>
                <w:lang w:val="ro-MD"/>
              </w:rPr>
              <w:t>-63.337,0</w:t>
            </w:r>
          </w:p>
        </w:tc>
      </w:tr>
    </w:tbl>
    <w:p w14:paraId="6086768B" w14:textId="2B2752AE" w:rsidR="00E713CB" w:rsidRPr="00B13B9A" w:rsidRDefault="00E713CB" w:rsidP="00E713CB">
      <w:pPr>
        <w:pStyle w:val="cn"/>
        <w:spacing w:line="276" w:lineRule="auto"/>
        <w:ind w:right="71"/>
        <w:jc w:val="both"/>
        <w:rPr>
          <w:rFonts w:asciiTheme="majorHAnsi" w:eastAsiaTheme="minorHAnsi" w:hAnsiTheme="majorHAnsi" w:cstheme="minorHAnsi"/>
          <w:i/>
          <w:sz w:val="20"/>
          <w:szCs w:val="20"/>
          <w:lang w:val="ro-MD" w:eastAsia="en-US"/>
        </w:rPr>
      </w:pPr>
      <w:r w:rsidRPr="00B13B9A">
        <w:rPr>
          <w:rFonts w:asciiTheme="majorHAnsi" w:eastAsiaTheme="minorHAnsi" w:hAnsiTheme="majorHAnsi" w:cstheme="minorHAnsi"/>
          <w:b/>
          <w:i/>
          <w:sz w:val="20"/>
          <w:szCs w:val="20"/>
          <w:lang w:val="ro-MD" w:eastAsia="en-US"/>
        </w:rPr>
        <w:t>Sursa:</w:t>
      </w:r>
      <w:r w:rsidRPr="00B13B9A">
        <w:rPr>
          <w:rFonts w:asciiTheme="majorHAnsi" w:eastAsiaTheme="minorHAnsi" w:hAnsiTheme="majorHAnsi" w:cstheme="minorHAnsi"/>
          <w:i/>
          <w:sz w:val="20"/>
          <w:szCs w:val="20"/>
          <w:lang w:val="ro-MD" w:eastAsia="en-US"/>
        </w:rPr>
        <w:t xml:space="preserve"> Eviden</w:t>
      </w:r>
      <w:r w:rsidR="00B13B9A" w:rsidRPr="00B13B9A">
        <w:rPr>
          <w:rFonts w:asciiTheme="majorHAnsi" w:eastAsiaTheme="minorHAnsi" w:hAnsiTheme="majorHAnsi" w:cstheme="minorHAnsi"/>
          <w:i/>
          <w:sz w:val="20"/>
          <w:szCs w:val="20"/>
          <w:lang w:val="ro-MD" w:eastAsia="en-US"/>
        </w:rPr>
        <w:t>ț</w:t>
      </w:r>
      <w:r w:rsidRPr="00B13B9A">
        <w:rPr>
          <w:rFonts w:asciiTheme="majorHAnsi" w:eastAsiaTheme="minorHAnsi" w:hAnsiTheme="majorHAnsi" w:cstheme="minorHAnsi"/>
          <w:i/>
          <w:sz w:val="20"/>
          <w:szCs w:val="20"/>
          <w:lang w:val="ro-MD" w:eastAsia="en-US"/>
        </w:rPr>
        <w:t xml:space="preserve">a contabilă a </w:t>
      </w:r>
      <w:r w:rsidR="00F431A2" w:rsidRPr="00B13B9A">
        <w:rPr>
          <w:rFonts w:asciiTheme="majorHAnsi" w:hAnsiTheme="majorHAnsi" w:cstheme="majorHAnsi"/>
          <w:i/>
          <w:color w:val="000000" w:themeColor="text1"/>
          <w:sz w:val="20"/>
          <w:szCs w:val="20"/>
          <w:lang w:val="ro-MD"/>
        </w:rPr>
        <w:t xml:space="preserve">IMSP IFP </w:t>
      </w:r>
      <w:r w:rsidR="00F431A2" w:rsidRPr="00B13B9A">
        <w:rPr>
          <w:rFonts w:asciiTheme="majorHAnsi" w:hAnsiTheme="majorHAnsi" w:cstheme="majorHAnsi"/>
          <w:i/>
          <w:sz w:val="20"/>
          <w:szCs w:val="20"/>
          <w:lang w:val="ro-MD"/>
        </w:rPr>
        <w:t>„Chiril Draganiuc”</w:t>
      </w:r>
      <w:r w:rsidR="003E1FB0" w:rsidRPr="00B13B9A">
        <w:rPr>
          <w:rFonts w:asciiTheme="majorHAnsi" w:hAnsiTheme="majorHAnsi" w:cstheme="majorHAnsi"/>
          <w:i/>
          <w:sz w:val="20"/>
          <w:szCs w:val="20"/>
          <w:lang w:val="ro-MD"/>
        </w:rPr>
        <w:t>.</w:t>
      </w:r>
      <w:r w:rsidRPr="00B13B9A">
        <w:rPr>
          <w:rFonts w:asciiTheme="majorHAnsi" w:eastAsiaTheme="minorHAnsi" w:hAnsiTheme="majorHAnsi" w:cstheme="minorHAnsi"/>
          <w:i/>
          <w:sz w:val="20"/>
          <w:szCs w:val="20"/>
          <w:lang w:val="ro-MD" w:eastAsia="en-US"/>
        </w:rPr>
        <w:t xml:space="preserve"> </w:t>
      </w:r>
    </w:p>
    <w:p w14:paraId="217E8AFD" w14:textId="77777777" w:rsidR="00E713CB" w:rsidRPr="00B13B9A" w:rsidRDefault="00E713CB" w:rsidP="00E713CB">
      <w:pPr>
        <w:pStyle w:val="cn"/>
        <w:spacing w:line="276" w:lineRule="auto"/>
        <w:ind w:right="71"/>
        <w:jc w:val="both"/>
        <w:rPr>
          <w:rFonts w:asciiTheme="majorHAnsi" w:eastAsiaTheme="minorHAnsi" w:hAnsiTheme="majorHAnsi" w:cstheme="minorHAnsi"/>
          <w:lang w:val="ro-MD" w:eastAsia="en-US"/>
        </w:rPr>
      </w:pPr>
    </w:p>
    <w:p w14:paraId="0EA6D33F" w14:textId="55204BF2" w:rsidR="00E713CB" w:rsidRPr="00B13B9A" w:rsidRDefault="00E713CB" w:rsidP="00E713CB">
      <w:pPr>
        <w:spacing w:after="0" w:line="276" w:lineRule="auto"/>
        <w:jc w:val="both"/>
        <w:rPr>
          <w:rFonts w:asciiTheme="majorHAnsi" w:eastAsia="Times New Roman" w:hAnsiTheme="majorHAnsi" w:cstheme="majorHAnsi"/>
          <w:sz w:val="24"/>
          <w:szCs w:val="24"/>
          <w:lang w:val="ro-MD"/>
        </w:rPr>
      </w:pPr>
      <w:r w:rsidRPr="00B13B9A">
        <w:rPr>
          <w:rFonts w:asciiTheme="majorHAnsi" w:hAnsiTheme="majorHAnsi" w:cstheme="minorHAnsi"/>
          <w:sz w:val="24"/>
          <w:szCs w:val="24"/>
          <w:lang w:val="ro-MD"/>
        </w:rPr>
        <w:t>Cu referire la activele pe termen lung</w:t>
      </w:r>
      <w:r w:rsidR="003E1FB0" w:rsidRPr="00B13B9A">
        <w:rPr>
          <w:rFonts w:asciiTheme="majorHAnsi" w:hAnsiTheme="majorHAnsi" w:cstheme="minorHAnsi"/>
          <w:sz w:val="24"/>
          <w:szCs w:val="24"/>
          <w:lang w:val="ro-MD"/>
        </w:rPr>
        <w:t>,</w:t>
      </w:r>
      <w:r w:rsidRPr="00B13B9A">
        <w:rPr>
          <w:rFonts w:asciiTheme="majorHAnsi" w:hAnsiTheme="majorHAnsi" w:cstheme="minorHAnsi"/>
          <w:sz w:val="24"/>
          <w:szCs w:val="24"/>
          <w:lang w:val="ro-MD"/>
        </w:rPr>
        <w:t xml:space="preserve"> se denotă că acestea se recunosc ca </w:t>
      </w:r>
      <w:r w:rsidRPr="00B13B9A">
        <w:rPr>
          <w:rFonts w:asciiTheme="majorHAnsi" w:hAnsiTheme="majorHAnsi" w:cstheme="minorHAnsi"/>
          <w:bCs/>
          <w:sz w:val="24"/>
          <w:szCs w:val="24"/>
          <w:lang w:val="ro-MD"/>
        </w:rPr>
        <w:t>finan</w:t>
      </w:r>
      <w:r w:rsidR="00B13B9A" w:rsidRPr="00B13B9A">
        <w:rPr>
          <w:rFonts w:asciiTheme="majorHAnsi" w:hAnsiTheme="majorHAnsi" w:cstheme="minorHAnsi"/>
          <w:bCs/>
          <w:sz w:val="24"/>
          <w:szCs w:val="24"/>
          <w:lang w:val="ro-MD"/>
        </w:rPr>
        <w:t>ț</w:t>
      </w:r>
      <w:r w:rsidRPr="00B13B9A">
        <w:rPr>
          <w:rFonts w:asciiTheme="majorHAnsi" w:hAnsiTheme="majorHAnsi" w:cstheme="minorHAnsi"/>
          <w:bCs/>
          <w:sz w:val="24"/>
          <w:szCs w:val="24"/>
          <w:lang w:val="ro-MD"/>
        </w:rPr>
        <w:t xml:space="preserve">ări </w:t>
      </w:r>
      <w:r w:rsidR="00B13B9A" w:rsidRPr="00B13B9A">
        <w:rPr>
          <w:rFonts w:asciiTheme="majorHAnsi" w:hAnsiTheme="majorHAnsi" w:cstheme="minorHAnsi"/>
          <w:bCs/>
          <w:sz w:val="24"/>
          <w:szCs w:val="24"/>
          <w:lang w:val="ro-MD"/>
        </w:rPr>
        <w:t>ș</w:t>
      </w:r>
      <w:r w:rsidRPr="00B13B9A">
        <w:rPr>
          <w:rFonts w:asciiTheme="majorHAnsi" w:hAnsiTheme="majorHAnsi" w:cstheme="minorHAnsi"/>
          <w:bCs/>
          <w:sz w:val="24"/>
          <w:szCs w:val="24"/>
          <w:lang w:val="ro-MD"/>
        </w:rPr>
        <w:t>i încasări cu destina</w:t>
      </w:r>
      <w:r w:rsidR="00B13B9A" w:rsidRPr="00B13B9A">
        <w:rPr>
          <w:rFonts w:asciiTheme="majorHAnsi" w:hAnsiTheme="majorHAnsi" w:cstheme="minorHAnsi"/>
          <w:bCs/>
          <w:sz w:val="24"/>
          <w:szCs w:val="24"/>
          <w:lang w:val="ro-MD"/>
        </w:rPr>
        <w:t>ț</w:t>
      </w:r>
      <w:r w:rsidRPr="00B13B9A">
        <w:rPr>
          <w:rFonts w:asciiTheme="majorHAnsi" w:hAnsiTheme="majorHAnsi" w:cstheme="minorHAnsi"/>
          <w:bCs/>
          <w:sz w:val="24"/>
          <w:szCs w:val="24"/>
          <w:lang w:val="ro-MD"/>
        </w:rPr>
        <w:t>ie specială pe termen lung (425), iar la punerea în func</w:t>
      </w:r>
      <w:r w:rsidR="00B13B9A" w:rsidRPr="00B13B9A">
        <w:rPr>
          <w:rFonts w:asciiTheme="majorHAnsi" w:hAnsiTheme="majorHAnsi" w:cstheme="minorHAnsi"/>
          <w:bCs/>
          <w:sz w:val="24"/>
          <w:szCs w:val="24"/>
          <w:lang w:val="ro-MD"/>
        </w:rPr>
        <w:t>ț</w:t>
      </w:r>
      <w:r w:rsidRPr="00B13B9A">
        <w:rPr>
          <w:rFonts w:asciiTheme="majorHAnsi" w:hAnsiTheme="majorHAnsi" w:cstheme="minorHAnsi"/>
          <w:bCs/>
          <w:sz w:val="24"/>
          <w:szCs w:val="24"/>
          <w:lang w:val="ro-MD"/>
        </w:rPr>
        <w:t xml:space="preserve">iune entitatea nu a </w:t>
      </w:r>
      <w:r w:rsidR="00B13B9A" w:rsidRPr="00B13B9A">
        <w:rPr>
          <w:rFonts w:asciiTheme="majorHAnsi" w:hAnsiTheme="majorHAnsi" w:cstheme="minorHAnsi"/>
          <w:bCs/>
          <w:sz w:val="24"/>
          <w:szCs w:val="24"/>
          <w:lang w:val="ro-MD"/>
        </w:rPr>
        <w:t>ț</w:t>
      </w:r>
      <w:r w:rsidRPr="00B13B9A">
        <w:rPr>
          <w:rFonts w:asciiTheme="majorHAnsi" w:hAnsiTheme="majorHAnsi" w:cstheme="minorHAnsi"/>
          <w:bCs/>
          <w:sz w:val="24"/>
          <w:szCs w:val="24"/>
          <w:lang w:val="ro-MD"/>
        </w:rPr>
        <w:t xml:space="preserve">inut cont de sursă </w:t>
      </w:r>
      <w:r w:rsidR="00B13B9A" w:rsidRPr="00B13B9A">
        <w:rPr>
          <w:rFonts w:asciiTheme="majorHAnsi" w:hAnsiTheme="majorHAnsi" w:cstheme="minorHAnsi"/>
          <w:bCs/>
          <w:sz w:val="24"/>
          <w:szCs w:val="24"/>
          <w:lang w:val="ro-MD"/>
        </w:rPr>
        <w:t>ș</w:t>
      </w:r>
      <w:r w:rsidRPr="00B13B9A">
        <w:rPr>
          <w:rFonts w:asciiTheme="majorHAnsi" w:hAnsiTheme="majorHAnsi" w:cstheme="minorHAnsi"/>
          <w:bCs/>
          <w:sz w:val="24"/>
          <w:szCs w:val="24"/>
          <w:lang w:val="ro-MD"/>
        </w:rPr>
        <w:t xml:space="preserve">i </w:t>
      </w:r>
      <w:r w:rsidR="003E1FB0" w:rsidRPr="00B13B9A">
        <w:rPr>
          <w:rFonts w:asciiTheme="majorHAnsi" w:hAnsiTheme="majorHAnsi" w:cstheme="minorHAnsi"/>
          <w:bCs/>
          <w:sz w:val="24"/>
          <w:szCs w:val="24"/>
          <w:lang w:val="ro-MD"/>
        </w:rPr>
        <w:t xml:space="preserve">acestea </w:t>
      </w:r>
      <w:r w:rsidRPr="00B13B9A">
        <w:rPr>
          <w:rFonts w:asciiTheme="majorHAnsi" w:hAnsiTheme="majorHAnsi" w:cstheme="minorHAnsi"/>
          <w:bCs/>
          <w:sz w:val="24"/>
          <w:szCs w:val="24"/>
          <w:lang w:val="ro-MD"/>
        </w:rPr>
        <w:t>au fost atribuite toate ca subven</w:t>
      </w:r>
      <w:r w:rsidR="00B13B9A" w:rsidRPr="00B13B9A">
        <w:rPr>
          <w:rFonts w:asciiTheme="majorHAnsi" w:hAnsiTheme="majorHAnsi" w:cstheme="minorHAnsi"/>
          <w:bCs/>
          <w:sz w:val="24"/>
          <w:szCs w:val="24"/>
          <w:lang w:val="ro-MD"/>
        </w:rPr>
        <w:t>ț</w:t>
      </w:r>
      <w:r w:rsidRPr="00B13B9A">
        <w:rPr>
          <w:rFonts w:asciiTheme="majorHAnsi" w:hAnsiTheme="majorHAnsi" w:cstheme="minorHAnsi"/>
          <w:bCs/>
          <w:sz w:val="24"/>
          <w:szCs w:val="24"/>
          <w:lang w:val="ro-MD"/>
        </w:rPr>
        <w:t>ii</w:t>
      </w:r>
      <w:r w:rsidR="00A65275" w:rsidRPr="00B13B9A">
        <w:rPr>
          <w:rFonts w:asciiTheme="majorHAnsi" w:hAnsiTheme="majorHAnsi" w:cstheme="minorHAnsi"/>
          <w:bCs/>
          <w:sz w:val="24"/>
          <w:szCs w:val="24"/>
          <w:lang w:val="ro-MD"/>
        </w:rPr>
        <w:t xml:space="preserve"> ale</w:t>
      </w:r>
      <w:r w:rsidRPr="00B13B9A">
        <w:rPr>
          <w:rFonts w:asciiTheme="majorHAnsi" w:hAnsiTheme="majorHAnsi" w:cstheme="minorHAnsi"/>
          <w:bCs/>
          <w:sz w:val="24"/>
          <w:szCs w:val="24"/>
          <w:lang w:val="ro-MD"/>
        </w:rPr>
        <w:t xml:space="preserve"> entită</w:t>
      </w:r>
      <w:r w:rsidR="00B13B9A" w:rsidRPr="00B13B9A">
        <w:rPr>
          <w:rFonts w:asciiTheme="majorHAnsi" w:hAnsiTheme="majorHAnsi" w:cstheme="minorHAnsi"/>
          <w:bCs/>
          <w:sz w:val="24"/>
          <w:szCs w:val="24"/>
          <w:lang w:val="ro-MD"/>
        </w:rPr>
        <w:t>ț</w:t>
      </w:r>
      <w:r w:rsidRPr="00B13B9A">
        <w:rPr>
          <w:rFonts w:asciiTheme="majorHAnsi" w:hAnsiTheme="majorHAnsi" w:cstheme="minorHAnsi"/>
          <w:bCs/>
          <w:sz w:val="24"/>
          <w:szCs w:val="24"/>
          <w:lang w:val="ro-MD"/>
        </w:rPr>
        <w:t>ilor c</w:t>
      </w:r>
      <w:r w:rsidR="00A65275" w:rsidRPr="00B13B9A">
        <w:rPr>
          <w:rFonts w:asciiTheme="majorHAnsi" w:hAnsiTheme="majorHAnsi" w:cstheme="minorHAnsi"/>
          <w:bCs/>
          <w:sz w:val="24"/>
          <w:szCs w:val="24"/>
          <w:lang w:val="ro-MD"/>
        </w:rPr>
        <w:t>u</w:t>
      </w:r>
      <w:r w:rsidRPr="00B13B9A">
        <w:rPr>
          <w:rFonts w:asciiTheme="majorHAnsi" w:hAnsiTheme="majorHAnsi" w:cstheme="minorHAnsi"/>
          <w:bCs/>
          <w:sz w:val="24"/>
          <w:szCs w:val="24"/>
          <w:lang w:val="ro-MD"/>
        </w:rPr>
        <w:t xml:space="preserve"> proprietate publică, de</w:t>
      </w:r>
      <w:r w:rsidR="00B13B9A" w:rsidRPr="00B13B9A">
        <w:rPr>
          <w:rFonts w:asciiTheme="majorHAnsi" w:hAnsiTheme="majorHAnsi" w:cstheme="minorHAnsi"/>
          <w:bCs/>
          <w:sz w:val="24"/>
          <w:szCs w:val="24"/>
          <w:lang w:val="ro-MD"/>
        </w:rPr>
        <w:t>ș</w:t>
      </w:r>
      <w:r w:rsidRPr="00B13B9A">
        <w:rPr>
          <w:rFonts w:asciiTheme="majorHAnsi" w:hAnsiTheme="majorHAnsi" w:cstheme="minorHAnsi"/>
          <w:bCs/>
          <w:sz w:val="24"/>
          <w:szCs w:val="24"/>
          <w:lang w:val="ro-MD"/>
        </w:rPr>
        <w:t xml:space="preserve">i </w:t>
      </w:r>
      <w:r w:rsidRPr="00B13B9A">
        <w:rPr>
          <w:rFonts w:asciiTheme="majorHAnsi" w:eastAsia="Times New Roman" w:hAnsiTheme="majorHAnsi" w:cstheme="majorHAnsi"/>
          <w:sz w:val="24"/>
          <w:szCs w:val="24"/>
          <w:lang w:val="ro-MD"/>
        </w:rPr>
        <w:t xml:space="preserve">potrivit SNC </w:t>
      </w:r>
      <w:r w:rsidR="003E1FB0" w:rsidRPr="00B13B9A">
        <w:rPr>
          <w:rFonts w:asciiTheme="majorHAnsi" w:eastAsia="Times New Roman" w:hAnsiTheme="majorHAnsi" w:cstheme="majorHAnsi"/>
          <w:sz w:val="24"/>
          <w:szCs w:val="24"/>
          <w:lang w:val="ro-MD"/>
        </w:rPr>
        <w:t>„</w:t>
      </w:r>
      <w:r w:rsidRPr="00B13B9A">
        <w:rPr>
          <w:rFonts w:asciiTheme="majorHAnsi" w:eastAsia="Times New Roman" w:hAnsiTheme="majorHAnsi" w:cstheme="majorHAnsi"/>
          <w:sz w:val="24"/>
          <w:szCs w:val="24"/>
          <w:lang w:val="ro-MD"/>
        </w:rPr>
        <w:t xml:space="preserve">Capital propriu </w:t>
      </w:r>
      <w:r w:rsidR="00B13B9A" w:rsidRPr="00B13B9A">
        <w:rPr>
          <w:rFonts w:asciiTheme="majorHAnsi" w:eastAsia="Times New Roman" w:hAnsiTheme="majorHAnsi" w:cstheme="majorHAnsi"/>
          <w:sz w:val="24"/>
          <w:szCs w:val="24"/>
          <w:lang w:val="ro-MD"/>
        </w:rPr>
        <w:t>ș</w:t>
      </w:r>
      <w:r w:rsidRPr="00B13B9A">
        <w:rPr>
          <w:rFonts w:asciiTheme="majorHAnsi" w:eastAsia="Times New Roman" w:hAnsiTheme="majorHAnsi" w:cstheme="majorHAnsi"/>
          <w:sz w:val="24"/>
          <w:szCs w:val="24"/>
          <w:lang w:val="ro-MD"/>
        </w:rPr>
        <w:t>i datorii</w:t>
      </w:r>
      <w:r w:rsidR="003E1FB0" w:rsidRPr="00B13B9A">
        <w:rPr>
          <w:rFonts w:asciiTheme="majorHAnsi" w:eastAsia="Times New Roman" w:hAnsiTheme="majorHAnsi" w:cstheme="majorHAnsi"/>
          <w:sz w:val="24"/>
          <w:szCs w:val="24"/>
          <w:lang w:val="ro-MD"/>
        </w:rPr>
        <w:t>”</w:t>
      </w:r>
      <w:r w:rsidRPr="00B13B9A">
        <w:rPr>
          <w:rFonts w:asciiTheme="majorHAnsi" w:eastAsia="Times New Roman" w:hAnsiTheme="majorHAnsi" w:cstheme="majorHAnsi"/>
          <w:sz w:val="24"/>
          <w:szCs w:val="24"/>
          <w:lang w:val="ro-MD"/>
        </w:rPr>
        <w:t>, entitatea urmează să recunoască în componen</w:t>
      </w:r>
      <w:r w:rsidR="00B13B9A" w:rsidRPr="00B13B9A">
        <w:rPr>
          <w:rFonts w:asciiTheme="majorHAnsi" w:eastAsia="Times New Roman" w:hAnsiTheme="majorHAnsi" w:cstheme="majorHAnsi"/>
          <w:sz w:val="24"/>
          <w:szCs w:val="24"/>
          <w:lang w:val="ro-MD"/>
        </w:rPr>
        <w:t>ț</w:t>
      </w:r>
      <w:r w:rsidRPr="00B13B9A">
        <w:rPr>
          <w:rFonts w:asciiTheme="majorHAnsi" w:eastAsia="Times New Roman" w:hAnsiTheme="majorHAnsi" w:cstheme="majorHAnsi"/>
          <w:sz w:val="24"/>
          <w:szCs w:val="24"/>
          <w:lang w:val="ro-MD"/>
        </w:rPr>
        <w:t>a capitalului propriu doar subven</w:t>
      </w:r>
      <w:r w:rsidR="00B13B9A" w:rsidRPr="00B13B9A">
        <w:rPr>
          <w:rFonts w:asciiTheme="majorHAnsi" w:eastAsia="Times New Roman" w:hAnsiTheme="majorHAnsi" w:cstheme="majorHAnsi"/>
          <w:sz w:val="24"/>
          <w:szCs w:val="24"/>
          <w:lang w:val="ro-MD"/>
        </w:rPr>
        <w:t>ț</w:t>
      </w:r>
      <w:r w:rsidRPr="00B13B9A">
        <w:rPr>
          <w:rFonts w:asciiTheme="majorHAnsi" w:eastAsia="Times New Roman" w:hAnsiTheme="majorHAnsi" w:cstheme="majorHAnsi"/>
          <w:sz w:val="24"/>
          <w:szCs w:val="24"/>
          <w:lang w:val="ro-MD"/>
        </w:rPr>
        <w:t xml:space="preserve">iile provenite de la Guvern </w:t>
      </w:r>
      <w:r w:rsidR="00B13B9A" w:rsidRPr="00B13B9A">
        <w:rPr>
          <w:rFonts w:asciiTheme="majorHAnsi" w:eastAsia="Times New Roman" w:hAnsiTheme="majorHAnsi" w:cstheme="majorHAnsi"/>
          <w:sz w:val="24"/>
          <w:szCs w:val="24"/>
          <w:lang w:val="ro-MD"/>
        </w:rPr>
        <w:t>ș</w:t>
      </w:r>
      <w:r w:rsidRPr="00B13B9A">
        <w:rPr>
          <w:rFonts w:asciiTheme="majorHAnsi" w:eastAsia="Times New Roman" w:hAnsiTheme="majorHAnsi" w:cstheme="majorHAnsi"/>
          <w:sz w:val="24"/>
          <w:szCs w:val="24"/>
          <w:lang w:val="ro-MD"/>
        </w:rPr>
        <w:t xml:space="preserve">i </w:t>
      </w:r>
      <w:r w:rsidR="003E1FB0" w:rsidRPr="00B13B9A">
        <w:rPr>
          <w:rFonts w:asciiTheme="majorHAnsi" w:eastAsia="Times New Roman" w:hAnsiTheme="majorHAnsi" w:cstheme="majorHAnsi"/>
          <w:sz w:val="24"/>
          <w:szCs w:val="24"/>
          <w:lang w:val="ro-MD"/>
        </w:rPr>
        <w:t xml:space="preserve">de la </w:t>
      </w:r>
      <w:r w:rsidRPr="00B13B9A">
        <w:rPr>
          <w:rFonts w:asciiTheme="majorHAnsi" w:eastAsia="Times New Roman" w:hAnsiTheme="majorHAnsi" w:cstheme="majorHAnsi"/>
          <w:sz w:val="24"/>
          <w:szCs w:val="24"/>
          <w:lang w:val="ro-MD"/>
        </w:rPr>
        <w:t>alt</w:t>
      </w:r>
      <w:r w:rsidR="003E1FB0" w:rsidRPr="00B13B9A">
        <w:rPr>
          <w:rFonts w:asciiTheme="majorHAnsi" w:eastAsia="Times New Roman" w:hAnsiTheme="majorHAnsi" w:cstheme="majorHAnsi"/>
          <w:sz w:val="24"/>
          <w:szCs w:val="24"/>
          <w:lang w:val="ro-MD"/>
        </w:rPr>
        <w:t>e</w:t>
      </w:r>
      <w:r w:rsidRPr="00B13B9A">
        <w:rPr>
          <w:rFonts w:asciiTheme="majorHAnsi" w:eastAsia="Times New Roman" w:hAnsiTheme="majorHAnsi" w:cstheme="majorHAnsi"/>
          <w:sz w:val="24"/>
          <w:szCs w:val="24"/>
          <w:lang w:val="ro-MD"/>
        </w:rPr>
        <w:t xml:space="preserve"> autorită</w:t>
      </w:r>
      <w:r w:rsidR="00B13B9A" w:rsidRPr="00B13B9A">
        <w:rPr>
          <w:rFonts w:asciiTheme="majorHAnsi" w:eastAsia="Times New Roman" w:hAnsiTheme="majorHAnsi" w:cstheme="majorHAnsi"/>
          <w:sz w:val="24"/>
          <w:szCs w:val="24"/>
          <w:lang w:val="ro-MD"/>
        </w:rPr>
        <w:t>ț</w:t>
      </w:r>
      <w:r w:rsidRPr="00B13B9A">
        <w:rPr>
          <w:rFonts w:asciiTheme="majorHAnsi" w:eastAsia="Times New Roman" w:hAnsiTheme="majorHAnsi" w:cstheme="majorHAnsi"/>
          <w:sz w:val="24"/>
          <w:szCs w:val="24"/>
          <w:lang w:val="ro-MD"/>
        </w:rPr>
        <w:t>i ale administra</w:t>
      </w:r>
      <w:r w:rsidR="00B13B9A" w:rsidRPr="00B13B9A">
        <w:rPr>
          <w:rFonts w:asciiTheme="majorHAnsi" w:eastAsia="Times New Roman" w:hAnsiTheme="majorHAnsi" w:cstheme="majorHAnsi"/>
          <w:sz w:val="24"/>
          <w:szCs w:val="24"/>
          <w:lang w:val="ro-MD"/>
        </w:rPr>
        <w:t>ț</w:t>
      </w:r>
      <w:r w:rsidRPr="00B13B9A">
        <w:rPr>
          <w:rFonts w:asciiTheme="majorHAnsi" w:eastAsia="Times New Roman" w:hAnsiTheme="majorHAnsi" w:cstheme="majorHAnsi"/>
          <w:sz w:val="24"/>
          <w:szCs w:val="24"/>
          <w:lang w:val="ro-MD"/>
        </w:rPr>
        <w:t>iei publice.</w:t>
      </w:r>
    </w:p>
    <w:p w14:paraId="3102C85E" w14:textId="302104BB" w:rsidR="00E713CB" w:rsidRPr="00B13B9A" w:rsidRDefault="00E713CB" w:rsidP="00E713CB">
      <w:pPr>
        <w:spacing w:after="0" w:line="276" w:lineRule="auto"/>
        <w:jc w:val="both"/>
        <w:rPr>
          <w:rFonts w:asciiTheme="majorHAnsi" w:hAnsiTheme="majorHAnsi" w:cstheme="minorHAnsi"/>
          <w:bCs/>
          <w:sz w:val="24"/>
          <w:szCs w:val="24"/>
          <w:lang w:val="ro-MD"/>
        </w:rPr>
      </w:pPr>
      <w:r w:rsidRPr="00B13B9A">
        <w:rPr>
          <w:rFonts w:asciiTheme="majorHAnsi" w:eastAsia="Times New Roman" w:hAnsiTheme="majorHAnsi" w:cstheme="majorHAnsi"/>
          <w:sz w:val="24"/>
          <w:szCs w:val="24"/>
          <w:lang w:val="ro-MD"/>
        </w:rPr>
        <w:t xml:space="preserve">De asemenea, entitatea efectuează studii clinice cu distribuirea datelor în afara </w:t>
      </w:r>
      <w:r w:rsidR="00B13B9A" w:rsidRPr="00B13B9A">
        <w:rPr>
          <w:rFonts w:asciiTheme="majorHAnsi" w:eastAsia="Times New Roman" w:hAnsiTheme="majorHAnsi" w:cstheme="majorHAnsi"/>
          <w:sz w:val="24"/>
          <w:szCs w:val="24"/>
          <w:lang w:val="ro-MD"/>
        </w:rPr>
        <w:t>ț</w:t>
      </w:r>
      <w:r w:rsidRPr="00B13B9A">
        <w:rPr>
          <w:rFonts w:asciiTheme="majorHAnsi" w:eastAsia="Times New Roman" w:hAnsiTheme="majorHAnsi" w:cstheme="majorHAnsi"/>
          <w:sz w:val="24"/>
          <w:szCs w:val="24"/>
          <w:lang w:val="ro-MD"/>
        </w:rPr>
        <w:t>ării. Pentru aceste servicii/studii entitatea prime</w:t>
      </w:r>
      <w:r w:rsidR="00B13B9A" w:rsidRPr="00B13B9A">
        <w:rPr>
          <w:rFonts w:asciiTheme="majorHAnsi" w:eastAsia="Times New Roman" w:hAnsiTheme="majorHAnsi" w:cstheme="majorHAnsi"/>
          <w:sz w:val="24"/>
          <w:szCs w:val="24"/>
          <w:lang w:val="ro-MD"/>
        </w:rPr>
        <w:t>ș</w:t>
      </w:r>
      <w:r w:rsidRPr="00B13B9A">
        <w:rPr>
          <w:rFonts w:asciiTheme="majorHAnsi" w:eastAsia="Times New Roman" w:hAnsiTheme="majorHAnsi" w:cstheme="majorHAnsi"/>
          <w:sz w:val="24"/>
          <w:szCs w:val="24"/>
          <w:lang w:val="ro-MD"/>
        </w:rPr>
        <w:t xml:space="preserve">te mijloace financiare în valută străină, iar sumele avansurilor sunt atribuite neconform la </w:t>
      </w:r>
      <w:r w:rsidRPr="00B13B9A">
        <w:rPr>
          <w:rFonts w:asciiTheme="majorHAnsi" w:hAnsiTheme="majorHAnsi" w:cstheme="minorHAnsi"/>
          <w:bCs/>
          <w:sz w:val="24"/>
          <w:szCs w:val="24"/>
          <w:lang w:val="ro-MD"/>
        </w:rPr>
        <w:t>finan</w:t>
      </w:r>
      <w:r w:rsidR="00B13B9A" w:rsidRPr="00B13B9A">
        <w:rPr>
          <w:rFonts w:asciiTheme="majorHAnsi" w:hAnsiTheme="majorHAnsi" w:cstheme="minorHAnsi"/>
          <w:bCs/>
          <w:sz w:val="24"/>
          <w:szCs w:val="24"/>
          <w:lang w:val="ro-MD"/>
        </w:rPr>
        <w:t>ț</w:t>
      </w:r>
      <w:r w:rsidRPr="00B13B9A">
        <w:rPr>
          <w:rFonts w:asciiTheme="majorHAnsi" w:hAnsiTheme="majorHAnsi" w:cstheme="minorHAnsi"/>
          <w:bCs/>
          <w:sz w:val="24"/>
          <w:szCs w:val="24"/>
          <w:lang w:val="ro-MD"/>
        </w:rPr>
        <w:t xml:space="preserve">ări </w:t>
      </w:r>
      <w:r w:rsidR="00B13B9A" w:rsidRPr="00B13B9A">
        <w:rPr>
          <w:rFonts w:asciiTheme="majorHAnsi" w:hAnsiTheme="majorHAnsi" w:cstheme="minorHAnsi"/>
          <w:bCs/>
          <w:sz w:val="24"/>
          <w:szCs w:val="24"/>
          <w:lang w:val="ro-MD"/>
        </w:rPr>
        <w:t>ș</w:t>
      </w:r>
      <w:r w:rsidRPr="00B13B9A">
        <w:rPr>
          <w:rFonts w:asciiTheme="majorHAnsi" w:hAnsiTheme="majorHAnsi" w:cstheme="minorHAnsi"/>
          <w:bCs/>
          <w:sz w:val="24"/>
          <w:szCs w:val="24"/>
          <w:lang w:val="ro-MD"/>
        </w:rPr>
        <w:t>i încasări cu destina</w:t>
      </w:r>
      <w:r w:rsidR="00B13B9A" w:rsidRPr="00B13B9A">
        <w:rPr>
          <w:rFonts w:asciiTheme="majorHAnsi" w:hAnsiTheme="majorHAnsi" w:cstheme="minorHAnsi"/>
          <w:bCs/>
          <w:sz w:val="24"/>
          <w:szCs w:val="24"/>
          <w:lang w:val="ro-MD"/>
        </w:rPr>
        <w:t>ț</w:t>
      </w:r>
      <w:r w:rsidRPr="00B13B9A">
        <w:rPr>
          <w:rFonts w:asciiTheme="majorHAnsi" w:hAnsiTheme="majorHAnsi" w:cstheme="minorHAnsi"/>
          <w:bCs/>
          <w:sz w:val="24"/>
          <w:szCs w:val="24"/>
          <w:lang w:val="ro-MD"/>
        </w:rPr>
        <w:t xml:space="preserve">ie specială pe termen lung (425). </w:t>
      </w:r>
    </w:p>
    <w:p w14:paraId="52CD85A1" w14:textId="5799D3BF" w:rsidR="00E713CB" w:rsidRPr="00B13B9A" w:rsidRDefault="00E713CB" w:rsidP="00E713CB">
      <w:pPr>
        <w:spacing w:after="0" w:line="276" w:lineRule="auto"/>
        <w:jc w:val="both"/>
        <w:rPr>
          <w:rFonts w:asciiTheme="majorHAnsi" w:hAnsiTheme="majorHAnsi" w:cstheme="minorHAnsi"/>
          <w:sz w:val="24"/>
          <w:szCs w:val="24"/>
          <w:lang w:val="ro-MD"/>
        </w:rPr>
      </w:pPr>
      <w:r w:rsidRPr="00B13B9A">
        <w:rPr>
          <w:rFonts w:asciiTheme="majorHAnsi" w:hAnsiTheme="majorHAnsi" w:cstheme="minorHAnsi"/>
          <w:bCs/>
          <w:sz w:val="24"/>
          <w:szCs w:val="24"/>
          <w:lang w:val="ro-MD"/>
        </w:rPr>
        <w:t>Problema eviden</w:t>
      </w:r>
      <w:r w:rsidR="00B13B9A" w:rsidRPr="00B13B9A">
        <w:rPr>
          <w:rFonts w:asciiTheme="majorHAnsi" w:hAnsiTheme="majorHAnsi" w:cstheme="minorHAnsi"/>
          <w:bCs/>
          <w:sz w:val="24"/>
          <w:szCs w:val="24"/>
          <w:lang w:val="ro-MD"/>
        </w:rPr>
        <w:t>ț</w:t>
      </w:r>
      <w:r w:rsidRPr="00B13B9A">
        <w:rPr>
          <w:rFonts w:asciiTheme="majorHAnsi" w:hAnsiTheme="majorHAnsi" w:cstheme="minorHAnsi"/>
          <w:bCs/>
          <w:sz w:val="24"/>
          <w:szCs w:val="24"/>
          <w:lang w:val="ro-MD"/>
        </w:rPr>
        <w:t xml:space="preserve">ei veniturilor a fost identificată </w:t>
      </w:r>
      <w:r w:rsidR="00B13B9A" w:rsidRPr="00B13B9A">
        <w:rPr>
          <w:rFonts w:asciiTheme="majorHAnsi" w:hAnsiTheme="majorHAnsi" w:cstheme="minorHAnsi"/>
          <w:bCs/>
          <w:sz w:val="24"/>
          <w:szCs w:val="24"/>
          <w:lang w:val="ro-MD"/>
        </w:rPr>
        <w:t>ș</w:t>
      </w:r>
      <w:r w:rsidRPr="00B13B9A">
        <w:rPr>
          <w:rFonts w:asciiTheme="majorHAnsi" w:hAnsiTheme="majorHAnsi" w:cstheme="minorHAnsi"/>
          <w:bCs/>
          <w:sz w:val="24"/>
          <w:szCs w:val="24"/>
          <w:lang w:val="ro-MD"/>
        </w:rPr>
        <w:t>i de auditul privat efectuat în anul 2022. Astfel, începând cu anul 2023, pentru medicamentele consumate, entitatea recunoa</w:t>
      </w:r>
      <w:r w:rsidR="00B13B9A" w:rsidRPr="00B13B9A">
        <w:rPr>
          <w:rFonts w:asciiTheme="majorHAnsi" w:hAnsiTheme="majorHAnsi" w:cstheme="minorHAnsi"/>
          <w:bCs/>
          <w:sz w:val="24"/>
          <w:szCs w:val="24"/>
          <w:lang w:val="ro-MD"/>
        </w:rPr>
        <w:t>ș</w:t>
      </w:r>
      <w:r w:rsidRPr="00B13B9A">
        <w:rPr>
          <w:rFonts w:asciiTheme="majorHAnsi" w:hAnsiTheme="majorHAnsi" w:cstheme="minorHAnsi"/>
          <w:bCs/>
          <w:sz w:val="24"/>
          <w:szCs w:val="24"/>
          <w:lang w:val="ro-MD"/>
        </w:rPr>
        <w:t>te conform veniturile, adică pe măsura apari</w:t>
      </w:r>
      <w:r w:rsidR="00B13B9A" w:rsidRPr="00B13B9A">
        <w:rPr>
          <w:rFonts w:asciiTheme="majorHAnsi" w:hAnsiTheme="majorHAnsi" w:cstheme="minorHAnsi"/>
          <w:bCs/>
          <w:sz w:val="24"/>
          <w:szCs w:val="24"/>
          <w:lang w:val="ro-MD"/>
        </w:rPr>
        <w:t>ț</w:t>
      </w:r>
      <w:r w:rsidRPr="00B13B9A">
        <w:rPr>
          <w:rFonts w:asciiTheme="majorHAnsi" w:hAnsiTheme="majorHAnsi" w:cstheme="minorHAnsi"/>
          <w:bCs/>
          <w:sz w:val="24"/>
          <w:szCs w:val="24"/>
          <w:lang w:val="ro-MD"/>
        </w:rPr>
        <w:t xml:space="preserve">iei, </w:t>
      </w:r>
      <w:r w:rsidR="004C3370">
        <w:rPr>
          <w:rFonts w:asciiTheme="majorHAnsi" w:hAnsiTheme="majorHAnsi" w:cstheme="minorHAnsi"/>
          <w:bCs/>
          <w:sz w:val="24"/>
          <w:szCs w:val="24"/>
          <w:lang w:val="ro-MD"/>
        </w:rPr>
        <w:t xml:space="preserve">dar </w:t>
      </w:r>
      <w:r w:rsidRPr="00B13B9A">
        <w:rPr>
          <w:rFonts w:asciiTheme="majorHAnsi" w:hAnsiTheme="majorHAnsi" w:cstheme="minorHAnsi"/>
          <w:bCs/>
          <w:sz w:val="24"/>
          <w:szCs w:val="24"/>
          <w:lang w:val="ro-MD"/>
        </w:rPr>
        <w:t xml:space="preserve">nu </w:t>
      </w:r>
      <w:r w:rsidR="00B13B9A" w:rsidRPr="00B13B9A">
        <w:rPr>
          <w:rFonts w:asciiTheme="majorHAnsi" w:hAnsiTheme="majorHAnsi" w:cstheme="minorHAnsi"/>
          <w:bCs/>
          <w:sz w:val="24"/>
          <w:szCs w:val="24"/>
          <w:lang w:val="ro-MD"/>
        </w:rPr>
        <w:t>ș</w:t>
      </w:r>
      <w:r w:rsidRPr="00B13B9A">
        <w:rPr>
          <w:rFonts w:asciiTheme="majorHAnsi" w:hAnsiTheme="majorHAnsi" w:cstheme="minorHAnsi"/>
          <w:bCs/>
          <w:sz w:val="24"/>
          <w:szCs w:val="24"/>
          <w:lang w:val="ro-MD"/>
        </w:rPr>
        <w:t>i pentru celelalte elemente.</w:t>
      </w:r>
    </w:p>
    <w:p w14:paraId="318C5645" w14:textId="302B99EB" w:rsidR="00E713CB" w:rsidRPr="00B13B9A" w:rsidRDefault="00E713CB" w:rsidP="00E713CB">
      <w:pPr>
        <w:pStyle w:val="cn"/>
        <w:spacing w:line="276" w:lineRule="auto"/>
        <w:ind w:right="71"/>
        <w:jc w:val="both"/>
        <w:rPr>
          <w:rFonts w:asciiTheme="majorHAnsi" w:eastAsiaTheme="minorHAnsi" w:hAnsiTheme="majorHAnsi" w:cstheme="minorHAnsi"/>
          <w:lang w:val="ro-MD" w:eastAsia="en-US"/>
        </w:rPr>
      </w:pPr>
      <w:r w:rsidRPr="00B13B9A">
        <w:rPr>
          <w:rFonts w:asciiTheme="majorHAnsi" w:eastAsiaTheme="minorHAnsi" w:hAnsiTheme="majorHAnsi" w:cstheme="minorHAnsi"/>
          <w:lang w:val="ro-MD" w:eastAsia="en-US"/>
        </w:rPr>
        <w:t>Se denotă că entitatea nu dispune de prevederi metodologice descrise în politica de contabilitate la capitolul recunoa</w:t>
      </w:r>
      <w:r w:rsidR="00B13B9A" w:rsidRPr="00B13B9A">
        <w:rPr>
          <w:rFonts w:asciiTheme="majorHAnsi" w:eastAsiaTheme="minorHAnsi" w:hAnsiTheme="majorHAnsi" w:cstheme="minorHAnsi"/>
          <w:lang w:val="ro-MD" w:eastAsia="en-US"/>
        </w:rPr>
        <w:t>ș</w:t>
      </w:r>
      <w:r w:rsidRPr="00B13B9A">
        <w:rPr>
          <w:rFonts w:asciiTheme="majorHAnsi" w:eastAsiaTheme="minorHAnsi" w:hAnsiTheme="majorHAnsi" w:cstheme="minorHAnsi"/>
          <w:lang w:val="ro-MD" w:eastAsia="en-US"/>
        </w:rPr>
        <w:t>terea veniturilor din decontarea subven</w:t>
      </w:r>
      <w:r w:rsidR="00B13B9A" w:rsidRPr="00B13B9A">
        <w:rPr>
          <w:rFonts w:asciiTheme="majorHAnsi" w:eastAsiaTheme="minorHAnsi" w:hAnsiTheme="majorHAnsi" w:cstheme="minorHAnsi"/>
          <w:lang w:val="ro-MD" w:eastAsia="en-US"/>
        </w:rPr>
        <w:t>ț</w:t>
      </w:r>
      <w:r w:rsidRPr="00B13B9A">
        <w:rPr>
          <w:rFonts w:asciiTheme="majorHAnsi" w:eastAsiaTheme="minorHAnsi" w:hAnsiTheme="majorHAnsi" w:cstheme="minorHAnsi"/>
          <w:lang w:val="ro-MD" w:eastAsia="en-US"/>
        </w:rPr>
        <w:t>iilor</w:t>
      </w:r>
      <w:r w:rsidR="00944955" w:rsidRPr="00B13B9A">
        <w:rPr>
          <w:rFonts w:asciiTheme="majorHAnsi" w:eastAsiaTheme="minorHAnsi" w:hAnsiTheme="majorHAnsi" w:cstheme="minorHAnsi"/>
          <w:lang w:val="ro-MD" w:eastAsia="en-US"/>
        </w:rPr>
        <w:t xml:space="preserve">, inclusiv a celor din prestarea serviciilor către beneficiari din afara </w:t>
      </w:r>
      <w:r w:rsidR="00B13B9A" w:rsidRPr="00B13B9A">
        <w:rPr>
          <w:rFonts w:asciiTheme="majorHAnsi" w:eastAsiaTheme="minorHAnsi" w:hAnsiTheme="majorHAnsi" w:cstheme="minorHAnsi"/>
          <w:lang w:val="ro-MD" w:eastAsia="en-US"/>
        </w:rPr>
        <w:t>ț</w:t>
      </w:r>
      <w:r w:rsidR="00944955" w:rsidRPr="00B13B9A">
        <w:rPr>
          <w:rFonts w:asciiTheme="majorHAnsi" w:eastAsiaTheme="minorHAnsi" w:hAnsiTheme="majorHAnsi" w:cstheme="minorHAnsi"/>
          <w:lang w:val="ro-MD" w:eastAsia="en-US"/>
        </w:rPr>
        <w:t>ării.</w:t>
      </w:r>
      <w:r w:rsidRPr="00B13B9A">
        <w:rPr>
          <w:rFonts w:asciiTheme="majorHAnsi" w:eastAsiaTheme="minorHAnsi" w:hAnsiTheme="majorHAnsi" w:cstheme="minorHAnsi"/>
          <w:lang w:val="ro-MD" w:eastAsia="en-US"/>
        </w:rPr>
        <w:t xml:space="preserve"> Astfel, prin reflectarea trimestrială la venituri a diferen</w:t>
      </w:r>
      <w:r w:rsidR="00B13B9A" w:rsidRPr="00B13B9A">
        <w:rPr>
          <w:rFonts w:asciiTheme="majorHAnsi" w:eastAsiaTheme="minorHAnsi" w:hAnsiTheme="majorHAnsi" w:cstheme="minorHAnsi"/>
          <w:lang w:val="ro-MD" w:eastAsia="en-US"/>
        </w:rPr>
        <w:t>ț</w:t>
      </w:r>
      <w:r w:rsidRPr="00B13B9A">
        <w:rPr>
          <w:rFonts w:asciiTheme="majorHAnsi" w:eastAsiaTheme="minorHAnsi" w:hAnsiTheme="majorHAnsi" w:cstheme="minorHAnsi"/>
          <w:lang w:val="ro-MD" w:eastAsia="en-US"/>
        </w:rPr>
        <w:t xml:space="preserve">ei dintre suma totală a veniturilor curente </w:t>
      </w:r>
      <w:r w:rsidR="00B13B9A" w:rsidRPr="00B13B9A">
        <w:rPr>
          <w:rFonts w:asciiTheme="majorHAnsi" w:eastAsiaTheme="minorHAnsi" w:hAnsiTheme="majorHAnsi" w:cstheme="minorHAnsi"/>
          <w:lang w:val="ro-MD" w:eastAsia="en-US"/>
        </w:rPr>
        <w:t>ș</w:t>
      </w:r>
      <w:r w:rsidRPr="00B13B9A">
        <w:rPr>
          <w:rFonts w:asciiTheme="majorHAnsi" w:eastAsiaTheme="minorHAnsi" w:hAnsiTheme="majorHAnsi" w:cstheme="minorHAnsi"/>
          <w:lang w:val="ro-MD" w:eastAsia="en-US"/>
        </w:rPr>
        <w:t>i a cheltuielilor curente</w:t>
      </w:r>
      <w:r w:rsidR="005A3DB7" w:rsidRPr="00B13B9A">
        <w:rPr>
          <w:rFonts w:asciiTheme="majorHAnsi" w:eastAsiaTheme="minorHAnsi" w:hAnsiTheme="majorHAnsi" w:cstheme="minorHAnsi"/>
          <w:lang w:val="ro-MD" w:eastAsia="en-US"/>
        </w:rPr>
        <w:t>,</w:t>
      </w:r>
      <w:r w:rsidRPr="00B13B9A">
        <w:rPr>
          <w:rFonts w:asciiTheme="majorHAnsi" w:eastAsiaTheme="minorHAnsi" w:hAnsiTheme="majorHAnsi" w:cstheme="minorHAnsi"/>
          <w:lang w:val="ro-MD" w:eastAsia="en-US"/>
        </w:rPr>
        <w:t xml:space="preserve"> nu se asigură determinarea conformă </w:t>
      </w:r>
      <w:r w:rsidR="00B13B9A" w:rsidRPr="00B13B9A">
        <w:rPr>
          <w:rFonts w:asciiTheme="majorHAnsi" w:eastAsiaTheme="minorHAnsi" w:hAnsiTheme="majorHAnsi" w:cstheme="minorHAnsi"/>
          <w:lang w:val="ro-MD" w:eastAsia="en-US"/>
        </w:rPr>
        <w:t>ș</w:t>
      </w:r>
      <w:r w:rsidRPr="00B13B9A">
        <w:rPr>
          <w:rFonts w:asciiTheme="majorHAnsi" w:eastAsiaTheme="minorHAnsi" w:hAnsiTheme="majorHAnsi" w:cstheme="minorHAnsi"/>
          <w:lang w:val="ro-MD" w:eastAsia="en-US"/>
        </w:rPr>
        <w:t xml:space="preserve">i </w:t>
      </w:r>
      <w:r w:rsidR="005A3DB7" w:rsidRPr="00B13B9A">
        <w:rPr>
          <w:rFonts w:asciiTheme="majorHAnsi" w:eastAsiaTheme="minorHAnsi" w:hAnsiTheme="majorHAnsi" w:cstheme="minorHAnsi"/>
          <w:lang w:val="ro-MD" w:eastAsia="en-US"/>
        </w:rPr>
        <w:t xml:space="preserve">se </w:t>
      </w:r>
      <w:r w:rsidRPr="00B13B9A">
        <w:rPr>
          <w:rFonts w:asciiTheme="majorHAnsi" w:eastAsiaTheme="minorHAnsi" w:hAnsiTheme="majorHAnsi" w:cstheme="minorHAnsi"/>
          <w:lang w:val="ro-MD" w:eastAsia="en-US"/>
        </w:rPr>
        <w:t>camuflează rezultatul financiar real.</w:t>
      </w:r>
    </w:p>
    <w:p w14:paraId="6FD6544E" w14:textId="77777777" w:rsidR="00E713CB" w:rsidRPr="00B13B9A" w:rsidRDefault="00E713CB" w:rsidP="00E713CB">
      <w:pPr>
        <w:pStyle w:val="cn"/>
        <w:spacing w:line="276" w:lineRule="auto"/>
        <w:ind w:right="71"/>
        <w:jc w:val="both"/>
        <w:rPr>
          <w:rFonts w:asciiTheme="majorHAnsi" w:eastAsiaTheme="minorHAnsi" w:hAnsiTheme="majorHAnsi" w:cstheme="minorHAnsi"/>
          <w:lang w:val="ro-MD" w:eastAsia="en-US"/>
        </w:rPr>
      </w:pPr>
    </w:p>
    <w:p w14:paraId="0C6D19DE" w14:textId="4635E351" w:rsidR="00E713CB" w:rsidRPr="00B13B9A" w:rsidRDefault="00E713CB" w:rsidP="001E775F">
      <w:pPr>
        <w:pStyle w:val="cn"/>
        <w:numPr>
          <w:ilvl w:val="2"/>
          <w:numId w:val="10"/>
        </w:numPr>
        <w:spacing w:line="276" w:lineRule="auto"/>
        <w:ind w:left="0" w:right="71" w:firstLine="0"/>
        <w:jc w:val="both"/>
        <w:outlineLvl w:val="2"/>
        <w:rPr>
          <w:rFonts w:asciiTheme="majorHAnsi" w:eastAsiaTheme="minorHAnsi" w:hAnsiTheme="majorHAnsi" w:cstheme="minorHAnsi"/>
          <w:b/>
          <w:lang w:val="ro-MD" w:eastAsia="en-US"/>
        </w:rPr>
      </w:pPr>
      <w:bookmarkStart w:id="46" w:name="_Toc154562517"/>
      <w:r w:rsidRPr="00B13B9A">
        <w:rPr>
          <w:rFonts w:asciiTheme="majorHAnsi" w:eastAsiaTheme="minorHAnsi" w:hAnsiTheme="majorHAnsi" w:cstheme="minorHAnsi"/>
          <w:b/>
          <w:lang w:val="ro-MD" w:eastAsia="en-US"/>
        </w:rPr>
        <w:t>Costurile aferente serviciilor prestate stau la baza formării tarifelor aprobate de Ministerul Sănătă</w:t>
      </w:r>
      <w:r w:rsidR="00B13B9A" w:rsidRPr="00B13B9A">
        <w:rPr>
          <w:rFonts w:asciiTheme="majorHAnsi" w:eastAsiaTheme="minorHAnsi" w:hAnsiTheme="majorHAnsi" w:cstheme="minorHAnsi"/>
          <w:b/>
          <w:lang w:val="ro-MD" w:eastAsia="en-US"/>
        </w:rPr>
        <w:t>ț</w:t>
      </w:r>
      <w:r w:rsidRPr="00B13B9A">
        <w:rPr>
          <w:rFonts w:asciiTheme="majorHAnsi" w:eastAsiaTheme="minorHAnsi" w:hAnsiTheme="majorHAnsi" w:cstheme="minorHAnsi"/>
          <w:b/>
          <w:lang w:val="ro-MD" w:eastAsia="en-US"/>
        </w:rPr>
        <w:t>ii</w:t>
      </w:r>
      <w:r w:rsidR="005A3DB7" w:rsidRPr="00B13B9A">
        <w:rPr>
          <w:rFonts w:asciiTheme="majorHAnsi" w:eastAsiaTheme="minorHAnsi" w:hAnsiTheme="majorHAnsi" w:cstheme="minorHAnsi"/>
          <w:b/>
          <w:lang w:val="ro-MD" w:eastAsia="en-US"/>
        </w:rPr>
        <w:t>.</w:t>
      </w:r>
      <w:bookmarkEnd w:id="46"/>
    </w:p>
    <w:p w14:paraId="508611EB" w14:textId="77777777" w:rsidR="00E713CB" w:rsidRPr="00B13B9A" w:rsidRDefault="00E713CB" w:rsidP="00E713CB">
      <w:pPr>
        <w:pStyle w:val="cn"/>
        <w:spacing w:line="276" w:lineRule="auto"/>
        <w:ind w:right="71"/>
        <w:jc w:val="both"/>
        <w:rPr>
          <w:rFonts w:asciiTheme="majorHAnsi" w:eastAsiaTheme="minorHAnsi" w:hAnsiTheme="majorHAnsi" w:cstheme="minorHAnsi"/>
          <w:lang w:val="ro-MD" w:eastAsia="en-US"/>
        </w:rPr>
      </w:pPr>
    </w:p>
    <w:p w14:paraId="426A4E05" w14:textId="27FBF531" w:rsidR="00E713CB" w:rsidRPr="00B13B9A" w:rsidRDefault="00E713CB" w:rsidP="00E713CB">
      <w:pPr>
        <w:pStyle w:val="cn"/>
        <w:spacing w:line="276" w:lineRule="auto"/>
        <w:ind w:right="71"/>
        <w:jc w:val="both"/>
        <w:rPr>
          <w:rFonts w:asciiTheme="majorHAnsi" w:eastAsiaTheme="minorHAnsi" w:hAnsiTheme="majorHAnsi" w:cstheme="minorHAnsi"/>
          <w:lang w:val="ro-MD" w:eastAsia="en-US"/>
        </w:rPr>
      </w:pPr>
      <w:r w:rsidRPr="00B13B9A">
        <w:rPr>
          <w:rFonts w:asciiTheme="majorHAnsi" w:eastAsiaTheme="minorHAnsi" w:hAnsiTheme="majorHAnsi" w:cstheme="minorHAnsi"/>
          <w:lang w:val="ro-MD" w:eastAsia="en-US"/>
        </w:rPr>
        <w:t>Institu</w:t>
      </w:r>
      <w:r w:rsidR="00B13B9A" w:rsidRPr="00B13B9A">
        <w:rPr>
          <w:rFonts w:asciiTheme="majorHAnsi" w:eastAsiaTheme="minorHAnsi" w:hAnsiTheme="majorHAnsi" w:cstheme="minorHAnsi"/>
          <w:lang w:val="ro-MD" w:eastAsia="en-US"/>
        </w:rPr>
        <w:t>ț</w:t>
      </w:r>
      <w:r w:rsidRPr="00B13B9A">
        <w:rPr>
          <w:rFonts w:asciiTheme="majorHAnsi" w:eastAsiaTheme="minorHAnsi" w:hAnsiTheme="majorHAnsi" w:cstheme="minorHAnsi"/>
          <w:lang w:val="ro-MD" w:eastAsia="en-US"/>
        </w:rPr>
        <w:t xml:space="preserve">iile medico-sanitare prezintă datele aferent cheltuielilor ce stau la baza calculării tarifelor pentru serviciile medico-sanitare </w:t>
      </w:r>
      <w:r w:rsidR="00B13B9A" w:rsidRPr="00B13B9A">
        <w:rPr>
          <w:rFonts w:asciiTheme="majorHAnsi" w:eastAsiaTheme="minorHAnsi" w:hAnsiTheme="majorHAnsi" w:cstheme="minorHAnsi"/>
          <w:lang w:val="ro-MD" w:eastAsia="en-US"/>
        </w:rPr>
        <w:t>ș</w:t>
      </w:r>
      <w:r w:rsidRPr="00B13B9A">
        <w:rPr>
          <w:rFonts w:asciiTheme="majorHAnsi" w:eastAsiaTheme="minorHAnsi" w:hAnsiTheme="majorHAnsi" w:cstheme="minorHAnsi"/>
          <w:lang w:val="ro-MD" w:eastAsia="en-US"/>
        </w:rPr>
        <w:t>i le prezintă Ministerului Sănătă</w:t>
      </w:r>
      <w:r w:rsidR="00B13B9A" w:rsidRPr="00B13B9A">
        <w:rPr>
          <w:rFonts w:asciiTheme="majorHAnsi" w:eastAsiaTheme="minorHAnsi" w:hAnsiTheme="majorHAnsi" w:cstheme="minorHAnsi"/>
          <w:lang w:val="ro-MD" w:eastAsia="en-US"/>
        </w:rPr>
        <w:t>ț</w:t>
      </w:r>
      <w:r w:rsidRPr="00B13B9A">
        <w:rPr>
          <w:rFonts w:asciiTheme="majorHAnsi" w:eastAsiaTheme="minorHAnsi" w:hAnsiTheme="majorHAnsi" w:cstheme="minorHAnsi"/>
          <w:lang w:val="ro-MD" w:eastAsia="en-US"/>
        </w:rPr>
        <w:t xml:space="preserve">ii, anexând documentele necesare pentru argumentarea lor. Totodată, costul serviciilor medico-sanitare este constituit din: costuri/cheltuieli cu personalul; costuri/cheltuieli materiale; costuri/cheltuieli privind amortizarea/uzura imobilizărilor necorporale </w:t>
      </w:r>
      <w:r w:rsidR="00B13B9A" w:rsidRPr="00B13B9A">
        <w:rPr>
          <w:rFonts w:asciiTheme="majorHAnsi" w:eastAsiaTheme="minorHAnsi" w:hAnsiTheme="majorHAnsi" w:cstheme="minorHAnsi"/>
          <w:lang w:val="ro-MD" w:eastAsia="en-US"/>
        </w:rPr>
        <w:t>ș</w:t>
      </w:r>
      <w:r w:rsidRPr="00B13B9A">
        <w:rPr>
          <w:rFonts w:asciiTheme="majorHAnsi" w:eastAsiaTheme="minorHAnsi" w:hAnsiTheme="majorHAnsi" w:cstheme="minorHAnsi"/>
          <w:lang w:val="ro-MD" w:eastAsia="en-US"/>
        </w:rPr>
        <w:t xml:space="preserve">i mijloacelor fixe; alte costuri/cheltuieli. Pentru perioada auditată, entitatea a calculat </w:t>
      </w:r>
      <w:r w:rsidR="00B13B9A" w:rsidRPr="00B13B9A">
        <w:rPr>
          <w:rFonts w:asciiTheme="majorHAnsi" w:eastAsiaTheme="minorHAnsi" w:hAnsiTheme="majorHAnsi" w:cstheme="minorHAnsi"/>
          <w:lang w:val="ro-MD" w:eastAsia="en-US"/>
        </w:rPr>
        <w:t>ș</w:t>
      </w:r>
      <w:r w:rsidRPr="00B13B9A">
        <w:rPr>
          <w:rFonts w:asciiTheme="majorHAnsi" w:eastAsiaTheme="minorHAnsi" w:hAnsiTheme="majorHAnsi" w:cstheme="minorHAnsi"/>
          <w:lang w:val="ro-MD" w:eastAsia="en-US"/>
        </w:rPr>
        <w:t>i a înaintat costul serviciilor prestate, iar MS  a aprobat tariful, situa</w:t>
      </w:r>
      <w:r w:rsidR="00B13B9A" w:rsidRPr="00B13B9A">
        <w:rPr>
          <w:rFonts w:asciiTheme="majorHAnsi" w:eastAsiaTheme="minorHAnsi" w:hAnsiTheme="majorHAnsi" w:cstheme="minorHAnsi"/>
          <w:lang w:val="ro-MD" w:eastAsia="en-US"/>
        </w:rPr>
        <w:t>ț</w:t>
      </w:r>
      <w:r w:rsidRPr="00B13B9A">
        <w:rPr>
          <w:rFonts w:asciiTheme="majorHAnsi" w:eastAsiaTheme="minorHAnsi" w:hAnsiTheme="majorHAnsi" w:cstheme="minorHAnsi"/>
          <w:lang w:val="ro-MD" w:eastAsia="en-US"/>
        </w:rPr>
        <w:t>ie redată în tabelul de mai jos:</w:t>
      </w:r>
    </w:p>
    <w:p w14:paraId="033FF401" w14:textId="77777777" w:rsidR="00E713CB" w:rsidRPr="00B13B9A" w:rsidRDefault="00E713CB" w:rsidP="00E713CB">
      <w:pPr>
        <w:pStyle w:val="cn"/>
        <w:spacing w:line="276" w:lineRule="auto"/>
        <w:ind w:right="71"/>
        <w:jc w:val="right"/>
        <w:rPr>
          <w:rFonts w:asciiTheme="majorHAnsi" w:hAnsiTheme="majorHAnsi" w:cstheme="majorHAnsi"/>
          <w:color w:val="333333"/>
          <w:shd w:val="clear" w:color="auto" w:fill="FFFFFF"/>
          <w:lang w:val="ro-MD"/>
        </w:rPr>
      </w:pPr>
      <w:r w:rsidRPr="00B13B9A">
        <w:rPr>
          <w:rFonts w:asciiTheme="majorHAnsi" w:hAnsiTheme="majorHAnsi" w:cstheme="majorHAnsi"/>
          <w:color w:val="333333"/>
          <w:shd w:val="clear" w:color="auto" w:fill="FFFFFF"/>
          <w:lang w:val="ro-MD"/>
        </w:rPr>
        <w:t>Tabel nr.</w:t>
      </w:r>
      <w:r w:rsidR="00D37D8A" w:rsidRPr="00B13B9A">
        <w:rPr>
          <w:rFonts w:asciiTheme="majorHAnsi" w:hAnsiTheme="majorHAnsi" w:cstheme="majorHAnsi"/>
          <w:color w:val="333333"/>
          <w:shd w:val="clear" w:color="auto" w:fill="FFFFFF"/>
          <w:lang w:val="ro-MD"/>
        </w:rPr>
        <w:t>6</w:t>
      </w:r>
    </w:p>
    <w:p w14:paraId="47808A34" w14:textId="45BD34E2" w:rsidR="00E713CB" w:rsidRPr="00B13B9A" w:rsidRDefault="00E713CB" w:rsidP="00E713CB">
      <w:pPr>
        <w:pStyle w:val="cn"/>
        <w:spacing w:line="276" w:lineRule="auto"/>
        <w:ind w:right="71"/>
        <w:rPr>
          <w:rFonts w:asciiTheme="majorHAnsi" w:hAnsiTheme="majorHAnsi" w:cstheme="majorHAnsi"/>
          <w:b/>
          <w:color w:val="333333"/>
          <w:shd w:val="clear" w:color="auto" w:fill="FFFFFF"/>
          <w:lang w:val="ro-MD"/>
        </w:rPr>
      </w:pPr>
      <w:r w:rsidRPr="00B13B9A">
        <w:rPr>
          <w:rFonts w:asciiTheme="majorHAnsi" w:hAnsiTheme="majorHAnsi" w:cstheme="majorHAnsi"/>
          <w:b/>
          <w:color w:val="333333"/>
          <w:shd w:val="clear" w:color="auto" w:fill="FFFFFF"/>
          <w:lang w:val="ro-MD"/>
        </w:rPr>
        <w:t>Informa</w:t>
      </w:r>
      <w:r w:rsidR="00B13B9A" w:rsidRPr="00B13B9A">
        <w:rPr>
          <w:rFonts w:asciiTheme="majorHAnsi" w:hAnsiTheme="majorHAnsi" w:cstheme="majorHAnsi"/>
          <w:b/>
          <w:color w:val="333333"/>
          <w:shd w:val="clear" w:color="auto" w:fill="FFFFFF"/>
          <w:lang w:val="ro-MD"/>
        </w:rPr>
        <w:t>ț</w:t>
      </w:r>
      <w:r w:rsidRPr="00B13B9A">
        <w:rPr>
          <w:rFonts w:asciiTheme="majorHAnsi" w:hAnsiTheme="majorHAnsi" w:cstheme="majorHAnsi"/>
          <w:b/>
          <w:color w:val="333333"/>
          <w:shd w:val="clear" w:color="auto" w:fill="FFFFFF"/>
          <w:lang w:val="ro-MD"/>
        </w:rPr>
        <w:t xml:space="preserve">ii privind costul serviciilor </w:t>
      </w:r>
      <w:r w:rsidR="00B13B9A" w:rsidRPr="00B13B9A">
        <w:rPr>
          <w:rFonts w:asciiTheme="majorHAnsi" w:hAnsiTheme="majorHAnsi" w:cstheme="majorHAnsi"/>
          <w:b/>
          <w:color w:val="333333"/>
          <w:shd w:val="clear" w:color="auto" w:fill="FFFFFF"/>
          <w:lang w:val="ro-MD"/>
        </w:rPr>
        <w:t>ș</w:t>
      </w:r>
      <w:r w:rsidRPr="00B13B9A">
        <w:rPr>
          <w:rFonts w:asciiTheme="majorHAnsi" w:hAnsiTheme="majorHAnsi" w:cstheme="majorHAnsi"/>
          <w:b/>
          <w:color w:val="333333"/>
          <w:shd w:val="clear" w:color="auto" w:fill="FFFFFF"/>
          <w:lang w:val="ro-MD"/>
        </w:rPr>
        <w:t>i tariful aprobat de M</w:t>
      </w:r>
      <w:r w:rsidR="005A3DB7" w:rsidRPr="00B13B9A">
        <w:rPr>
          <w:rFonts w:asciiTheme="majorHAnsi" w:hAnsiTheme="majorHAnsi" w:cstheme="majorHAnsi"/>
          <w:b/>
          <w:color w:val="333333"/>
          <w:shd w:val="clear" w:color="auto" w:fill="FFFFFF"/>
          <w:lang w:val="ro-MD"/>
        </w:rPr>
        <w:t xml:space="preserve">inisterul </w:t>
      </w:r>
      <w:r w:rsidRPr="00B13B9A">
        <w:rPr>
          <w:rFonts w:asciiTheme="majorHAnsi" w:hAnsiTheme="majorHAnsi" w:cstheme="majorHAnsi"/>
          <w:b/>
          <w:color w:val="333333"/>
          <w:shd w:val="clear" w:color="auto" w:fill="FFFFFF"/>
          <w:lang w:val="ro-MD"/>
        </w:rPr>
        <w:t>S</w:t>
      </w:r>
      <w:r w:rsidR="005A3DB7" w:rsidRPr="00B13B9A">
        <w:rPr>
          <w:rFonts w:asciiTheme="majorHAnsi" w:hAnsiTheme="majorHAnsi" w:cstheme="majorHAnsi"/>
          <w:b/>
          <w:color w:val="333333"/>
          <w:shd w:val="clear" w:color="auto" w:fill="FFFFFF"/>
          <w:lang w:val="ro-MD"/>
        </w:rPr>
        <w:t>ănătă</w:t>
      </w:r>
      <w:r w:rsidR="00B13B9A" w:rsidRPr="00B13B9A">
        <w:rPr>
          <w:rFonts w:asciiTheme="majorHAnsi" w:hAnsiTheme="majorHAnsi" w:cstheme="majorHAnsi"/>
          <w:b/>
          <w:color w:val="333333"/>
          <w:shd w:val="clear" w:color="auto" w:fill="FFFFFF"/>
          <w:lang w:val="ro-MD"/>
        </w:rPr>
        <w:t>ț</w:t>
      </w:r>
      <w:r w:rsidR="005A3DB7" w:rsidRPr="00B13B9A">
        <w:rPr>
          <w:rFonts w:asciiTheme="majorHAnsi" w:hAnsiTheme="majorHAnsi" w:cstheme="majorHAnsi"/>
          <w:b/>
          <w:color w:val="333333"/>
          <w:shd w:val="clear" w:color="auto" w:fill="FFFFFF"/>
          <w:lang w:val="ro-MD"/>
        </w:rPr>
        <w:t>ii</w:t>
      </w:r>
      <w:r w:rsidRPr="00B13B9A">
        <w:rPr>
          <w:rFonts w:asciiTheme="majorHAnsi" w:hAnsiTheme="majorHAnsi" w:cstheme="majorHAnsi"/>
          <w:b/>
          <w:color w:val="333333"/>
          <w:shd w:val="clear" w:color="auto" w:fill="FFFFFF"/>
          <w:lang w:val="ro-MD"/>
        </w:rPr>
        <w:t>, lei</w:t>
      </w:r>
    </w:p>
    <w:tbl>
      <w:tblPr>
        <w:tblW w:w="9577" w:type="dxa"/>
        <w:tblLook w:val="04A0" w:firstRow="1" w:lastRow="0" w:firstColumn="1" w:lastColumn="0" w:noHBand="0" w:noVBand="1"/>
      </w:tblPr>
      <w:tblGrid>
        <w:gridCol w:w="3475"/>
        <w:gridCol w:w="2034"/>
        <w:gridCol w:w="2034"/>
        <w:gridCol w:w="2034"/>
      </w:tblGrid>
      <w:tr w:rsidR="00E713CB" w:rsidRPr="00B13B9A" w14:paraId="2949B25D" w14:textId="77777777" w:rsidTr="00B00556">
        <w:trPr>
          <w:trHeight w:val="20"/>
        </w:trPr>
        <w:tc>
          <w:tcPr>
            <w:tcW w:w="3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42BD71" w14:textId="77777777" w:rsidR="00E713CB" w:rsidRPr="00B13B9A" w:rsidRDefault="00E713CB" w:rsidP="001179CC">
            <w:pPr>
              <w:spacing w:after="0" w:line="240" w:lineRule="auto"/>
              <w:jc w:val="center"/>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Anul</w:t>
            </w:r>
          </w:p>
        </w:tc>
        <w:tc>
          <w:tcPr>
            <w:tcW w:w="2034" w:type="dxa"/>
            <w:tcBorders>
              <w:top w:val="single" w:sz="4" w:space="0" w:color="auto"/>
              <w:left w:val="nil"/>
              <w:bottom w:val="single" w:sz="4" w:space="0" w:color="auto"/>
              <w:right w:val="single" w:sz="4" w:space="0" w:color="auto"/>
            </w:tcBorders>
            <w:shd w:val="clear" w:color="auto" w:fill="auto"/>
            <w:noWrap/>
            <w:vAlign w:val="bottom"/>
            <w:hideMark/>
          </w:tcPr>
          <w:p w14:paraId="006A6CA6" w14:textId="77777777" w:rsidR="00E713CB" w:rsidRPr="00B13B9A" w:rsidRDefault="00E713CB" w:rsidP="001179CC">
            <w:pPr>
              <w:spacing w:after="0" w:line="240" w:lineRule="auto"/>
              <w:jc w:val="center"/>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2021</w:t>
            </w:r>
          </w:p>
        </w:tc>
        <w:tc>
          <w:tcPr>
            <w:tcW w:w="2034" w:type="dxa"/>
            <w:tcBorders>
              <w:top w:val="single" w:sz="4" w:space="0" w:color="auto"/>
              <w:left w:val="nil"/>
              <w:bottom w:val="single" w:sz="4" w:space="0" w:color="auto"/>
              <w:right w:val="single" w:sz="4" w:space="0" w:color="auto"/>
            </w:tcBorders>
            <w:shd w:val="clear" w:color="auto" w:fill="auto"/>
            <w:noWrap/>
            <w:vAlign w:val="bottom"/>
            <w:hideMark/>
          </w:tcPr>
          <w:p w14:paraId="0DD6D28E" w14:textId="77777777" w:rsidR="00E713CB" w:rsidRPr="00B13B9A" w:rsidRDefault="00E713CB" w:rsidP="001179CC">
            <w:pPr>
              <w:spacing w:after="0" w:line="240" w:lineRule="auto"/>
              <w:jc w:val="center"/>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2022</w:t>
            </w:r>
          </w:p>
        </w:tc>
        <w:tc>
          <w:tcPr>
            <w:tcW w:w="2034" w:type="dxa"/>
            <w:tcBorders>
              <w:top w:val="single" w:sz="4" w:space="0" w:color="auto"/>
              <w:left w:val="nil"/>
              <w:bottom w:val="single" w:sz="4" w:space="0" w:color="auto"/>
              <w:right w:val="single" w:sz="4" w:space="0" w:color="auto"/>
            </w:tcBorders>
            <w:shd w:val="clear" w:color="auto" w:fill="auto"/>
            <w:noWrap/>
            <w:vAlign w:val="bottom"/>
            <w:hideMark/>
          </w:tcPr>
          <w:p w14:paraId="0558588C" w14:textId="77777777" w:rsidR="00E713CB" w:rsidRPr="00B13B9A" w:rsidRDefault="00E713CB" w:rsidP="001179CC">
            <w:pPr>
              <w:spacing w:after="0" w:line="240" w:lineRule="auto"/>
              <w:jc w:val="center"/>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2023</w:t>
            </w:r>
          </w:p>
        </w:tc>
      </w:tr>
      <w:tr w:rsidR="00E713CB" w:rsidRPr="00B13B9A" w14:paraId="75430D1A" w14:textId="77777777" w:rsidTr="00B00556">
        <w:trPr>
          <w:trHeight w:val="20"/>
        </w:trPr>
        <w:tc>
          <w:tcPr>
            <w:tcW w:w="3475" w:type="dxa"/>
            <w:tcBorders>
              <w:top w:val="nil"/>
              <w:left w:val="single" w:sz="4" w:space="0" w:color="auto"/>
              <w:bottom w:val="single" w:sz="4" w:space="0" w:color="auto"/>
              <w:right w:val="single" w:sz="4" w:space="0" w:color="auto"/>
            </w:tcBorders>
            <w:shd w:val="clear" w:color="auto" w:fill="auto"/>
            <w:vAlign w:val="bottom"/>
            <w:hideMark/>
          </w:tcPr>
          <w:p w14:paraId="0B4C5E29" w14:textId="77777777" w:rsidR="00E713CB" w:rsidRPr="00B13B9A" w:rsidRDefault="00E713CB" w:rsidP="00B00556">
            <w:pPr>
              <w:spacing w:after="0" w:line="240" w:lineRule="auto"/>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Costul serviciilor calculat de entitate</w:t>
            </w:r>
          </w:p>
        </w:tc>
        <w:tc>
          <w:tcPr>
            <w:tcW w:w="2034" w:type="dxa"/>
            <w:tcBorders>
              <w:top w:val="nil"/>
              <w:left w:val="nil"/>
              <w:bottom w:val="single" w:sz="4" w:space="0" w:color="auto"/>
              <w:right w:val="single" w:sz="4" w:space="0" w:color="auto"/>
            </w:tcBorders>
            <w:shd w:val="clear" w:color="auto" w:fill="auto"/>
            <w:noWrap/>
            <w:vAlign w:val="bottom"/>
            <w:hideMark/>
          </w:tcPr>
          <w:p w14:paraId="0BC507DA" w14:textId="77777777" w:rsidR="00E713CB" w:rsidRPr="00B13B9A" w:rsidRDefault="00E713CB" w:rsidP="00B00556">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815</w:t>
            </w:r>
          </w:p>
        </w:tc>
        <w:tc>
          <w:tcPr>
            <w:tcW w:w="2034" w:type="dxa"/>
            <w:tcBorders>
              <w:top w:val="nil"/>
              <w:left w:val="nil"/>
              <w:bottom w:val="single" w:sz="4" w:space="0" w:color="auto"/>
              <w:right w:val="single" w:sz="4" w:space="0" w:color="auto"/>
            </w:tcBorders>
            <w:shd w:val="clear" w:color="auto" w:fill="auto"/>
            <w:noWrap/>
            <w:vAlign w:val="bottom"/>
            <w:hideMark/>
          </w:tcPr>
          <w:p w14:paraId="20CAF3D3" w14:textId="0912B616" w:rsidR="00E713CB" w:rsidRPr="00B13B9A" w:rsidRDefault="00E713CB" w:rsidP="00B00556">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w:t>
            </w:r>
            <w:r w:rsidR="005A3DB7" w:rsidRPr="00B13B9A">
              <w:rPr>
                <w:rFonts w:asciiTheme="majorHAnsi" w:eastAsia="Times New Roman" w:hAnsiTheme="majorHAnsi" w:cstheme="majorHAnsi"/>
                <w:color w:val="000000"/>
                <w:sz w:val="20"/>
                <w:szCs w:val="20"/>
                <w:lang w:val="ro-MD"/>
              </w:rPr>
              <w:t xml:space="preserve"> </w:t>
            </w:r>
            <w:r w:rsidRPr="00B13B9A">
              <w:rPr>
                <w:rFonts w:asciiTheme="majorHAnsi" w:eastAsia="Times New Roman" w:hAnsiTheme="majorHAnsi" w:cstheme="majorHAnsi"/>
                <w:color w:val="000000"/>
                <w:sz w:val="20"/>
                <w:szCs w:val="20"/>
                <w:lang w:val="ro-MD"/>
              </w:rPr>
              <w:t>077</w:t>
            </w:r>
          </w:p>
        </w:tc>
        <w:tc>
          <w:tcPr>
            <w:tcW w:w="2034" w:type="dxa"/>
            <w:tcBorders>
              <w:top w:val="nil"/>
              <w:left w:val="nil"/>
              <w:bottom w:val="single" w:sz="4" w:space="0" w:color="auto"/>
              <w:right w:val="single" w:sz="4" w:space="0" w:color="auto"/>
            </w:tcBorders>
            <w:shd w:val="clear" w:color="auto" w:fill="auto"/>
            <w:noWrap/>
            <w:vAlign w:val="bottom"/>
            <w:hideMark/>
          </w:tcPr>
          <w:p w14:paraId="24F8BBA2" w14:textId="180A0AE3" w:rsidR="00E713CB" w:rsidRPr="00B13B9A" w:rsidRDefault="00E713CB" w:rsidP="00B00556">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w:t>
            </w:r>
            <w:r w:rsidR="005A3DB7" w:rsidRPr="00B13B9A">
              <w:rPr>
                <w:rFonts w:asciiTheme="majorHAnsi" w:eastAsia="Times New Roman" w:hAnsiTheme="majorHAnsi" w:cstheme="majorHAnsi"/>
                <w:color w:val="000000"/>
                <w:sz w:val="20"/>
                <w:szCs w:val="20"/>
                <w:lang w:val="ro-MD"/>
              </w:rPr>
              <w:t xml:space="preserve"> </w:t>
            </w:r>
            <w:r w:rsidRPr="00B13B9A">
              <w:rPr>
                <w:rFonts w:asciiTheme="majorHAnsi" w:eastAsia="Times New Roman" w:hAnsiTheme="majorHAnsi" w:cstheme="majorHAnsi"/>
                <w:color w:val="000000"/>
                <w:sz w:val="20"/>
                <w:szCs w:val="20"/>
                <w:lang w:val="ro-MD"/>
              </w:rPr>
              <w:t>138</w:t>
            </w:r>
          </w:p>
        </w:tc>
      </w:tr>
      <w:tr w:rsidR="00E713CB" w:rsidRPr="00B13B9A" w14:paraId="47239BB2" w14:textId="77777777" w:rsidTr="00B00556">
        <w:trPr>
          <w:trHeight w:val="20"/>
        </w:trPr>
        <w:tc>
          <w:tcPr>
            <w:tcW w:w="3475" w:type="dxa"/>
            <w:tcBorders>
              <w:top w:val="nil"/>
              <w:left w:val="single" w:sz="4" w:space="0" w:color="auto"/>
              <w:bottom w:val="single" w:sz="4" w:space="0" w:color="auto"/>
              <w:right w:val="single" w:sz="4" w:space="0" w:color="auto"/>
            </w:tcBorders>
            <w:shd w:val="clear" w:color="auto" w:fill="auto"/>
            <w:vAlign w:val="bottom"/>
            <w:hideMark/>
          </w:tcPr>
          <w:p w14:paraId="285A9F70" w14:textId="3F089941" w:rsidR="00E713CB" w:rsidRPr="00B13B9A" w:rsidRDefault="00E713CB" w:rsidP="00B00556">
            <w:pPr>
              <w:spacing w:after="0" w:line="240" w:lineRule="auto"/>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Tarif</w:t>
            </w:r>
            <w:r w:rsidR="005A3DB7" w:rsidRPr="00B13B9A">
              <w:rPr>
                <w:rFonts w:asciiTheme="majorHAnsi" w:eastAsia="Times New Roman" w:hAnsiTheme="majorHAnsi" w:cstheme="majorHAnsi"/>
                <w:color w:val="000000"/>
                <w:sz w:val="20"/>
                <w:szCs w:val="20"/>
                <w:lang w:val="ro-MD"/>
              </w:rPr>
              <w:t>ul</w:t>
            </w:r>
            <w:r w:rsidRPr="00B13B9A">
              <w:rPr>
                <w:rFonts w:asciiTheme="majorHAnsi" w:eastAsia="Times New Roman" w:hAnsiTheme="majorHAnsi" w:cstheme="majorHAnsi"/>
                <w:color w:val="000000"/>
                <w:sz w:val="20"/>
                <w:szCs w:val="20"/>
                <w:lang w:val="ro-MD"/>
              </w:rPr>
              <w:t xml:space="preserve"> aprobat de MS</w:t>
            </w:r>
          </w:p>
        </w:tc>
        <w:tc>
          <w:tcPr>
            <w:tcW w:w="2034" w:type="dxa"/>
            <w:tcBorders>
              <w:top w:val="nil"/>
              <w:left w:val="nil"/>
              <w:bottom w:val="single" w:sz="4" w:space="0" w:color="auto"/>
              <w:right w:val="single" w:sz="4" w:space="0" w:color="auto"/>
            </w:tcBorders>
            <w:shd w:val="clear" w:color="auto" w:fill="auto"/>
            <w:noWrap/>
            <w:vAlign w:val="bottom"/>
            <w:hideMark/>
          </w:tcPr>
          <w:p w14:paraId="37A346A8" w14:textId="77777777" w:rsidR="00E713CB" w:rsidRPr="00B13B9A" w:rsidRDefault="00E713CB" w:rsidP="00B00556">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815</w:t>
            </w:r>
          </w:p>
        </w:tc>
        <w:tc>
          <w:tcPr>
            <w:tcW w:w="2034" w:type="dxa"/>
            <w:tcBorders>
              <w:top w:val="nil"/>
              <w:left w:val="nil"/>
              <w:bottom w:val="single" w:sz="4" w:space="0" w:color="auto"/>
              <w:right w:val="single" w:sz="4" w:space="0" w:color="auto"/>
            </w:tcBorders>
            <w:shd w:val="clear" w:color="auto" w:fill="auto"/>
            <w:noWrap/>
            <w:vAlign w:val="bottom"/>
            <w:hideMark/>
          </w:tcPr>
          <w:p w14:paraId="0DDA7300" w14:textId="54F3D9C8" w:rsidR="00E713CB" w:rsidRPr="00B13B9A" w:rsidRDefault="00E713CB" w:rsidP="00B00556">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w:t>
            </w:r>
            <w:r w:rsidR="005A3DB7" w:rsidRPr="00B13B9A">
              <w:rPr>
                <w:rFonts w:asciiTheme="majorHAnsi" w:eastAsia="Times New Roman" w:hAnsiTheme="majorHAnsi" w:cstheme="majorHAnsi"/>
                <w:color w:val="000000"/>
                <w:sz w:val="20"/>
                <w:szCs w:val="20"/>
                <w:lang w:val="ro-MD"/>
              </w:rPr>
              <w:t xml:space="preserve"> </w:t>
            </w:r>
            <w:r w:rsidRPr="00B13B9A">
              <w:rPr>
                <w:rFonts w:asciiTheme="majorHAnsi" w:eastAsia="Times New Roman" w:hAnsiTheme="majorHAnsi" w:cstheme="majorHAnsi"/>
                <w:color w:val="000000"/>
                <w:sz w:val="20"/>
                <w:szCs w:val="20"/>
                <w:lang w:val="ro-MD"/>
              </w:rPr>
              <w:t>077</w:t>
            </w:r>
          </w:p>
        </w:tc>
        <w:tc>
          <w:tcPr>
            <w:tcW w:w="2034" w:type="dxa"/>
            <w:tcBorders>
              <w:top w:val="nil"/>
              <w:left w:val="nil"/>
              <w:bottom w:val="single" w:sz="4" w:space="0" w:color="auto"/>
              <w:right w:val="single" w:sz="4" w:space="0" w:color="auto"/>
            </w:tcBorders>
            <w:shd w:val="clear" w:color="auto" w:fill="auto"/>
            <w:noWrap/>
            <w:vAlign w:val="bottom"/>
            <w:hideMark/>
          </w:tcPr>
          <w:p w14:paraId="107A83EC" w14:textId="01759B83" w:rsidR="00E713CB" w:rsidRPr="00B13B9A" w:rsidRDefault="00E713CB" w:rsidP="00B00556">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w:t>
            </w:r>
            <w:r w:rsidR="005A3DB7" w:rsidRPr="00B13B9A">
              <w:rPr>
                <w:rFonts w:asciiTheme="majorHAnsi" w:eastAsia="Times New Roman" w:hAnsiTheme="majorHAnsi" w:cstheme="majorHAnsi"/>
                <w:color w:val="000000"/>
                <w:sz w:val="20"/>
                <w:szCs w:val="20"/>
                <w:lang w:val="ro-MD"/>
              </w:rPr>
              <w:t xml:space="preserve"> </w:t>
            </w:r>
            <w:r w:rsidRPr="00B13B9A">
              <w:rPr>
                <w:rFonts w:asciiTheme="majorHAnsi" w:eastAsia="Times New Roman" w:hAnsiTheme="majorHAnsi" w:cstheme="majorHAnsi"/>
                <w:color w:val="000000"/>
                <w:sz w:val="20"/>
                <w:szCs w:val="20"/>
                <w:lang w:val="ro-MD"/>
              </w:rPr>
              <w:t>130</w:t>
            </w:r>
          </w:p>
        </w:tc>
      </w:tr>
      <w:tr w:rsidR="00E713CB" w:rsidRPr="00B13B9A" w14:paraId="38E4B19F" w14:textId="77777777" w:rsidTr="00B00556">
        <w:trPr>
          <w:trHeight w:val="20"/>
        </w:trPr>
        <w:tc>
          <w:tcPr>
            <w:tcW w:w="3475" w:type="dxa"/>
            <w:tcBorders>
              <w:top w:val="nil"/>
              <w:left w:val="single" w:sz="4" w:space="0" w:color="auto"/>
              <w:bottom w:val="single" w:sz="4" w:space="0" w:color="auto"/>
              <w:right w:val="single" w:sz="4" w:space="0" w:color="auto"/>
            </w:tcBorders>
            <w:shd w:val="clear" w:color="auto" w:fill="auto"/>
            <w:vAlign w:val="bottom"/>
            <w:hideMark/>
          </w:tcPr>
          <w:p w14:paraId="3C18E6E3" w14:textId="24BE7B53" w:rsidR="00E713CB" w:rsidRPr="00B13B9A" w:rsidRDefault="00E713CB" w:rsidP="00B00556">
            <w:pPr>
              <w:spacing w:after="0" w:line="240" w:lineRule="auto"/>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Diferen</w:t>
            </w:r>
            <w:r w:rsidR="00B13B9A" w:rsidRPr="00B13B9A">
              <w:rPr>
                <w:rFonts w:asciiTheme="majorHAnsi" w:eastAsia="Times New Roman" w:hAnsiTheme="majorHAnsi" w:cstheme="majorHAnsi"/>
                <w:color w:val="000000"/>
                <w:sz w:val="20"/>
                <w:szCs w:val="20"/>
                <w:lang w:val="ro-MD"/>
              </w:rPr>
              <w:t>ț</w:t>
            </w:r>
            <w:r w:rsidRPr="00B13B9A">
              <w:rPr>
                <w:rFonts w:asciiTheme="majorHAnsi" w:eastAsia="Times New Roman" w:hAnsiTheme="majorHAnsi" w:cstheme="majorHAnsi"/>
                <w:color w:val="000000"/>
                <w:sz w:val="20"/>
                <w:szCs w:val="20"/>
                <w:lang w:val="ro-MD"/>
              </w:rPr>
              <w:t>a tarif calculat/tarif aprobat</w:t>
            </w:r>
          </w:p>
        </w:tc>
        <w:tc>
          <w:tcPr>
            <w:tcW w:w="2034" w:type="dxa"/>
            <w:tcBorders>
              <w:top w:val="nil"/>
              <w:left w:val="nil"/>
              <w:bottom w:val="single" w:sz="4" w:space="0" w:color="auto"/>
              <w:right w:val="single" w:sz="4" w:space="0" w:color="auto"/>
            </w:tcBorders>
            <w:shd w:val="clear" w:color="auto" w:fill="auto"/>
            <w:noWrap/>
            <w:vAlign w:val="bottom"/>
            <w:hideMark/>
          </w:tcPr>
          <w:p w14:paraId="225E6989" w14:textId="77777777" w:rsidR="00E713CB" w:rsidRPr="00B13B9A" w:rsidRDefault="00E713CB" w:rsidP="00B00556">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0</w:t>
            </w:r>
          </w:p>
        </w:tc>
        <w:tc>
          <w:tcPr>
            <w:tcW w:w="2034" w:type="dxa"/>
            <w:tcBorders>
              <w:top w:val="nil"/>
              <w:left w:val="nil"/>
              <w:bottom w:val="single" w:sz="4" w:space="0" w:color="auto"/>
              <w:right w:val="single" w:sz="4" w:space="0" w:color="auto"/>
            </w:tcBorders>
            <w:shd w:val="clear" w:color="auto" w:fill="auto"/>
            <w:noWrap/>
            <w:vAlign w:val="bottom"/>
            <w:hideMark/>
          </w:tcPr>
          <w:p w14:paraId="1B0362CC" w14:textId="77777777" w:rsidR="00E713CB" w:rsidRPr="00B13B9A" w:rsidRDefault="00E713CB" w:rsidP="00B00556">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0</w:t>
            </w:r>
          </w:p>
        </w:tc>
        <w:tc>
          <w:tcPr>
            <w:tcW w:w="2034" w:type="dxa"/>
            <w:tcBorders>
              <w:top w:val="nil"/>
              <w:left w:val="nil"/>
              <w:bottom w:val="single" w:sz="4" w:space="0" w:color="auto"/>
              <w:right w:val="single" w:sz="4" w:space="0" w:color="auto"/>
            </w:tcBorders>
            <w:shd w:val="clear" w:color="auto" w:fill="auto"/>
            <w:noWrap/>
            <w:vAlign w:val="bottom"/>
            <w:hideMark/>
          </w:tcPr>
          <w:p w14:paraId="6BF1DE29" w14:textId="77777777" w:rsidR="00E713CB" w:rsidRPr="00B13B9A" w:rsidRDefault="00E713CB" w:rsidP="00B00556">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-8</w:t>
            </w:r>
          </w:p>
        </w:tc>
      </w:tr>
    </w:tbl>
    <w:p w14:paraId="387EFBCD" w14:textId="79588151" w:rsidR="00E713CB" w:rsidRPr="00B13B9A" w:rsidRDefault="00E713CB" w:rsidP="00E713CB">
      <w:pPr>
        <w:pStyle w:val="cn"/>
        <w:spacing w:line="276" w:lineRule="auto"/>
        <w:ind w:right="71"/>
        <w:jc w:val="both"/>
        <w:rPr>
          <w:rFonts w:asciiTheme="majorHAnsi" w:hAnsiTheme="majorHAnsi" w:cstheme="majorHAnsi"/>
          <w:i/>
          <w:color w:val="333333"/>
          <w:sz w:val="20"/>
          <w:szCs w:val="20"/>
          <w:shd w:val="clear" w:color="auto" w:fill="FFFFFF"/>
          <w:lang w:val="ro-MD"/>
        </w:rPr>
      </w:pPr>
      <w:r w:rsidRPr="00B13B9A">
        <w:rPr>
          <w:rFonts w:asciiTheme="majorHAnsi" w:hAnsiTheme="majorHAnsi" w:cstheme="majorHAnsi"/>
          <w:b/>
          <w:i/>
          <w:color w:val="333333"/>
          <w:sz w:val="20"/>
          <w:szCs w:val="20"/>
          <w:shd w:val="clear" w:color="auto" w:fill="FFFFFF"/>
          <w:lang w:val="ro-MD"/>
        </w:rPr>
        <w:t>Sursa:</w:t>
      </w:r>
      <w:r w:rsidRPr="00B13B9A">
        <w:rPr>
          <w:rFonts w:asciiTheme="majorHAnsi" w:hAnsiTheme="majorHAnsi" w:cstheme="majorHAnsi"/>
          <w:i/>
          <w:color w:val="333333"/>
          <w:sz w:val="20"/>
          <w:szCs w:val="20"/>
          <w:shd w:val="clear" w:color="auto" w:fill="FFFFFF"/>
          <w:lang w:val="ro-MD"/>
        </w:rPr>
        <w:t xml:space="preserve"> Elaborat de audit în baza informa</w:t>
      </w:r>
      <w:r w:rsidR="00B13B9A" w:rsidRPr="00B13B9A">
        <w:rPr>
          <w:rFonts w:asciiTheme="majorHAnsi" w:hAnsiTheme="majorHAnsi" w:cstheme="majorHAnsi"/>
          <w:i/>
          <w:color w:val="333333"/>
          <w:sz w:val="20"/>
          <w:szCs w:val="20"/>
          <w:shd w:val="clear" w:color="auto" w:fill="FFFFFF"/>
          <w:lang w:val="ro-MD"/>
        </w:rPr>
        <w:t>ț</w:t>
      </w:r>
      <w:r w:rsidRPr="00B13B9A">
        <w:rPr>
          <w:rFonts w:asciiTheme="majorHAnsi" w:hAnsiTheme="majorHAnsi" w:cstheme="majorHAnsi"/>
          <w:i/>
          <w:color w:val="333333"/>
          <w:sz w:val="20"/>
          <w:szCs w:val="20"/>
          <w:shd w:val="clear" w:color="auto" w:fill="FFFFFF"/>
          <w:lang w:val="ro-MD"/>
        </w:rPr>
        <w:t xml:space="preserve">iilor prezentate de entitate </w:t>
      </w:r>
      <w:r w:rsidR="00B13B9A" w:rsidRPr="00B13B9A">
        <w:rPr>
          <w:rFonts w:asciiTheme="majorHAnsi" w:hAnsiTheme="majorHAnsi" w:cstheme="majorHAnsi"/>
          <w:i/>
          <w:color w:val="333333"/>
          <w:sz w:val="20"/>
          <w:szCs w:val="20"/>
          <w:shd w:val="clear" w:color="auto" w:fill="FFFFFF"/>
          <w:lang w:val="ro-MD"/>
        </w:rPr>
        <w:t>ș</w:t>
      </w:r>
      <w:r w:rsidRPr="00B13B9A">
        <w:rPr>
          <w:rFonts w:asciiTheme="majorHAnsi" w:hAnsiTheme="majorHAnsi" w:cstheme="majorHAnsi"/>
          <w:i/>
          <w:color w:val="333333"/>
          <w:sz w:val="20"/>
          <w:szCs w:val="20"/>
          <w:shd w:val="clear" w:color="auto" w:fill="FFFFFF"/>
          <w:lang w:val="ro-MD"/>
        </w:rPr>
        <w:t>i M</w:t>
      </w:r>
      <w:r w:rsidR="00FF0A71" w:rsidRPr="00B13B9A">
        <w:rPr>
          <w:rFonts w:asciiTheme="majorHAnsi" w:hAnsiTheme="majorHAnsi" w:cstheme="majorHAnsi"/>
          <w:i/>
          <w:color w:val="333333"/>
          <w:sz w:val="20"/>
          <w:szCs w:val="20"/>
          <w:shd w:val="clear" w:color="auto" w:fill="FFFFFF"/>
          <w:lang w:val="ro-MD"/>
        </w:rPr>
        <w:t xml:space="preserve">inisterul </w:t>
      </w:r>
      <w:r w:rsidRPr="00B13B9A">
        <w:rPr>
          <w:rFonts w:asciiTheme="majorHAnsi" w:hAnsiTheme="majorHAnsi" w:cstheme="majorHAnsi"/>
          <w:i/>
          <w:color w:val="333333"/>
          <w:sz w:val="20"/>
          <w:szCs w:val="20"/>
          <w:shd w:val="clear" w:color="auto" w:fill="FFFFFF"/>
          <w:lang w:val="ro-MD"/>
        </w:rPr>
        <w:t>S</w:t>
      </w:r>
      <w:r w:rsidR="00FF0A71" w:rsidRPr="00B13B9A">
        <w:rPr>
          <w:rFonts w:asciiTheme="majorHAnsi" w:hAnsiTheme="majorHAnsi" w:cstheme="majorHAnsi"/>
          <w:i/>
          <w:color w:val="333333"/>
          <w:sz w:val="20"/>
          <w:szCs w:val="20"/>
          <w:shd w:val="clear" w:color="auto" w:fill="FFFFFF"/>
          <w:lang w:val="ro-MD"/>
        </w:rPr>
        <w:t>ănătă</w:t>
      </w:r>
      <w:r w:rsidR="00B13B9A" w:rsidRPr="00B13B9A">
        <w:rPr>
          <w:rFonts w:asciiTheme="majorHAnsi" w:hAnsiTheme="majorHAnsi" w:cstheme="majorHAnsi"/>
          <w:i/>
          <w:color w:val="333333"/>
          <w:sz w:val="20"/>
          <w:szCs w:val="20"/>
          <w:shd w:val="clear" w:color="auto" w:fill="FFFFFF"/>
          <w:lang w:val="ro-MD"/>
        </w:rPr>
        <w:t>ț</w:t>
      </w:r>
      <w:r w:rsidR="00FF0A71" w:rsidRPr="00B13B9A">
        <w:rPr>
          <w:rFonts w:asciiTheme="majorHAnsi" w:hAnsiTheme="majorHAnsi" w:cstheme="majorHAnsi"/>
          <w:i/>
          <w:color w:val="333333"/>
          <w:sz w:val="20"/>
          <w:szCs w:val="20"/>
          <w:shd w:val="clear" w:color="auto" w:fill="FFFFFF"/>
          <w:lang w:val="ro-MD"/>
        </w:rPr>
        <w:t>ii.</w:t>
      </w:r>
    </w:p>
    <w:p w14:paraId="7A8EB58B" w14:textId="77777777" w:rsidR="00E713CB" w:rsidRPr="00B13B9A" w:rsidRDefault="00E713CB" w:rsidP="00E713CB">
      <w:pPr>
        <w:pStyle w:val="cn"/>
        <w:spacing w:line="276" w:lineRule="auto"/>
        <w:ind w:right="71"/>
        <w:jc w:val="both"/>
        <w:rPr>
          <w:rFonts w:asciiTheme="majorHAnsi" w:hAnsiTheme="majorHAnsi" w:cstheme="majorHAnsi"/>
          <w:i/>
          <w:color w:val="333333"/>
          <w:shd w:val="clear" w:color="auto" w:fill="FFFFFF"/>
          <w:lang w:val="ro-MD"/>
        </w:rPr>
      </w:pPr>
    </w:p>
    <w:p w14:paraId="4FD7A00A" w14:textId="6828F6C6" w:rsidR="00E713CB" w:rsidRDefault="00E713CB" w:rsidP="00E713CB">
      <w:pPr>
        <w:pStyle w:val="cn"/>
        <w:spacing w:line="276" w:lineRule="auto"/>
        <w:ind w:right="71"/>
        <w:jc w:val="both"/>
        <w:rPr>
          <w:rFonts w:asciiTheme="majorHAnsi" w:eastAsiaTheme="minorHAnsi" w:hAnsiTheme="majorHAnsi" w:cstheme="minorHAnsi"/>
          <w:lang w:val="ro-MD" w:eastAsia="en-US"/>
        </w:rPr>
      </w:pPr>
      <w:r w:rsidRPr="00B13B9A">
        <w:rPr>
          <w:rFonts w:asciiTheme="majorHAnsi" w:eastAsiaTheme="minorHAnsi" w:hAnsiTheme="majorHAnsi" w:cstheme="minorHAnsi"/>
          <w:lang w:val="ro-MD" w:eastAsia="en-US"/>
        </w:rPr>
        <w:t>De</w:t>
      </w:r>
      <w:r w:rsidR="00B13B9A" w:rsidRPr="00B13B9A">
        <w:rPr>
          <w:rFonts w:asciiTheme="majorHAnsi" w:eastAsiaTheme="minorHAnsi" w:hAnsiTheme="majorHAnsi" w:cstheme="minorHAnsi"/>
          <w:lang w:val="ro-MD" w:eastAsia="en-US"/>
        </w:rPr>
        <w:t>ș</w:t>
      </w:r>
      <w:r w:rsidRPr="00B13B9A">
        <w:rPr>
          <w:rFonts w:asciiTheme="majorHAnsi" w:eastAsiaTheme="minorHAnsi" w:hAnsiTheme="majorHAnsi" w:cstheme="minorHAnsi"/>
          <w:lang w:val="ro-MD" w:eastAsia="en-US"/>
        </w:rPr>
        <w:t>i costul unei zile</w:t>
      </w:r>
      <w:r w:rsidR="00FF0A71" w:rsidRPr="00B13B9A">
        <w:rPr>
          <w:rFonts w:asciiTheme="majorHAnsi" w:eastAsiaTheme="minorHAnsi" w:hAnsiTheme="majorHAnsi" w:cstheme="minorHAnsi"/>
          <w:lang w:val="ro-MD" w:eastAsia="en-US"/>
        </w:rPr>
        <w:t>/</w:t>
      </w:r>
      <w:r w:rsidRPr="00B13B9A">
        <w:rPr>
          <w:rFonts w:asciiTheme="majorHAnsi" w:eastAsiaTheme="minorHAnsi" w:hAnsiTheme="majorHAnsi" w:cstheme="minorHAnsi"/>
          <w:lang w:val="ro-MD" w:eastAsia="en-US"/>
        </w:rPr>
        <w:t>pat se constituie din suma costurilor/cheltuielilor efective sau planificate pe fiecare sec</w:t>
      </w:r>
      <w:r w:rsidR="00B13B9A" w:rsidRPr="00B13B9A">
        <w:rPr>
          <w:rFonts w:asciiTheme="majorHAnsi" w:eastAsiaTheme="minorHAnsi" w:hAnsiTheme="majorHAnsi" w:cstheme="minorHAnsi"/>
          <w:lang w:val="ro-MD" w:eastAsia="en-US"/>
        </w:rPr>
        <w:t>ț</w:t>
      </w:r>
      <w:r w:rsidRPr="00B13B9A">
        <w:rPr>
          <w:rFonts w:asciiTheme="majorHAnsi" w:eastAsiaTheme="minorHAnsi" w:hAnsiTheme="majorHAnsi" w:cstheme="minorHAnsi"/>
          <w:lang w:val="ro-MD" w:eastAsia="en-US"/>
        </w:rPr>
        <w:t>ie</w:t>
      </w:r>
      <w:r w:rsidRPr="00B13B9A">
        <w:rPr>
          <w:rStyle w:val="a9"/>
          <w:rFonts w:asciiTheme="majorHAnsi" w:eastAsiaTheme="minorHAnsi" w:hAnsiTheme="majorHAnsi" w:cstheme="minorHAnsi"/>
          <w:sz w:val="24"/>
          <w:lang w:val="ro-MD" w:eastAsia="en-US"/>
        </w:rPr>
        <w:footnoteReference w:id="72"/>
      </w:r>
      <w:r w:rsidRPr="00B13B9A">
        <w:rPr>
          <w:rFonts w:asciiTheme="majorHAnsi" w:eastAsiaTheme="minorHAnsi" w:hAnsiTheme="majorHAnsi" w:cstheme="minorHAnsi"/>
          <w:lang w:val="ro-MD" w:eastAsia="en-US"/>
        </w:rPr>
        <w:t xml:space="preserve">, auditul denotă că, la calcularea costului unei zile/pat pentru anul 2023, IMSP a atribuit cheltuielile suportate (inclusiv uzura dispozitivelor medicale) repartizate în </w:t>
      </w:r>
      <w:r w:rsidR="00FF0A71" w:rsidRPr="00B13B9A">
        <w:rPr>
          <w:rFonts w:asciiTheme="majorHAnsi" w:eastAsiaTheme="minorHAnsi" w:hAnsiTheme="majorHAnsi" w:cstheme="minorHAnsi"/>
          <w:lang w:val="ro-MD" w:eastAsia="en-US"/>
        </w:rPr>
        <w:t>func</w:t>
      </w:r>
      <w:r w:rsidR="00B13B9A" w:rsidRPr="00B13B9A">
        <w:rPr>
          <w:rFonts w:asciiTheme="majorHAnsi" w:eastAsiaTheme="minorHAnsi" w:hAnsiTheme="majorHAnsi" w:cstheme="minorHAnsi"/>
          <w:lang w:val="ro-MD" w:eastAsia="en-US"/>
        </w:rPr>
        <w:t>ț</w:t>
      </w:r>
      <w:r w:rsidR="00FF0A71" w:rsidRPr="00B13B9A">
        <w:rPr>
          <w:rFonts w:asciiTheme="majorHAnsi" w:eastAsiaTheme="minorHAnsi" w:hAnsiTheme="majorHAnsi" w:cstheme="minorHAnsi"/>
          <w:lang w:val="ro-MD" w:eastAsia="en-US"/>
        </w:rPr>
        <w:t xml:space="preserve">ie </w:t>
      </w:r>
      <w:r w:rsidRPr="00B13B9A">
        <w:rPr>
          <w:rFonts w:asciiTheme="majorHAnsi" w:eastAsiaTheme="minorHAnsi" w:hAnsiTheme="majorHAnsi" w:cstheme="minorHAnsi"/>
          <w:lang w:val="ro-MD" w:eastAsia="en-US"/>
        </w:rPr>
        <w:t>de suprafa</w:t>
      </w:r>
      <w:r w:rsidR="00B13B9A" w:rsidRPr="00B13B9A">
        <w:rPr>
          <w:rFonts w:asciiTheme="majorHAnsi" w:eastAsiaTheme="minorHAnsi" w:hAnsiTheme="majorHAnsi" w:cstheme="minorHAnsi"/>
          <w:lang w:val="ro-MD" w:eastAsia="en-US"/>
        </w:rPr>
        <w:t>ț</w:t>
      </w:r>
      <w:r w:rsidRPr="00B13B9A">
        <w:rPr>
          <w:rFonts w:asciiTheme="majorHAnsi" w:eastAsiaTheme="minorHAnsi" w:hAnsiTheme="majorHAnsi" w:cstheme="minorHAnsi"/>
          <w:lang w:val="ro-MD" w:eastAsia="en-US"/>
        </w:rPr>
        <w:t>a sec</w:t>
      </w:r>
      <w:r w:rsidR="00B13B9A" w:rsidRPr="00B13B9A">
        <w:rPr>
          <w:rFonts w:asciiTheme="majorHAnsi" w:eastAsiaTheme="minorHAnsi" w:hAnsiTheme="majorHAnsi" w:cstheme="minorHAnsi"/>
          <w:lang w:val="ro-MD" w:eastAsia="en-US"/>
        </w:rPr>
        <w:t>ț</w:t>
      </w:r>
      <w:r w:rsidRPr="00B13B9A">
        <w:rPr>
          <w:rFonts w:asciiTheme="majorHAnsi" w:eastAsiaTheme="minorHAnsi" w:hAnsiTheme="majorHAnsi" w:cstheme="minorHAnsi"/>
          <w:lang w:val="ro-MD" w:eastAsia="en-US"/>
        </w:rPr>
        <w:t>iei</w:t>
      </w:r>
      <w:r w:rsidR="00FF0A71" w:rsidRPr="00B13B9A">
        <w:rPr>
          <w:rFonts w:asciiTheme="majorHAnsi" w:eastAsiaTheme="minorHAnsi" w:hAnsiTheme="majorHAnsi" w:cstheme="minorHAnsi"/>
          <w:lang w:val="ro-MD" w:eastAsia="en-US"/>
        </w:rPr>
        <w:t>,</w:t>
      </w:r>
      <w:r w:rsidRPr="00B13B9A">
        <w:rPr>
          <w:rFonts w:asciiTheme="majorHAnsi" w:eastAsiaTheme="minorHAnsi" w:hAnsiTheme="majorHAnsi" w:cstheme="minorHAnsi"/>
          <w:lang w:val="ro-MD" w:eastAsia="en-US"/>
        </w:rPr>
        <w:t xml:space="preserve"> </w:t>
      </w:r>
      <w:r w:rsidR="00B13B9A" w:rsidRPr="00B13B9A">
        <w:rPr>
          <w:rFonts w:asciiTheme="majorHAnsi" w:eastAsiaTheme="minorHAnsi" w:hAnsiTheme="majorHAnsi" w:cstheme="minorHAnsi"/>
          <w:lang w:val="ro-MD" w:eastAsia="en-US"/>
        </w:rPr>
        <w:t>ș</w:t>
      </w:r>
      <w:r w:rsidRPr="00B13B9A">
        <w:rPr>
          <w:rFonts w:asciiTheme="majorHAnsi" w:eastAsiaTheme="minorHAnsi" w:hAnsiTheme="majorHAnsi" w:cstheme="minorHAnsi"/>
          <w:lang w:val="ro-MD" w:eastAsia="en-US"/>
        </w:rPr>
        <w:t xml:space="preserve">i nu </w:t>
      </w:r>
      <w:r w:rsidR="00B13B9A" w:rsidRPr="00B13B9A">
        <w:rPr>
          <w:rFonts w:asciiTheme="majorHAnsi" w:eastAsiaTheme="minorHAnsi" w:hAnsiTheme="majorHAnsi" w:cstheme="minorHAnsi"/>
          <w:lang w:val="ro-MD" w:eastAsia="en-US"/>
        </w:rPr>
        <w:t>ț</w:t>
      </w:r>
      <w:r w:rsidRPr="00B13B9A">
        <w:rPr>
          <w:rFonts w:asciiTheme="majorHAnsi" w:eastAsiaTheme="minorHAnsi" w:hAnsiTheme="majorHAnsi" w:cstheme="minorHAnsi"/>
          <w:lang w:val="ro-MD" w:eastAsia="en-US"/>
        </w:rPr>
        <w:t>inând cont de cheltuielile reale/efectiv</w:t>
      </w:r>
      <w:r w:rsidR="00FF0A71" w:rsidRPr="00B13B9A">
        <w:rPr>
          <w:rFonts w:asciiTheme="majorHAnsi" w:eastAsiaTheme="minorHAnsi" w:hAnsiTheme="majorHAnsi" w:cstheme="minorHAnsi"/>
          <w:lang w:val="ro-MD" w:eastAsia="en-US"/>
        </w:rPr>
        <w:t>e</w:t>
      </w:r>
      <w:r w:rsidRPr="00B13B9A">
        <w:rPr>
          <w:rFonts w:asciiTheme="majorHAnsi" w:eastAsiaTheme="minorHAnsi" w:hAnsiTheme="majorHAnsi" w:cstheme="minorHAnsi"/>
          <w:lang w:val="ro-MD" w:eastAsia="en-US"/>
        </w:rPr>
        <w:t xml:space="preserve"> în sec</w:t>
      </w:r>
      <w:r w:rsidR="00B13B9A" w:rsidRPr="00B13B9A">
        <w:rPr>
          <w:rFonts w:asciiTheme="majorHAnsi" w:eastAsiaTheme="minorHAnsi" w:hAnsiTheme="majorHAnsi" w:cstheme="minorHAnsi"/>
          <w:lang w:val="ro-MD" w:eastAsia="en-US"/>
        </w:rPr>
        <w:t>ț</w:t>
      </w:r>
      <w:r w:rsidRPr="00B13B9A">
        <w:rPr>
          <w:rFonts w:asciiTheme="majorHAnsi" w:eastAsiaTheme="minorHAnsi" w:hAnsiTheme="majorHAnsi" w:cstheme="minorHAnsi"/>
          <w:lang w:val="ro-MD" w:eastAsia="en-US"/>
        </w:rPr>
        <w:t>ii. Men</w:t>
      </w:r>
      <w:r w:rsidR="00B13B9A" w:rsidRPr="00B13B9A">
        <w:rPr>
          <w:rFonts w:asciiTheme="majorHAnsi" w:eastAsiaTheme="minorHAnsi" w:hAnsiTheme="majorHAnsi" w:cstheme="minorHAnsi"/>
          <w:lang w:val="ro-MD" w:eastAsia="en-US"/>
        </w:rPr>
        <w:t>ț</w:t>
      </w:r>
      <w:r w:rsidRPr="00B13B9A">
        <w:rPr>
          <w:rFonts w:asciiTheme="majorHAnsi" w:eastAsiaTheme="minorHAnsi" w:hAnsiTheme="majorHAnsi" w:cstheme="minorHAnsi"/>
          <w:lang w:val="ro-MD" w:eastAsia="en-US"/>
        </w:rPr>
        <w:t>ionăm că</w:t>
      </w:r>
      <w:r w:rsidR="00FF0A71" w:rsidRPr="00B13B9A">
        <w:rPr>
          <w:rFonts w:asciiTheme="majorHAnsi" w:eastAsiaTheme="minorHAnsi" w:hAnsiTheme="majorHAnsi" w:cstheme="minorHAnsi"/>
          <w:lang w:val="ro-MD" w:eastAsia="en-US"/>
        </w:rPr>
        <w:t>,</w:t>
      </w:r>
      <w:r w:rsidRPr="00B13B9A">
        <w:rPr>
          <w:rFonts w:asciiTheme="majorHAnsi" w:eastAsiaTheme="minorHAnsi" w:hAnsiTheme="majorHAnsi" w:cstheme="minorHAnsi"/>
          <w:lang w:val="ro-MD" w:eastAsia="en-US"/>
        </w:rPr>
        <w:t xml:space="preserve"> potrivit reglementărilor, se stabile</w:t>
      </w:r>
      <w:r w:rsidR="00B13B9A" w:rsidRPr="00B13B9A">
        <w:rPr>
          <w:rFonts w:asciiTheme="majorHAnsi" w:eastAsiaTheme="minorHAnsi" w:hAnsiTheme="majorHAnsi" w:cstheme="minorHAnsi"/>
          <w:lang w:val="ro-MD" w:eastAsia="en-US"/>
        </w:rPr>
        <w:t>ș</w:t>
      </w:r>
      <w:r w:rsidRPr="00B13B9A">
        <w:rPr>
          <w:rFonts w:asciiTheme="majorHAnsi" w:eastAsiaTheme="minorHAnsi" w:hAnsiTheme="majorHAnsi" w:cstheme="minorHAnsi"/>
          <w:lang w:val="ro-MD" w:eastAsia="en-US"/>
        </w:rPr>
        <w:t>te că institu</w:t>
      </w:r>
      <w:r w:rsidR="00B13B9A" w:rsidRPr="00B13B9A">
        <w:rPr>
          <w:rFonts w:asciiTheme="majorHAnsi" w:eastAsiaTheme="minorHAnsi" w:hAnsiTheme="majorHAnsi" w:cstheme="minorHAnsi"/>
          <w:lang w:val="ro-MD" w:eastAsia="en-US"/>
        </w:rPr>
        <w:t>ț</w:t>
      </w:r>
      <w:r w:rsidRPr="00B13B9A">
        <w:rPr>
          <w:rFonts w:asciiTheme="majorHAnsi" w:eastAsiaTheme="minorHAnsi" w:hAnsiTheme="majorHAnsi" w:cstheme="minorHAnsi"/>
          <w:lang w:val="ro-MD" w:eastAsia="en-US"/>
        </w:rPr>
        <w:t xml:space="preserve">iile medico-sanitare vor calcula tarifele la serviciile medico-sanitare în baza costurilor/cheltuielilor, conform Metodologiei </w:t>
      </w:r>
      <w:r w:rsidR="00FF0A71" w:rsidRPr="00B13B9A">
        <w:rPr>
          <w:rFonts w:asciiTheme="majorHAnsi" w:eastAsiaTheme="minorHAnsi" w:hAnsiTheme="majorHAnsi" w:cstheme="minorHAnsi"/>
          <w:lang w:val="ro-MD" w:eastAsia="en-US"/>
        </w:rPr>
        <w:t xml:space="preserve">de </w:t>
      </w:r>
      <w:r w:rsidRPr="00B13B9A">
        <w:rPr>
          <w:rFonts w:asciiTheme="majorHAnsi" w:eastAsiaTheme="minorHAnsi" w:hAnsiTheme="majorHAnsi" w:cstheme="minorHAnsi"/>
          <w:lang w:val="ro-MD" w:eastAsia="en-US"/>
        </w:rPr>
        <w:t>stabilir</w:t>
      </w:r>
      <w:r w:rsidR="00FF0A71" w:rsidRPr="00B13B9A">
        <w:rPr>
          <w:rFonts w:asciiTheme="majorHAnsi" w:eastAsiaTheme="minorHAnsi" w:hAnsiTheme="majorHAnsi" w:cstheme="minorHAnsi"/>
          <w:lang w:val="ro-MD" w:eastAsia="en-US"/>
        </w:rPr>
        <w:t>e a</w:t>
      </w:r>
      <w:r w:rsidRPr="00B13B9A">
        <w:rPr>
          <w:rFonts w:asciiTheme="majorHAnsi" w:eastAsiaTheme="minorHAnsi" w:hAnsiTheme="majorHAnsi" w:cstheme="minorHAnsi"/>
          <w:lang w:val="ro-MD" w:eastAsia="en-US"/>
        </w:rPr>
        <w:t xml:space="preserve"> tarifelor pentru prestarea serviciilor medico-sanitare, asumându-</w:t>
      </w:r>
      <w:r w:rsidR="00B13B9A" w:rsidRPr="00B13B9A">
        <w:rPr>
          <w:rFonts w:asciiTheme="majorHAnsi" w:eastAsiaTheme="minorHAnsi" w:hAnsiTheme="majorHAnsi" w:cstheme="minorHAnsi"/>
          <w:lang w:val="ro-MD" w:eastAsia="en-US"/>
        </w:rPr>
        <w:t>ș</w:t>
      </w:r>
      <w:r w:rsidRPr="00B13B9A">
        <w:rPr>
          <w:rFonts w:asciiTheme="majorHAnsi" w:eastAsiaTheme="minorHAnsi" w:hAnsiTheme="majorHAnsi" w:cstheme="minorHAnsi"/>
          <w:lang w:val="ro-MD" w:eastAsia="en-US"/>
        </w:rPr>
        <w:t xml:space="preserve">i responsabilitatea pentru corectitudinea calculelor </w:t>
      </w:r>
      <w:r w:rsidR="00B13B9A" w:rsidRPr="00B13B9A">
        <w:rPr>
          <w:rFonts w:asciiTheme="majorHAnsi" w:eastAsiaTheme="minorHAnsi" w:hAnsiTheme="majorHAnsi" w:cstheme="minorHAnsi"/>
          <w:lang w:val="ro-MD" w:eastAsia="en-US"/>
        </w:rPr>
        <w:t>ș</w:t>
      </w:r>
      <w:r w:rsidRPr="00B13B9A">
        <w:rPr>
          <w:rFonts w:asciiTheme="majorHAnsi" w:eastAsiaTheme="minorHAnsi" w:hAnsiTheme="majorHAnsi" w:cstheme="minorHAnsi"/>
          <w:lang w:val="ro-MD" w:eastAsia="en-US"/>
        </w:rPr>
        <w:t>i calitatea serviciilor.</w:t>
      </w:r>
      <w:r w:rsidR="003D5F17" w:rsidRPr="00B13B9A">
        <w:rPr>
          <w:rFonts w:ascii="Segoe UI" w:hAnsi="Segoe UI" w:cs="Segoe UI"/>
          <w:color w:val="212121"/>
          <w:shd w:val="clear" w:color="auto" w:fill="FFFFFF"/>
          <w:lang w:val="ro-MD"/>
        </w:rPr>
        <w:t xml:space="preserve"> </w:t>
      </w:r>
      <w:r w:rsidR="003D5F17" w:rsidRPr="00B13B9A">
        <w:rPr>
          <w:rFonts w:asciiTheme="majorHAnsi" w:eastAsiaTheme="minorHAnsi" w:hAnsiTheme="majorHAnsi" w:cstheme="minorHAnsi"/>
          <w:lang w:val="ro-MD" w:eastAsia="en-US"/>
        </w:rPr>
        <w:t>Astfel, MS aprobă tarifele în baza calculelor prezentate de institu</w:t>
      </w:r>
      <w:r w:rsidR="00B13B9A" w:rsidRPr="00B13B9A">
        <w:rPr>
          <w:rFonts w:asciiTheme="majorHAnsi" w:eastAsiaTheme="minorHAnsi" w:hAnsiTheme="majorHAnsi" w:cstheme="minorHAnsi"/>
          <w:lang w:val="ro-MD" w:eastAsia="en-US"/>
        </w:rPr>
        <w:t>ț</w:t>
      </w:r>
      <w:r w:rsidR="003D5F17" w:rsidRPr="00B13B9A">
        <w:rPr>
          <w:rFonts w:asciiTheme="majorHAnsi" w:eastAsiaTheme="minorHAnsi" w:hAnsiTheme="majorHAnsi" w:cstheme="minorHAnsi"/>
          <w:lang w:val="ro-MD" w:eastAsia="en-US"/>
        </w:rPr>
        <w:t>iile medicale, care poartă responsabilitatea pentru veridicitatea datelor prezentate.</w:t>
      </w:r>
    </w:p>
    <w:p w14:paraId="068FE8CB" w14:textId="77777777" w:rsidR="00CD2891" w:rsidRPr="00B13B9A" w:rsidRDefault="00CD2891" w:rsidP="00E713CB">
      <w:pPr>
        <w:pStyle w:val="cn"/>
        <w:spacing w:line="276" w:lineRule="auto"/>
        <w:ind w:right="71"/>
        <w:jc w:val="both"/>
        <w:rPr>
          <w:rFonts w:asciiTheme="majorHAnsi" w:eastAsiaTheme="minorHAnsi" w:hAnsiTheme="majorHAnsi" w:cstheme="minorHAnsi"/>
          <w:lang w:val="ro-MD" w:eastAsia="en-US"/>
        </w:rPr>
      </w:pPr>
    </w:p>
    <w:p w14:paraId="1E2373EE" w14:textId="34A38FFF" w:rsidR="00E713CB" w:rsidRPr="00B13B9A" w:rsidRDefault="00E713CB" w:rsidP="00CD2891">
      <w:pPr>
        <w:pStyle w:val="cn"/>
        <w:numPr>
          <w:ilvl w:val="2"/>
          <w:numId w:val="10"/>
        </w:numPr>
        <w:spacing w:line="276" w:lineRule="auto"/>
        <w:ind w:left="709" w:right="71"/>
        <w:jc w:val="both"/>
        <w:outlineLvl w:val="2"/>
        <w:rPr>
          <w:rFonts w:asciiTheme="majorHAnsi" w:eastAsiaTheme="minorHAnsi" w:hAnsiTheme="majorHAnsi" w:cstheme="minorHAnsi"/>
          <w:b/>
          <w:lang w:val="ro-MD" w:eastAsia="en-US"/>
        </w:rPr>
      </w:pPr>
      <w:bookmarkStart w:id="47" w:name="_Toc154562518"/>
      <w:r w:rsidRPr="00B13B9A">
        <w:rPr>
          <w:rFonts w:asciiTheme="majorHAnsi" w:eastAsiaTheme="minorHAnsi" w:hAnsiTheme="majorHAnsi" w:cstheme="minorHAnsi"/>
          <w:b/>
          <w:lang w:val="ro-MD" w:eastAsia="en-US"/>
        </w:rPr>
        <w:t>Lips</w:t>
      </w:r>
      <w:r w:rsidR="005D3067" w:rsidRPr="00B13B9A">
        <w:rPr>
          <w:rFonts w:asciiTheme="majorHAnsi" w:eastAsiaTheme="minorHAnsi" w:hAnsiTheme="majorHAnsi" w:cstheme="minorHAnsi"/>
          <w:b/>
          <w:lang w:val="ro-MD" w:eastAsia="en-US"/>
        </w:rPr>
        <w:t>e</w:t>
      </w:r>
      <w:r w:rsidR="00B13B9A" w:rsidRPr="00B13B9A">
        <w:rPr>
          <w:rFonts w:asciiTheme="majorHAnsi" w:eastAsiaTheme="minorHAnsi" w:hAnsiTheme="majorHAnsi" w:cstheme="minorHAnsi"/>
          <w:b/>
          <w:lang w:val="ro-MD" w:eastAsia="en-US"/>
        </w:rPr>
        <w:t>ș</w:t>
      </w:r>
      <w:r w:rsidR="005D3067" w:rsidRPr="00B13B9A">
        <w:rPr>
          <w:rFonts w:asciiTheme="majorHAnsi" w:eastAsiaTheme="minorHAnsi" w:hAnsiTheme="majorHAnsi" w:cstheme="minorHAnsi"/>
          <w:b/>
          <w:lang w:val="ro-MD" w:eastAsia="en-US"/>
        </w:rPr>
        <w:t>te</w:t>
      </w:r>
      <w:r w:rsidRPr="00B13B9A">
        <w:rPr>
          <w:rFonts w:asciiTheme="majorHAnsi" w:eastAsiaTheme="minorHAnsi" w:hAnsiTheme="majorHAnsi" w:cstheme="minorHAnsi"/>
          <w:b/>
          <w:lang w:val="ro-MD" w:eastAsia="en-US"/>
        </w:rPr>
        <w:t xml:space="preserve"> cadru</w:t>
      </w:r>
      <w:r w:rsidR="005D3067" w:rsidRPr="00B13B9A">
        <w:rPr>
          <w:rFonts w:asciiTheme="majorHAnsi" w:eastAsiaTheme="minorHAnsi" w:hAnsiTheme="majorHAnsi" w:cstheme="minorHAnsi"/>
          <w:b/>
          <w:lang w:val="ro-MD" w:eastAsia="en-US"/>
        </w:rPr>
        <w:t>l</w:t>
      </w:r>
      <w:r w:rsidRPr="00B13B9A">
        <w:rPr>
          <w:rFonts w:asciiTheme="majorHAnsi" w:eastAsiaTheme="minorHAnsi" w:hAnsiTheme="majorHAnsi" w:cstheme="minorHAnsi"/>
          <w:b/>
          <w:lang w:val="ro-MD" w:eastAsia="en-US"/>
        </w:rPr>
        <w:t xml:space="preserve"> legal de reglementare distinctă a IMSP la autogestiune</w:t>
      </w:r>
      <w:r w:rsidR="005D3067" w:rsidRPr="00B13B9A">
        <w:rPr>
          <w:rFonts w:asciiTheme="majorHAnsi" w:eastAsiaTheme="minorHAnsi" w:hAnsiTheme="majorHAnsi" w:cstheme="minorHAnsi"/>
          <w:b/>
          <w:lang w:val="ro-MD" w:eastAsia="en-US"/>
        </w:rPr>
        <w:t>.</w:t>
      </w:r>
      <w:bookmarkEnd w:id="47"/>
    </w:p>
    <w:p w14:paraId="51233233" w14:textId="46C31DA2" w:rsidR="00E713CB" w:rsidRPr="00B13B9A" w:rsidRDefault="00E713CB" w:rsidP="00E713CB">
      <w:pPr>
        <w:spacing w:after="120" w:line="276" w:lineRule="auto"/>
        <w:jc w:val="both"/>
        <w:rPr>
          <w:rFonts w:asciiTheme="majorHAnsi" w:hAnsiTheme="majorHAnsi" w:cstheme="minorHAnsi"/>
          <w:sz w:val="24"/>
          <w:szCs w:val="24"/>
          <w:lang w:val="ro-MD"/>
        </w:rPr>
      </w:pPr>
      <w:r w:rsidRPr="00B13B9A">
        <w:rPr>
          <w:rFonts w:asciiTheme="majorHAnsi" w:hAnsiTheme="majorHAnsi" w:cstheme="minorHAnsi"/>
          <w:sz w:val="24"/>
          <w:szCs w:val="24"/>
          <w:lang w:val="ro-MD"/>
        </w:rPr>
        <w:t xml:space="preserve">Analiza prevederilor legale denotă că </w:t>
      </w:r>
      <w:r w:rsidR="00784F26" w:rsidRPr="00B13B9A">
        <w:rPr>
          <w:rFonts w:asciiTheme="majorHAnsi" w:hAnsiTheme="majorHAnsi" w:cstheme="minorHAnsi"/>
          <w:sz w:val="24"/>
          <w:szCs w:val="24"/>
          <w:lang w:val="ro-MD"/>
        </w:rPr>
        <w:t>Ministerul Finan</w:t>
      </w:r>
      <w:r w:rsidR="00B13B9A" w:rsidRPr="00B13B9A">
        <w:rPr>
          <w:rFonts w:asciiTheme="majorHAnsi" w:hAnsiTheme="majorHAnsi" w:cstheme="minorHAnsi"/>
          <w:sz w:val="24"/>
          <w:szCs w:val="24"/>
          <w:lang w:val="ro-MD"/>
        </w:rPr>
        <w:t>ț</w:t>
      </w:r>
      <w:r w:rsidR="00784F26" w:rsidRPr="00B13B9A">
        <w:rPr>
          <w:rFonts w:asciiTheme="majorHAnsi" w:hAnsiTheme="majorHAnsi" w:cstheme="minorHAnsi"/>
          <w:sz w:val="24"/>
          <w:szCs w:val="24"/>
          <w:lang w:val="ro-MD"/>
        </w:rPr>
        <w:t xml:space="preserve">elor </w:t>
      </w:r>
      <w:r w:rsidRPr="00B13B9A">
        <w:rPr>
          <w:rFonts w:asciiTheme="majorHAnsi" w:hAnsiTheme="majorHAnsi" w:cstheme="minorHAnsi"/>
          <w:sz w:val="24"/>
          <w:szCs w:val="24"/>
          <w:lang w:val="ro-MD"/>
        </w:rPr>
        <w:t xml:space="preserve">nu a stabilit principii clare de activitate pentru </w:t>
      </w:r>
      <w:r w:rsidR="00784F26" w:rsidRPr="00B13B9A">
        <w:rPr>
          <w:rFonts w:asciiTheme="majorHAnsi" w:hAnsiTheme="majorHAnsi" w:cstheme="minorHAnsi"/>
          <w:sz w:val="24"/>
          <w:szCs w:val="24"/>
          <w:lang w:val="ro-MD"/>
        </w:rPr>
        <w:t>institu</w:t>
      </w:r>
      <w:r w:rsidR="00B13B9A" w:rsidRPr="00B13B9A">
        <w:rPr>
          <w:rFonts w:asciiTheme="majorHAnsi" w:hAnsiTheme="majorHAnsi" w:cstheme="minorHAnsi"/>
          <w:sz w:val="24"/>
          <w:szCs w:val="24"/>
          <w:lang w:val="ro-MD"/>
        </w:rPr>
        <w:t>ț</w:t>
      </w:r>
      <w:r w:rsidR="00784F26" w:rsidRPr="00B13B9A">
        <w:rPr>
          <w:rFonts w:asciiTheme="majorHAnsi" w:hAnsiTheme="majorHAnsi" w:cstheme="minorHAnsi"/>
          <w:sz w:val="24"/>
          <w:szCs w:val="24"/>
          <w:lang w:val="ro-MD"/>
        </w:rPr>
        <w:t>iile publice la autofinan</w:t>
      </w:r>
      <w:r w:rsidR="00B13B9A" w:rsidRPr="00B13B9A">
        <w:rPr>
          <w:rFonts w:asciiTheme="majorHAnsi" w:hAnsiTheme="majorHAnsi" w:cstheme="minorHAnsi"/>
          <w:sz w:val="24"/>
          <w:szCs w:val="24"/>
          <w:lang w:val="ro-MD"/>
        </w:rPr>
        <w:t>ț</w:t>
      </w:r>
      <w:r w:rsidR="00784F26" w:rsidRPr="00B13B9A">
        <w:rPr>
          <w:rFonts w:asciiTheme="majorHAnsi" w:hAnsiTheme="majorHAnsi" w:cstheme="minorHAnsi"/>
          <w:sz w:val="24"/>
          <w:szCs w:val="24"/>
          <w:lang w:val="ro-MD"/>
        </w:rPr>
        <w:t xml:space="preserve">are </w:t>
      </w:r>
      <w:r w:rsidR="00B13B9A" w:rsidRPr="00B13B9A">
        <w:rPr>
          <w:rFonts w:asciiTheme="majorHAnsi" w:hAnsiTheme="majorHAnsi" w:cstheme="minorHAnsi"/>
          <w:sz w:val="24"/>
          <w:szCs w:val="24"/>
          <w:lang w:val="ro-MD"/>
        </w:rPr>
        <w:t>ș</w:t>
      </w:r>
      <w:r w:rsidR="00784F26" w:rsidRPr="00B13B9A">
        <w:rPr>
          <w:rFonts w:asciiTheme="majorHAnsi" w:hAnsiTheme="majorHAnsi" w:cstheme="minorHAnsi"/>
          <w:sz w:val="24"/>
          <w:szCs w:val="24"/>
          <w:lang w:val="ro-MD"/>
        </w:rPr>
        <w:t>i non</w:t>
      </w:r>
      <w:r w:rsidR="00B06A5F" w:rsidRPr="00B13B9A">
        <w:rPr>
          <w:rFonts w:asciiTheme="majorHAnsi" w:hAnsiTheme="majorHAnsi" w:cstheme="minorHAnsi"/>
          <w:sz w:val="24"/>
          <w:szCs w:val="24"/>
          <w:lang w:val="ro-MD"/>
        </w:rPr>
        <w:t>-</w:t>
      </w:r>
      <w:r w:rsidR="00784F26" w:rsidRPr="00B13B9A">
        <w:rPr>
          <w:rFonts w:asciiTheme="majorHAnsi" w:hAnsiTheme="majorHAnsi" w:cstheme="minorHAnsi"/>
          <w:sz w:val="24"/>
          <w:szCs w:val="24"/>
          <w:lang w:val="ro-MD"/>
        </w:rPr>
        <w:t>profit</w:t>
      </w:r>
      <w:r w:rsidRPr="00B13B9A">
        <w:rPr>
          <w:rFonts w:asciiTheme="majorHAnsi" w:hAnsiTheme="majorHAnsi" w:cstheme="minorHAnsi"/>
          <w:sz w:val="24"/>
          <w:szCs w:val="24"/>
          <w:lang w:val="ro-MD"/>
        </w:rPr>
        <w:t xml:space="preserve">, cu dezvăluirea regulilor de </w:t>
      </w:r>
      <w:r w:rsidR="00784F26" w:rsidRPr="00B13B9A">
        <w:rPr>
          <w:rFonts w:asciiTheme="majorHAnsi" w:hAnsiTheme="majorHAnsi" w:cstheme="minorHAnsi"/>
          <w:i/>
          <w:sz w:val="24"/>
          <w:szCs w:val="24"/>
          <w:lang w:val="ro-MD"/>
        </w:rPr>
        <w:t>„</w:t>
      </w:r>
      <w:r w:rsidRPr="00B13B9A">
        <w:rPr>
          <w:rFonts w:asciiTheme="majorHAnsi" w:hAnsiTheme="majorHAnsi" w:cstheme="minorHAnsi"/>
          <w:i/>
          <w:sz w:val="24"/>
          <w:szCs w:val="24"/>
          <w:lang w:val="ro-MD"/>
        </w:rPr>
        <w:t>autofinan</w:t>
      </w:r>
      <w:r w:rsidR="00B13B9A" w:rsidRPr="00B13B9A">
        <w:rPr>
          <w:rFonts w:asciiTheme="majorHAnsi" w:hAnsiTheme="majorHAnsi" w:cstheme="minorHAnsi"/>
          <w:i/>
          <w:sz w:val="24"/>
          <w:szCs w:val="24"/>
          <w:lang w:val="ro-MD"/>
        </w:rPr>
        <w:t>ț</w:t>
      </w:r>
      <w:r w:rsidRPr="00B13B9A">
        <w:rPr>
          <w:rFonts w:asciiTheme="majorHAnsi" w:hAnsiTheme="majorHAnsi" w:cstheme="minorHAnsi"/>
          <w:i/>
          <w:sz w:val="24"/>
          <w:szCs w:val="24"/>
          <w:lang w:val="ro-MD"/>
        </w:rPr>
        <w:t xml:space="preserve">are </w:t>
      </w:r>
      <w:r w:rsidR="00B13B9A" w:rsidRPr="00B13B9A">
        <w:rPr>
          <w:rFonts w:asciiTheme="majorHAnsi" w:hAnsiTheme="majorHAnsi" w:cstheme="minorHAnsi"/>
          <w:i/>
          <w:sz w:val="24"/>
          <w:szCs w:val="24"/>
          <w:lang w:val="ro-MD"/>
        </w:rPr>
        <w:t>ș</w:t>
      </w:r>
      <w:r w:rsidRPr="00B13B9A">
        <w:rPr>
          <w:rFonts w:asciiTheme="majorHAnsi" w:hAnsiTheme="majorHAnsi" w:cstheme="minorHAnsi"/>
          <w:i/>
          <w:sz w:val="24"/>
          <w:szCs w:val="24"/>
          <w:lang w:val="ro-MD"/>
        </w:rPr>
        <w:t>i non</w:t>
      </w:r>
      <w:r w:rsidR="00B06A5F" w:rsidRPr="00B13B9A">
        <w:rPr>
          <w:rFonts w:asciiTheme="majorHAnsi" w:hAnsiTheme="majorHAnsi" w:cstheme="minorHAnsi"/>
          <w:i/>
          <w:sz w:val="24"/>
          <w:szCs w:val="24"/>
          <w:lang w:val="ro-MD"/>
        </w:rPr>
        <w:t>-</w:t>
      </w:r>
      <w:r w:rsidRPr="00B13B9A">
        <w:rPr>
          <w:rFonts w:asciiTheme="majorHAnsi" w:hAnsiTheme="majorHAnsi" w:cstheme="minorHAnsi"/>
          <w:i/>
          <w:sz w:val="24"/>
          <w:szCs w:val="24"/>
          <w:lang w:val="ro-MD"/>
        </w:rPr>
        <w:t>profit</w:t>
      </w:r>
      <w:r w:rsidR="00784F26" w:rsidRPr="00B13B9A">
        <w:rPr>
          <w:rFonts w:asciiTheme="majorHAnsi" w:hAnsiTheme="majorHAnsi" w:cstheme="minorHAnsi"/>
          <w:i/>
          <w:sz w:val="24"/>
          <w:szCs w:val="24"/>
          <w:lang w:val="ro-MD"/>
        </w:rPr>
        <w:t>”</w:t>
      </w:r>
      <w:r w:rsidRPr="00B13B9A">
        <w:rPr>
          <w:rFonts w:asciiTheme="majorHAnsi" w:hAnsiTheme="majorHAnsi" w:cstheme="minorHAnsi"/>
          <w:sz w:val="24"/>
          <w:szCs w:val="24"/>
          <w:lang w:val="ro-MD"/>
        </w:rPr>
        <w:t>. Astfel, cadru</w:t>
      </w:r>
      <w:r w:rsidR="00B06A5F" w:rsidRPr="00B13B9A">
        <w:rPr>
          <w:rFonts w:asciiTheme="majorHAnsi" w:hAnsiTheme="majorHAnsi" w:cstheme="minorHAnsi"/>
          <w:sz w:val="24"/>
          <w:szCs w:val="24"/>
          <w:lang w:val="ro-MD"/>
        </w:rPr>
        <w:t>l</w:t>
      </w:r>
      <w:r w:rsidRPr="00B13B9A">
        <w:rPr>
          <w:rFonts w:asciiTheme="majorHAnsi" w:hAnsiTheme="majorHAnsi" w:cstheme="minorHAnsi"/>
          <w:sz w:val="24"/>
          <w:szCs w:val="24"/>
          <w:lang w:val="ro-MD"/>
        </w:rPr>
        <w:t xml:space="preserve"> legal nu prevede mecanisme pentru aceste entită</w:t>
      </w:r>
      <w:r w:rsidR="00B13B9A" w:rsidRPr="00B13B9A">
        <w:rPr>
          <w:rFonts w:asciiTheme="majorHAnsi" w:hAnsiTheme="majorHAnsi" w:cstheme="minorHAnsi"/>
          <w:sz w:val="24"/>
          <w:szCs w:val="24"/>
          <w:lang w:val="ro-MD"/>
        </w:rPr>
        <w:t>ț</w:t>
      </w:r>
      <w:r w:rsidRPr="00B13B9A">
        <w:rPr>
          <w:rFonts w:asciiTheme="majorHAnsi" w:hAnsiTheme="majorHAnsi" w:cstheme="minorHAnsi"/>
          <w:sz w:val="24"/>
          <w:szCs w:val="24"/>
          <w:lang w:val="ro-MD"/>
        </w:rPr>
        <w:t>i în cazul în care aceste</w:t>
      </w:r>
      <w:r w:rsidR="00B06A5F" w:rsidRPr="00B13B9A">
        <w:rPr>
          <w:rFonts w:asciiTheme="majorHAnsi" w:hAnsiTheme="majorHAnsi" w:cstheme="minorHAnsi"/>
          <w:sz w:val="24"/>
          <w:szCs w:val="24"/>
          <w:lang w:val="ro-MD"/>
        </w:rPr>
        <w:t>a</w:t>
      </w:r>
      <w:r w:rsidRPr="00B13B9A">
        <w:rPr>
          <w:rFonts w:asciiTheme="majorHAnsi" w:hAnsiTheme="majorHAnsi" w:cstheme="minorHAnsi"/>
          <w:sz w:val="24"/>
          <w:szCs w:val="24"/>
          <w:lang w:val="ro-MD"/>
        </w:rPr>
        <w:t xml:space="preserve"> înregistrează profit sau pierderi. Această abordare determină incertitudini </w:t>
      </w:r>
      <w:r w:rsidR="00B13B9A" w:rsidRPr="00B13B9A">
        <w:rPr>
          <w:rFonts w:asciiTheme="majorHAnsi" w:hAnsiTheme="majorHAnsi" w:cstheme="minorHAnsi"/>
          <w:sz w:val="24"/>
          <w:szCs w:val="24"/>
          <w:lang w:val="ro-MD"/>
        </w:rPr>
        <w:t>ș</w:t>
      </w:r>
      <w:r w:rsidRPr="00B13B9A">
        <w:rPr>
          <w:rFonts w:asciiTheme="majorHAnsi" w:hAnsiTheme="majorHAnsi" w:cstheme="minorHAnsi"/>
          <w:sz w:val="24"/>
          <w:szCs w:val="24"/>
          <w:lang w:val="ro-MD"/>
        </w:rPr>
        <w:t>i riscu</w:t>
      </w:r>
      <w:r w:rsidR="00B06A5F" w:rsidRPr="00B13B9A">
        <w:rPr>
          <w:rFonts w:asciiTheme="majorHAnsi" w:hAnsiTheme="majorHAnsi" w:cstheme="minorHAnsi"/>
          <w:sz w:val="24"/>
          <w:szCs w:val="24"/>
          <w:lang w:val="ro-MD"/>
        </w:rPr>
        <w:t>ri</w:t>
      </w:r>
      <w:r w:rsidRPr="00B13B9A">
        <w:rPr>
          <w:rFonts w:asciiTheme="majorHAnsi" w:hAnsiTheme="majorHAnsi" w:cstheme="minorHAnsi"/>
          <w:sz w:val="24"/>
          <w:szCs w:val="24"/>
          <w:lang w:val="ro-MD"/>
        </w:rPr>
        <w:t xml:space="preserve"> ca institu</w:t>
      </w:r>
      <w:r w:rsidR="00B13B9A" w:rsidRPr="00B13B9A">
        <w:rPr>
          <w:rFonts w:asciiTheme="majorHAnsi" w:hAnsiTheme="majorHAnsi" w:cstheme="minorHAnsi"/>
          <w:sz w:val="24"/>
          <w:szCs w:val="24"/>
          <w:lang w:val="ro-MD"/>
        </w:rPr>
        <w:t>ț</w:t>
      </w:r>
      <w:r w:rsidRPr="00B13B9A">
        <w:rPr>
          <w:rFonts w:asciiTheme="majorHAnsi" w:hAnsiTheme="majorHAnsi" w:cstheme="minorHAnsi"/>
          <w:sz w:val="24"/>
          <w:szCs w:val="24"/>
          <w:lang w:val="ro-MD"/>
        </w:rPr>
        <w:t>iile să influen</w:t>
      </w:r>
      <w:r w:rsidR="00B13B9A" w:rsidRPr="00B13B9A">
        <w:rPr>
          <w:rFonts w:asciiTheme="majorHAnsi" w:hAnsiTheme="majorHAnsi" w:cstheme="minorHAnsi"/>
          <w:sz w:val="24"/>
          <w:szCs w:val="24"/>
          <w:lang w:val="ro-MD"/>
        </w:rPr>
        <w:t>ț</w:t>
      </w:r>
      <w:r w:rsidRPr="00B13B9A">
        <w:rPr>
          <w:rFonts w:asciiTheme="majorHAnsi" w:hAnsiTheme="majorHAnsi" w:cstheme="minorHAnsi"/>
          <w:sz w:val="24"/>
          <w:szCs w:val="24"/>
          <w:lang w:val="ro-MD"/>
        </w:rPr>
        <w:t>eze (camufleze) rezultatul financiar. Prin urmare, cadrul normativ nu stabile</w:t>
      </w:r>
      <w:r w:rsidR="00B13B9A" w:rsidRPr="00B13B9A">
        <w:rPr>
          <w:rFonts w:asciiTheme="majorHAnsi" w:hAnsiTheme="majorHAnsi" w:cstheme="minorHAnsi"/>
          <w:sz w:val="24"/>
          <w:szCs w:val="24"/>
          <w:lang w:val="ro-MD"/>
        </w:rPr>
        <w:t>ș</w:t>
      </w:r>
      <w:r w:rsidRPr="00B13B9A">
        <w:rPr>
          <w:rFonts w:asciiTheme="majorHAnsi" w:hAnsiTheme="majorHAnsi" w:cstheme="minorHAnsi"/>
          <w:sz w:val="24"/>
          <w:szCs w:val="24"/>
          <w:lang w:val="ro-MD"/>
        </w:rPr>
        <w:t>te norme ce ar prevedea defalcarea în bugetul de stat a profiturilor ob</w:t>
      </w:r>
      <w:r w:rsidR="00B13B9A" w:rsidRPr="00B13B9A">
        <w:rPr>
          <w:rFonts w:asciiTheme="majorHAnsi" w:hAnsiTheme="majorHAnsi" w:cstheme="minorHAnsi"/>
          <w:sz w:val="24"/>
          <w:szCs w:val="24"/>
          <w:lang w:val="ro-MD"/>
        </w:rPr>
        <w:t>ț</w:t>
      </w:r>
      <w:r w:rsidRPr="00B13B9A">
        <w:rPr>
          <w:rFonts w:asciiTheme="majorHAnsi" w:hAnsiTheme="majorHAnsi" w:cstheme="minorHAnsi"/>
          <w:sz w:val="24"/>
          <w:szCs w:val="24"/>
          <w:lang w:val="ro-MD"/>
        </w:rPr>
        <w:t>inute de IMSP din prestarea serviciilor. În prezent nu există nici reglementări privind depunerea de către IMSP a declara</w:t>
      </w:r>
      <w:r w:rsidR="00B13B9A" w:rsidRPr="00B13B9A">
        <w:rPr>
          <w:rFonts w:asciiTheme="majorHAnsi" w:hAnsiTheme="majorHAnsi" w:cstheme="minorHAnsi"/>
          <w:sz w:val="24"/>
          <w:szCs w:val="24"/>
          <w:lang w:val="ro-MD"/>
        </w:rPr>
        <w:t>ț</w:t>
      </w:r>
      <w:r w:rsidRPr="00B13B9A">
        <w:rPr>
          <w:rFonts w:asciiTheme="majorHAnsi" w:hAnsiTheme="majorHAnsi" w:cstheme="minorHAnsi"/>
          <w:sz w:val="24"/>
          <w:szCs w:val="24"/>
          <w:lang w:val="ro-MD"/>
        </w:rPr>
        <w:t xml:space="preserve">iilor cu privire la impozitul pe venit </w:t>
      </w:r>
      <w:r w:rsidR="00B13B9A" w:rsidRPr="00B13B9A">
        <w:rPr>
          <w:rFonts w:asciiTheme="majorHAnsi" w:hAnsiTheme="majorHAnsi" w:cstheme="minorHAnsi"/>
          <w:sz w:val="24"/>
          <w:szCs w:val="24"/>
          <w:lang w:val="ro-MD"/>
        </w:rPr>
        <w:t>ș</w:t>
      </w:r>
      <w:r w:rsidRPr="00B13B9A">
        <w:rPr>
          <w:rFonts w:asciiTheme="majorHAnsi" w:hAnsiTheme="majorHAnsi" w:cstheme="minorHAnsi"/>
          <w:sz w:val="24"/>
          <w:szCs w:val="24"/>
          <w:lang w:val="ro-MD"/>
        </w:rPr>
        <w:t>i achit</w:t>
      </w:r>
      <w:r w:rsidR="00B06A5F" w:rsidRPr="00B13B9A">
        <w:rPr>
          <w:rFonts w:asciiTheme="majorHAnsi" w:hAnsiTheme="majorHAnsi" w:cstheme="minorHAnsi"/>
          <w:sz w:val="24"/>
          <w:szCs w:val="24"/>
          <w:lang w:val="ro-MD"/>
        </w:rPr>
        <w:t>area</w:t>
      </w:r>
      <w:r w:rsidRPr="00B13B9A">
        <w:rPr>
          <w:rFonts w:asciiTheme="majorHAnsi" w:hAnsiTheme="majorHAnsi" w:cstheme="minorHAnsi"/>
          <w:sz w:val="24"/>
          <w:szCs w:val="24"/>
          <w:lang w:val="ro-MD"/>
        </w:rPr>
        <w:t xml:space="preserve"> impozitului pe venit</w:t>
      </w:r>
      <w:r w:rsidR="00B06A5F" w:rsidRPr="00B13B9A">
        <w:rPr>
          <w:rFonts w:asciiTheme="majorHAnsi" w:hAnsiTheme="majorHAnsi" w:cstheme="minorHAnsi"/>
          <w:sz w:val="24"/>
          <w:szCs w:val="24"/>
          <w:lang w:val="ro-MD"/>
        </w:rPr>
        <w:t>,</w:t>
      </w:r>
      <w:r w:rsidRPr="00B13B9A">
        <w:rPr>
          <w:rFonts w:asciiTheme="majorHAnsi" w:hAnsiTheme="majorHAnsi" w:cstheme="minorHAnsi"/>
          <w:sz w:val="24"/>
          <w:szCs w:val="24"/>
          <w:lang w:val="ro-MD"/>
        </w:rPr>
        <w:t xml:space="preserve"> în cazul ob</w:t>
      </w:r>
      <w:r w:rsidR="00B13B9A" w:rsidRPr="00B13B9A">
        <w:rPr>
          <w:rFonts w:asciiTheme="majorHAnsi" w:hAnsiTheme="majorHAnsi" w:cstheme="minorHAnsi"/>
          <w:sz w:val="24"/>
          <w:szCs w:val="24"/>
          <w:lang w:val="ro-MD"/>
        </w:rPr>
        <w:t>ț</w:t>
      </w:r>
      <w:r w:rsidRPr="00B13B9A">
        <w:rPr>
          <w:rFonts w:asciiTheme="majorHAnsi" w:hAnsiTheme="majorHAnsi" w:cstheme="minorHAnsi"/>
          <w:sz w:val="24"/>
          <w:szCs w:val="24"/>
          <w:lang w:val="ro-MD"/>
        </w:rPr>
        <w:t>inerii profiturilor.</w:t>
      </w:r>
    </w:p>
    <w:p w14:paraId="4E49A5F8" w14:textId="3E37BB9E" w:rsidR="00E713CB" w:rsidRPr="00B13B9A" w:rsidRDefault="00E713CB" w:rsidP="00E713CB">
      <w:pPr>
        <w:pStyle w:val="cn"/>
        <w:spacing w:line="276" w:lineRule="auto"/>
        <w:ind w:right="71"/>
        <w:jc w:val="both"/>
        <w:rPr>
          <w:rFonts w:asciiTheme="majorHAnsi" w:eastAsiaTheme="minorHAnsi" w:hAnsiTheme="majorHAnsi" w:cstheme="minorHAnsi"/>
          <w:lang w:val="ro-MD" w:eastAsia="en-US"/>
        </w:rPr>
      </w:pPr>
      <w:r w:rsidRPr="00B13B9A">
        <w:rPr>
          <w:rFonts w:asciiTheme="majorHAnsi" w:eastAsiaTheme="minorHAnsi" w:hAnsiTheme="majorHAnsi" w:cstheme="minorHAnsi"/>
          <w:lang w:val="ro-MD" w:eastAsia="en-US"/>
        </w:rPr>
        <w:t xml:space="preserve">IMSP nu asigură determinarea exactă a veniturilor </w:t>
      </w:r>
      <w:r w:rsidR="00B13B9A" w:rsidRPr="00B13B9A">
        <w:rPr>
          <w:rFonts w:asciiTheme="majorHAnsi" w:eastAsiaTheme="minorHAnsi" w:hAnsiTheme="majorHAnsi" w:cstheme="minorHAnsi"/>
          <w:lang w:val="ro-MD" w:eastAsia="en-US"/>
        </w:rPr>
        <w:t>ș</w:t>
      </w:r>
      <w:r w:rsidRPr="00B13B9A">
        <w:rPr>
          <w:rFonts w:asciiTheme="majorHAnsi" w:eastAsiaTheme="minorHAnsi" w:hAnsiTheme="majorHAnsi" w:cstheme="minorHAnsi"/>
          <w:lang w:val="ro-MD" w:eastAsia="en-US"/>
        </w:rPr>
        <w:t>i cheltuielilor pe tipurile</w:t>
      </w:r>
      <w:r w:rsidR="00480E5F" w:rsidRPr="00B13B9A">
        <w:rPr>
          <w:rFonts w:asciiTheme="majorHAnsi" w:eastAsiaTheme="minorHAnsi" w:hAnsiTheme="majorHAnsi" w:cstheme="minorHAnsi"/>
          <w:lang w:val="ro-MD" w:eastAsia="en-US"/>
        </w:rPr>
        <w:t xml:space="preserve"> de servicii prestate, neasigurâ</w:t>
      </w:r>
      <w:r w:rsidRPr="00B13B9A">
        <w:rPr>
          <w:rFonts w:asciiTheme="majorHAnsi" w:eastAsiaTheme="minorHAnsi" w:hAnsiTheme="majorHAnsi" w:cstheme="minorHAnsi"/>
          <w:lang w:val="ro-MD" w:eastAsia="en-US"/>
        </w:rPr>
        <w:t>nd eviden</w:t>
      </w:r>
      <w:r w:rsidR="00B13B9A" w:rsidRPr="00B13B9A">
        <w:rPr>
          <w:rFonts w:asciiTheme="majorHAnsi" w:eastAsiaTheme="minorHAnsi" w:hAnsiTheme="majorHAnsi" w:cstheme="minorHAnsi"/>
          <w:lang w:val="ro-MD" w:eastAsia="en-US"/>
        </w:rPr>
        <w:t>ț</w:t>
      </w:r>
      <w:r w:rsidRPr="00B13B9A">
        <w:rPr>
          <w:rFonts w:asciiTheme="majorHAnsi" w:eastAsiaTheme="minorHAnsi" w:hAnsiTheme="majorHAnsi" w:cstheme="minorHAnsi"/>
          <w:lang w:val="ro-MD" w:eastAsia="en-US"/>
        </w:rPr>
        <w:t xml:space="preserve">a acestora după centre de cost, determinate </w:t>
      </w:r>
      <w:r w:rsidR="00B06A5F" w:rsidRPr="00B13B9A">
        <w:rPr>
          <w:rFonts w:asciiTheme="majorHAnsi" w:eastAsiaTheme="minorHAnsi" w:hAnsiTheme="majorHAnsi" w:cstheme="minorHAnsi"/>
          <w:lang w:val="ro-MD" w:eastAsia="en-US"/>
        </w:rPr>
        <w:t>conform</w:t>
      </w:r>
      <w:r w:rsidRPr="00B13B9A">
        <w:rPr>
          <w:rFonts w:asciiTheme="majorHAnsi" w:eastAsiaTheme="minorHAnsi" w:hAnsiTheme="majorHAnsi" w:cstheme="minorHAnsi"/>
          <w:lang w:val="ro-MD" w:eastAsia="en-US"/>
        </w:rPr>
        <w:t xml:space="preserve"> specificul</w:t>
      </w:r>
      <w:r w:rsidR="00B06A5F" w:rsidRPr="00B13B9A">
        <w:rPr>
          <w:rFonts w:asciiTheme="majorHAnsi" w:eastAsiaTheme="minorHAnsi" w:hAnsiTheme="majorHAnsi" w:cstheme="minorHAnsi"/>
          <w:lang w:val="ro-MD" w:eastAsia="en-US"/>
        </w:rPr>
        <w:t>ui</w:t>
      </w:r>
      <w:r w:rsidRPr="00B13B9A">
        <w:rPr>
          <w:rFonts w:asciiTheme="majorHAnsi" w:eastAsiaTheme="minorHAnsi" w:hAnsiTheme="majorHAnsi" w:cstheme="minorHAnsi"/>
          <w:lang w:val="ro-MD" w:eastAsia="en-US"/>
        </w:rPr>
        <w:t xml:space="preserve"> activită</w:t>
      </w:r>
      <w:r w:rsidR="00B13B9A" w:rsidRPr="00B13B9A">
        <w:rPr>
          <w:rFonts w:asciiTheme="majorHAnsi" w:eastAsiaTheme="minorHAnsi" w:hAnsiTheme="majorHAnsi" w:cstheme="minorHAnsi"/>
          <w:lang w:val="ro-MD" w:eastAsia="en-US"/>
        </w:rPr>
        <w:t>ț</w:t>
      </w:r>
      <w:r w:rsidRPr="00B13B9A">
        <w:rPr>
          <w:rFonts w:asciiTheme="majorHAnsi" w:eastAsiaTheme="minorHAnsi" w:hAnsiTheme="majorHAnsi" w:cstheme="minorHAnsi"/>
          <w:lang w:val="ro-MD" w:eastAsia="en-US"/>
        </w:rPr>
        <w:t>ii IMSP. Lipsa unei eviden</w:t>
      </w:r>
      <w:r w:rsidR="00B13B9A" w:rsidRPr="00B13B9A">
        <w:rPr>
          <w:rFonts w:asciiTheme="majorHAnsi" w:eastAsiaTheme="minorHAnsi" w:hAnsiTheme="majorHAnsi" w:cstheme="minorHAnsi"/>
          <w:lang w:val="ro-MD" w:eastAsia="en-US"/>
        </w:rPr>
        <w:t>ț</w:t>
      </w:r>
      <w:r w:rsidRPr="00B13B9A">
        <w:rPr>
          <w:rFonts w:asciiTheme="majorHAnsi" w:eastAsiaTheme="minorHAnsi" w:hAnsiTheme="majorHAnsi" w:cstheme="minorHAnsi"/>
          <w:lang w:val="ro-MD" w:eastAsia="en-US"/>
        </w:rPr>
        <w:t xml:space="preserve">e conforme </w:t>
      </w:r>
      <w:r w:rsidR="00B06A5F" w:rsidRPr="00B13B9A">
        <w:rPr>
          <w:rFonts w:asciiTheme="majorHAnsi" w:eastAsiaTheme="minorHAnsi" w:hAnsiTheme="majorHAnsi" w:cstheme="minorHAnsi"/>
          <w:lang w:val="ro-MD" w:eastAsia="en-US"/>
        </w:rPr>
        <w:t xml:space="preserve">generează </w:t>
      </w:r>
      <w:r w:rsidRPr="00B13B9A">
        <w:rPr>
          <w:rFonts w:asciiTheme="majorHAnsi" w:eastAsiaTheme="minorHAnsi" w:hAnsiTheme="majorHAnsi" w:cstheme="minorHAnsi"/>
          <w:lang w:val="ro-MD" w:eastAsia="en-US"/>
        </w:rPr>
        <w:t xml:space="preserve">riscuri de aprobare a unor decizii nefundamentate aferente modului de prestare </w:t>
      </w:r>
      <w:r w:rsidR="00B13B9A" w:rsidRPr="00B13B9A">
        <w:rPr>
          <w:rFonts w:asciiTheme="majorHAnsi" w:eastAsiaTheme="minorHAnsi" w:hAnsiTheme="majorHAnsi" w:cstheme="minorHAnsi"/>
          <w:lang w:val="ro-MD" w:eastAsia="en-US"/>
        </w:rPr>
        <w:t>ș</w:t>
      </w:r>
      <w:r w:rsidRPr="00B13B9A">
        <w:rPr>
          <w:rFonts w:asciiTheme="majorHAnsi" w:eastAsiaTheme="minorHAnsi" w:hAnsiTheme="majorHAnsi" w:cstheme="minorHAnsi"/>
          <w:lang w:val="ro-MD" w:eastAsia="en-US"/>
        </w:rPr>
        <w:t>i finan</w:t>
      </w:r>
      <w:r w:rsidR="00B13B9A" w:rsidRPr="00B13B9A">
        <w:rPr>
          <w:rFonts w:asciiTheme="majorHAnsi" w:eastAsiaTheme="minorHAnsi" w:hAnsiTheme="majorHAnsi" w:cstheme="minorHAnsi"/>
          <w:lang w:val="ro-MD" w:eastAsia="en-US"/>
        </w:rPr>
        <w:t>ț</w:t>
      </w:r>
      <w:r w:rsidRPr="00B13B9A">
        <w:rPr>
          <w:rFonts w:asciiTheme="majorHAnsi" w:eastAsiaTheme="minorHAnsi" w:hAnsiTheme="majorHAnsi" w:cstheme="minorHAnsi"/>
          <w:lang w:val="ro-MD" w:eastAsia="en-US"/>
        </w:rPr>
        <w:t>are a serviciilor medicale.</w:t>
      </w:r>
    </w:p>
    <w:p w14:paraId="7A70F3F5" w14:textId="68569A69" w:rsidR="00E713CB" w:rsidRPr="00B13B9A" w:rsidRDefault="00E713CB" w:rsidP="00E713CB">
      <w:pPr>
        <w:pStyle w:val="cn"/>
        <w:spacing w:line="276" w:lineRule="auto"/>
        <w:ind w:right="71"/>
        <w:jc w:val="both"/>
        <w:rPr>
          <w:rFonts w:asciiTheme="majorHAnsi" w:eastAsiaTheme="minorHAnsi" w:hAnsiTheme="majorHAnsi" w:cstheme="minorHAnsi"/>
          <w:lang w:val="ro-MD" w:eastAsia="en-US"/>
        </w:rPr>
      </w:pPr>
      <w:r w:rsidRPr="00B13B9A">
        <w:rPr>
          <w:rFonts w:asciiTheme="majorHAnsi" w:eastAsiaTheme="minorHAnsi" w:hAnsiTheme="majorHAnsi" w:cstheme="minorHAnsi"/>
          <w:lang w:val="ro-MD" w:eastAsia="en-US"/>
        </w:rPr>
        <w:t>De</w:t>
      </w:r>
      <w:r w:rsidR="00B13B9A" w:rsidRPr="00B13B9A">
        <w:rPr>
          <w:rFonts w:asciiTheme="majorHAnsi" w:eastAsiaTheme="minorHAnsi" w:hAnsiTheme="majorHAnsi" w:cstheme="minorHAnsi"/>
          <w:lang w:val="ro-MD" w:eastAsia="en-US"/>
        </w:rPr>
        <w:t>ș</w:t>
      </w:r>
      <w:r w:rsidRPr="00B13B9A">
        <w:rPr>
          <w:rFonts w:asciiTheme="majorHAnsi" w:eastAsiaTheme="minorHAnsi" w:hAnsiTheme="majorHAnsi" w:cstheme="minorHAnsi"/>
          <w:lang w:val="ro-MD" w:eastAsia="en-US"/>
        </w:rPr>
        <w:t xml:space="preserve">i IMSP a identificat unele centre de cost, repartizarea tuturor cheltuielilor nu este efectuată în </w:t>
      </w:r>
      <w:r w:rsidR="00B06A5F" w:rsidRPr="00B13B9A">
        <w:rPr>
          <w:rFonts w:asciiTheme="majorHAnsi" w:eastAsiaTheme="minorHAnsi" w:hAnsiTheme="majorHAnsi" w:cstheme="minorHAnsi"/>
          <w:lang w:val="ro-MD" w:eastAsia="en-US"/>
        </w:rPr>
        <w:t>func</w:t>
      </w:r>
      <w:r w:rsidR="00B13B9A" w:rsidRPr="00B13B9A">
        <w:rPr>
          <w:rFonts w:asciiTheme="majorHAnsi" w:eastAsiaTheme="minorHAnsi" w:hAnsiTheme="majorHAnsi" w:cstheme="minorHAnsi"/>
          <w:lang w:val="ro-MD" w:eastAsia="en-US"/>
        </w:rPr>
        <w:t>ț</w:t>
      </w:r>
      <w:r w:rsidR="00B06A5F" w:rsidRPr="00B13B9A">
        <w:rPr>
          <w:rFonts w:asciiTheme="majorHAnsi" w:eastAsiaTheme="minorHAnsi" w:hAnsiTheme="majorHAnsi" w:cstheme="minorHAnsi"/>
          <w:lang w:val="ro-MD" w:eastAsia="en-US"/>
        </w:rPr>
        <w:t xml:space="preserve">ie </w:t>
      </w:r>
      <w:r w:rsidRPr="00B13B9A">
        <w:rPr>
          <w:rFonts w:asciiTheme="majorHAnsi" w:eastAsiaTheme="minorHAnsi" w:hAnsiTheme="majorHAnsi" w:cstheme="minorHAnsi"/>
          <w:lang w:val="ro-MD" w:eastAsia="en-US"/>
        </w:rPr>
        <w:t xml:space="preserve">de tipul de serviciu pentru care este utilizată resursa, iar în Politica de contabilitate nu este reglementat acest proces. Ca urmare, auditul a identificat că unele centre de cost includ mai multe tipuri de servicii prestate. De exemplu, centrul de cost „Proiecte” include servicii ce </w:t>
      </w:r>
      <w:r w:rsidR="00B13B9A" w:rsidRPr="00B13B9A">
        <w:rPr>
          <w:rFonts w:asciiTheme="majorHAnsi" w:eastAsiaTheme="minorHAnsi" w:hAnsiTheme="majorHAnsi" w:cstheme="minorHAnsi"/>
          <w:lang w:val="ro-MD" w:eastAsia="en-US"/>
        </w:rPr>
        <w:t>ț</w:t>
      </w:r>
      <w:r w:rsidRPr="00B13B9A">
        <w:rPr>
          <w:rFonts w:asciiTheme="majorHAnsi" w:eastAsiaTheme="minorHAnsi" w:hAnsiTheme="majorHAnsi" w:cstheme="minorHAnsi"/>
          <w:lang w:val="ro-MD" w:eastAsia="en-US"/>
        </w:rPr>
        <w:t xml:space="preserve">in de distribuirea pachetelor alimentare, efectuarea testărilor unor noi scheme de tratament </w:t>
      </w:r>
      <w:r w:rsidR="00B13B9A" w:rsidRPr="00B13B9A">
        <w:rPr>
          <w:rFonts w:asciiTheme="majorHAnsi" w:eastAsiaTheme="minorHAnsi" w:hAnsiTheme="majorHAnsi" w:cstheme="minorHAnsi"/>
          <w:lang w:val="ro-MD" w:eastAsia="en-US"/>
        </w:rPr>
        <w:t>ș</w:t>
      </w:r>
      <w:r w:rsidRPr="00B13B9A">
        <w:rPr>
          <w:rFonts w:asciiTheme="majorHAnsi" w:eastAsiaTheme="minorHAnsi" w:hAnsiTheme="majorHAnsi" w:cstheme="minorHAnsi"/>
          <w:lang w:val="ro-MD" w:eastAsia="en-US"/>
        </w:rPr>
        <w:t xml:space="preserve">i utilizarea bunurilor (medicamente </w:t>
      </w:r>
      <w:r w:rsidR="00B13B9A" w:rsidRPr="00B13B9A">
        <w:rPr>
          <w:rFonts w:asciiTheme="majorHAnsi" w:eastAsiaTheme="minorHAnsi" w:hAnsiTheme="majorHAnsi" w:cstheme="minorHAnsi"/>
          <w:lang w:val="ro-MD" w:eastAsia="en-US"/>
        </w:rPr>
        <w:t>ș</w:t>
      </w:r>
      <w:r w:rsidRPr="00B13B9A">
        <w:rPr>
          <w:rFonts w:asciiTheme="majorHAnsi" w:eastAsiaTheme="minorHAnsi" w:hAnsiTheme="majorHAnsi" w:cstheme="minorHAnsi"/>
          <w:lang w:val="ro-MD" w:eastAsia="en-US"/>
        </w:rPr>
        <w:t>i altele) primite cu titlu gratuit, dar utilizate pentru prestarea serviciilor contractate de CNAM</w:t>
      </w:r>
      <w:r w:rsidR="009B7157" w:rsidRPr="00B13B9A">
        <w:rPr>
          <w:rFonts w:asciiTheme="majorHAnsi" w:eastAsiaTheme="minorHAnsi" w:hAnsiTheme="majorHAnsi" w:cstheme="minorHAnsi"/>
          <w:lang w:val="ro-MD" w:eastAsia="en-US"/>
        </w:rPr>
        <w:t xml:space="preserve"> (vezi anexa 20, 21, 22)</w:t>
      </w:r>
      <w:r w:rsidRPr="00B13B9A">
        <w:rPr>
          <w:rFonts w:asciiTheme="majorHAnsi" w:eastAsiaTheme="minorHAnsi" w:hAnsiTheme="majorHAnsi" w:cstheme="minorHAnsi"/>
          <w:lang w:val="ro-MD" w:eastAsia="en-US"/>
        </w:rPr>
        <w:t>. Ca urmare, se constată nedeterminare</w:t>
      </w:r>
      <w:r w:rsidR="00B06A5F" w:rsidRPr="00B13B9A">
        <w:rPr>
          <w:rFonts w:asciiTheme="majorHAnsi" w:eastAsiaTheme="minorHAnsi" w:hAnsiTheme="majorHAnsi" w:cstheme="minorHAnsi"/>
          <w:lang w:val="ro-MD" w:eastAsia="en-US"/>
        </w:rPr>
        <w:t>a</w:t>
      </w:r>
      <w:r w:rsidRPr="00B13B9A">
        <w:rPr>
          <w:rFonts w:asciiTheme="majorHAnsi" w:eastAsiaTheme="minorHAnsi" w:hAnsiTheme="majorHAnsi" w:cstheme="minorHAnsi"/>
          <w:lang w:val="ro-MD" w:eastAsia="en-US"/>
        </w:rPr>
        <w:t xml:space="preserve"> exactă a rezultatelor financiare ce </w:t>
      </w:r>
      <w:r w:rsidR="00B13B9A" w:rsidRPr="00B13B9A">
        <w:rPr>
          <w:rFonts w:asciiTheme="majorHAnsi" w:eastAsiaTheme="minorHAnsi" w:hAnsiTheme="majorHAnsi" w:cstheme="minorHAnsi"/>
          <w:lang w:val="ro-MD" w:eastAsia="en-US"/>
        </w:rPr>
        <w:t>ț</w:t>
      </w:r>
      <w:r w:rsidRPr="00B13B9A">
        <w:rPr>
          <w:rFonts w:asciiTheme="majorHAnsi" w:eastAsiaTheme="minorHAnsi" w:hAnsiTheme="majorHAnsi" w:cstheme="minorHAnsi"/>
          <w:lang w:val="ro-MD" w:eastAsia="en-US"/>
        </w:rPr>
        <w:t xml:space="preserve">in de prestarea fiecărui serviciu în parte, ceea ce nu permite luarea unor decizii manageriale de gestiune a costurilor suportate. </w:t>
      </w:r>
    </w:p>
    <w:p w14:paraId="5A4BE82D" w14:textId="0E505DE3" w:rsidR="00E713CB" w:rsidRPr="00B13B9A" w:rsidRDefault="00E713CB" w:rsidP="00E713CB">
      <w:pPr>
        <w:pStyle w:val="cn"/>
        <w:spacing w:line="276" w:lineRule="auto"/>
        <w:ind w:right="71"/>
        <w:jc w:val="both"/>
        <w:rPr>
          <w:rFonts w:asciiTheme="majorHAnsi" w:eastAsiaTheme="minorHAnsi" w:hAnsiTheme="majorHAnsi" w:cstheme="minorHAnsi"/>
          <w:lang w:val="ro-MD" w:eastAsia="en-US"/>
        </w:rPr>
      </w:pPr>
      <w:r w:rsidRPr="00B13B9A">
        <w:rPr>
          <w:rFonts w:asciiTheme="majorHAnsi" w:eastAsiaTheme="minorHAnsi" w:hAnsiTheme="majorHAnsi" w:cstheme="minorHAnsi"/>
          <w:lang w:val="ro-MD" w:eastAsia="en-US"/>
        </w:rPr>
        <w:t>Totodată, entitatea nu de</w:t>
      </w:r>
      <w:r w:rsidR="00B13B9A" w:rsidRPr="00B13B9A">
        <w:rPr>
          <w:rFonts w:asciiTheme="majorHAnsi" w:eastAsiaTheme="minorHAnsi" w:hAnsiTheme="majorHAnsi" w:cstheme="minorHAnsi"/>
          <w:lang w:val="ro-MD" w:eastAsia="en-US"/>
        </w:rPr>
        <w:t>ț</w:t>
      </w:r>
      <w:r w:rsidRPr="00B13B9A">
        <w:rPr>
          <w:rFonts w:asciiTheme="majorHAnsi" w:eastAsiaTheme="minorHAnsi" w:hAnsiTheme="majorHAnsi" w:cstheme="minorHAnsi"/>
          <w:lang w:val="ro-MD" w:eastAsia="en-US"/>
        </w:rPr>
        <w:t xml:space="preserve">ine o metodologie/modalitate de </w:t>
      </w:r>
      <w:r w:rsidR="00B13B9A" w:rsidRPr="00B13B9A">
        <w:rPr>
          <w:rFonts w:asciiTheme="majorHAnsi" w:eastAsiaTheme="minorHAnsi" w:hAnsiTheme="majorHAnsi" w:cstheme="minorHAnsi"/>
          <w:lang w:val="ro-MD" w:eastAsia="en-US"/>
        </w:rPr>
        <w:t>ț</w:t>
      </w:r>
      <w:r w:rsidRPr="00B13B9A">
        <w:rPr>
          <w:rFonts w:asciiTheme="majorHAnsi" w:eastAsiaTheme="minorHAnsi" w:hAnsiTheme="majorHAnsi" w:cstheme="minorHAnsi"/>
          <w:lang w:val="ro-MD" w:eastAsia="en-US"/>
        </w:rPr>
        <w:t>inere a eviden</w:t>
      </w:r>
      <w:r w:rsidR="00B13B9A" w:rsidRPr="00B13B9A">
        <w:rPr>
          <w:rFonts w:asciiTheme="majorHAnsi" w:eastAsiaTheme="minorHAnsi" w:hAnsiTheme="majorHAnsi" w:cstheme="minorHAnsi"/>
          <w:lang w:val="ro-MD" w:eastAsia="en-US"/>
        </w:rPr>
        <w:t>ț</w:t>
      </w:r>
      <w:r w:rsidRPr="00B13B9A">
        <w:rPr>
          <w:rFonts w:asciiTheme="majorHAnsi" w:eastAsiaTheme="minorHAnsi" w:hAnsiTheme="majorHAnsi" w:cstheme="minorHAnsi"/>
          <w:lang w:val="ro-MD" w:eastAsia="en-US"/>
        </w:rPr>
        <w:t xml:space="preserve">ei veniturilor </w:t>
      </w:r>
      <w:r w:rsidR="00B13B9A" w:rsidRPr="00B13B9A">
        <w:rPr>
          <w:rFonts w:asciiTheme="majorHAnsi" w:eastAsiaTheme="minorHAnsi" w:hAnsiTheme="majorHAnsi" w:cstheme="minorHAnsi"/>
          <w:lang w:val="ro-MD" w:eastAsia="en-US"/>
        </w:rPr>
        <w:t>ș</w:t>
      </w:r>
      <w:r w:rsidRPr="00B13B9A">
        <w:rPr>
          <w:rFonts w:asciiTheme="majorHAnsi" w:eastAsiaTheme="minorHAnsi" w:hAnsiTheme="majorHAnsi" w:cstheme="minorHAnsi"/>
          <w:lang w:val="ro-MD" w:eastAsia="en-US"/>
        </w:rPr>
        <w:t xml:space="preserve">i </w:t>
      </w:r>
      <w:r w:rsidR="008A166D" w:rsidRPr="00B13B9A">
        <w:rPr>
          <w:rFonts w:asciiTheme="majorHAnsi" w:eastAsiaTheme="minorHAnsi" w:hAnsiTheme="majorHAnsi" w:cstheme="minorHAnsi"/>
          <w:lang w:val="ro-MD" w:eastAsia="en-US"/>
        </w:rPr>
        <w:t xml:space="preserve">a </w:t>
      </w:r>
      <w:r w:rsidRPr="00B13B9A">
        <w:rPr>
          <w:rFonts w:asciiTheme="majorHAnsi" w:eastAsiaTheme="minorHAnsi" w:hAnsiTheme="majorHAnsi" w:cstheme="minorHAnsi"/>
          <w:lang w:val="ro-MD" w:eastAsia="en-US"/>
        </w:rPr>
        <w:t>cheltuielilor</w:t>
      </w:r>
      <w:r w:rsidR="008A166D" w:rsidRPr="00B13B9A">
        <w:rPr>
          <w:rFonts w:asciiTheme="majorHAnsi" w:eastAsiaTheme="minorHAnsi" w:hAnsiTheme="majorHAnsi" w:cstheme="minorHAnsi"/>
          <w:lang w:val="ro-MD" w:eastAsia="en-US"/>
        </w:rPr>
        <w:t>, ceea</w:t>
      </w:r>
      <w:r w:rsidRPr="00B13B9A">
        <w:rPr>
          <w:rFonts w:asciiTheme="majorHAnsi" w:eastAsiaTheme="minorHAnsi" w:hAnsiTheme="majorHAnsi" w:cstheme="minorHAnsi"/>
          <w:lang w:val="ro-MD" w:eastAsia="en-US"/>
        </w:rPr>
        <w:t xml:space="preserve"> ce nu asigură determinarea exactă </w:t>
      </w:r>
      <w:r w:rsidR="00B13B9A" w:rsidRPr="00B13B9A">
        <w:rPr>
          <w:rFonts w:asciiTheme="majorHAnsi" w:eastAsiaTheme="minorHAnsi" w:hAnsiTheme="majorHAnsi" w:cstheme="minorHAnsi"/>
          <w:lang w:val="ro-MD" w:eastAsia="en-US"/>
        </w:rPr>
        <w:t>ș</w:t>
      </w:r>
      <w:r w:rsidRPr="00B13B9A">
        <w:rPr>
          <w:rFonts w:asciiTheme="majorHAnsi" w:eastAsiaTheme="minorHAnsi" w:hAnsiTheme="majorHAnsi" w:cstheme="minorHAnsi"/>
          <w:lang w:val="ro-MD" w:eastAsia="en-US"/>
        </w:rPr>
        <w:t>i reală a costului serviciului prestat.</w:t>
      </w:r>
    </w:p>
    <w:p w14:paraId="2D16EF06" w14:textId="37657420" w:rsidR="00E713CB" w:rsidRPr="00B13B9A" w:rsidRDefault="00E713CB" w:rsidP="00E713CB">
      <w:pPr>
        <w:spacing w:after="120" w:line="276" w:lineRule="auto"/>
        <w:jc w:val="both"/>
        <w:rPr>
          <w:rFonts w:asciiTheme="majorHAnsi" w:hAnsiTheme="majorHAnsi" w:cstheme="minorHAnsi"/>
          <w:sz w:val="24"/>
          <w:szCs w:val="24"/>
          <w:lang w:val="ro-MD"/>
        </w:rPr>
      </w:pPr>
      <w:r w:rsidRPr="00B13B9A">
        <w:rPr>
          <w:rFonts w:asciiTheme="majorHAnsi" w:hAnsiTheme="majorHAnsi" w:cstheme="majorHAnsi"/>
          <w:color w:val="000000" w:themeColor="text1"/>
          <w:sz w:val="24"/>
          <w:szCs w:val="24"/>
          <w:lang w:val="ro-MD"/>
        </w:rPr>
        <w:t xml:space="preserve">Astfel, unele cheltuieli, atribuite la costul serviciilor </w:t>
      </w:r>
      <w:r w:rsidRPr="00B13B9A">
        <w:rPr>
          <w:rFonts w:asciiTheme="majorHAnsi" w:hAnsiTheme="majorHAnsi" w:cstheme="minorHAnsi"/>
          <w:lang w:val="ro-MD"/>
        </w:rPr>
        <w:t>(711)</w:t>
      </w:r>
      <w:r w:rsidR="008A166D" w:rsidRPr="00B13B9A">
        <w:rPr>
          <w:rFonts w:asciiTheme="majorHAnsi" w:hAnsiTheme="majorHAnsi" w:cstheme="minorHAnsi"/>
          <w:lang w:val="ro-MD"/>
        </w:rPr>
        <w:t>,</w:t>
      </w:r>
      <w:r w:rsidRPr="00B13B9A">
        <w:rPr>
          <w:rFonts w:asciiTheme="majorHAnsi" w:hAnsiTheme="majorHAnsi" w:cstheme="majorHAnsi"/>
          <w:color w:val="000000" w:themeColor="text1"/>
          <w:sz w:val="24"/>
          <w:szCs w:val="24"/>
          <w:lang w:val="ro-MD"/>
        </w:rPr>
        <w:t xml:space="preserve"> determină majorarea nejustificată a acestora. De exemplu, uzura clădirilor neutilizate (pentru perioada auditată a constituit 205,5 mii lei</w:t>
      </w:r>
      <w:r w:rsidRPr="00B13B9A">
        <w:rPr>
          <w:rStyle w:val="a9"/>
          <w:rFonts w:asciiTheme="majorHAnsi" w:hAnsiTheme="majorHAnsi" w:cstheme="majorHAnsi"/>
          <w:color w:val="000000" w:themeColor="text1"/>
          <w:sz w:val="24"/>
          <w:szCs w:val="24"/>
          <w:lang w:val="ro-MD"/>
        </w:rPr>
        <w:footnoteReference w:id="73"/>
      </w:r>
      <w:r w:rsidRPr="00B13B9A">
        <w:rPr>
          <w:rFonts w:asciiTheme="majorHAnsi" w:hAnsiTheme="majorHAnsi" w:cstheme="majorHAnsi"/>
          <w:color w:val="000000" w:themeColor="text1"/>
          <w:sz w:val="24"/>
          <w:szCs w:val="24"/>
          <w:lang w:val="ro-MD"/>
        </w:rPr>
        <w:t xml:space="preserve">) </w:t>
      </w:r>
      <w:r w:rsidR="00B13B9A" w:rsidRPr="00B13B9A">
        <w:rPr>
          <w:rFonts w:asciiTheme="majorHAnsi" w:hAnsiTheme="majorHAnsi" w:cstheme="majorHAnsi"/>
          <w:color w:val="000000" w:themeColor="text1"/>
          <w:sz w:val="24"/>
          <w:szCs w:val="24"/>
          <w:lang w:val="ro-MD"/>
        </w:rPr>
        <w:t>ș</w:t>
      </w:r>
      <w:r w:rsidRPr="00B13B9A">
        <w:rPr>
          <w:rFonts w:asciiTheme="majorHAnsi" w:hAnsiTheme="majorHAnsi" w:cstheme="majorHAnsi"/>
          <w:color w:val="000000" w:themeColor="text1"/>
          <w:sz w:val="24"/>
          <w:szCs w:val="24"/>
          <w:lang w:val="ro-MD"/>
        </w:rPr>
        <w:t xml:space="preserve">i </w:t>
      </w:r>
      <w:r w:rsidRPr="00B13B9A">
        <w:rPr>
          <w:rFonts w:asciiTheme="majorHAnsi" w:hAnsiTheme="majorHAnsi" w:cstheme="majorHAnsi"/>
          <w:sz w:val="24"/>
          <w:szCs w:val="24"/>
          <w:lang w:val="ro-MD"/>
        </w:rPr>
        <w:t>uzura unor dispozitive medicale care nu sunt puse în func</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iune (151,9 mii lei</w:t>
      </w:r>
      <w:r w:rsidRPr="00B13B9A">
        <w:rPr>
          <w:rStyle w:val="a9"/>
          <w:rFonts w:asciiTheme="majorHAnsi" w:hAnsiTheme="majorHAnsi" w:cstheme="majorHAnsi"/>
          <w:sz w:val="24"/>
          <w:szCs w:val="24"/>
          <w:lang w:val="ro-MD"/>
        </w:rPr>
        <w:footnoteReference w:id="74"/>
      </w:r>
      <w:r w:rsidRPr="00B13B9A">
        <w:rPr>
          <w:rFonts w:asciiTheme="majorHAnsi" w:hAnsiTheme="majorHAnsi" w:cstheme="majorHAnsi"/>
          <w:sz w:val="24"/>
          <w:szCs w:val="24"/>
          <w:lang w:val="ro-MD"/>
        </w:rPr>
        <w:t>) au fost incluse în costul serviciilor prestate, de</w:t>
      </w:r>
      <w:r w:rsidR="00B13B9A" w:rsidRPr="00B13B9A">
        <w:rPr>
          <w:rFonts w:asciiTheme="majorHAnsi" w:hAnsiTheme="majorHAnsi" w:cstheme="majorHAnsi"/>
          <w:sz w:val="24"/>
          <w:szCs w:val="24"/>
          <w:lang w:val="ro-MD"/>
        </w:rPr>
        <w:t>ș</w:t>
      </w:r>
      <w:r w:rsidRPr="00B13B9A">
        <w:rPr>
          <w:rFonts w:asciiTheme="majorHAnsi" w:hAnsiTheme="majorHAnsi" w:cstheme="majorHAnsi"/>
          <w:sz w:val="24"/>
          <w:szCs w:val="24"/>
          <w:lang w:val="ro-MD"/>
        </w:rPr>
        <w:t xml:space="preserve">i urmau a fi reflectate la cheltuieli generale </w:t>
      </w:r>
      <w:r w:rsidR="00B13B9A" w:rsidRPr="00B13B9A">
        <w:rPr>
          <w:rFonts w:asciiTheme="majorHAnsi" w:hAnsiTheme="majorHAnsi" w:cstheme="majorHAnsi"/>
          <w:sz w:val="24"/>
          <w:szCs w:val="24"/>
          <w:lang w:val="ro-MD"/>
        </w:rPr>
        <w:t>ș</w:t>
      </w:r>
      <w:r w:rsidRPr="00B13B9A">
        <w:rPr>
          <w:rFonts w:asciiTheme="majorHAnsi" w:hAnsiTheme="majorHAnsi" w:cstheme="majorHAnsi"/>
          <w:sz w:val="24"/>
          <w:szCs w:val="24"/>
          <w:lang w:val="ro-MD"/>
        </w:rPr>
        <w:t>i administrative. Acest fapt denaturează informa</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iile folosite la aprobarea tarifelor pentru serviciile medicale respective.</w:t>
      </w:r>
    </w:p>
    <w:p w14:paraId="63DC8980" w14:textId="77777777" w:rsidR="00B37661" w:rsidRPr="00B13B9A" w:rsidRDefault="00B37661" w:rsidP="00B37661">
      <w:pPr>
        <w:pStyle w:val="a7"/>
        <w:spacing w:after="0" w:line="276" w:lineRule="auto"/>
        <w:ind w:left="0"/>
        <w:jc w:val="both"/>
        <w:rPr>
          <w:rFonts w:asciiTheme="majorHAnsi" w:hAnsiTheme="majorHAnsi" w:cs="Calibri Light"/>
          <w:sz w:val="24"/>
          <w:szCs w:val="24"/>
          <w:lang w:val="ro-MD"/>
        </w:rPr>
      </w:pPr>
    </w:p>
    <w:p w14:paraId="1E93E8EA" w14:textId="7DBF6984" w:rsidR="00082D69" w:rsidRPr="00B13B9A" w:rsidRDefault="00643620" w:rsidP="00241AB3">
      <w:pPr>
        <w:pStyle w:val="a7"/>
        <w:numPr>
          <w:ilvl w:val="2"/>
          <w:numId w:val="10"/>
        </w:numPr>
        <w:spacing w:after="0" w:line="276" w:lineRule="auto"/>
        <w:jc w:val="both"/>
        <w:outlineLvl w:val="2"/>
        <w:rPr>
          <w:rFonts w:asciiTheme="majorHAnsi" w:hAnsiTheme="majorHAnsi" w:cstheme="majorHAnsi"/>
          <w:b/>
          <w:sz w:val="24"/>
          <w:szCs w:val="24"/>
          <w:lang w:val="ro-MD"/>
        </w:rPr>
      </w:pPr>
      <w:bookmarkStart w:id="48" w:name="_Toc154562519"/>
      <w:r w:rsidRPr="00B13B9A">
        <w:rPr>
          <w:rFonts w:asciiTheme="majorHAnsi" w:hAnsiTheme="majorHAnsi" w:cstheme="majorHAnsi"/>
          <w:b/>
          <w:sz w:val="24"/>
          <w:szCs w:val="24"/>
          <w:lang w:val="ro-MD"/>
        </w:rPr>
        <w:t xml:space="preserve">Managementul medicamentelor antituberculoase </w:t>
      </w:r>
      <w:r w:rsidR="00082D69" w:rsidRPr="00B13B9A">
        <w:rPr>
          <w:rFonts w:asciiTheme="majorHAnsi" w:hAnsiTheme="majorHAnsi" w:cstheme="majorHAnsi"/>
          <w:b/>
          <w:sz w:val="24"/>
          <w:szCs w:val="24"/>
          <w:lang w:val="ro-MD"/>
        </w:rPr>
        <w:t xml:space="preserve">a fost realizat corespunzător </w:t>
      </w:r>
      <w:r w:rsidR="00B13B9A" w:rsidRPr="00B13B9A">
        <w:rPr>
          <w:rFonts w:asciiTheme="majorHAnsi" w:hAnsiTheme="majorHAnsi" w:cstheme="majorHAnsi"/>
          <w:b/>
          <w:sz w:val="24"/>
          <w:szCs w:val="24"/>
          <w:lang w:val="ro-MD"/>
        </w:rPr>
        <w:t>ș</w:t>
      </w:r>
      <w:r w:rsidR="00082D69" w:rsidRPr="00B13B9A">
        <w:rPr>
          <w:rFonts w:asciiTheme="majorHAnsi" w:hAnsiTheme="majorHAnsi" w:cstheme="majorHAnsi"/>
          <w:b/>
          <w:sz w:val="24"/>
          <w:szCs w:val="24"/>
          <w:lang w:val="ro-MD"/>
        </w:rPr>
        <w:t>i asigură tratamentul în termen util a</w:t>
      </w:r>
      <w:r w:rsidR="008A166D" w:rsidRPr="00B13B9A">
        <w:rPr>
          <w:rFonts w:asciiTheme="majorHAnsi" w:hAnsiTheme="majorHAnsi" w:cstheme="majorHAnsi"/>
          <w:b/>
          <w:sz w:val="24"/>
          <w:szCs w:val="24"/>
          <w:lang w:val="ro-MD"/>
        </w:rPr>
        <w:t>l</w:t>
      </w:r>
      <w:r w:rsidR="00082D69" w:rsidRPr="00B13B9A">
        <w:rPr>
          <w:rFonts w:asciiTheme="majorHAnsi" w:hAnsiTheme="majorHAnsi" w:cstheme="majorHAnsi"/>
          <w:b/>
          <w:sz w:val="24"/>
          <w:szCs w:val="24"/>
          <w:lang w:val="ro-MD"/>
        </w:rPr>
        <w:t xml:space="preserve"> pacien</w:t>
      </w:r>
      <w:r w:rsidR="00B13B9A" w:rsidRPr="00B13B9A">
        <w:rPr>
          <w:rFonts w:asciiTheme="majorHAnsi" w:hAnsiTheme="majorHAnsi" w:cstheme="majorHAnsi"/>
          <w:b/>
          <w:sz w:val="24"/>
          <w:szCs w:val="24"/>
          <w:lang w:val="ro-MD"/>
        </w:rPr>
        <w:t>ț</w:t>
      </w:r>
      <w:r w:rsidR="00082D69" w:rsidRPr="00B13B9A">
        <w:rPr>
          <w:rFonts w:asciiTheme="majorHAnsi" w:hAnsiTheme="majorHAnsi" w:cstheme="majorHAnsi"/>
          <w:b/>
          <w:sz w:val="24"/>
          <w:szCs w:val="24"/>
          <w:lang w:val="ro-MD"/>
        </w:rPr>
        <w:t>ilor</w:t>
      </w:r>
      <w:r w:rsidR="008A166D" w:rsidRPr="00B13B9A">
        <w:rPr>
          <w:rFonts w:asciiTheme="majorHAnsi" w:hAnsiTheme="majorHAnsi" w:cstheme="majorHAnsi"/>
          <w:b/>
          <w:sz w:val="24"/>
          <w:szCs w:val="24"/>
          <w:lang w:val="ro-MD"/>
        </w:rPr>
        <w:t>.</w:t>
      </w:r>
      <w:bookmarkEnd w:id="48"/>
    </w:p>
    <w:p w14:paraId="2B5B24B0" w14:textId="77777777" w:rsidR="00A634B2" w:rsidRPr="00B13B9A" w:rsidRDefault="00A634B2" w:rsidP="00A634B2">
      <w:pPr>
        <w:pStyle w:val="a7"/>
        <w:spacing w:after="0" w:line="276" w:lineRule="auto"/>
        <w:jc w:val="both"/>
        <w:rPr>
          <w:rFonts w:asciiTheme="majorHAnsi" w:hAnsiTheme="majorHAnsi" w:cstheme="majorHAnsi"/>
          <w:b/>
          <w:sz w:val="24"/>
          <w:szCs w:val="24"/>
          <w:lang w:val="ro-MD"/>
        </w:rPr>
      </w:pPr>
    </w:p>
    <w:p w14:paraId="629B38F2" w14:textId="50697CF2" w:rsidR="00510A4C" w:rsidRPr="00B13B9A" w:rsidRDefault="00510A4C" w:rsidP="00B37661">
      <w:pPr>
        <w:spacing w:after="0" w:line="276" w:lineRule="auto"/>
        <w:jc w:val="both"/>
        <w:rPr>
          <w:rFonts w:asciiTheme="majorHAnsi" w:hAnsiTheme="majorHAnsi" w:cstheme="majorHAnsi"/>
          <w:sz w:val="24"/>
          <w:szCs w:val="24"/>
          <w:lang w:val="ro-MD"/>
        </w:rPr>
      </w:pPr>
      <w:r w:rsidRPr="00B13B9A">
        <w:rPr>
          <w:rFonts w:asciiTheme="majorHAnsi" w:hAnsiTheme="majorHAnsi" w:cstheme="majorHAnsi"/>
          <w:sz w:val="24"/>
          <w:szCs w:val="24"/>
          <w:lang w:val="ro-MD"/>
        </w:rPr>
        <w:t>Tratamentul pacien</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ilor cu TB, indiferent de profilul de rezisten</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ă</w:t>
      </w:r>
      <w:r w:rsidR="008A166D" w:rsidRPr="00B13B9A">
        <w:rPr>
          <w:rFonts w:asciiTheme="majorHAnsi" w:hAnsiTheme="majorHAnsi" w:cstheme="majorHAnsi"/>
          <w:sz w:val="24"/>
          <w:szCs w:val="24"/>
          <w:lang w:val="ro-MD"/>
        </w:rPr>
        <w:t>,</w:t>
      </w:r>
      <w:r w:rsidRPr="00B13B9A">
        <w:rPr>
          <w:rFonts w:asciiTheme="majorHAnsi" w:hAnsiTheme="majorHAnsi" w:cstheme="majorHAnsi"/>
          <w:sz w:val="24"/>
          <w:szCs w:val="24"/>
          <w:lang w:val="ro-MD"/>
        </w:rPr>
        <w:t xml:space="preserve"> se efectuează în baza Protocoalelor clinice na</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 xml:space="preserve">ionale </w:t>
      </w:r>
      <w:r w:rsidR="00B13B9A" w:rsidRPr="00B13B9A">
        <w:rPr>
          <w:rFonts w:asciiTheme="majorHAnsi" w:hAnsiTheme="majorHAnsi" w:cstheme="majorHAnsi"/>
          <w:sz w:val="24"/>
          <w:szCs w:val="24"/>
          <w:lang w:val="ro-MD"/>
        </w:rPr>
        <w:t>ș</w:t>
      </w:r>
      <w:r w:rsidRPr="00B13B9A">
        <w:rPr>
          <w:rFonts w:asciiTheme="majorHAnsi" w:hAnsiTheme="majorHAnsi" w:cstheme="majorHAnsi"/>
          <w:sz w:val="24"/>
          <w:szCs w:val="24"/>
          <w:lang w:val="ro-MD"/>
        </w:rPr>
        <w:t>i standardelor de asisten</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ă medicală, elaborate în conformitate cu recomandările OMS</w:t>
      </w:r>
      <w:r w:rsidR="008A166D" w:rsidRPr="00B13B9A">
        <w:rPr>
          <w:rFonts w:asciiTheme="majorHAnsi" w:hAnsiTheme="majorHAnsi" w:cstheme="majorHAnsi"/>
          <w:sz w:val="24"/>
          <w:szCs w:val="24"/>
          <w:lang w:val="ro-MD"/>
        </w:rPr>
        <w:t xml:space="preserve"> </w:t>
      </w:r>
      <w:r w:rsidR="00B13B9A" w:rsidRPr="00B13B9A">
        <w:rPr>
          <w:rFonts w:asciiTheme="majorHAnsi" w:hAnsiTheme="majorHAnsi" w:cstheme="majorHAnsi"/>
          <w:sz w:val="24"/>
          <w:szCs w:val="24"/>
          <w:lang w:val="ro-MD"/>
        </w:rPr>
        <w:t>ș</w:t>
      </w:r>
      <w:r w:rsidR="008A166D" w:rsidRPr="00B13B9A">
        <w:rPr>
          <w:rFonts w:asciiTheme="majorHAnsi" w:hAnsiTheme="majorHAnsi" w:cstheme="majorHAnsi"/>
          <w:sz w:val="24"/>
          <w:szCs w:val="24"/>
          <w:lang w:val="ro-MD"/>
        </w:rPr>
        <w:t>i</w:t>
      </w:r>
      <w:r w:rsidRPr="00B13B9A">
        <w:rPr>
          <w:rFonts w:asciiTheme="majorHAnsi" w:hAnsiTheme="majorHAnsi" w:cstheme="majorHAnsi"/>
          <w:sz w:val="24"/>
          <w:szCs w:val="24"/>
          <w:lang w:val="ro-MD"/>
        </w:rPr>
        <w:t xml:space="preserve"> aprobate de MS. Selectarea medicamentelor antituberculoase se efectuează în conformitate cu Protocoalele clinice na</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ionale, Lista Na</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ională a Medicamentelor Esen</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 xml:space="preserve">iale </w:t>
      </w:r>
      <w:r w:rsidR="00B13B9A" w:rsidRPr="00B13B9A">
        <w:rPr>
          <w:rFonts w:asciiTheme="majorHAnsi" w:hAnsiTheme="majorHAnsi" w:cstheme="majorHAnsi"/>
          <w:sz w:val="24"/>
          <w:szCs w:val="24"/>
          <w:lang w:val="ro-MD"/>
        </w:rPr>
        <w:t>ș</w:t>
      </w:r>
      <w:r w:rsidRPr="00B13B9A">
        <w:rPr>
          <w:rFonts w:asciiTheme="majorHAnsi" w:hAnsiTheme="majorHAnsi" w:cstheme="majorHAnsi"/>
          <w:sz w:val="24"/>
          <w:szCs w:val="24"/>
          <w:lang w:val="ro-MD"/>
        </w:rPr>
        <w:t>i cele mai recente recomandări ale OMS</w:t>
      </w:r>
      <w:r w:rsidR="008A166D" w:rsidRPr="00B13B9A">
        <w:rPr>
          <w:rFonts w:asciiTheme="majorHAnsi" w:hAnsiTheme="majorHAnsi" w:cstheme="majorHAnsi"/>
          <w:sz w:val="24"/>
          <w:szCs w:val="24"/>
          <w:lang w:val="ro-MD"/>
        </w:rPr>
        <w:t>.</w:t>
      </w:r>
      <w:r w:rsidRPr="00B13B9A">
        <w:rPr>
          <w:rFonts w:asciiTheme="majorHAnsi" w:hAnsiTheme="majorHAnsi" w:cstheme="majorHAnsi"/>
          <w:sz w:val="24"/>
          <w:szCs w:val="24"/>
          <w:lang w:val="ro-MD"/>
        </w:rPr>
        <w:t xml:space="preserve"> </w:t>
      </w:r>
      <w:r w:rsidR="008A166D" w:rsidRPr="00B13B9A">
        <w:rPr>
          <w:rFonts w:asciiTheme="majorHAnsi" w:hAnsiTheme="majorHAnsi" w:cstheme="majorHAnsi"/>
          <w:sz w:val="24"/>
          <w:szCs w:val="24"/>
          <w:lang w:val="ro-MD"/>
        </w:rPr>
        <w:t>L</w:t>
      </w:r>
      <w:r w:rsidRPr="00B13B9A">
        <w:rPr>
          <w:rFonts w:asciiTheme="majorHAnsi" w:hAnsiTheme="majorHAnsi" w:cstheme="majorHAnsi"/>
          <w:sz w:val="24"/>
          <w:szCs w:val="24"/>
          <w:lang w:val="ro-MD"/>
        </w:rPr>
        <w:t>a nivel na</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 xml:space="preserve">ional, responsabili de selectarea medicamentelor antituberculoase pentru procurare din bugetul de </w:t>
      </w:r>
      <w:r w:rsidR="008A166D" w:rsidRPr="00B13B9A">
        <w:rPr>
          <w:rFonts w:asciiTheme="majorHAnsi" w:hAnsiTheme="majorHAnsi" w:cstheme="majorHAnsi"/>
          <w:sz w:val="24"/>
          <w:szCs w:val="24"/>
          <w:lang w:val="ro-MD"/>
        </w:rPr>
        <w:t>s</w:t>
      </w:r>
      <w:r w:rsidRPr="00B13B9A">
        <w:rPr>
          <w:rFonts w:asciiTheme="majorHAnsi" w:hAnsiTheme="majorHAnsi" w:cstheme="majorHAnsi"/>
          <w:sz w:val="24"/>
          <w:szCs w:val="24"/>
          <w:lang w:val="ro-MD"/>
        </w:rPr>
        <w:t xml:space="preserve">tat sunt: Comisia de specialitate a MS, coordonatorul PNRT </w:t>
      </w:r>
      <w:r w:rsidR="00B13B9A" w:rsidRPr="00B13B9A">
        <w:rPr>
          <w:rFonts w:asciiTheme="majorHAnsi" w:hAnsiTheme="majorHAnsi" w:cstheme="majorHAnsi"/>
          <w:sz w:val="24"/>
          <w:szCs w:val="24"/>
          <w:lang w:val="ro-MD"/>
        </w:rPr>
        <w:t>ș</w:t>
      </w:r>
      <w:r w:rsidRPr="00B13B9A">
        <w:rPr>
          <w:rFonts w:asciiTheme="majorHAnsi" w:hAnsiTheme="majorHAnsi" w:cstheme="majorHAnsi"/>
          <w:sz w:val="24"/>
          <w:szCs w:val="24"/>
          <w:lang w:val="ro-MD"/>
        </w:rPr>
        <w:t>i grupul pentru managementul medicamentelor din cadrul programului.</w:t>
      </w:r>
    </w:p>
    <w:p w14:paraId="77E480EA" w14:textId="4CEA2B94" w:rsidR="002A7177" w:rsidRPr="00B13B9A" w:rsidRDefault="00F431A2" w:rsidP="00B37661">
      <w:pPr>
        <w:spacing w:after="0" w:line="276" w:lineRule="auto"/>
        <w:jc w:val="both"/>
        <w:rPr>
          <w:rFonts w:asciiTheme="majorHAnsi" w:hAnsiTheme="majorHAnsi" w:cstheme="majorHAnsi"/>
          <w:sz w:val="24"/>
          <w:szCs w:val="24"/>
          <w:lang w:val="ro-MD"/>
        </w:rPr>
      </w:pPr>
      <w:r w:rsidRPr="00B13B9A">
        <w:rPr>
          <w:rFonts w:asciiTheme="majorHAnsi" w:hAnsiTheme="majorHAnsi" w:cstheme="majorHAnsi"/>
          <w:color w:val="000000" w:themeColor="text1"/>
          <w:sz w:val="24"/>
          <w:szCs w:val="24"/>
          <w:lang w:val="ro-MD"/>
        </w:rPr>
        <w:t xml:space="preserve">IMSP IFP </w:t>
      </w:r>
      <w:r w:rsidRPr="00B13B9A">
        <w:rPr>
          <w:rFonts w:asciiTheme="majorHAnsi" w:hAnsiTheme="majorHAnsi" w:cstheme="majorHAnsi"/>
          <w:sz w:val="24"/>
          <w:szCs w:val="24"/>
          <w:lang w:val="ro-MD"/>
        </w:rPr>
        <w:t>„Chiril Draganiuc”</w:t>
      </w:r>
      <w:r w:rsidR="008A166D" w:rsidRPr="00B13B9A">
        <w:rPr>
          <w:rFonts w:asciiTheme="majorHAnsi" w:hAnsiTheme="majorHAnsi" w:cstheme="majorHAnsi"/>
          <w:sz w:val="24"/>
          <w:szCs w:val="24"/>
          <w:lang w:val="ro-MD"/>
        </w:rPr>
        <w:t>,</w:t>
      </w:r>
      <w:r w:rsidR="00B37661" w:rsidRPr="00B13B9A">
        <w:rPr>
          <w:rFonts w:asciiTheme="majorHAnsi" w:hAnsiTheme="majorHAnsi" w:cs="Calibri Light"/>
          <w:sz w:val="24"/>
          <w:szCs w:val="28"/>
          <w:lang w:val="ro-MD"/>
        </w:rPr>
        <w:t xml:space="preserve"> </w:t>
      </w:r>
      <w:r w:rsidR="000C6F18" w:rsidRPr="00B13B9A">
        <w:rPr>
          <w:rFonts w:asciiTheme="majorHAnsi" w:hAnsiTheme="majorHAnsi" w:cs="Calibri Light"/>
          <w:sz w:val="24"/>
          <w:szCs w:val="28"/>
          <w:lang w:val="ro-MD"/>
        </w:rPr>
        <w:t xml:space="preserve">în calitate de coordonator al PNT, </w:t>
      </w:r>
      <w:r w:rsidR="00B37661" w:rsidRPr="00B13B9A">
        <w:rPr>
          <w:rFonts w:asciiTheme="majorHAnsi" w:hAnsiTheme="majorHAnsi" w:cs="Calibri Light"/>
          <w:sz w:val="24"/>
          <w:szCs w:val="28"/>
          <w:lang w:val="ro-MD"/>
        </w:rPr>
        <w:t xml:space="preserve">asigură cu medicamente antituberculoase </w:t>
      </w:r>
      <w:r w:rsidR="00B13B9A" w:rsidRPr="00B13B9A">
        <w:rPr>
          <w:rFonts w:asciiTheme="majorHAnsi" w:hAnsiTheme="majorHAnsi" w:cs="Calibri Light"/>
          <w:sz w:val="24"/>
          <w:szCs w:val="28"/>
          <w:lang w:val="ro-MD"/>
        </w:rPr>
        <w:t>ș</w:t>
      </w:r>
      <w:r w:rsidR="00B37661" w:rsidRPr="00B13B9A">
        <w:rPr>
          <w:rFonts w:asciiTheme="majorHAnsi" w:hAnsiTheme="majorHAnsi" w:cs="Calibri Light"/>
          <w:sz w:val="24"/>
          <w:szCs w:val="28"/>
          <w:lang w:val="ro-MD"/>
        </w:rPr>
        <w:t>i monitorizarea eficien</w:t>
      </w:r>
      <w:r w:rsidR="00B13B9A" w:rsidRPr="00B13B9A">
        <w:rPr>
          <w:rFonts w:asciiTheme="majorHAnsi" w:hAnsiTheme="majorHAnsi" w:cs="Calibri Light"/>
          <w:sz w:val="24"/>
          <w:szCs w:val="28"/>
          <w:lang w:val="ro-MD"/>
        </w:rPr>
        <w:t>ț</w:t>
      </w:r>
      <w:r w:rsidR="00B37661" w:rsidRPr="00B13B9A">
        <w:rPr>
          <w:rFonts w:asciiTheme="majorHAnsi" w:hAnsiTheme="majorHAnsi" w:cs="Calibri Light"/>
          <w:sz w:val="24"/>
          <w:szCs w:val="28"/>
          <w:lang w:val="ro-MD"/>
        </w:rPr>
        <w:t>ei tratamentului.</w:t>
      </w:r>
      <w:r w:rsidR="00DB5FF6" w:rsidRPr="00B13B9A">
        <w:rPr>
          <w:rFonts w:asciiTheme="majorHAnsi" w:hAnsiTheme="majorHAnsi" w:cs="Calibri Light"/>
          <w:sz w:val="24"/>
          <w:szCs w:val="28"/>
          <w:lang w:val="ro-MD"/>
        </w:rPr>
        <w:t xml:space="preserve"> P</w:t>
      </w:r>
      <w:r w:rsidR="00510A4C" w:rsidRPr="00B13B9A">
        <w:rPr>
          <w:rFonts w:asciiTheme="majorHAnsi" w:hAnsiTheme="majorHAnsi" w:cstheme="majorHAnsi"/>
          <w:sz w:val="24"/>
          <w:szCs w:val="24"/>
          <w:lang w:val="ro-MD"/>
        </w:rPr>
        <w:t>rocesul de asigurare cu tratament este redat în figura de mai jos:</w:t>
      </w:r>
      <w:r w:rsidR="002A7177" w:rsidRPr="00B13B9A">
        <w:rPr>
          <w:rFonts w:asciiTheme="majorHAnsi" w:hAnsiTheme="majorHAnsi" w:cstheme="majorHAnsi"/>
          <w:sz w:val="24"/>
          <w:szCs w:val="24"/>
          <w:lang w:val="ro-MD"/>
        </w:rPr>
        <w:t xml:space="preserve"> </w:t>
      </w:r>
    </w:p>
    <w:p w14:paraId="14328B85" w14:textId="77777777" w:rsidR="00B37661" w:rsidRPr="00B13B9A" w:rsidRDefault="002A7177" w:rsidP="002A7177">
      <w:pPr>
        <w:spacing w:after="0" w:line="276" w:lineRule="auto"/>
        <w:jc w:val="right"/>
        <w:rPr>
          <w:rFonts w:asciiTheme="majorHAnsi" w:hAnsiTheme="majorHAnsi" w:cstheme="majorHAnsi"/>
          <w:sz w:val="24"/>
          <w:szCs w:val="24"/>
          <w:lang w:val="ro-MD"/>
        </w:rPr>
      </w:pPr>
      <w:r w:rsidRPr="00B13B9A">
        <w:rPr>
          <w:rFonts w:asciiTheme="majorHAnsi" w:hAnsiTheme="majorHAnsi" w:cstheme="majorHAnsi"/>
          <w:sz w:val="24"/>
          <w:szCs w:val="24"/>
          <w:lang w:val="ro-MD"/>
        </w:rPr>
        <w:t>Figura nr. 3</w:t>
      </w:r>
    </w:p>
    <w:p w14:paraId="721F2031" w14:textId="733EA69C" w:rsidR="00DB5FF6" w:rsidRPr="00B13B9A" w:rsidRDefault="00DB5FF6" w:rsidP="002A7177">
      <w:pPr>
        <w:spacing w:after="0" w:line="276" w:lineRule="auto"/>
        <w:jc w:val="center"/>
        <w:rPr>
          <w:rFonts w:asciiTheme="majorHAnsi" w:hAnsiTheme="majorHAnsi" w:cstheme="majorHAnsi"/>
          <w:sz w:val="24"/>
          <w:szCs w:val="24"/>
          <w:lang w:val="ro-MD"/>
        </w:rPr>
      </w:pPr>
      <w:r w:rsidRPr="00B13B9A">
        <w:rPr>
          <w:rFonts w:asciiTheme="majorHAnsi" w:hAnsiTheme="majorHAnsi" w:cstheme="majorHAnsi"/>
          <w:b/>
          <w:sz w:val="24"/>
          <w:szCs w:val="24"/>
          <w:lang w:val="ro-MD"/>
        </w:rPr>
        <w:t xml:space="preserve">Managementul medicamentelor </w:t>
      </w:r>
      <w:r w:rsidR="00DA19D1" w:rsidRPr="00B13B9A">
        <w:rPr>
          <w:rFonts w:asciiTheme="majorHAnsi" w:hAnsiTheme="majorHAnsi" w:cstheme="majorHAnsi"/>
          <w:b/>
          <w:sz w:val="24"/>
          <w:szCs w:val="24"/>
          <w:lang w:val="ro-MD"/>
        </w:rPr>
        <w:t>antituberculoase</w:t>
      </w:r>
    </w:p>
    <w:p w14:paraId="2F22DE74" w14:textId="77777777" w:rsidR="00DB5FF6" w:rsidRPr="00B13B9A" w:rsidRDefault="00DB5FF6" w:rsidP="00DB5FF6">
      <w:pPr>
        <w:rPr>
          <w:lang w:val="ro-MD"/>
        </w:rPr>
      </w:pPr>
      <w:r w:rsidRPr="00B13B9A">
        <w:rPr>
          <w:noProof/>
          <w:lang w:val="ru-RU" w:eastAsia="ru-RU"/>
        </w:rPr>
        <w:drawing>
          <wp:inline distT="0" distB="0" distL="0" distR="0" wp14:anchorId="66E704FD" wp14:editId="753C87F9">
            <wp:extent cx="6362700" cy="3611880"/>
            <wp:effectExtent l="38100" t="38100" r="38100" b="4572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67BCDC48" w14:textId="77777777" w:rsidR="000C6F18" w:rsidRPr="00B13B9A" w:rsidRDefault="000C6F18" w:rsidP="000C6F18">
      <w:pPr>
        <w:spacing w:after="0" w:line="276" w:lineRule="auto"/>
        <w:jc w:val="both"/>
        <w:rPr>
          <w:rFonts w:asciiTheme="majorHAnsi" w:hAnsiTheme="majorHAnsi" w:cstheme="majorHAnsi"/>
          <w:bCs/>
          <w:sz w:val="24"/>
          <w:szCs w:val="24"/>
          <w:highlight w:val="green"/>
          <w:lang w:val="ro-MD"/>
        </w:rPr>
      </w:pPr>
    </w:p>
    <w:p w14:paraId="535BB5AF" w14:textId="0218F36E" w:rsidR="000C6F18" w:rsidRPr="00B13B9A" w:rsidRDefault="000C6F18" w:rsidP="00B37661">
      <w:pPr>
        <w:spacing w:after="0" w:line="276" w:lineRule="auto"/>
        <w:jc w:val="both"/>
        <w:rPr>
          <w:rFonts w:asciiTheme="majorHAnsi" w:hAnsiTheme="majorHAnsi" w:cstheme="majorHAnsi"/>
          <w:sz w:val="24"/>
          <w:szCs w:val="24"/>
          <w:lang w:val="ro-MD"/>
        </w:rPr>
      </w:pPr>
      <w:r w:rsidRPr="00B13B9A">
        <w:rPr>
          <w:rFonts w:asciiTheme="majorHAnsi" w:hAnsiTheme="majorHAnsi" w:cstheme="majorHAnsi"/>
          <w:bCs/>
          <w:sz w:val="24"/>
          <w:szCs w:val="24"/>
          <w:lang w:val="ro-MD"/>
        </w:rPr>
        <w:t xml:space="preserve">Medicamentele sunt </w:t>
      </w:r>
      <w:r w:rsidRPr="00B13B9A">
        <w:rPr>
          <w:rFonts w:asciiTheme="majorHAnsi" w:hAnsiTheme="majorHAnsi" w:cstheme="majorHAnsi"/>
          <w:sz w:val="24"/>
          <w:szCs w:val="24"/>
          <w:lang w:val="ro-MD"/>
        </w:rPr>
        <w:t xml:space="preserve">procurate din bugetul de </w:t>
      </w:r>
      <w:r w:rsidR="00822628" w:rsidRPr="00B13B9A">
        <w:rPr>
          <w:rFonts w:asciiTheme="majorHAnsi" w:hAnsiTheme="majorHAnsi" w:cstheme="majorHAnsi"/>
          <w:sz w:val="24"/>
          <w:szCs w:val="24"/>
          <w:lang w:val="ro-MD"/>
        </w:rPr>
        <w:t>s</w:t>
      </w:r>
      <w:r w:rsidRPr="00B13B9A">
        <w:rPr>
          <w:rFonts w:asciiTheme="majorHAnsi" w:hAnsiTheme="majorHAnsi" w:cstheme="majorHAnsi"/>
          <w:sz w:val="24"/>
          <w:szCs w:val="24"/>
          <w:lang w:val="ro-MD"/>
        </w:rPr>
        <w:t>tat, conform planului de procurări coordonat de PNRT</w:t>
      </w:r>
      <w:r w:rsidR="00822628" w:rsidRPr="00B13B9A">
        <w:rPr>
          <w:rFonts w:asciiTheme="majorHAnsi" w:hAnsiTheme="majorHAnsi" w:cstheme="majorHAnsi"/>
          <w:sz w:val="24"/>
          <w:szCs w:val="24"/>
          <w:lang w:val="ro-MD"/>
        </w:rPr>
        <w:t xml:space="preserve"> </w:t>
      </w:r>
      <w:r w:rsidR="00B13B9A" w:rsidRPr="00B13B9A">
        <w:rPr>
          <w:rFonts w:asciiTheme="majorHAnsi" w:hAnsiTheme="majorHAnsi" w:cstheme="majorHAnsi"/>
          <w:sz w:val="24"/>
          <w:szCs w:val="24"/>
          <w:lang w:val="ro-MD"/>
        </w:rPr>
        <w:t>ș</w:t>
      </w:r>
      <w:r w:rsidR="008F0FBE" w:rsidRPr="00B13B9A">
        <w:rPr>
          <w:rFonts w:asciiTheme="majorHAnsi" w:hAnsiTheme="majorHAnsi" w:cstheme="majorHAnsi"/>
          <w:sz w:val="24"/>
          <w:szCs w:val="24"/>
          <w:lang w:val="ro-MD"/>
        </w:rPr>
        <w:t>i</w:t>
      </w:r>
      <w:r w:rsidRPr="00B13B9A">
        <w:rPr>
          <w:rFonts w:asciiTheme="majorHAnsi" w:hAnsiTheme="majorHAnsi" w:cstheme="majorHAnsi"/>
          <w:sz w:val="24"/>
          <w:szCs w:val="24"/>
          <w:lang w:val="ro-MD"/>
        </w:rPr>
        <w:t xml:space="preserve"> aprobat de MS, în consultare cu Comisia de </w:t>
      </w:r>
      <w:r w:rsidR="008F0FBE" w:rsidRPr="00B13B9A">
        <w:rPr>
          <w:rFonts w:asciiTheme="majorHAnsi" w:hAnsiTheme="majorHAnsi" w:cstheme="majorHAnsi"/>
          <w:sz w:val="24"/>
          <w:szCs w:val="24"/>
          <w:lang w:val="ro-MD"/>
        </w:rPr>
        <w:t>s</w:t>
      </w:r>
      <w:r w:rsidRPr="00B13B9A">
        <w:rPr>
          <w:rFonts w:asciiTheme="majorHAnsi" w:hAnsiTheme="majorHAnsi" w:cstheme="majorHAnsi"/>
          <w:sz w:val="24"/>
          <w:szCs w:val="24"/>
          <w:lang w:val="ro-MD"/>
        </w:rPr>
        <w:t xml:space="preserve">pecialitate </w:t>
      </w:r>
      <w:r w:rsidR="00822628" w:rsidRPr="00B13B9A">
        <w:rPr>
          <w:rFonts w:asciiTheme="majorHAnsi" w:hAnsiTheme="majorHAnsi" w:cstheme="majorHAnsi"/>
          <w:sz w:val="24"/>
          <w:szCs w:val="24"/>
          <w:lang w:val="ro-MD"/>
        </w:rPr>
        <w:t xml:space="preserve">a </w:t>
      </w:r>
      <w:r w:rsidRPr="00B13B9A">
        <w:rPr>
          <w:rFonts w:asciiTheme="majorHAnsi" w:hAnsiTheme="majorHAnsi" w:cstheme="majorHAnsi"/>
          <w:sz w:val="24"/>
          <w:szCs w:val="24"/>
          <w:lang w:val="ro-MD"/>
        </w:rPr>
        <w:t xml:space="preserve">MS, </w:t>
      </w:r>
      <w:r w:rsidR="00B13B9A" w:rsidRPr="00B13B9A">
        <w:rPr>
          <w:rFonts w:asciiTheme="majorHAnsi" w:hAnsiTheme="majorHAnsi" w:cstheme="majorHAnsi"/>
          <w:sz w:val="24"/>
          <w:szCs w:val="24"/>
          <w:lang w:val="ro-MD"/>
        </w:rPr>
        <w:t>ș</w:t>
      </w:r>
      <w:r w:rsidRPr="00B13B9A">
        <w:rPr>
          <w:rFonts w:asciiTheme="majorHAnsi" w:hAnsiTheme="majorHAnsi" w:cstheme="majorHAnsi"/>
          <w:sz w:val="24"/>
          <w:szCs w:val="24"/>
          <w:lang w:val="ro-MD"/>
        </w:rPr>
        <w:t xml:space="preserve">i din sursele donatorilor (Fondul Global). Medicamentele pentru tratamentul TB drogrezistente </w:t>
      </w:r>
      <w:r w:rsidR="008F0FBE" w:rsidRPr="00B13B9A">
        <w:rPr>
          <w:rFonts w:asciiTheme="majorHAnsi" w:hAnsiTheme="majorHAnsi" w:cstheme="majorHAnsi"/>
          <w:sz w:val="24"/>
          <w:szCs w:val="24"/>
          <w:lang w:val="ro-MD"/>
        </w:rPr>
        <w:t xml:space="preserve">destinate IMSP de pe </w:t>
      </w:r>
      <w:r w:rsidR="0069516F" w:rsidRPr="00B13B9A">
        <w:rPr>
          <w:rFonts w:asciiTheme="majorHAnsi" w:hAnsiTheme="majorHAnsi" w:cstheme="majorHAnsi"/>
          <w:sz w:val="24"/>
          <w:szCs w:val="24"/>
          <w:lang w:val="ro-MD"/>
        </w:rPr>
        <w:t xml:space="preserve"> m</w:t>
      </w:r>
      <w:r w:rsidRPr="00B13B9A">
        <w:rPr>
          <w:rFonts w:asciiTheme="majorHAnsi" w:hAnsiTheme="majorHAnsi" w:cstheme="majorHAnsi"/>
          <w:sz w:val="24"/>
          <w:szCs w:val="24"/>
          <w:lang w:val="ro-MD"/>
        </w:rPr>
        <w:t xml:space="preserve">alul stâng sunt procurate totalmente din </w:t>
      </w:r>
      <w:r w:rsidR="008F0FBE" w:rsidRPr="00B13B9A">
        <w:rPr>
          <w:rFonts w:asciiTheme="majorHAnsi" w:hAnsiTheme="majorHAnsi" w:cstheme="majorHAnsi"/>
          <w:sz w:val="24"/>
          <w:szCs w:val="24"/>
          <w:lang w:val="ro-MD"/>
        </w:rPr>
        <w:t>re</w:t>
      </w:r>
      <w:r w:rsidRPr="00B13B9A">
        <w:rPr>
          <w:rFonts w:asciiTheme="majorHAnsi" w:hAnsiTheme="majorHAnsi" w:cstheme="majorHAnsi"/>
          <w:sz w:val="24"/>
          <w:szCs w:val="24"/>
          <w:lang w:val="ro-MD"/>
        </w:rPr>
        <w:t>sursele Fondului Global.</w:t>
      </w:r>
    </w:p>
    <w:p w14:paraId="0055DA43" w14:textId="719CBF19" w:rsidR="000C6F18" w:rsidRPr="00B13B9A" w:rsidRDefault="000C6F18" w:rsidP="00B37661">
      <w:pPr>
        <w:spacing w:after="0" w:line="276" w:lineRule="auto"/>
        <w:jc w:val="both"/>
        <w:rPr>
          <w:rFonts w:asciiTheme="majorHAnsi" w:hAnsiTheme="majorHAnsi" w:cstheme="majorHAnsi"/>
          <w:sz w:val="24"/>
          <w:szCs w:val="24"/>
          <w:lang w:val="ro-MD"/>
        </w:rPr>
      </w:pPr>
      <w:r w:rsidRPr="00B13B9A">
        <w:rPr>
          <w:rFonts w:asciiTheme="majorHAnsi" w:hAnsiTheme="majorHAnsi" w:cstheme="majorHAnsi"/>
          <w:sz w:val="24"/>
          <w:szCs w:val="24"/>
          <w:lang w:val="ro-MD"/>
        </w:rPr>
        <w:t>Procurarea medicamentelor este efectuată prin procedurile de achizi</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ii publice centralizate</w:t>
      </w:r>
      <w:r w:rsidR="008F0FBE" w:rsidRPr="00B13B9A">
        <w:rPr>
          <w:rFonts w:asciiTheme="majorHAnsi" w:hAnsiTheme="majorHAnsi" w:cstheme="majorHAnsi"/>
          <w:sz w:val="24"/>
          <w:szCs w:val="24"/>
          <w:lang w:val="ro-MD"/>
        </w:rPr>
        <w:t>,</w:t>
      </w:r>
      <w:r w:rsidRPr="00B13B9A">
        <w:rPr>
          <w:rFonts w:asciiTheme="majorHAnsi" w:hAnsiTheme="majorHAnsi" w:cstheme="majorHAnsi"/>
          <w:sz w:val="24"/>
          <w:szCs w:val="24"/>
          <w:lang w:val="ro-MD"/>
        </w:rPr>
        <w:t xml:space="preserve"> conform reglementăril</w:t>
      </w:r>
      <w:r w:rsidR="008F0FBE" w:rsidRPr="00B13B9A">
        <w:rPr>
          <w:rFonts w:asciiTheme="majorHAnsi" w:hAnsiTheme="majorHAnsi" w:cstheme="majorHAnsi"/>
          <w:sz w:val="24"/>
          <w:szCs w:val="24"/>
          <w:lang w:val="ro-MD"/>
        </w:rPr>
        <w:t>or</w:t>
      </w:r>
      <w:r w:rsidRPr="00B13B9A">
        <w:rPr>
          <w:rFonts w:asciiTheme="majorHAnsi" w:hAnsiTheme="majorHAnsi" w:cstheme="majorHAnsi"/>
          <w:sz w:val="24"/>
          <w:szCs w:val="24"/>
          <w:lang w:val="ro-MD"/>
        </w:rPr>
        <w:t xml:space="preserve"> în vigoare </w:t>
      </w:r>
      <w:r w:rsidR="00B13B9A" w:rsidRPr="00B13B9A">
        <w:rPr>
          <w:rFonts w:asciiTheme="majorHAnsi" w:hAnsiTheme="majorHAnsi" w:cstheme="majorHAnsi"/>
          <w:sz w:val="24"/>
          <w:szCs w:val="24"/>
          <w:lang w:val="ro-MD"/>
        </w:rPr>
        <w:t>ș</w:t>
      </w:r>
      <w:r w:rsidRPr="00B13B9A">
        <w:rPr>
          <w:rFonts w:asciiTheme="majorHAnsi" w:hAnsiTheme="majorHAnsi" w:cstheme="majorHAnsi"/>
          <w:sz w:val="24"/>
          <w:szCs w:val="24"/>
          <w:lang w:val="ro-MD"/>
        </w:rPr>
        <w:t xml:space="preserve">i/sau </w:t>
      </w:r>
      <w:r w:rsidR="008F0FBE" w:rsidRPr="00B13B9A">
        <w:rPr>
          <w:rFonts w:asciiTheme="majorHAnsi" w:hAnsiTheme="majorHAnsi" w:cstheme="majorHAnsi"/>
          <w:sz w:val="24"/>
          <w:szCs w:val="24"/>
          <w:lang w:val="ro-MD"/>
        </w:rPr>
        <w:t xml:space="preserve">sunt </w:t>
      </w:r>
      <w:r w:rsidRPr="00B13B9A">
        <w:rPr>
          <w:rFonts w:asciiTheme="majorHAnsi" w:hAnsiTheme="majorHAnsi" w:cstheme="majorHAnsi"/>
          <w:sz w:val="24"/>
          <w:szCs w:val="24"/>
          <w:lang w:val="ro-MD"/>
        </w:rPr>
        <w:t>achizi</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iona</w:t>
      </w:r>
      <w:r w:rsidR="008F0FBE" w:rsidRPr="00B13B9A">
        <w:rPr>
          <w:rFonts w:asciiTheme="majorHAnsi" w:hAnsiTheme="majorHAnsi" w:cstheme="majorHAnsi"/>
          <w:sz w:val="24"/>
          <w:szCs w:val="24"/>
          <w:lang w:val="ro-MD"/>
        </w:rPr>
        <w:t>t</w:t>
      </w:r>
      <w:r w:rsidRPr="00B13B9A">
        <w:rPr>
          <w:rFonts w:asciiTheme="majorHAnsi" w:hAnsiTheme="majorHAnsi" w:cstheme="majorHAnsi"/>
          <w:sz w:val="24"/>
          <w:szCs w:val="24"/>
          <w:lang w:val="ro-MD"/>
        </w:rPr>
        <w:t>e prin institu</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ii</w:t>
      </w:r>
      <w:r w:rsidR="008F0FBE" w:rsidRPr="00B13B9A">
        <w:rPr>
          <w:rFonts w:asciiTheme="majorHAnsi" w:hAnsiTheme="majorHAnsi" w:cstheme="majorHAnsi"/>
          <w:sz w:val="24"/>
          <w:szCs w:val="24"/>
          <w:lang w:val="ro-MD"/>
        </w:rPr>
        <w:t>le</w:t>
      </w:r>
      <w:r w:rsidRPr="00B13B9A">
        <w:rPr>
          <w:rFonts w:asciiTheme="majorHAnsi" w:hAnsiTheme="majorHAnsi" w:cstheme="majorHAnsi"/>
          <w:sz w:val="24"/>
          <w:szCs w:val="24"/>
          <w:lang w:val="ro-MD"/>
        </w:rPr>
        <w:t xml:space="preserve"> locale autorizate prin lege, agen</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ii</w:t>
      </w:r>
      <w:r w:rsidR="008F0FBE" w:rsidRPr="00B13B9A">
        <w:rPr>
          <w:rFonts w:asciiTheme="majorHAnsi" w:hAnsiTheme="majorHAnsi" w:cstheme="majorHAnsi"/>
          <w:sz w:val="24"/>
          <w:szCs w:val="24"/>
          <w:lang w:val="ro-MD"/>
        </w:rPr>
        <w:t>le</w:t>
      </w:r>
      <w:r w:rsidRPr="00B13B9A">
        <w:rPr>
          <w:rFonts w:asciiTheme="majorHAnsi" w:hAnsiTheme="majorHAnsi" w:cstheme="majorHAnsi"/>
          <w:sz w:val="24"/>
          <w:szCs w:val="24"/>
          <w:lang w:val="ro-MD"/>
        </w:rPr>
        <w:t xml:space="preserve"> interna</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ionale specializate în procurare</w:t>
      </w:r>
      <w:r w:rsidR="008F0FBE" w:rsidRPr="00B13B9A">
        <w:rPr>
          <w:rFonts w:asciiTheme="majorHAnsi" w:hAnsiTheme="majorHAnsi" w:cstheme="majorHAnsi"/>
          <w:sz w:val="24"/>
          <w:szCs w:val="24"/>
          <w:lang w:val="ro-MD"/>
        </w:rPr>
        <w:t>a</w:t>
      </w:r>
      <w:r w:rsidRPr="00B13B9A">
        <w:rPr>
          <w:rFonts w:asciiTheme="majorHAnsi" w:hAnsiTheme="majorHAnsi" w:cstheme="majorHAnsi"/>
          <w:sz w:val="24"/>
          <w:szCs w:val="24"/>
          <w:lang w:val="ro-MD"/>
        </w:rPr>
        <w:t xml:space="preserve"> de medicame</w:t>
      </w:r>
      <w:r w:rsidR="0030467B" w:rsidRPr="00B13B9A">
        <w:rPr>
          <w:rFonts w:asciiTheme="majorHAnsi" w:hAnsiTheme="majorHAnsi" w:cstheme="majorHAnsi"/>
          <w:sz w:val="24"/>
          <w:szCs w:val="24"/>
          <w:lang w:val="ro-MD"/>
        </w:rPr>
        <w:t>nte (Global Drug Facility).</w:t>
      </w:r>
      <w:r w:rsidRPr="00B13B9A">
        <w:rPr>
          <w:rFonts w:asciiTheme="majorHAnsi" w:hAnsiTheme="majorHAnsi" w:cstheme="majorHAnsi"/>
          <w:sz w:val="24"/>
          <w:szCs w:val="24"/>
          <w:lang w:val="ro-MD"/>
        </w:rPr>
        <w:t xml:space="preserve">  </w:t>
      </w:r>
    </w:p>
    <w:p w14:paraId="1D94D993" w14:textId="7BA8DFB3" w:rsidR="000C6F18" w:rsidRPr="00B13B9A" w:rsidRDefault="000C6F18" w:rsidP="000C6F18">
      <w:pPr>
        <w:spacing w:after="0" w:line="276" w:lineRule="auto"/>
        <w:jc w:val="both"/>
        <w:rPr>
          <w:rFonts w:asciiTheme="majorHAnsi" w:hAnsiTheme="majorHAnsi" w:cstheme="majorHAnsi"/>
          <w:bCs/>
          <w:sz w:val="24"/>
          <w:szCs w:val="24"/>
          <w:lang w:val="ro-MD"/>
        </w:rPr>
      </w:pPr>
      <w:r w:rsidRPr="00B13B9A">
        <w:rPr>
          <w:rFonts w:asciiTheme="majorHAnsi" w:hAnsiTheme="majorHAnsi" w:cstheme="majorHAnsi"/>
          <w:bCs/>
          <w:sz w:val="24"/>
          <w:szCs w:val="24"/>
          <w:lang w:val="ro-MD"/>
        </w:rPr>
        <w:t>Cerin</w:t>
      </w:r>
      <w:r w:rsidR="00B13B9A" w:rsidRPr="00B13B9A">
        <w:rPr>
          <w:rFonts w:asciiTheme="majorHAnsi" w:hAnsiTheme="majorHAnsi" w:cstheme="majorHAnsi"/>
          <w:bCs/>
          <w:sz w:val="24"/>
          <w:szCs w:val="24"/>
          <w:lang w:val="ro-MD"/>
        </w:rPr>
        <w:t>ț</w:t>
      </w:r>
      <w:r w:rsidRPr="00B13B9A">
        <w:rPr>
          <w:rFonts w:asciiTheme="majorHAnsi" w:hAnsiTheme="majorHAnsi" w:cstheme="majorHAnsi"/>
          <w:bCs/>
          <w:sz w:val="24"/>
          <w:szCs w:val="24"/>
          <w:lang w:val="ro-MD"/>
        </w:rPr>
        <w:t>ele de bază pentru determinarea necesită</w:t>
      </w:r>
      <w:r w:rsidR="00B13B9A" w:rsidRPr="00B13B9A">
        <w:rPr>
          <w:rFonts w:asciiTheme="majorHAnsi" w:hAnsiTheme="majorHAnsi" w:cstheme="majorHAnsi"/>
          <w:bCs/>
          <w:sz w:val="24"/>
          <w:szCs w:val="24"/>
          <w:lang w:val="ro-MD"/>
        </w:rPr>
        <w:t>ț</w:t>
      </w:r>
      <w:r w:rsidRPr="00B13B9A">
        <w:rPr>
          <w:rFonts w:asciiTheme="majorHAnsi" w:hAnsiTheme="majorHAnsi" w:cstheme="majorHAnsi"/>
          <w:bCs/>
          <w:sz w:val="24"/>
          <w:szCs w:val="24"/>
          <w:lang w:val="ro-MD"/>
        </w:rPr>
        <w:t xml:space="preserve">ilor de medicamente TB sunt comune atât pentru procurarea din banii publici, cât </w:t>
      </w:r>
      <w:r w:rsidR="00B13B9A" w:rsidRPr="00B13B9A">
        <w:rPr>
          <w:rFonts w:asciiTheme="majorHAnsi" w:hAnsiTheme="majorHAnsi" w:cstheme="majorHAnsi"/>
          <w:bCs/>
          <w:sz w:val="24"/>
          <w:szCs w:val="24"/>
          <w:lang w:val="ro-MD"/>
        </w:rPr>
        <w:t>ș</w:t>
      </w:r>
      <w:r w:rsidRPr="00B13B9A">
        <w:rPr>
          <w:rFonts w:asciiTheme="majorHAnsi" w:hAnsiTheme="majorHAnsi" w:cstheme="majorHAnsi"/>
          <w:bCs/>
          <w:sz w:val="24"/>
          <w:szCs w:val="24"/>
          <w:lang w:val="ro-MD"/>
        </w:rPr>
        <w:t xml:space="preserve">i din alte surse. Procedura de estimare </w:t>
      </w:r>
      <w:r w:rsidR="00B13B9A" w:rsidRPr="00B13B9A">
        <w:rPr>
          <w:rFonts w:asciiTheme="majorHAnsi" w:hAnsiTheme="majorHAnsi" w:cstheme="majorHAnsi"/>
          <w:bCs/>
          <w:sz w:val="24"/>
          <w:szCs w:val="24"/>
          <w:lang w:val="ro-MD"/>
        </w:rPr>
        <w:t>ș</w:t>
      </w:r>
      <w:r w:rsidRPr="00B13B9A">
        <w:rPr>
          <w:rFonts w:asciiTheme="majorHAnsi" w:hAnsiTheme="majorHAnsi" w:cstheme="majorHAnsi"/>
          <w:bCs/>
          <w:sz w:val="24"/>
          <w:szCs w:val="24"/>
          <w:lang w:val="ro-MD"/>
        </w:rPr>
        <w:t xml:space="preserve">i formulare a comenzii de medicamente </w:t>
      </w:r>
      <w:r w:rsidR="00B13B9A" w:rsidRPr="00B13B9A">
        <w:rPr>
          <w:rFonts w:asciiTheme="majorHAnsi" w:hAnsiTheme="majorHAnsi" w:cstheme="majorHAnsi"/>
          <w:bCs/>
          <w:sz w:val="24"/>
          <w:szCs w:val="24"/>
          <w:lang w:val="ro-MD"/>
        </w:rPr>
        <w:t>ș</w:t>
      </w:r>
      <w:r w:rsidRPr="00B13B9A">
        <w:rPr>
          <w:rFonts w:asciiTheme="majorHAnsi" w:hAnsiTheme="majorHAnsi" w:cstheme="majorHAnsi"/>
          <w:bCs/>
          <w:sz w:val="24"/>
          <w:szCs w:val="24"/>
          <w:lang w:val="ro-MD"/>
        </w:rPr>
        <w:t>i a bugetului necesar este utilizată de nivelul central al PNRT, care este responsabil de determinarea necesită</w:t>
      </w:r>
      <w:r w:rsidR="00B13B9A" w:rsidRPr="00B13B9A">
        <w:rPr>
          <w:rFonts w:asciiTheme="majorHAnsi" w:hAnsiTheme="majorHAnsi" w:cstheme="majorHAnsi"/>
          <w:bCs/>
          <w:sz w:val="24"/>
          <w:szCs w:val="24"/>
          <w:lang w:val="ro-MD"/>
        </w:rPr>
        <w:t>ț</w:t>
      </w:r>
      <w:r w:rsidRPr="00B13B9A">
        <w:rPr>
          <w:rFonts w:asciiTheme="majorHAnsi" w:hAnsiTheme="majorHAnsi" w:cstheme="majorHAnsi"/>
          <w:bCs/>
          <w:sz w:val="24"/>
          <w:szCs w:val="24"/>
          <w:lang w:val="ro-MD"/>
        </w:rPr>
        <w:t>ilor pentru procurarea centralizată a medicamentelor din bugetul de stat. D</w:t>
      </w:r>
      <w:r w:rsidR="00643D8F" w:rsidRPr="00B13B9A">
        <w:rPr>
          <w:rFonts w:asciiTheme="majorHAnsi" w:hAnsiTheme="majorHAnsi" w:cstheme="majorHAnsi"/>
          <w:bCs/>
          <w:sz w:val="24"/>
          <w:szCs w:val="24"/>
          <w:lang w:val="ro-MD"/>
        </w:rPr>
        <w:t>e procurările d</w:t>
      </w:r>
      <w:r w:rsidRPr="00B13B9A">
        <w:rPr>
          <w:rFonts w:asciiTheme="majorHAnsi" w:hAnsiTheme="majorHAnsi" w:cstheme="majorHAnsi"/>
          <w:bCs/>
          <w:sz w:val="24"/>
          <w:szCs w:val="24"/>
          <w:lang w:val="ro-MD"/>
        </w:rPr>
        <w:t xml:space="preserve">in </w:t>
      </w:r>
      <w:r w:rsidR="00643D8F" w:rsidRPr="00B13B9A">
        <w:rPr>
          <w:rFonts w:asciiTheme="majorHAnsi" w:hAnsiTheme="majorHAnsi" w:cstheme="majorHAnsi"/>
          <w:bCs/>
          <w:sz w:val="24"/>
          <w:szCs w:val="24"/>
          <w:lang w:val="ro-MD"/>
        </w:rPr>
        <w:t>mijloacele</w:t>
      </w:r>
      <w:r w:rsidRPr="00B13B9A">
        <w:rPr>
          <w:rFonts w:asciiTheme="majorHAnsi" w:hAnsiTheme="majorHAnsi" w:cstheme="majorHAnsi"/>
          <w:bCs/>
          <w:sz w:val="24"/>
          <w:szCs w:val="24"/>
          <w:lang w:val="ro-MD"/>
        </w:rPr>
        <w:t xml:space="preserve"> Fondului Global este responsabilă I</w:t>
      </w:r>
      <w:r w:rsidRPr="00B13B9A">
        <w:rPr>
          <w:rFonts w:asciiTheme="majorHAnsi" w:hAnsiTheme="majorHAnsi" w:cstheme="majorHAnsi"/>
          <w:sz w:val="24"/>
          <w:szCs w:val="24"/>
          <w:lang w:val="ro-MD"/>
        </w:rPr>
        <w:t>nstitu</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 xml:space="preserve">ia Publică „Unitatea de Coordonare, Implementare </w:t>
      </w:r>
      <w:r w:rsidR="00B13B9A" w:rsidRPr="00B13B9A">
        <w:rPr>
          <w:rFonts w:asciiTheme="majorHAnsi" w:hAnsiTheme="majorHAnsi" w:cstheme="majorHAnsi"/>
          <w:sz w:val="24"/>
          <w:szCs w:val="24"/>
          <w:lang w:val="ro-MD"/>
        </w:rPr>
        <w:t>ș</w:t>
      </w:r>
      <w:r w:rsidRPr="00B13B9A">
        <w:rPr>
          <w:rFonts w:asciiTheme="majorHAnsi" w:hAnsiTheme="majorHAnsi" w:cstheme="majorHAnsi"/>
          <w:sz w:val="24"/>
          <w:szCs w:val="24"/>
          <w:lang w:val="ro-MD"/>
        </w:rPr>
        <w:t>i Monitorizare a Proiectelor în Domeniul Sănătă</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 xml:space="preserve">ii” (UCIMP). </w:t>
      </w:r>
    </w:p>
    <w:p w14:paraId="726BAFF2" w14:textId="3F117D80" w:rsidR="000C6F18" w:rsidRPr="00B13B9A" w:rsidRDefault="000C6F18" w:rsidP="000C6F18">
      <w:pPr>
        <w:spacing w:before="240" w:after="0" w:line="276" w:lineRule="auto"/>
        <w:jc w:val="both"/>
        <w:rPr>
          <w:rFonts w:asciiTheme="majorHAnsi" w:hAnsiTheme="majorHAnsi" w:cstheme="majorHAnsi"/>
          <w:bCs/>
          <w:sz w:val="24"/>
          <w:szCs w:val="24"/>
          <w:lang w:val="ro-MD"/>
        </w:rPr>
      </w:pPr>
      <w:r w:rsidRPr="00B13B9A">
        <w:rPr>
          <w:rFonts w:asciiTheme="majorHAnsi" w:hAnsiTheme="majorHAnsi" w:cstheme="majorHAnsi"/>
          <w:color w:val="000000"/>
          <w:sz w:val="24"/>
          <w:szCs w:val="24"/>
          <w:lang w:val="ro-MD"/>
        </w:rPr>
        <w:t xml:space="preserve">Astfel, se denotă că Grupul pentru Managementul Medicamentelor din cadrul PNRT anual estimează necesarul de medicamente </w:t>
      </w:r>
      <w:r w:rsidRPr="00B13B9A">
        <w:rPr>
          <w:rFonts w:asciiTheme="majorHAnsi" w:hAnsiTheme="majorHAnsi" w:cstheme="majorHAnsi"/>
          <w:sz w:val="24"/>
          <w:szCs w:val="24"/>
          <w:lang w:val="ro-MD"/>
        </w:rPr>
        <w:t>antituberculoase pentru asigurarea tuturor pacien</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 xml:space="preserve">ilor </w:t>
      </w:r>
      <w:r w:rsidR="00643D8F" w:rsidRPr="00B13B9A">
        <w:rPr>
          <w:rFonts w:asciiTheme="majorHAnsi" w:hAnsiTheme="majorHAnsi" w:cstheme="majorHAnsi"/>
          <w:sz w:val="24"/>
          <w:szCs w:val="24"/>
          <w:lang w:val="ro-MD"/>
        </w:rPr>
        <w:t xml:space="preserve">din </w:t>
      </w:r>
      <w:r w:rsidR="00B13B9A" w:rsidRPr="00B13B9A">
        <w:rPr>
          <w:rFonts w:asciiTheme="majorHAnsi" w:hAnsiTheme="majorHAnsi" w:cstheme="majorHAnsi"/>
          <w:sz w:val="24"/>
          <w:szCs w:val="24"/>
          <w:lang w:val="ro-MD"/>
        </w:rPr>
        <w:t>ț</w:t>
      </w:r>
      <w:r w:rsidR="00643D8F" w:rsidRPr="00B13B9A">
        <w:rPr>
          <w:rFonts w:asciiTheme="majorHAnsi" w:hAnsiTheme="majorHAnsi" w:cstheme="majorHAnsi"/>
          <w:sz w:val="24"/>
          <w:szCs w:val="24"/>
          <w:lang w:val="ro-MD"/>
        </w:rPr>
        <w:t xml:space="preserve">ară </w:t>
      </w:r>
      <w:r w:rsidRPr="00B13B9A">
        <w:rPr>
          <w:rFonts w:asciiTheme="majorHAnsi" w:hAnsiTheme="majorHAnsi" w:cstheme="majorHAnsi"/>
          <w:sz w:val="24"/>
          <w:szCs w:val="24"/>
          <w:lang w:val="ro-MD"/>
        </w:rPr>
        <w:t>prognoza</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i de a fi  înrola</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i în tratament,</w:t>
      </w:r>
      <w:r w:rsidRPr="00B13B9A">
        <w:rPr>
          <w:rFonts w:asciiTheme="majorHAnsi" w:hAnsiTheme="majorHAnsi" w:cstheme="majorHAnsi"/>
          <w:color w:val="000000"/>
          <w:sz w:val="24"/>
          <w:szCs w:val="24"/>
          <w:lang w:val="ro-MD"/>
        </w:rPr>
        <w:t xml:space="preserve"> procurate din bugetul de </w:t>
      </w:r>
      <w:r w:rsidR="00643D8F" w:rsidRPr="00B13B9A">
        <w:rPr>
          <w:rFonts w:asciiTheme="majorHAnsi" w:hAnsiTheme="majorHAnsi" w:cstheme="majorHAnsi"/>
          <w:color w:val="000000"/>
          <w:sz w:val="24"/>
          <w:szCs w:val="24"/>
          <w:lang w:val="ro-MD"/>
        </w:rPr>
        <w:t>s</w:t>
      </w:r>
      <w:r w:rsidRPr="00B13B9A">
        <w:rPr>
          <w:rFonts w:asciiTheme="majorHAnsi" w:hAnsiTheme="majorHAnsi" w:cstheme="majorHAnsi"/>
          <w:color w:val="000000"/>
          <w:sz w:val="24"/>
          <w:szCs w:val="24"/>
          <w:lang w:val="ro-MD"/>
        </w:rPr>
        <w:t xml:space="preserve">tat conform planului de procurări aprobat de </w:t>
      </w:r>
      <w:r w:rsidRPr="00B13B9A">
        <w:rPr>
          <w:rFonts w:asciiTheme="majorHAnsi" w:hAnsiTheme="majorHAnsi" w:cstheme="majorHAnsi"/>
          <w:sz w:val="24"/>
          <w:szCs w:val="24"/>
          <w:lang w:val="ro-MD"/>
        </w:rPr>
        <w:t>Ministerul Sănătă</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 xml:space="preserve">ii, </w:t>
      </w:r>
      <w:r w:rsidRPr="00B13B9A">
        <w:rPr>
          <w:rFonts w:asciiTheme="majorHAnsi" w:hAnsiTheme="majorHAnsi" w:cstheme="majorHAnsi"/>
          <w:color w:val="000000"/>
          <w:sz w:val="24"/>
          <w:szCs w:val="24"/>
          <w:lang w:val="ro-MD"/>
        </w:rPr>
        <w:t xml:space="preserve">în consultare cu </w:t>
      </w:r>
      <w:r w:rsidR="00643D8F" w:rsidRPr="00B13B9A">
        <w:rPr>
          <w:rFonts w:asciiTheme="majorHAnsi" w:hAnsiTheme="majorHAnsi" w:cstheme="majorHAnsi"/>
          <w:color w:val="000000"/>
          <w:sz w:val="24"/>
          <w:szCs w:val="24"/>
          <w:lang w:val="ro-MD"/>
        </w:rPr>
        <w:t>C</w:t>
      </w:r>
      <w:r w:rsidRPr="00B13B9A">
        <w:rPr>
          <w:rFonts w:asciiTheme="majorHAnsi" w:hAnsiTheme="majorHAnsi" w:cstheme="majorHAnsi"/>
          <w:color w:val="000000"/>
          <w:sz w:val="24"/>
          <w:szCs w:val="24"/>
          <w:lang w:val="ro-MD"/>
        </w:rPr>
        <w:t>omisia de specialitate a Ministerului Sănătă</w:t>
      </w:r>
      <w:r w:rsidR="00B13B9A" w:rsidRPr="00B13B9A">
        <w:rPr>
          <w:rFonts w:asciiTheme="majorHAnsi" w:hAnsiTheme="majorHAnsi" w:cstheme="majorHAnsi"/>
          <w:color w:val="000000"/>
          <w:sz w:val="24"/>
          <w:szCs w:val="24"/>
          <w:lang w:val="ro-MD"/>
        </w:rPr>
        <w:t>ț</w:t>
      </w:r>
      <w:r w:rsidRPr="00B13B9A">
        <w:rPr>
          <w:rFonts w:asciiTheme="majorHAnsi" w:hAnsiTheme="majorHAnsi" w:cstheme="majorHAnsi"/>
          <w:color w:val="000000"/>
          <w:sz w:val="24"/>
          <w:szCs w:val="24"/>
          <w:lang w:val="ro-MD"/>
        </w:rPr>
        <w:t xml:space="preserve">ii. </w:t>
      </w:r>
    </w:p>
    <w:p w14:paraId="2849C50F" w14:textId="74270136" w:rsidR="000C6F18" w:rsidRPr="00B13B9A" w:rsidRDefault="000C6F18" w:rsidP="000C6F18">
      <w:pPr>
        <w:spacing w:before="240" w:after="0" w:line="276" w:lineRule="auto"/>
        <w:jc w:val="both"/>
        <w:rPr>
          <w:rFonts w:asciiTheme="majorHAnsi" w:hAnsiTheme="majorHAnsi" w:cstheme="majorHAnsi"/>
          <w:bCs/>
          <w:sz w:val="24"/>
          <w:szCs w:val="24"/>
          <w:lang w:val="ro-MD"/>
        </w:rPr>
      </w:pPr>
      <w:r w:rsidRPr="00B13B9A">
        <w:rPr>
          <w:rFonts w:asciiTheme="majorHAnsi" w:hAnsiTheme="majorHAnsi" w:cstheme="majorHAnsi"/>
          <w:color w:val="000000"/>
          <w:sz w:val="24"/>
          <w:szCs w:val="24"/>
          <w:lang w:val="ro-MD"/>
        </w:rPr>
        <w:t>Cantită</w:t>
      </w:r>
      <w:r w:rsidR="00B13B9A" w:rsidRPr="00B13B9A">
        <w:rPr>
          <w:rFonts w:asciiTheme="majorHAnsi" w:hAnsiTheme="majorHAnsi" w:cstheme="majorHAnsi"/>
          <w:color w:val="000000"/>
          <w:sz w:val="24"/>
          <w:szCs w:val="24"/>
          <w:lang w:val="ro-MD"/>
        </w:rPr>
        <w:t>ț</w:t>
      </w:r>
      <w:r w:rsidRPr="00B13B9A">
        <w:rPr>
          <w:rFonts w:asciiTheme="majorHAnsi" w:hAnsiTheme="majorHAnsi" w:cstheme="majorHAnsi"/>
          <w:color w:val="000000"/>
          <w:sz w:val="24"/>
          <w:szCs w:val="24"/>
          <w:lang w:val="ro-MD"/>
        </w:rPr>
        <w:t>ile de medicamente antituberculoase sunt estimate aplicând în mod prioritar metoda morbidită</w:t>
      </w:r>
      <w:r w:rsidR="00B13B9A" w:rsidRPr="00B13B9A">
        <w:rPr>
          <w:rFonts w:asciiTheme="majorHAnsi" w:hAnsiTheme="majorHAnsi" w:cstheme="majorHAnsi"/>
          <w:color w:val="000000"/>
          <w:sz w:val="24"/>
          <w:szCs w:val="24"/>
          <w:lang w:val="ro-MD"/>
        </w:rPr>
        <w:t>ț</w:t>
      </w:r>
      <w:r w:rsidRPr="00B13B9A">
        <w:rPr>
          <w:rFonts w:asciiTheme="majorHAnsi" w:hAnsiTheme="majorHAnsi" w:cstheme="majorHAnsi"/>
          <w:color w:val="000000"/>
          <w:sz w:val="24"/>
          <w:szCs w:val="24"/>
          <w:lang w:val="ro-MD"/>
        </w:rPr>
        <w:t>ii (bazată pe numărul de pacien</w:t>
      </w:r>
      <w:r w:rsidR="00B13B9A" w:rsidRPr="00B13B9A">
        <w:rPr>
          <w:rFonts w:asciiTheme="majorHAnsi" w:hAnsiTheme="majorHAnsi" w:cstheme="majorHAnsi"/>
          <w:color w:val="000000"/>
          <w:sz w:val="24"/>
          <w:szCs w:val="24"/>
          <w:lang w:val="ro-MD"/>
        </w:rPr>
        <w:t>ț</w:t>
      </w:r>
      <w:r w:rsidRPr="00B13B9A">
        <w:rPr>
          <w:rFonts w:asciiTheme="majorHAnsi" w:hAnsiTheme="majorHAnsi" w:cstheme="majorHAnsi"/>
          <w:color w:val="000000"/>
          <w:sz w:val="24"/>
          <w:szCs w:val="24"/>
          <w:lang w:val="ro-MD"/>
        </w:rPr>
        <w:t>i înrola</w:t>
      </w:r>
      <w:r w:rsidR="00B13B9A" w:rsidRPr="00B13B9A">
        <w:rPr>
          <w:rFonts w:asciiTheme="majorHAnsi" w:hAnsiTheme="majorHAnsi" w:cstheme="majorHAnsi"/>
          <w:color w:val="000000"/>
          <w:sz w:val="24"/>
          <w:szCs w:val="24"/>
          <w:lang w:val="ro-MD"/>
        </w:rPr>
        <w:t>ț</w:t>
      </w:r>
      <w:r w:rsidRPr="00B13B9A">
        <w:rPr>
          <w:rFonts w:asciiTheme="majorHAnsi" w:hAnsiTheme="majorHAnsi" w:cstheme="majorHAnsi"/>
          <w:color w:val="000000"/>
          <w:sz w:val="24"/>
          <w:szCs w:val="24"/>
          <w:lang w:val="ro-MD"/>
        </w:rPr>
        <w:t xml:space="preserve">i anterior în tratament </w:t>
      </w:r>
      <w:r w:rsidR="00B13B9A" w:rsidRPr="00B13B9A">
        <w:rPr>
          <w:rFonts w:asciiTheme="majorHAnsi" w:hAnsiTheme="majorHAnsi" w:cstheme="majorHAnsi"/>
          <w:color w:val="000000"/>
          <w:sz w:val="24"/>
          <w:szCs w:val="24"/>
          <w:lang w:val="ro-MD"/>
        </w:rPr>
        <w:t>ș</w:t>
      </w:r>
      <w:r w:rsidRPr="00B13B9A">
        <w:rPr>
          <w:rFonts w:asciiTheme="majorHAnsi" w:hAnsiTheme="majorHAnsi" w:cstheme="majorHAnsi"/>
          <w:color w:val="000000"/>
          <w:sz w:val="24"/>
          <w:szCs w:val="24"/>
          <w:lang w:val="ro-MD"/>
        </w:rPr>
        <w:t>i numărul estimat de pacien</w:t>
      </w:r>
      <w:r w:rsidR="00B13B9A" w:rsidRPr="00B13B9A">
        <w:rPr>
          <w:rFonts w:asciiTheme="majorHAnsi" w:hAnsiTheme="majorHAnsi" w:cstheme="majorHAnsi"/>
          <w:color w:val="000000"/>
          <w:sz w:val="24"/>
          <w:szCs w:val="24"/>
          <w:lang w:val="ro-MD"/>
        </w:rPr>
        <w:t>ț</w:t>
      </w:r>
      <w:r w:rsidRPr="00B13B9A">
        <w:rPr>
          <w:rFonts w:asciiTheme="majorHAnsi" w:hAnsiTheme="majorHAnsi" w:cstheme="majorHAnsi"/>
          <w:color w:val="000000"/>
          <w:sz w:val="24"/>
          <w:szCs w:val="24"/>
          <w:lang w:val="ro-MD"/>
        </w:rPr>
        <w:t>i care vor fi înrola</w:t>
      </w:r>
      <w:r w:rsidR="00B13B9A" w:rsidRPr="00B13B9A">
        <w:rPr>
          <w:rFonts w:asciiTheme="majorHAnsi" w:hAnsiTheme="majorHAnsi" w:cstheme="majorHAnsi"/>
          <w:color w:val="000000"/>
          <w:sz w:val="24"/>
          <w:szCs w:val="24"/>
          <w:lang w:val="ro-MD"/>
        </w:rPr>
        <w:t>ț</w:t>
      </w:r>
      <w:r w:rsidRPr="00B13B9A">
        <w:rPr>
          <w:rFonts w:asciiTheme="majorHAnsi" w:hAnsiTheme="majorHAnsi" w:cstheme="majorHAnsi"/>
          <w:color w:val="000000"/>
          <w:sz w:val="24"/>
          <w:szCs w:val="24"/>
          <w:lang w:val="ro-MD"/>
        </w:rPr>
        <w:t>i), cu consultarea rezultatelor ob</w:t>
      </w:r>
      <w:r w:rsidR="00B13B9A" w:rsidRPr="00B13B9A">
        <w:rPr>
          <w:rFonts w:asciiTheme="majorHAnsi" w:hAnsiTheme="majorHAnsi" w:cstheme="majorHAnsi"/>
          <w:color w:val="000000"/>
          <w:sz w:val="24"/>
          <w:szCs w:val="24"/>
          <w:lang w:val="ro-MD"/>
        </w:rPr>
        <w:t>ț</w:t>
      </w:r>
      <w:r w:rsidRPr="00B13B9A">
        <w:rPr>
          <w:rFonts w:asciiTheme="majorHAnsi" w:hAnsiTheme="majorHAnsi" w:cstheme="majorHAnsi"/>
          <w:color w:val="000000"/>
          <w:sz w:val="24"/>
          <w:szCs w:val="24"/>
          <w:lang w:val="ro-MD"/>
        </w:rPr>
        <w:t xml:space="preserve">inute </w:t>
      </w:r>
      <w:r w:rsidR="004D39F1" w:rsidRPr="00B13B9A">
        <w:rPr>
          <w:rFonts w:asciiTheme="majorHAnsi" w:hAnsiTheme="majorHAnsi" w:cstheme="majorHAnsi"/>
          <w:color w:val="000000"/>
          <w:sz w:val="24"/>
          <w:szCs w:val="24"/>
          <w:lang w:val="ro-MD"/>
        </w:rPr>
        <w:t>din</w:t>
      </w:r>
      <w:r w:rsidRPr="00B13B9A">
        <w:rPr>
          <w:rFonts w:asciiTheme="majorHAnsi" w:hAnsiTheme="majorHAnsi" w:cstheme="majorHAnsi"/>
          <w:color w:val="000000"/>
          <w:sz w:val="24"/>
          <w:szCs w:val="24"/>
          <w:lang w:val="ro-MD"/>
        </w:rPr>
        <w:t xml:space="preserve"> consumul </w:t>
      </w:r>
      <w:r w:rsidR="004D39F1" w:rsidRPr="00B13B9A">
        <w:rPr>
          <w:rFonts w:asciiTheme="majorHAnsi" w:hAnsiTheme="majorHAnsi" w:cstheme="majorHAnsi"/>
          <w:color w:val="000000"/>
          <w:sz w:val="24"/>
          <w:szCs w:val="24"/>
          <w:lang w:val="ro-MD"/>
        </w:rPr>
        <w:t>pe</w:t>
      </w:r>
      <w:r w:rsidRPr="00B13B9A">
        <w:rPr>
          <w:rFonts w:asciiTheme="majorHAnsi" w:hAnsiTheme="majorHAnsi" w:cstheme="majorHAnsi"/>
          <w:color w:val="000000"/>
          <w:sz w:val="24"/>
          <w:szCs w:val="24"/>
          <w:lang w:val="ro-MD"/>
        </w:rPr>
        <w:t xml:space="preserve"> anii preceden</w:t>
      </w:r>
      <w:r w:rsidR="00B13B9A" w:rsidRPr="00B13B9A">
        <w:rPr>
          <w:rFonts w:asciiTheme="majorHAnsi" w:hAnsiTheme="majorHAnsi" w:cstheme="majorHAnsi"/>
          <w:color w:val="000000"/>
          <w:sz w:val="24"/>
          <w:szCs w:val="24"/>
          <w:lang w:val="ro-MD"/>
        </w:rPr>
        <w:t>ț</w:t>
      </w:r>
      <w:r w:rsidRPr="00B13B9A">
        <w:rPr>
          <w:rFonts w:asciiTheme="majorHAnsi" w:hAnsiTheme="majorHAnsi" w:cstheme="majorHAnsi"/>
          <w:color w:val="000000"/>
          <w:sz w:val="24"/>
          <w:szCs w:val="24"/>
          <w:lang w:val="ro-MD"/>
        </w:rPr>
        <w:t xml:space="preserve">i. </w:t>
      </w:r>
    </w:p>
    <w:p w14:paraId="40BDA985" w14:textId="75AB56B2" w:rsidR="00230444" w:rsidRPr="00B13B9A" w:rsidRDefault="004D39F1" w:rsidP="00230444">
      <w:pPr>
        <w:pStyle w:val="a7"/>
        <w:spacing w:after="0" w:line="276" w:lineRule="auto"/>
        <w:ind w:left="0"/>
        <w:jc w:val="both"/>
        <w:rPr>
          <w:rFonts w:asciiTheme="majorHAnsi" w:hAnsiTheme="majorHAnsi" w:cstheme="majorHAnsi"/>
          <w:sz w:val="24"/>
          <w:szCs w:val="24"/>
          <w:lang w:val="ro-MD"/>
        </w:rPr>
      </w:pPr>
      <w:r w:rsidRPr="00B13B9A">
        <w:rPr>
          <w:rFonts w:asciiTheme="majorHAnsi" w:hAnsiTheme="majorHAnsi" w:cstheme="majorHAnsi"/>
          <w:sz w:val="24"/>
          <w:szCs w:val="24"/>
          <w:lang w:val="ro-MD"/>
        </w:rPr>
        <w:t xml:space="preserve"> </w:t>
      </w:r>
      <w:r w:rsidR="00230444" w:rsidRPr="00B13B9A">
        <w:rPr>
          <w:rFonts w:asciiTheme="majorHAnsi" w:hAnsiTheme="majorHAnsi" w:cstheme="majorHAnsi"/>
          <w:sz w:val="24"/>
          <w:szCs w:val="24"/>
          <w:lang w:val="ro-MD"/>
        </w:rPr>
        <w:t>Depozitul Na</w:t>
      </w:r>
      <w:r w:rsidR="00B13B9A" w:rsidRPr="00B13B9A">
        <w:rPr>
          <w:rFonts w:asciiTheme="majorHAnsi" w:hAnsiTheme="majorHAnsi" w:cstheme="majorHAnsi"/>
          <w:sz w:val="24"/>
          <w:szCs w:val="24"/>
          <w:lang w:val="ro-MD"/>
        </w:rPr>
        <w:t>ț</w:t>
      </w:r>
      <w:r w:rsidR="00230444" w:rsidRPr="00B13B9A">
        <w:rPr>
          <w:rFonts w:asciiTheme="majorHAnsi" w:hAnsiTheme="majorHAnsi" w:cstheme="majorHAnsi"/>
          <w:sz w:val="24"/>
          <w:szCs w:val="24"/>
          <w:lang w:val="ro-MD"/>
        </w:rPr>
        <w:t>ional Farmaceutic stochează medicamentele primite prin Programul na</w:t>
      </w:r>
      <w:r w:rsidR="00B13B9A" w:rsidRPr="00B13B9A">
        <w:rPr>
          <w:rFonts w:asciiTheme="majorHAnsi" w:hAnsiTheme="majorHAnsi" w:cstheme="majorHAnsi"/>
          <w:sz w:val="24"/>
          <w:szCs w:val="24"/>
          <w:lang w:val="ro-MD"/>
        </w:rPr>
        <w:t>ț</w:t>
      </w:r>
      <w:r w:rsidR="00230444" w:rsidRPr="00B13B9A">
        <w:rPr>
          <w:rFonts w:asciiTheme="majorHAnsi" w:hAnsiTheme="majorHAnsi" w:cstheme="majorHAnsi"/>
          <w:sz w:val="24"/>
          <w:szCs w:val="24"/>
          <w:lang w:val="ro-MD"/>
        </w:rPr>
        <w:t xml:space="preserve">ional </w:t>
      </w:r>
      <w:r w:rsidR="00B13B9A" w:rsidRPr="00B13B9A">
        <w:rPr>
          <w:rFonts w:asciiTheme="majorHAnsi" w:hAnsiTheme="majorHAnsi" w:cstheme="majorHAnsi"/>
          <w:sz w:val="24"/>
          <w:szCs w:val="24"/>
          <w:lang w:val="ro-MD"/>
        </w:rPr>
        <w:t>ș</w:t>
      </w:r>
      <w:r w:rsidR="00230444" w:rsidRPr="00B13B9A">
        <w:rPr>
          <w:rFonts w:asciiTheme="majorHAnsi" w:hAnsiTheme="majorHAnsi" w:cstheme="majorHAnsi"/>
          <w:sz w:val="24"/>
          <w:szCs w:val="24"/>
          <w:lang w:val="ro-MD"/>
        </w:rPr>
        <w:t>i le eliberează</w:t>
      </w:r>
      <w:r w:rsidR="009C55B3" w:rsidRPr="00B13B9A">
        <w:rPr>
          <w:rFonts w:asciiTheme="majorHAnsi" w:hAnsiTheme="majorHAnsi" w:cstheme="majorHAnsi"/>
          <w:sz w:val="24"/>
          <w:szCs w:val="24"/>
          <w:lang w:val="ro-MD"/>
        </w:rPr>
        <w:t>,</w:t>
      </w:r>
      <w:r w:rsidR="00230444" w:rsidRPr="00B13B9A">
        <w:rPr>
          <w:rFonts w:asciiTheme="majorHAnsi" w:hAnsiTheme="majorHAnsi" w:cstheme="majorHAnsi"/>
          <w:sz w:val="24"/>
          <w:szCs w:val="24"/>
          <w:lang w:val="ro-MD"/>
        </w:rPr>
        <w:t xml:space="preserve"> pentru tratamentul TB sensibile</w:t>
      </w:r>
      <w:r w:rsidR="009C55B3" w:rsidRPr="00B13B9A">
        <w:rPr>
          <w:rFonts w:asciiTheme="majorHAnsi" w:hAnsiTheme="majorHAnsi" w:cstheme="majorHAnsi"/>
          <w:sz w:val="24"/>
          <w:szCs w:val="24"/>
          <w:lang w:val="ro-MD"/>
        </w:rPr>
        <w:t>,</w:t>
      </w:r>
      <w:r w:rsidR="00230444" w:rsidRPr="00B13B9A">
        <w:rPr>
          <w:rFonts w:asciiTheme="majorHAnsi" w:hAnsiTheme="majorHAnsi" w:cstheme="majorHAnsi"/>
          <w:sz w:val="24"/>
          <w:szCs w:val="24"/>
          <w:lang w:val="ro-MD"/>
        </w:rPr>
        <w:t xml:space="preserve"> către IMSP de nivel central, municipal </w:t>
      </w:r>
      <w:r w:rsidR="00B13B9A" w:rsidRPr="00B13B9A">
        <w:rPr>
          <w:rFonts w:asciiTheme="majorHAnsi" w:hAnsiTheme="majorHAnsi" w:cstheme="majorHAnsi"/>
          <w:sz w:val="24"/>
          <w:szCs w:val="24"/>
          <w:lang w:val="ro-MD"/>
        </w:rPr>
        <w:t>ș</w:t>
      </w:r>
      <w:r w:rsidR="00230444" w:rsidRPr="00B13B9A">
        <w:rPr>
          <w:rFonts w:asciiTheme="majorHAnsi" w:hAnsiTheme="majorHAnsi" w:cstheme="majorHAnsi"/>
          <w:sz w:val="24"/>
          <w:szCs w:val="24"/>
          <w:lang w:val="ro-MD"/>
        </w:rPr>
        <w:t xml:space="preserve">i raional. </w:t>
      </w:r>
    </w:p>
    <w:p w14:paraId="471D321A" w14:textId="62F7137E" w:rsidR="00B37661" w:rsidRPr="00B13B9A" w:rsidRDefault="00B37661" w:rsidP="00230444">
      <w:pPr>
        <w:pStyle w:val="a7"/>
        <w:spacing w:after="0" w:line="276" w:lineRule="auto"/>
        <w:ind w:left="0"/>
        <w:jc w:val="both"/>
        <w:rPr>
          <w:rFonts w:asciiTheme="majorHAnsi" w:hAnsiTheme="majorHAnsi" w:cstheme="majorHAnsi"/>
          <w:sz w:val="24"/>
          <w:szCs w:val="24"/>
          <w:lang w:val="ro-MD"/>
        </w:rPr>
      </w:pPr>
      <w:r w:rsidRPr="00B13B9A">
        <w:rPr>
          <w:rFonts w:asciiTheme="majorHAnsi" w:hAnsiTheme="majorHAnsi" w:cstheme="majorHAnsi"/>
          <w:sz w:val="24"/>
          <w:szCs w:val="24"/>
          <w:lang w:val="ro-MD"/>
        </w:rPr>
        <w:t>Pe parcursul perioadei auditate au fost achizi</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ionate medicamente în valoare de: în anul 2021 – 34 446,7 mii lei, în anul 2022 – 32 993,0 mii lei</w:t>
      </w:r>
      <w:r w:rsidR="004D39F1" w:rsidRPr="00B13B9A">
        <w:rPr>
          <w:rFonts w:asciiTheme="majorHAnsi" w:hAnsiTheme="majorHAnsi" w:cstheme="majorHAnsi"/>
          <w:sz w:val="24"/>
          <w:szCs w:val="24"/>
          <w:lang w:val="ro-MD"/>
        </w:rPr>
        <w:t>,</w:t>
      </w:r>
      <w:r w:rsidRPr="00B13B9A">
        <w:rPr>
          <w:rFonts w:asciiTheme="majorHAnsi" w:hAnsiTheme="majorHAnsi" w:cstheme="majorHAnsi"/>
          <w:sz w:val="24"/>
          <w:szCs w:val="24"/>
          <w:lang w:val="ro-MD"/>
        </w:rPr>
        <w:t xml:space="preserve"> </w:t>
      </w:r>
      <w:r w:rsidR="00B13B9A" w:rsidRPr="00B13B9A">
        <w:rPr>
          <w:rFonts w:asciiTheme="majorHAnsi" w:hAnsiTheme="majorHAnsi" w:cstheme="majorHAnsi"/>
          <w:sz w:val="24"/>
          <w:szCs w:val="24"/>
          <w:lang w:val="ro-MD"/>
        </w:rPr>
        <w:t>ș</w:t>
      </w:r>
      <w:r w:rsidRPr="00B13B9A">
        <w:rPr>
          <w:rFonts w:asciiTheme="majorHAnsi" w:hAnsiTheme="majorHAnsi" w:cstheme="majorHAnsi"/>
          <w:sz w:val="24"/>
          <w:szCs w:val="24"/>
          <w:lang w:val="ro-MD"/>
        </w:rPr>
        <w:t>i în anul 2023 (6 luni) – 17 132,2 mii lei, procedurile de achizi</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 xml:space="preserve">ie </w:t>
      </w:r>
      <w:r w:rsidR="004D39F1" w:rsidRPr="00B13B9A">
        <w:rPr>
          <w:rFonts w:asciiTheme="majorHAnsi" w:hAnsiTheme="majorHAnsi" w:cstheme="majorHAnsi"/>
          <w:sz w:val="24"/>
          <w:szCs w:val="24"/>
          <w:lang w:val="ro-MD"/>
        </w:rPr>
        <w:t>fiind</w:t>
      </w:r>
      <w:r w:rsidRPr="00B13B9A">
        <w:rPr>
          <w:rFonts w:asciiTheme="majorHAnsi" w:hAnsiTheme="majorHAnsi" w:cstheme="majorHAnsi"/>
          <w:sz w:val="24"/>
          <w:szCs w:val="24"/>
          <w:lang w:val="ro-MD"/>
        </w:rPr>
        <w:t xml:space="preserve"> desfă</w:t>
      </w:r>
      <w:r w:rsidR="00B13B9A" w:rsidRPr="00B13B9A">
        <w:rPr>
          <w:rFonts w:asciiTheme="majorHAnsi" w:hAnsiTheme="majorHAnsi" w:cstheme="majorHAnsi"/>
          <w:sz w:val="24"/>
          <w:szCs w:val="24"/>
          <w:lang w:val="ro-MD"/>
        </w:rPr>
        <w:t>ș</w:t>
      </w:r>
      <w:r w:rsidRPr="00B13B9A">
        <w:rPr>
          <w:rFonts w:asciiTheme="majorHAnsi" w:hAnsiTheme="majorHAnsi" w:cstheme="majorHAnsi"/>
          <w:sz w:val="24"/>
          <w:szCs w:val="24"/>
          <w:lang w:val="ro-MD"/>
        </w:rPr>
        <w:t>urate prin intermediul CAPCS.</w:t>
      </w:r>
    </w:p>
    <w:p w14:paraId="4617E0AB" w14:textId="77777777" w:rsidR="00D37D8A" w:rsidRPr="00B13B9A" w:rsidRDefault="00D37D8A" w:rsidP="00D37D8A">
      <w:pPr>
        <w:pStyle w:val="cn"/>
        <w:spacing w:line="276" w:lineRule="auto"/>
        <w:ind w:right="71"/>
        <w:jc w:val="right"/>
        <w:rPr>
          <w:rFonts w:asciiTheme="majorHAnsi" w:hAnsiTheme="majorHAnsi" w:cstheme="majorHAnsi"/>
          <w:color w:val="333333"/>
          <w:shd w:val="clear" w:color="auto" w:fill="FFFFFF"/>
          <w:lang w:val="ro-MD"/>
        </w:rPr>
      </w:pPr>
      <w:r w:rsidRPr="00B13B9A">
        <w:rPr>
          <w:rFonts w:asciiTheme="majorHAnsi" w:hAnsiTheme="majorHAnsi" w:cstheme="majorHAnsi"/>
          <w:color w:val="333333"/>
          <w:shd w:val="clear" w:color="auto" w:fill="FFFFFF"/>
          <w:lang w:val="ro-MD"/>
        </w:rPr>
        <w:t>Tabel nr.7</w:t>
      </w:r>
    </w:p>
    <w:p w14:paraId="1D12D611" w14:textId="583ADD8A" w:rsidR="00230444" w:rsidRPr="00B13B9A" w:rsidRDefault="00ED7321" w:rsidP="00D37D8A">
      <w:pPr>
        <w:pStyle w:val="a7"/>
        <w:spacing w:after="0" w:line="276" w:lineRule="auto"/>
        <w:ind w:left="0"/>
        <w:jc w:val="center"/>
        <w:rPr>
          <w:rFonts w:asciiTheme="majorHAnsi" w:hAnsiTheme="majorHAnsi" w:cstheme="majorHAnsi"/>
          <w:b/>
          <w:sz w:val="24"/>
          <w:szCs w:val="24"/>
          <w:lang w:val="ro-MD"/>
        </w:rPr>
      </w:pPr>
      <w:r w:rsidRPr="00B13B9A">
        <w:rPr>
          <w:rFonts w:asciiTheme="majorHAnsi" w:hAnsiTheme="majorHAnsi" w:cstheme="majorHAnsi"/>
          <w:b/>
          <w:sz w:val="24"/>
          <w:szCs w:val="24"/>
          <w:lang w:val="ro-MD"/>
        </w:rPr>
        <w:t>Informa</w:t>
      </w:r>
      <w:r w:rsidR="00B13B9A" w:rsidRPr="00B13B9A">
        <w:rPr>
          <w:rFonts w:asciiTheme="majorHAnsi" w:hAnsiTheme="majorHAnsi" w:cstheme="majorHAnsi"/>
          <w:b/>
          <w:sz w:val="24"/>
          <w:szCs w:val="24"/>
          <w:lang w:val="ro-MD"/>
        </w:rPr>
        <w:t>ț</w:t>
      </w:r>
      <w:r w:rsidRPr="00B13B9A">
        <w:rPr>
          <w:rFonts w:asciiTheme="majorHAnsi" w:hAnsiTheme="majorHAnsi" w:cstheme="majorHAnsi"/>
          <w:b/>
          <w:sz w:val="24"/>
          <w:szCs w:val="24"/>
          <w:lang w:val="ro-MD"/>
        </w:rPr>
        <w:t xml:space="preserve">ii privind intrările </w:t>
      </w:r>
      <w:r w:rsidR="00B13B9A" w:rsidRPr="00B13B9A">
        <w:rPr>
          <w:rFonts w:asciiTheme="majorHAnsi" w:hAnsiTheme="majorHAnsi" w:cstheme="majorHAnsi"/>
          <w:b/>
          <w:sz w:val="24"/>
          <w:szCs w:val="24"/>
          <w:lang w:val="ro-MD"/>
        </w:rPr>
        <w:t>ș</w:t>
      </w:r>
      <w:r w:rsidRPr="00B13B9A">
        <w:rPr>
          <w:rFonts w:asciiTheme="majorHAnsi" w:hAnsiTheme="majorHAnsi" w:cstheme="majorHAnsi"/>
          <w:b/>
          <w:sz w:val="24"/>
          <w:szCs w:val="24"/>
          <w:lang w:val="ro-MD"/>
        </w:rPr>
        <w:t>i distribuir</w:t>
      </w:r>
      <w:r w:rsidR="004D39F1" w:rsidRPr="00B13B9A">
        <w:rPr>
          <w:rFonts w:asciiTheme="majorHAnsi" w:hAnsiTheme="majorHAnsi" w:cstheme="majorHAnsi"/>
          <w:b/>
          <w:sz w:val="24"/>
          <w:szCs w:val="24"/>
          <w:lang w:val="ro-MD"/>
        </w:rPr>
        <w:t>il</w:t>
      </w:r>
      <w:r w:rsidRPr="00B13B9A">
        <w:rPr>
          <w:rFonts w:asciiTheme="majorHAnsi" w:hAnsiTheme="majorHAnsi" w:cstheme="majorHAnsi"/>
          <w:b/>
          <w:sz w:val="24"/>
          <w:szCs w:val="24"/>
          <w:lang w:val="ro-MD"/>
        </w:rPr>
        <w:t>e de medicamente antituberculoase</w:t>
      </w:r>
      <w:r w:rsidR="00A73003">
        <w:rPr>
          <w:rFonts w:asciiTheme="majorHAnsi" w:hAnsiTheme="majorHAnsi" w:cstheme="majorHAnsi"/>
          <w:b/>
          <w:sz w:val="24"/>
          <w:szCs w:val="24"/>
          <w:lang w:val="ro-MD"/>
        </w:rPr>
        <w:t>, mii lei</w:t>
      </w:r>
    </w:p>
    <w:tbl>
      <w:tblPr>
        <w:tblW w:w="9582" w:type="dxa"/>
        <w:tblLook w:val="04A0" w:firstRow="1" w:lastRow="0" w:firstColumn="1" w:lastColumn="0" w:noHBand="0" w:noVBand="1"/>
      </w:tblPr>
      <w:tblGrid>
        <w:gridCol w:w="1682"/>
        <w:gridCol w:w="1628"/>
        <w:gridCol w:w="1623"/>
        <w:gridCol w:w="1261"/>
        <w:gridCol w:w="1805"/>
        <w:gridCol w:w="1583"/>
      </w:tblGrid>
      <w:tr w:rsidR="001179CC" w:rsidRPr="00B13B9A" w14:paraId="74953880" w14:textId="77777777" w:rsidTr="006B5722">
        <w:trPr>
          <w:trHeight w:val="263"/>
        </w:trPr>
        <w:tc>
          <w:tcPr>
            <w:tcW w:w="16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AB0AC3" w14:textId="77777777" w:rsidR="001179CC" w:rsidRPr="00B13B9A" w:rsidRDefault="001179CC" w:rsidP="00230444">
            <w:pPr>
              <w:spacing w:after="0" w:line="240" w:lineRule="auto"/>
              <w:jc w:val="center"/>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Anul</w:t>
            </w:r>
          </w:p>
        </w:tc>
        <w:tc>
          <w:tcPr>
            <w:tcW w:w="16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C8CAB6" w14:textId="77777777" w:rsidR="001179CC" w:rsidRPr="00B13B9A" w:rsidRDefault="001179CC" w:rsidP="00230444">
            <w:pPr>
              <w:spacing w:after="0" w:line="240" w:lineRule="auto"/>
              <w:jc w:val="center"/>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Intrări</w:t>
            </w:r>
          </w:p>
        </w:tc>
        <w:tc>
          <w:tcPr>
            <w:tcW w:w="162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1562F0" w14:textId="77777777" w:rsidR="001179CC" w:rsidRPr="00B13B9A" w:rsidRDefault="001179CC" w:rsidP="00230444">
            <w:pPr>
              <w:spacing w:after="0" w:line="240" w:lineRule="auto"/>
              <w:jc w:val="center"/>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Distribuiri</w:t>
            </w:r>
          </w:p>
        </w:tc>
        <w:tc>
          <w:tcPr>
            <w:tcW w:w="4649" w:type="dxa"/>
            <w:gridSpan w:val="3"/>
            <w:tcBorders>
              <w:top w:val="single" w:sz="4" w:space="0" w:color="auto"/>
              <w:left w:val="nil"/>
              <w:bottom w:val="single" w:sz="4" w:space="0" w:color="auto"/>
              <w:right w:val="single" w:sz="4" w:space="0" w:color="auto"/>
            </w:tcBorders>
            <w:shd w:val="clear" w:color="auto" w:fill="auto"/>
            <w:noWrap/>
            <w:vAlign w:val="center"/>
            <w:hideMark/>
          </w:tcPr>
          <w:p w14:paraId="63815B37" w14:textId="77777777" w:rsidR="001179CC" w:rsidRPr="00B13B9A" w:rsidRDefault="001179CC" w:rsidP="00230444">
            <w:pPr>
              <w:spacing w:after="0" w:line="240" w:lineRule="auto"/>
              <w:jc w:val="center"/>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Inclusiv:</w:t>
            </w:r>
          </w:p>
        </w:tc>
      </w:tr>
      <w:tr w:rsidR="00230444" w:rsidRPr="00B13B9A" w14:paraId="3F671A4C" w14:textId="77777777" w:rsidTr="00230444">
        <w:trPr>
          <w:trHeight w:val="526"/>
        </w:trPr>
        <w:tc>
          <w:tcPr>
            <w:tcW w:w="1682" w:type="dxa"/>
            <w:vMerge/>
            <w:tcBorders>
              <w:top w:val="single" w:sz="4" w:space="0" w:color="auto"/>
              <w:left w:val="single" w:sz="4" w:space="0" w:color="auto"/>
              <w:bottom w:val="single" w:sz="4" w:space="0" w:color="auto"/>
              <w:right w:val="single" w:sz="4" w:space="0" w:color="auto"/>
            </w:tcBorders>
            <w:vAlign w:val="center"/>
            <w:hideMark/>
          </w:tcPr>
          <w:p w14:paraId="1BA57971" w14:textId="77777777" w:rsidR="00230444" w:rsidRPr="00B13B9A" w:rsidRDefault="00230444" w:rsidP="00230444">
            <w:pPr>
              <w:spacing w:after="0" w:line="240" w:lineRule="auto"/>
              <w:jc w:val="center"/>
              <w:rPr>
                <w:rFonts w:asciiTheme="majorHAnsi" w:eastAsia="Times New Roman" w:hAnsiTheme="majorHAnsi" w:cstheme="majorHAnsi"/>
                <w:b/>
                <w:bCs/>
                <w:color w:val="000000"/>
                <w:sz w:val="20"/>
                <w:szCs w:val="20"/>
                <w:lang w:val="ro-MD"/>
              </w:rPr>
            </w:pPr>
          </w:p>
        </w:tc>
        <w:tc>
          <w:tcPr>
            <w:tcW w:w="1628" w:type="dxa"/>
            <w:vMerge/>
            <w:tcBorders>
              <w:top w:val="single" w:sz="4" w:space="0" w:color="auto"/>
              <w:left w:val="single" w:sz="4" w:space="0" w:color="auto"/>
              <w:bottom w:val="single" w:sz="4" w:space="0" w:color="auto"/>
              <w:right w:val="single" w:sz="4" w:space="0" w:color="auto"/>
            </w:tcBorders>
            <w:vAlign w:val="center"/>
            <w:hideMark/>
          </w:tcPr>
          <w:p w14:paraId="3630B01B" w14:textId="77777777" w:rsidR="00230444" w:rsidRPr="00B13B9A" w:rsidRDefault="00230444" w:rsidP="00230444">
            <w:pPr>
              <w:spacing w:after="0" w:line="240" w:lineRule="auto"/>
              <w:jc w:val="center"/>
              <w:rPr>
                <w:rFonts w:asciiTheme="majorHAnsi" w:eastAsia="Times New Roman" w:hAnsiTheme="majorHAnsi" w:cstheme="majorHAnsi"/>
                <w:b/>
                <w:bCs/>
                <w:color w:val="000000"/>
                <w:sz w:val="20"/>
                <w:szCs w:val="20"/>
                <w:lang w:val="ro-MD"/>
              </w:rPr>
            </w:pPr>
          </w:p>
        </w:tc>
        <w:tc>
          <w:tcPr>
            <w:tcW w:w="1623" w:type="dxa"/>
            <w:vMerge/>
            <w:tcBorders>
              <w:top w:val="single" w:sz="4" w:space="0" w:color="auto"/>
              <w:left w:val="single" w:sz="4" w:space="0" w:color="auto"/>
              <w:bottom w:val="single" w:sz="4" w:space="0" w:color="auto"/>
              <w:right w:val="single" w:sz="4" w:space="0" w:color="auto"/>
            </w:tcBorders>
            <w:vAlign w:val="center"/>
            <w:hideMark/>
          </w:tcPr>
          <w:p w14:paraId="04E0BD4D" w14:textId="77777777" w:rsidR="00230444" w:rsidRPr="00B13B9A" w:rsidRDefault="00230444" w:rsidP="00230444">
            <w:pPr>
              <w:spacing w:after="0" w:line="240" w:lineRule="auto"/>
              <w:jc w:val="center"/>
              <w:rPr>
                <w:rFonts w:asciiTheme="majorHAnsi" w:eastAsia="Times New Roman" w:hAnsiTheme="majorHAnsi" w:cstheme="majorHAnsi"/>
                <w:b/>
                <w:bCs/>
                <w:color w:val="000000"/>
                <w:sz w:val="20"/>
                <w:szCs w:val="20"/>
                <w:lang w:val="ro-MD"/>
              </w:rPr>
            </w:pPr>
          </w:p>
        </w:tc>
        <w:tc>
          <w:tcPr>
            <w:tcW w:w="1261" w:type="dxa"/>
            <w:tcBorders>
              <w:top w:val="nil"/>
              <w:left w:val="nil"/>
              <w:bottom w:val="single" w:sz="4" w:space="0" w:color="auto"/>
              <w:right w:val="single" w:sz="4" w:space="0" w:color="auto"/>
            </w:tcBorders>
            <w:shd w:val="clear" w:color="auto" w:fill="auto"/>
            <w:noWrap/>
            <w:vAlign w:val="center"/>
            <w:hideMark/>
          </w:tcPr>
          <w:p w14:paraId="3CCADD02" w14:textId="77777777" w:rsidR="00230444" w:rsidRPr="00B13B9A" w:rsidRDefault="00230444" w:rsidP="00230444">
            <w:pPr>
              <w:spacing w:after="0" w:line="240" w:lineRule="auto"/>
              <w:jc w:val="center"/>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Bender</w:t>
            </w:r>
          </w:p>
        </w:tc>
        <w:tc>
          <w:tcPr>
            <w:tcW w:w="1805" w:type="dxa"/>
            <w:tcBorders>
              <w:top w:val="nil"/>
              <w:left w:val="nil"/>
              <w:bottom w:val="single" w:sz="4" w:space="0" w:color="auto"/>
              <w:right w:val="single" w:sz="4" w:space="0" w:color="auto"/>
            </w:tcBorders>
            <w:shd w:val="clear" w:color="auto" w:fill="auto"/>
            <w:noWrap/>
            <w:vAlign w:val="center"/>
            <w:hideMark/>
          </w:tcPr>
          <w:p w14:paraId="4D8D6BBE" w14:textId="77777777" w:rsidR="00230444" w:rsidRPr="00B13B9A" w:rsidRDefault="00230444" w:rsidP="00230444">
            <w:pPr>
              <w:spacing w:after="0" w:line="240" w:lineRule="auto"/>
              <w:jc w:val="center"/>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Penitenciar</w:t>
            </w:r>
          </w:p>
        </w:tc>
        <w:tc>
          <w:tcPr>
            <w:tcW w:w="1583" w:type="dxa"/>
            <w:tcBorders>
              <w:top w:val="nil"/>
              <w:left w:val="nil"/>
              <w:bottom w:val="single" w:sz="4" w:space="0" w:color="auto"/>
              <w:right w:val="single" w:sz="4" w:space="0" w:color="auto"/>
            </w:tcBorders>
            <w:shd w:val="clear" w:color="auto" w:fill="auto"/>
            <w:vAlign w:val="center"/>
            <w:hideMark/>
          </w:tcPr>
          <w:p w14:paraId="456B45F1" w14:textId="1296A527" w:rsidR="00230444" w:rsidRPr="00B13B9A" w:rsidRDefault="00230444" w:rsidP="00230444">
            <w:pPr>
              <w:spacing w:after="0" w:line="240" w:lineRule="auto"/>
              <w:jc w:val="center"/>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Institu</w:t>
            </w:r>
            <w:r w:rsidR="00B13B9A" w:rsidRPr="00B13B9A">
              <w:rPr>
                <w:rFonts w:asciiTheme="majorHAnsi" w:eastAsia="Times New Roman" w:hAnsiTheme="majorHAnsi" w:cstheme="majorHAnsi"/>
                <w:b/>
                <w:bCs/>
                <w:color w:val="000000"/>
                <w:sz w:val="20"/>
                <w:szCs w:val="20"/>
                <w:lang w:val="ro-MD"/>
              </w:rPr>
              <w:t>ț</w:t>
            </w:r>
            <w:r w:rsidRPr="00B13B9A">
              <w:rPr>
                <w:rFonts w:asciiTheme="majorHAnsi" w:eastAsia="Times New Roman" w:hAnsiTheme="majorHAnsi" w:cstheme="majorHAnsi"/>
                <w:b/>
                <w:bCs/>
                <w:color w:val="000000"/>
                <w:sz w:val="20"/>
                <w:szCs w:val="20"/>
                <w:lang w:val="ro-MD"/>
              </w:rPr>
              <w:t>ii private</w:t>
            </w:r>
          </w:p>
        </w:tc>
      </w:tr>
      <w:tr w:rsidR="00230444" w:rsidRPr="00B13B9A" w14:paraId="229D2A3C" w14:textId="77777777" w:rsidTr="00230444">
        <w:trPr>
          <w:trHeight w:val="263"/>
        </w:trPr>
        <w:tc>
          <w:tcPr>
            <w:tcW w:w="1682" w:type="dxa"/>
            <w:tcBorders>
              <w:top w:val="nil"/>
              <w:left w:val="single" w:sz="4" w:space="0" w:color="auto"/>
              <w:bottom w:val="single" w:sz="4" w:space="0" w:color="auto"/>
              <w:right w:val="single" w:sz="4" w:space="0" w:color="auto"/>
            </w:tcBorders>
            <w:shd w:val="clear" w:color="auto" w:fill="auto"/>
            <w:noWrap/>
            <w:vAlign w:val="bottom"/>
            <w:hideMark/>
          </w:tcPr>
          <w:p w14:paraId="7168B717" w14:textId="77777777" w:rsidR="00230444" w:rsidRPr="00B13B9A" w:rsidRDefault="00230444" w:rsidP="00230444">
            <w:pPr>
              <w:spacing w:after="0" w:line="240" w:lineRule="auto"/>
              <w:jc w:val="right"/>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2021</w:t>
            </w:r>
          </w:p>
        </w:tc>
        <w:tc>
          <w:tcPr>
            <w:tcW w:w="1628" w:type="dxa"/>
            <w:tcBorders>
              <w:top w:val="nil"/>
              <w:left w:val="nil"/>
              <w:bottom w:val="single" w:sz="4" w:space="0" w:color="auto"/>
              <w:right w:val="single" w:sz="4" w:space="0" w:color="auto"/>
            </w:tcBorders>
            <w:shd w:val="clear" w:color="auto" w:fill="auto"/>
            <w:noWrap/>
            <w:vAlign w:val="bottom"/>
            <w:hideMark/>
          </w:tcPr>
          <w:p w14:paraId="5944D342" w14:textId="546F6163" w:rsidR="00230444" w:rsidRPr="00B13B9A" w:rsidRDefault="00230444" w:rsidP="00B51658">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37 837</w:t>
            </w:r>
            <w:r w:rsidR="00B51658" w:rsidRPr="00B13B9A">
              <w:rPr>
                <w:rFonts w:asciiTheme="majorHAnsi" w:eastAsia="Times New Roman" w:hAnsiTheme="majorHAnsi" w:cstheme="majorHAnsi"/>
                <w:color w:val="000000"/>
                <w:sz w:val="20"/>
                <w:szCs w:val="20"/>
                <w:lang w:val="ro-MD"/>
              </w:rPr>
              <w:t>,</w:t>
            </w:r>
            <w:r w:rsidRPr="00B13B9A">
              <w:rPr>
                <w:rFonts w:asciiTheme="majorHAnsi" w:eastAsia="Times New Roman" w:hAnsiTheme="majorHAnsi" w:cstheme="majorHAnsi"/>
                <w:color w:val="000000"/>
                <w:sz w:val="20"/>
                <w:szCs w:val="20"/>
                <w:lang w:val="ro-MD"/>
              </w:rPr>
              <w:t>5</w:t>
            </w:r>
          </w:p>
        </w:tc>
        <w:tc>
          <w:tcPr>
            <w:tcW w:w="1623" w:type="dxa"/>
            <w:tcBorders>
              <w:top w:val="nil"/>
              <w:left w:val="nil"/>
              <w:bottom w:val="single" w:sz="4" w:space="0" w:color="auto"/>
              <w:right w:val="single" w:sz="4" w:space="0" w:color="auto"/>
            </w:tcBorders>
            <w:shd w:val="clear" w:color="auto" w:fill="auto"/>
            <w:noWrap/>
            <w:vAlign w:val="bottom"/>
            <w:hideMark/>
          </w:tcPr>
          <w:p w14:paraId="40696604" w14:textId="4FF7FCC3" w:rsidR="00230444" w:rsidRPr="00B13B9A" w:rsidRDefault="00230444" w:rsidP="00B51658">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27 005</w:t>
            </w:r>
            <w:r w:rsidR="00B51658" w:rsidRPr="00B13B9A">
              <w:rPr>
                <w:rFonts w:asciiTheme="majorHAnsi" w:eastAsia="Times New Roman" w:hAnsiTheme="majorHAnsi" w:cstheme="majorHAnsi"/>
                <w:color w:val="000000"/>
                <w:sz w:val="20"/>
                <w:szCs w:val="20"/>
                <w:lang w:val="ro-MD"/>
              </w:rPr>
              <w:t>,</w:t>
            </w:r>
            <w:r w:rsidRPr="00B13B9A">
              <w:rPr>
                <w:rFonts w:asciiTheme="majorHAnsi" w:eastAsia="Times New Roman" w:hAnsiTheme="majorHAnsi" w:cstheme="majorHAnsi"/>
                <w:color w:val="000000"/>
                <w:sz w:val="20"/>
                <w:szCs w:val="20"/>
                <w:lang w:val="ro-MD"/>
              </w:rPr>
              <w:t>7</w:t>
            </w:r>
          </w:p>
        </w:tc>
        <w:tc>
          <w:tcPr>
            <w:tcW w:w="1261" w:type="dxa"/>
            <w:tcBorders>
              <w:top w:val="nil"/>
              <w:left w:val="nil"/>
              <w:bottom w:val="single" w:sz="4" w:space="0" w:color="auto"/>
              <w:right w:val="single" w:sz="4" w:space="0" w:color="auto"/>
            </w:tcBorders>
            <w:shd w:val="clear" w:color="auto" w:fill="auto"/>
            <w:noWrap/>
            <w:vAlign w:val="bottom"/>
            <w:hideMark/>
          </w:tcPr>
          <w:p w14:paraId="267B7588" w14:textId="77A8B0F5" w:rsidR="00230444" w:rsidRPr="00B13B9A" w:rsidRDefault="00230444" w:rsidP="00B51658">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6 640</w:t>
            </w:r>
            <w:r w:rsidR="00B51658" w:rsidRPr="00B13B9A">
              <w:rPr>
                <w:rFonts w:asciiTheme="majorHAnsi" w:eastAsia="Times New Roman" w:hAnsiTheme="majorHAnsi" w:cstheme="majorHAnsi"/>
                <w:color w:val="000000"/>
                <w:sz w:val="20"/>
                <w:szCs w:val="20"/>
                <w:lang w:val="ro-MD"/>
              </w:rPr>
              <w:t>,</w:t>
            </w:r>
            <w:r w:rsidRPr="00B13B9A">
              <w:rPr>
                <w:rFonts w:asciiTheme="majorHAnsi" w:eastAsia="Times New Roman" w:hAnsiTheme="majorHAnsi" w:cstheme="majorHAnsi"/>
                <w:color w:val="000000"/>
                <w:sz w:val="20"/>
                <w:szCs w:val="20"/>
                <w:lang w:val="ro-MD"/>
              </w:rPr>
              <w:t>7</w:t>
            </w:r>
          </w:p>
        </w:tc>
        <w:tc>
          <w:tcPr>
            <w:tcW w:w="1805" w:type="dxa"/>
            <w:tcBorders>
              <w:top w:val="nil"/>
              <w:left w:val="nil"/>
              <w:bottom w:val="single" w:sz="4" w:space="0" w:color="auto"/>
              <w:right w:val="single" w:sz="4" w:space="0" w:color="auto"/>
            </w:tcBorders>
            <w:shd w:val="clear" w:color="auto" w:fill="auto"/>
            <w:noWrap/>
            <w:vAlign w:val="bottom"/>
            <w:hideMark/>
          </w:tcPr>
          <w:p w14:paraId="6958A038" w14:textId="77777777" w:rsidR="00230444" w:rsidRPr="00B13B9A" w:rsidRDefault="00230444" w:rsidP="00230444">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798,6</w:t>
            </w:r>
          </w:p>
        </w:tc>
        <w:tc>
          <w:tcPr>
            <w:tcW w:w="1583" w:type="dxa"/>
            <w:tcBorders>
              <w:top w:val="nil"/>
              <w:left w:val="nil"/>
              <w:bottom w:val="single" w:sz="4" w:space="0" w:color="auto"/>
              <w:right w:val="single" w:sz="4" w:space="0" w:color="auto"/>
            </w:tcBorders>
            <w:shd w:val="clear" w:color="auto" w:fill="auto"/>
            <w:noWrap/>
            <w:vAlign w:val="bottom"/>
            <w:hideMark/>
          </w:tcPr>
          <w:p w14:paraId="08077EEE" w14:textId="77777777" w:rsidR="00230444" w:rsidRPr="00B13B9A" w:rsidRDefault="00230444" w:rsidP="00230444">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82,4</w:t>
            </w:r>
          </w:p>
        </w:tc>
      </w:tr>
      <w:tr w:rsidR="00230444" w:rsidRPr="00B13B9A" w14:paraId="2C941BE3" w14:textId="77777777" w:rsidTr="00230444">
        <w:trPr>
          <w:trHeight w:val="263"/>
        </w:trPr>
        <w:tc>
          <w:tcPr>
            <w:tcW w:w="1682" w:type="dxa"/>
            <w:tcBorders>
              <w:top w:val="nil"/>
              <w:left w:val="single" w:sz="4" w:space="0" w:color="auto"/>
              <w:bottom w:val="single" w:sz="4" w:space="0" w:color="auto"/>
              <w:right w:val="single" w:sz="4" w:space="0" w:color="auto"/>
            </w:tcBorders>
            <w:shd w:val="clear" w:color="auto" w:fill="auto"/>
            <w:noWrap/>
            <w:vAlign w:val="bottom"/>
            <w:hideMark/>
          </w:tcPr>
          <w:p w14:paraId="0269F500" w14:textId="77777777" w:rsidR="00230444" w:rsidRPr="00B13B9A" w:rsidRDefault="00230444" w:rsidP="00230444">
            <w:pPr>
              <w:spacing w:after="0" w:line="240" w:lineRule="auto"/>
              <w:jc w:val="right"/>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2022</w:t>
            </w:r>
          </w:p>
        </w:tc>
        <w:tc>
          <w:tcPr>
            <w:tcW w:w="1628" w:type="dxa"/>
            <w:tcBorders>
              <w:top w:val="nil"/>
              <w:left w:val="nil"/>
              <w:bottom w:val="single" w:sz="4" w:space="0" w:color="auto"/>
              <w:right w:val="single" w:sz="4" w:space="0" w:color="auto"/>
            </w:tcBorders>
            <w:shd w:val="clear" w:color="auto" w:fill="auto"/>
            <w:noWrap/>
            <w:vAlign w:val="bottom"/>
            <w:hideMark/>
          </w:tcPr>
          <w:p w14:paraId="35E8B321" w14:textId="1D99AB54" w:rsidR="00230444" w:rsidRPr="00B13B9A" w:rsidRDefault="00230444" w:rsidP="00B51658">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41 324</w:t>
            </w:r>
            <w:r w:rsidR="00B51658" w:rsidRPr="00B13B9A">
              <w:rPr>
                <w:rFonts w:asciiTheme="majorHAnsi" w:eastAsia="Times New Roman" w:hAnsiTheme="majorHAnsi" w:cstheme="majorHAnsi"/>
                <w:color w:val="000000"/>
                <w:sz w:val="20"/>
                <w:szCs w:val="20"/>
                <w:lang w:val="ro-MD"/>
              </w:rPr>
              <w:t>,</w:t>
            </w:r>
            <w:r w:rsidRPr="00B13B9A">
              <w:rPr>
                <w:rFonts w:asciiTheme="majorHAnsi" w:eastAsia="Times New Roman" w:hAnsiTheme="majorHAnsi" w:cstheme="majorHAnsi"/>
                <w:color w:val="000000"/>
                <w:sz w:val="20"/>
                <w:szCs w:val="20"/>
                <w:lang w:val="ro-MD"/>
              </w:rPr>
              <w:t>6</w:t>
            </w:r>
          </w:p>
        </w:tc>
        <w:tc>
          <w:tcPr>
            <w:tcW w:w="1623" w:type="dxa"/>
            <w:tcBorders>
              <w:top w:val="nil"/>
              <w:left w:val="nil"/>
              <w:bottom w:val="single" w:sz="4" w:space="0" w:color="auto"/>
              <w:right w:val="single" w:sz="4" w:space="0" w:color="auto"/>
            </w:tcBorders>
            <w:shd w:val="clear" w:color="auto" w:fill="auto"/>
            <w:noWrap/>
            <w:vAlign w:val="bottom"/>
            <w:hideMark/>
          </w:tcPr>
          <w:p w14:paraId="3B2CC053" w14:textId="2B4E86F7" w:rsidR="00230444" w:rsidRPr="00B13B9A" w:rsidRDefault="00230444" w:rsidP="00230444">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24 623</w:t>
            </w:r>
            <w:r w:rsidR="00B51658" w:rsidRPr="00B13B9A">
              <w:rPr>
                <w:rFonts w:asciiTheme="majorHAnsi" w:eastAsia="Times New Roman" w:hAnsiTheme="majorHAnsi" w:cstheme="majorHAnsi"/>
                <w:color w:val="000000"/>
                <w:sz w:val="20"/>
                <w:szCs w:val="20"/>
                <w:lang w:val="ro-MD"/>
              </w:rPr>
              <w:t>,</w:t>
            </w:r>
            <w:r w:rsidRPr="00B13B9A">
              <w:rPr>
                <w:rFonts w:asciiTheme="majorHAnsi" w:eastAsia="Times New Roman" w:hAnsiTheme="majorHAnsi" w:cstheme="majorHAnsi"/>
                <w:color w:val="000000"/>
                <w:sz w:val="20"/>
                <w:szCs w:val="20"/>
                <w:lang w:val="ro-MD"/>
              </w:rPr>
              <w:t>8</w:t>
            </w:r>
          </w:p>
        </w:tc>
        <w:tc>
          <w:tcPr>
            <w:tcW w:w="1261" w:type="dxa"/>
            <w:tcBorders>
              <w:top w:val="nil"/>
              <w:left w:val="nil"/>
              <w:bottom w:val="single" w:sz="4" w:space="0" w:color="auto"/>
              <w:right w:val="single" w:sz="4" w:space="0" w:color="auto"/>
            </w:tcBorders>
            <w:shd w:val="clear" w:color="auto" w:fill="auto"/>
            <w:noWrap/>
            <w:vAlign w:val="bottom"/>
            <w:hideMark/>
          </w:tcPr>
          <w:p w14:paraId="3EDAF7A2" w14:textId="7E9C7636" w:rsidR="00230444" w:rsidRPr="00B13B9A" w:rsidRDefault="00230444" w:rsidP="00B51658">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5 460</w:t>
            </w:r>
            <w:r w:rsidR="00B51658" w:rsidRPr="00B13B9A">
              <w:rPr>
                <w:rFonts w:asciiTheme="majorHAnsi" w:eastAsia="Times New Roman" w:hAnsiTheme="majorHAnsi" w:cstheme="majorHAnsi"/>
                <w:color w:val="000000"/>
                <w:sz w:val="20"/>
                <w:szCs w:val="20"/>
                <w:lang w:val="ro-MD"/>
              </w:rPr>
              <w:t>,</w:t>
            </w:r>
            <w:r w:rsidRPr="00B13B9A">
              <w:rPr>
                <w:rFonts w:asciiTheme="majorHAnsi" w:eastAsia="Times New Roman" w:hAnsiTheme="majorHAnsi" w:cstheme="majorHAnsi"/>
                <w:color w:val="000000"/>
                <w:sz w:val="20"/>
                <w:szCs w:val="20"/>
                <w:lang w:val="ro-MD"/>
              </w:rPr>
              <w:t>3</w:t>
            </w:r>
          </w:p>
        </w:tc>
        <w:tc>
          <w:tcPr>
            <w:tcW w:w="1805" w:type="dxa"/>
            <w:tcBorders>
              <w:top w:val="nil"/>
              <w:left w:val="nil"/>
              <w:bottom w:val="single" w:sz="4" w:space="0" w:color="auto"/>
              <w:right w:val="single" w:sz="4" w:space="0" w:color="auto"/>
            </w:tcBorders>
            <w:shd w:val="clear" w:color="auto" w:fill="auto"/>
            <w:noWrap/>
            <w:vAlign w:val="bottom"/>
            <w:hideMark/>
          </w:tcPr>
          <w:p w14:paraId="715AE6A1" w14:textId="77777777" w:rsidR="00230444" w:rsidRPr="00B13B9A" w:rsidRDefault="00230444" w:rsidP="00230444">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611,8</w:t>
            </w:r>
          </w:p>
        </w:tc>
        <w:tc>
          <w:tcPr>
            <w:tcW w:w="1583" w:type="dxa"/>
            <w:tcBorders>
              <w:top w:val="nil"/>
              <w:left w:val="nil"/>
              <w:bottom w:val="single" w:sz="4" w:space="0" w:color="auto"/>
              <w:right w:val="single" w:sz="4" w:space="0" w:color="auto"/>
            </w:tcBorders>
            <w:shd w:val="clear" w:color="auto" w:fill="auto"/>
            <w:noWrap/>
            <w:vAlign w:val="bottom"/>
            <w:hideMark/>
          </w:tcPr>
          <w:p w14:paraId="474E9417" w14:textId="77777777" w:rsidR="00230444" w:rsidRPr="00B13B9A" w:rsidRDefault="00230444" w:rsidP="00230444">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6,5</w:t>
            </w:r>
          </w:p>
        </w:tc>
      </w:tr>
      <w:tr w:rsidR="00230444" w:rsidRPr="00B13B9A" w14:paraId="0BA80F42" w14:textId="77777777" w:rsidTr="00230444">
        <w:trPr>
          <w:trHeight w:val="263"/>
        </w:trPr>
        <w:tc>
          <w:tcPr>
            <w:tcW w:w="1682" w:type="dxa"/>
            <w:tcBorders>
              <w:top w:val="nil"/>
              <w:left w:val="single" w:sz="4" w:space="0" w:color="auto"/>
              <w:bottom w:val="single" w:sz="4" w:space="0" w:color="auto"/>
              <w:right w:val="single" w:sz="4" w:space="0" w:color="auto"/>
            </w:tcBorders>
            <w:shd w:val="clear" w:color="auto" w:fill="auto"/>
            <w:noWrap/>
            <w:vAlign w:val="bottom"/>
            <w:hideMark/>
          </w:tcPr>
          <w:p w14:paraId="48FE8BA9" w14:textId="77777777" w:rsidR="00230444" w:rsidRPr="00B13B9A" w:rsidRDefault="00230444" w:rsidP="00230444">
            <w:pPr>
              <w:spacing w:after="0" w:line="240" w:lineRule="auto"/>
              <w:jc w:val="right"/>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2023 (6 luni)</w:t>
            </w:r>
          </w:p>
        </w:tc>
        <w:tc>
          <w:tcPr>
            <w:tcW w:w="1628" w:type="dxa"/>
            <w:tcBorders>
              <w:top w:val="nil"/>
              <w:left w:val="nil"/>
              <w:bottom w:val="single" w:sz="4" w:space="0" w:color="auto"/>
              <w:right w:val="single" w:sz="4" w:space="0" w:color="auto"/>
            </w:tcBorders>
            <w:shd w:val="clear" w:color="auto" w:fill="auto"/>
            <w:noWrap/>
            <w:vAlign w:val="bottom"/>
            <w:hideMark/>
          </w:tcPr>
          <w:p w14:paraId="6840B513" w14:textId="536FF691" w:rsidR="00230444" w:rsidRPr="00B13B9A" w:rsidRDefault="00230444" w:rsidP="00B51658">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20 292</w:t>
            </w:r>
            <w:r w:rsidR="00B51658" w:rsidRPr="00B13B9A">
              <w:rPr>
                <w:rFonts w:asciiTheme="majorHAnsi" w:eastAsia="Times New Roman" w:hAnsiTheme="majorHAnsi" w:cstheme="majorHAnsi"/>
                <w:color w:val="000000"/>
                <w:sz w:val="20"/>
                <w:szCs w:val="20"/>
                <w:lang w:val="ro-MD"/>
              </w:rPr>
              <w:t>,</w:t>
            </w:r>
            <w:r w:rsidRPr="00B13B9A">
              <w:rPr>
                <w:rFonts w:asciiTheme="majorHAnsi" w:eastAsia="Times New Roman" w:hAnsiTheme="majorHAnsi" w:cstheme="majorHAnsi"/>
                <w:color w:val="000000"/>
                <w:sz w:val="20"/>
                <w:szCs w:val="20"/>
                <w:lang w:val="ro-MD"/>
              </w:rPr>
              <w:t>0</w:t>
            </w:r>
          </w:p>
        </w:tc>
        <w:tc>
          <w:tcPr>
            <w:tcW w:w="1623" w:type="dxa"/>
            <w:tcBorders>
              <w:top w:val="nil"/>
              <w:left w:val="nil"/>
              <w:bottom w:val="single" w:sz="4" w:space="0" w:color="auto"/>
              <w:right w:val="single" w:sz="4" w:space="0" w:color="auto"/>
            </w:tcBorders>
            <w:shd w:val="clear" w:color="auto" w:fill="auto"/>
            <w:noWrap/>
            <w:vAlign w:val="bottom"/>
            <w:hideMark/>
          </w:tcPr>
          <w:p w14:paraId="156F7C36" w14:textId="095309BF" w:rsidR="00230444" w:rsidRPr="00B13B9A" w:rsidRDefault="00230444" w:rsidP="00B51658">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10 574</w:t>
            </w:r>
            <w:r w:rsidR="00B51658" w:rsidRPr="00B13B9A">
              <w:rPr>
                <w:rFonts w:asciiTheme="majorHAnsi" w:eastAsia="Times New Roman" w:hAnsiTheme="majorHAnsi" w:cstheme="majorHAnsi"/>
                <w:color w:val="000000"/>
                <w:sz w:val="20"/>
                <w:szCs w:val="20"/>
                <w:lang w:val="ro-MD"/>
              </w:rPr>
              <w:t>,</w:t>
            </w:r>
            <w:r w:rsidRPr="00B13B9A">
              <w:rPr>
                <w:rFonts w:asciiTheme="majorHAnsi" w:eastAsia="Times New Roman" w:hAnsiTheme="majorHAnsi" w:cstheme="majorHAnsi"/>
                <w:color w:val="000000"/>
                <w:sz w:val="20"/>
                <w:szCs w:val="20"/>
                <w:lang w:val="ro-MD"/>
              </w:rPr>
              <w:t>0</w:t>
            </w:r>
          </w:p>
        </w:tc>
        <w:tc>
          <w:tcPr>
            <w:tcW w:w="1261" w:type="dxa"/>
            <w:tcBorders>
              <w:top w:val="nil"/>
              <w:left w:val="nil"/>
              <w:bottom w:val="single" w:sz="4" w:space="0" w:color="auto"/>
              <w:right w:val="single" w:sz="4" w:space="0" w:color="auto"/>
            </w:tcBorders>
            <w:shd w:val="clear" w:color="auto" w:fill="auto"/>
            <w:noWrap/>
            <w:vAlign w:val="bottom"/>
            <w:hideMark/>
          </w:tcPr>
          <w:p w14:paraId="70FCE314" w14:textId="51A99B88" w:rsidR="00230444" w:rsidRPr="00B13B9A" w:rsidRDefault="00230444" w:rsidP="00B51658">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3 071</w:t>
            </w:r>
            <w:r w:rsidR="00B51658" w:rsidRPr="00B13B9A">
              <w:rPr>
                <w:rFonts w:asciiTheme="majorHAnsi" w:eastAsia="Times New Roman" w:hAnsiTheme="majorHAnsi" w:cstheme="majorHAnsi"/>
                <w:color w:val="000000"/>
                <w:sz w:val="20"/>
                <w:szCs w:val="20"/>
                <w:lang w:val="ro-MD"/>
              </w:rPr>
              <w:t>,</w:t>
            </w:r>
            <w:r w:rsidRPr="00B13B9A">
              <w:rPr>
                <w:rFonts w:asciiTheme="majorHAnsi" w:eastAsia="Times New Roman" w:hAnsiTheme="majorHAnsi" w:cstheme="majorHAnsi"/>
                <w:color w:val="000000"/>
                <w:sz w:val="20"/>
                <w:szCs w:val="20"/>
                <w:lang w:val="ro-MD"/>
              </w:rPr>
              <w:t>4</w:t>
            </w:r>
          </w:p>
        </w:tc>
        <w:tc>
          <w:tcPr>
            <w:tcW w:w="1805" w:type="dxa"/>
            <w:tcBorders>
              <w:top w:val="nil"/>
              <w:left w:val="nil"/>
              <w:bottom w:val="single" w:sz="4" w:space="0" w:color="auto"/>
              <w:right w:val="single" w:sz="4" w:space="0" w:color="auto"/>
            </w:tcBorders>
            <w:shd w:val="clear" w:color="auto" w:fill="auto"/>
            <w:noWrap/>
            <w:vAlign w:val="bottom"/>
            <w:hideMark/>
          </w:tcPr>
          <w:p w14:paraId="30A070B3" w14:textId="77777777" w:rsidR="00230444" w:rsidRPr="00B13B9A" w:rsidRDefault="00230444" w:rsidP="00230444">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310,4</w:t>
            </w:r>
          </w:p>
        </w:tc>
        <w:tc>
          <w:tcPr>
            <w:tcW w:w="1583" w:type="dxa"/>
            <w:tcBorders>
              <w:top w:val="nil"/>
              <w:left w:val="nil"/>
              <w:bottom w:val="single" w:sz="4" w:space="0" w:color="auto"/>
              <w:right w:val="single" w:sz="4" w:space="0" w:color="auto"/>
            </w:tcBorders>
            <w:shd w:val="clear" w:color="auto" w:fill="auto"/>
            <w:noWrap/>
            <w:vAlign w:val="bottom"/>
            <w:hideMark/>
          </w:tcPr>
          <w:p w14:paraId="16105560" w14:textId="77777777" w:rsidR="00230444" w:rsidRPr="00B13B9A" w:rsidRDefault="00230444" w:rsidP="00230444">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12,5</w:t>
            </w:r>
          </w:p>
        </w:tc>
      </w:tr>
    </w:tbl>
    <w:p w14:paraId="495E001D" w14:textId="1CF5B39B" w:rsidR="00230444" w:rsidRPr="00B13B9A" w:rsidRDefault="00ED7321" w:rsidP="00230444">
      <w:pPr>
        <w:pStyle w:val="a7"/>
        <w:spacing w:after="0" w:line="276" w:lineRule="auto"/>
        <w:ind w:left="0"/>
        <w:jc w:val="both"/>
        <w:rPr>
          <w:rFonts w:asciiTheme="majorHAnsi" w:hAnsiTheme="majorHAnsi" w:cstheme="majorHAnsi"/>
          <w:i/>
          <w:sz w:val="20"/>
          <w:szCs w:val="20"/>
          <w:lang w:val="ro-MD"/>
        </w:rPr>
      </w:pPr>
      <w:r w:rsidRPr="00B13B9A">
        <w:rPr>
          <w:rFonts w:asciiTheme="majorHAnsi" w:hAnsiTheme="majorHAnsi" w:cstheme="majorHAnsi"/>
          <w:b/>
          <w:i/>
          <w:sz w:val="20"/>
          <w:szCs w:val="20"/>
          <w:lang w:val="ro-MD"/>
        </w:rPr>
        <w:t>Sursa:</w:t>
      </w:r>
      <w:r w:rsidRPr="00B13B9A">
        <w:rPr>
          <w:rFonts w:asciiTheme="majorHAnsi" w:hAnsiTheme="majorHAnsi" w:cstheme="majorHAnsi"/>
          <w:i/>
          <w:sz w:val="20"/>
          <w:szCs w:val="20"/>
          <w:lang w:val="ro-MD"/>
        </w:rPr>
        <w:t xml:space="preserve"> Elaborat în baza eviden</w:t>
      </w:r>
      <w:r w:rsidR="00B13B9A" w:rsidRPr="00B13B9A">
        <w:rPr>
          <w:rFonts w:asciiTheme="majorHAnsi" w:hAnsiTheme="majorHAnsi" w:cstheme="majorHAnsi"/>
          <w:i/>
          <w:sz w:val="20"/>
          <w:szCs w:val="20"/>
          <w:lang w:val="ro-MD"/>
        </w:rPr>
        <w:t>ț</w:t>
      </w:r>
      <w:r w:rsidRPr="00B13B9A">
        <w:rPr>
          <w:rFonts w:asciiTheme="majorHAnsi" w:hAnsiTheme="majorHAnsi" w:cstheme="majorHAnsi"/>
          <w:i/>
          <w:sz w:val="20"/>
          <w:szCs w:val="20"/>
          <w:lang w:val="ro-MD"/>
        </w:rPr>
        <w:t>ei contabile</w:t>
      </w:r>
    </w:p>
    <w:p w14:paraId="363727A9" w14:textId="77777777" w:rsidR="00ED7321" w:rsidRPr="00B13B9A" w:rsidRDefault="00ED7321" w:rsidP="00230444">
      <w:pPr>
        <w:pStyle w:val="a7"/>
        <w:spacing w:after="0" w:line="276" w:lineRule="auto"/>
        <w:ind w:left="0"/>
        <w:jc w:val="both"/>
        <w:rPr>
          <w:rFonts w:asciiTheme="majorHAnsi" w:hAnsiTheme="majorHAnsi" w:cstheme="majorHAnsi"/>
          <w:sz w:val="24"/>
          <w:szCs w:val="24"/>
          <w:lang w:val="ro-MD"/>
        </w:rPr>
      </w:pPr>
    </w:p>
    <w:p w14:paraId="7CF95109" w14:textId="1F6FBF37" w:rsidR="00591955" w:rsidRPr="00B13B9A" w:rsidRDefault="00B37661" w:rsidP="00B37661">
      <w:pPr>
        <w:pStyle w:val="a7"/>
        <w:spacing w:after="0" w:line="276" w:lineRule="auto"/>
        <w:ind w:left="0"/>
        <w:jc w:val="both"/>
        <w:rPr>
          <w:rFonts w:asciiTheme="majorHAnsi" w:hAnsiTheme="majorHAnsi" w:cstheme="majorHAnsi"/>
          <w:sz w:val="24"/>
          <w:szCs w:val="24"/>
          <w:lang w:val="ro-MD"/>
        </w:rPr>
      </w:pPr>
      <w:r w:rsidRPr="00B13B9A">
        <w:rPr>
          <w:rFonts w:asciiTheme="majorHAnsi" w:hAnsiTheme="majorHAnsi" w:cstheme="majorHAnsi"/>
          <w:sz w:val="24"/>
          <w:szCs w:val="24"/>
          <w:lang w:val="ro-MD"/>
        </w:rPr>
        <w:t>Analiza de audit denotă că, în cadrul DNF medicamentele sunt s</w:t>
      </w:r>
      <w:r w:rsidR="00B51658" w:rsidRPr="00B13B9A">
        <w:rPr>
          <w:rFonts w:asciiTheme="majorHAnsi" w:hAnsiTheme="majorHAnsi" w:cstheme="majorHAnsi"/>
          <w:sz w:val="24"/>
          <w:szCs w:val="24"/>
          <w:lang w:val="ro-MD"/>
        </w:rPr>
        <w:t>t</w:t>
      </w:r>
      <w:r w:rsidRPr="00B13B9A">
        <w:rPr>
          <w:rFonts w:asciiTheme="majorHAnsi" w:hAnsiTheme="majorHAnsi" w:cstheme="majorHAnsi"/>
          <w:sz w:val="24"/>
          <w:szCs w:val="24"/>
          <w:lang w:val="ro-MD"/>
        </w:rPr>
        <w:t>ocate în conformitate cu regulile de păstrare</w:t>
      </w:r>
      <w:r w:rsidRPr="00B13B9A">
        <w:rPr>
          <w:rStyle w:val="a9"/>
          <w:rFonts w:asciiTheme="majorHAnsi" w:hAnsiTheme="majorHAnsi" w:cstheme="majorHAnsi"/>
          <w:sz w:val="24"/>
          <w:szCs w:val="24"/>
          <w:lang w:val="ro-MD"/>
        </w:rPr>
        <w:footnoteReference w:id="75"/>
      </w:r>
      <w:r w:rsidRPr="00B13B9A">
        <w:rPr>
          <w:rFonts w:asciiTheme="majorHAnsi" w:hAnsiTheme="majorHAnsi" w:cstheme="majorHAnsi"/>
          <w:sz w:val="24"/>
          <w:szCs w:val="24"/>
          <w:lang w:val="ro-MD"/>
        </w:rPr>
        <w:t>. De asemenea, la recep</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ionarea medicamentelor este calculat termenul de valabilitate restant</w:t>
      </w:r>
      <w:r w:rsidR="00B51658" w:rsidRPr="00B13B9A">
        <w:rPr>
          <w:rFonts w:asciiTheme="majorHAnsi" w:hAnsiTheme="majorHAnsi" w:cstheme="majorHAnsi"/>
          <w:sz w:val="24"/>
          <w:szCs w:val="24"/>
          <w:lang w:val="ro-MD"/>
        </w:rPr>
        <w:t>,</w:t>
      </w:r>
      <w:r w:rsidRPr="00B13B9A">
        <w:rPr>
          <w:rFonts w:asciiTheme="majorHAnsi" w:hAnsiTheme="majorHAnsi" w:cstheme="majorHAnsi"/>
          <w:sz w:val="24"/>
          <w:szCs w:val="24"/>
          <w:lang w:val="ro-MD"/>
        </w:rPr>
        <w:t xml:space="preserve"> care nu este mai mic de 80% din termenul de valabilitate total. Ulterior, distribu</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 xml:space="preserve">ia </w:t>
      </w:r>
      <w:r w:rsidR="00CD710E" w:rsidRPr="00B13B9A">
        <w:rPr>
          <w:rFonts w:asciiTheme="majorHAnsi" w:hAnsiTheme="majorHAnsi" w:cstheme="majorHAnsi"/>
          <w:sz w:val="24"/>
          <w:szCs w:val="24"/>
          <w:lang w:val="ro-MD"/>
        </w:rPr>
        <w:t xml:space="preserve">medicamentelor </w:t>
      </w:r>
      <w:r w:rsidRPr="00B13B9A">
        <w:rPr>
          <w:rFonts w:asciiTheme="majorHAnsi" w:hAnsiTheme="majorHAnsi" w:cstheme="majorHAnsi"/>
          <w:sz w:val="24"/>
          <w:szCs w:val="24"/>
          <w:lang w:val="ro-MD"/>
        </w:rPr>
        <w:t xml:space="preserve">are loc trimestrial, în baza planului de distribuire elaborat de către Departamentul Coordonare </w:t>
      </w:r>
      <w:r w:rsidR="00B51658" w:rsidRPr="00B13B9A">
        <w:rPr>
          <w:rFonts w:asciiTheme="majorHAnsi" w:hAnsiTheme="majorHAnsi" w:cstheme="majorHAnsi"/>
          <w:sz w:val="24"/>
          <w:szCs w:val="24"/>
          <w:lang w:val="ro-MD"/>
        </w:rPr>
        <w:t xml:space="preserve">al </w:t>
      </w:r>
      <w:r w:rsidRPr="00B13B9A">
        <w:rPr>
          <w:rFonts w:asciiTheme="majorHAnsi" w:hAnsiTheme="majorHAnsi" w:cstheme="majorHAnsi"/>
          <w:sz w:val="24"/>
          <w:szCs w:val="24"/>
          <w:lang w:val="ro-MD"/>
        </w:rPr>
        <w:t xml:space="preserve">PNRT </w:t>
      </w:r>
      <w:r w:rsidR="00B13B9A" w:rsidRPr="00B13B9A">
        <w:rPr>
          <w:rFonts w:asciiTheme="majorHAnsi" w:hAnsiTheme="majorHAnsi" w:cstheme="majorHAnsi"/>
          <w:sz w:val="24"/>
          <w:szCs w:val="24"/>
          <w:lang w:val="ro-MD"/>
        </w:rPr>
        <w:t>ș</w:t>
      </w:r>
      <w:r w:rsidRPr="00B13B9A">
        <w:rPr>
          <w:rFonts w:asciiTheme="majorHAnsi" w:hAnsiTheme="majorHAnsi" w:cstheme="majorHAnsi"/>
          <w:sz w:val="24"/>
          <w:szCs w:val="24"/>
          <w:lang w:val="ro-MD"/>
        </w:rPr>
        <w:t>i aprobat de Ministerul Sănătă</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 xml:space="preserve">ii. Totodată, stocul minim </w:t>
      </w:r>
      <w:r w:rsidR="00B13B9A" w:rsidRPr="00B13B9A">
        <w:rPr>
          <w:rFonts w:asciiTheme="majorHAnsi" w:hAnsiTheme="majorHAnsi" w:cstheme="majorHAnsi"/>
          <w:sz w:val="24"/>
          <w:szCs w:val="24"/>
          <w:lang w:val="ro-MD"/>
        </w:rPr>
        <w:t>ș</w:t>
      </w:r>
      <w:r w:rsidRPr="00B13B9A">
        <w:rPr>
          <w:rFonts w:asciiTheme="majorHAnsi" w:hAnsiTheme="majorHAnsi" w:cstheme="majorHAnsi"/>
          <w:sz w:val="24"/>
          <w:szCs w:val="24"/>
          <w:lang w:val="ro-MD"/>
        </w:rPr>
        <w:t>i stocul maxim recomandat pentru buna func</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ionare a sistemului de aprovizionare constituie</w:t>
      </w:r>
      <w:r w:rsidR="00CD710E" w:rsidRPr="00B13B9A">
        <w:rPr>
          <w:rFonts w:asciiTheme="majorHAnsi" w:hAnsiTheme="majorHAnsi" w:cstheme="majorHAnsi"/>
          <w:sz w:val="24"/>
          <w:szCs w:val="24"/>
          <w:lang w:val="ro-MD"/>
        </w:rPr>
        <w:t>,</w:t>
      </w:r>
      <w:r w:rsidRPr="00B13B9A">
        <w:rPr>
          <w:rFonts w:asciiTheme="majorHAnsi" w:hAnsiTheme="majorHAnsi" w:cstheme="majorHAnsi"/>
          <w:sz w:val="24"/>
          <w:szCs w:val="24"/>
          <w:lang w:val="ro-MD"/>
        </w:rPr>
        <w:t xml:space="preserve"> respectiv</w:t>
      </w:r>
      <w:r w:rsidR="00CD710E" w:rsidRPr="00B13B9A">
        <w:rPr>
          <w:rFonts w:asciiTheme="majorHAnsi" w:hAnsiTheme="majorHAnsi" w:cstheme="majorHAnsi"/>
          <w:sz w:val="24"/>
          <w:szCs w:val="24"/>
          <w:lang w:val="ro-MD"/>
        </w:rPr>
        <w:t>,</w:t>
      </w:r>
      <w:r w:rsidRPr="00B13B9A">
        <w:rPr>
          <w:rFonts w:asciiTheme="majorHAnsi" w:hAnsiTheme="majorHAnsi" w:cstheme="majorHAnsi"/>
          <w:sz w:val="24"/>
          <w:szCs w:val="24"/>
          <w:lang w:val="ro-MD"/>
        </w:rPr>
        <w:t xml:space="preserve"> 6 </w:t>
      </w:r>
      <w:r w:rsidR="00B13B9A" w:rsidRPr="00B13B9A">
        <w:rPr>
          <w:rFonts w:asciiTheme="majorHAnsi" w:hAnsiTheme="majorHAnsi" w:cstheme="majorHAnsi"/>
          <w:sz w:val="24"/>
          <w:szCs w:val="24"/>
          <w:lang w:val="ro-MD"/>
        </w:rPr>
        <w:t>ș</w:t>
      </w:r>
      <w:r w:rsidRPr="00B13B9A">
        <w:rPr>
          <w:rFonts w:asciiTheme="majorHAnsi" w:hAnsiTheme="majorHAnsi" w:cstheme="majorHAnsi"/>
          <w:sz w:val="24"/>
          <w:szCs w:val="24"/>
          <w:lang w:val="ro-MD"/>
        </w:rPr>
        <w:t>i 9 luni</w:t>
      </w:r>
      <w:r w:rsidRPr="00B13B9A">
        <w:rPr>
          <w:rStyle w:val="a9"/>
          <w:rFonts w:asciiTheme="majorHAnsi" w:hAnsiTheme="majorHAnsi" w:cstheme="majorHAnsi"/>
          <w:sz w:val="24"/>
          <w:szCs w:val="24"/>
          <w:lang w:val="ro-MD"/>
        </w:rPr>
        <w:footnoteReference w:id="76"/>
      </w:r>
      <w:r w:rsidRPr="00B13B9A">
        <w:rPr>
          <w:rFonts w:asciiTheme="majorHAnsi" w:hAnsiTheme="majorHAnsi" w:cstheme="majorHAnsi"/>
          <w:sz w:val="24"/>
          <w:szCs w:val="24"/>
          <w:lang w:val="ro-MD"/>
        </w:rPr>
        <w:t xml:space="preserve">, astfel stocul de medicamente antituberculoase la </w:t>
      </w:r>
      <w:r w:rsidR="00CD710E" w:rsidRPr="00B13B9A">
        <w:rPr>
          <w:rFonts w:asciiTheme="majorHAnsi" w:hAnsiTheme="majorHAnsi" w:cstheme="majorHAnsi"/>
          <w:sz w:val="24"/>
          <w:szCs w:val="24"/>
          <w:lang w:val="ro-MD"/>
        </w:rPr>
        <w:t>situa</w:t>
      </w:r>
      <w:r w:rsidR="00B13B9A" w:rsidRPr="00B13B9A">
        <w:rPr>
          <w:rFonts w:asciiTheme="majorHAnsi" w:hAnsiTheme="majorHAnsi" w:cstheme="majorHAnsi"/>
          <w:sz w:val="24"/>
          <w:szCs w:val="24"/>
          <w:lang w:val="ro-MD"/>
        </w:rPr>
        <w:t>ț</w:t>
      </w:r>
      <w:r w:rsidR="00CD710E" w:rsidRPr="00B13B9A">
        <w:rPr>
          <w:rFonts w:asciiTheme="majorHAnsi" w:hAnsiTheme="majorHAnsi" w:cstheme="majorHAnsi"/>
          <w:sz w:val="24"/>
          <w:szCs w:val="24"/>
          <w:lang w:val="ro-MD"/>
        </w:rPr>
        <w:t xml:space="preserve">ia din </w:t>
      </w:r>
      <w:r w:rsidRPr="00B13B9A">
        <w:rPr>
          <w:rFonts w:asciiTheme="majorHAnsi" w:hAnsiTheme="majorHAnsi" w:cstheme="majorHAnsi"/>
          <w:sz w:val="24"/>
          <w:szCs w:val="24"/>
          <w:lang w:val="ro-MD"/>
        </w:rPr>
        <w:t>30.06.2023 constitui</w:t>
      </w:r>
      <w:r w:rsidR="00CD710E" w:rsidRPr="00B13B9A">
        <w:rPr>
          <w:rFonts w:asciiTheme="majorHAnsi" w:hAnsiTheme="majorHAnsi" w:cstheme="majorHAnsi"/>
          <w:sz w:val="24"/>
          <w:szCs w:val="24"/>
          <w:lang w:val="ro-MD"/>
        </w:rPr>
        <w:t>a</w:t>
      </w:r>
      <w:r w:rsidRPr="00B13B9A">
        <w:rPr>
          <w:rFonts w:asciiTheme="majorHAnsi" w:hAnsiTheme="majorHAnsi" w:cstheme="majorHAnsi"/>
          <w:sz w:val="24"/>
          <w:szCs w:val="24"/>
          <w:lang w:val="ro-MD"/>
        </w:rPr>
        <w:t xml:space="preserve"> 20 463,0 mii lei. </w:t>
      </w:r>
    </w:p>
    <w:p w14:paraId="03A6D3E3" w14:textId="352084E1" w:rsidR="00B37661" w:rsidRPr="00B13B9A" w:rsidRDefault="00B37661" w:rsidP="00B37661">
      <w:pPr>
        <w:pStyle w:val="a7"/>
        <w:spacing w:after="0" w:line="276" w:lineRule="auto"/>
        <w:ind w:left="0"/>
        <w:jc w:val="both"/>
        <w:rPr>
          <w:rFonts w:asciiTheme="majorHAnsi" w:hAnsiTheme="majorHAnsi" w:cstheme="majorHAnsi"/>
          <w:sz w:val="24"/>
          <w:szCs w:val="24"/>
          <w:lang w:val="ro-MD"/>
        </w:rPr>
      </w:pPr>
      <w:r w:rsidRPr="00B13B9A">
        <w:rPr>
          <w:rFonts w:asciiTheme="majorHAnsi" w:hAnsiTheme="majorHAnsi" w:cstheme="majorHAnsi"/>
          <w:sz w:val="24"/>
          <w:szCs w:val="24"/>
          <w:lang w:val="ro-MD"/>
        </w:rPr>
        <w:t>Verificările de audit prin analiza, contrapunerea de informa</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 xml:space="preserve">ii </w:t>
      </w:r>
      <w:r w:rsidR="00B13B9A" w:rsidRPr="00B13B9A">
        <w:rPr>
          <w:rFonts w:asciiTheme="majorHAnsi" w:hAnsiTheme="majorHAnsi" w:cstheme="majorHAnsi"/>
          <w:sz w:val="24"/>
          <w:szCs w:val="24"/>
          <w:lang w:val="ro-MD"/>
        </w:rPr>
        <w:t>ș</w:t>
      </w:r>
      <w:r w:rsidRPr="00B13B9A">
        <w:rPr>
          <w:rFonts w:asciiTheme="majorHAnsi" w:hAnsiTheme="majorHAnsi" w:cstheme="majorHAnsi"/>
          <w:sz w:val="24"/>
          <w:szCs w:val="24"/>
          <w:lang w:val="ro-MD"/>
        </w:rPr>
        <w:t>i efectuarea inventarierii la fa</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a locului nu au identificat neconformită</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 xml:space="preserve">i. </w:t>
      </w:r>
    </w:p>
    <w:p w14:paraId="321B6AA1" w14:textId="6A0F2DDD" w:rsidR="00B37661" w:rsidRPr="00B13B9A" w:rsidRDefault="00591955" w:rsidP="00591955">
      <w:pPr>
        <w:pStyle w:val="a7"/>
        <w:spacing w:after="0" w:line="276" w:lineRule="auto"/>
        <w:ind w:left="0"/>
        <w:jc w:val="both"/>
        <w:rPr>
          <w:rFonts w:asciiTheme="majorHAnsi" w:eastAsia="Times New Roman" w:hAnsiTheme="majorHAnsi" w:cstheme="majorHAnsi"/>
          <w:color w:val="000000"/>
          <w:sz w:val="24"/>
          <w:szCs w:val="24"/>
          <w:lang w:val="ro-MD"/>
        </w:rPr>
      </w:pPr>
      <w:r w:rsidRPr="00B13B9A">
        <w:rPr>
          <w:rFonts w:asciiTheme="majorHAnsi" w:hAnsiTheme="majorHAnsi" w:cstheme="majorHAnsi"/>
          <w:sz w:val="24"/>
          <w:szCs w:val="24"/>
          <w:lang w:val="ro-MD"/>
        </w:rPr>
        <w:t xml:space="preserve">Cu referire la medicamentele </w:t>
      </w:r>
      <w:r w:rsidR="00CD710E" w:rsidRPr="00B13B9A">
        <w:rPr>
          <w:rFonts w:asciiTheme="majorHAnsi" w:hAnsiTheme="majorHAnsi" w:cstheme="majorHAnsi"/>
          <w:sz w:val="24"/>
          <w:szCs w:val="24"/>
          <w:lang w:val="ro-MD"/>
        </w:rPr>
        <w:t xml:space="preserve">din DFI, auditul relevă </w:t>
      </w:r>
      <w:r w:rsidR="00F37F5E" w:rsidRPr="00B13B9A">
        <w:rPr>
          <w:rFonts w:asciiTheme="majorHAnsi" w:hAnsiTheme="majorHAnsi" w:cstheme="majorHAnsi"/>
          <w:sz w:val="24"/>
          <w:szCs w:val="24"/>
          <w:lang w:val="ro-MD"/>
        </w:rPr>
        <w:t>că acestea sunt</w:t>
      </w:r>
      <w:r w:rsidR="00B37661" w:rsidRPr="00B13B9A">
        <w:rPr>
          <w:rFonts w:asciiTheme="majorHAnsi" w:hAnsiTheme="majorHAnsi" w:cstheme="majorHAnsi"/>
          <w:sz w:val="24"/>
          <w:szCs w:val="24"/>
          <w:lang w:val="ro-MD"/>
        </w:rPr>
        <w:t xml:space="preserve"> destinat</w:t>
      </w:r>
      <w:r w:rsidR="00F37F5E" w:rsidRPr="00B13B9A">
        <w:rPr>
          <w:rFonts w:asciiTheme="majorHAnsi" w:hAnsiTheme="majorHAnsi" w:cstheme="majorHAnsi"/>
          <w:sz w:val="24"/>
          <w:szCs w:val="24"/>
          <w:lang w:val="ro-MD"/>
        </w:rPr>
        <w:t>e</w:t>
      </w:r>
      <w:r w:rsidR="00B37661" w:rsidRPr="00B13B9A">
        <w:rPr>
          <w:rFonts w:asciiTheme="majorHAnsi" w:hAnsiTheme="majorHAnsi" w:cstheme="majorHAnsi"/>
          <w:sz w:val="24"/>
          <w:szCs w:val="24"/>
          <w:lang w:val="ro-MD"/>
        </w:rPr>
        <w:t xml:space="preserve"> pentru asigurarea necesită</w:t>
      </w:r>
      <w:r w:rsidR="00B13B9A" w:rsidRPr="00B13B9A">
        <w:rPr>
          <w:rFonts w:asciiTheme="majorHAnsi" w:hAnsiTheme="majorHAnsi" w:cstheme="majorHAnsi"/>
          <w:sz w:val="24"/>
          <w:szCs w:val="24"/>
          <w:lang w:val="ro-MD"/>
        </w:rPr>
        <w:t>ț</w:t>
      </w:r>
      <w:r w:rsidR="00B37661" w:rsidRPr="00B13B9A">
        <w:rPr>
          <w:rFonts w:asciiTheme="majorHAnsi" w:hAnsiTheme="majorHAnsi" w:cstheme="majorHAnsi"/>
          <w:sz w:val="24"/>
          <w:szCs w:val="24"/>
          <w:lang w:val="ro-MD"/>
        </w:rPr>
        <w:t xml:space="preserve">ilor interne de medicamente. Astfel, pentru procurarea medicamentelor necesare în </w:t>
      </w:r>
      <w:r w:rsidR="00F37F5E" w:rsidRPr="00B13B9A">
        <w:rPr>
          <w:rFonts w:asciiTheme="majorHAnsi" w:hAnsiTheme="majorHAnsi" w:cstheme="majorHAnsi"/>
          <w:sz w:val="24"/>
          <w:szCs w:val="24"/>
          <w:lang w:val="ro-MD"/>
        </w:rPr>
        <w:t>DFI,</w:t>
      </w:r>
      <w:r w:rsidR="00B37661" w:rsidRPr="00B13B9A">
        <w:rPr>
          <w:rFonts w:asciiTheme="majorHAnsi" w:hAnsiTheme="majorHAnsi" w:cstheme="majorHAnsi"/>
          <w:sz w:val="24"/>
          <w:szCs w:val="24"/>
          <w:lang w:val="ro-MD"/>
        </w:rPr>
        <w:t xml:space="preserve"> au fost </w:t>
      </w:r>
      <w:r w:rsidR="00475DED">
        <w:rPr>
          <w:rFonts w:asciiTheme="majorHAnsi" w:hAnsiTheme="majorHAnsi" w:cstheme="majorHAnsi"/>
          <w:sz w:val="24"/>
          <w:szCs w:val="24"/>
          <w:lang w:val="ro-MD"/>
        </w:rPr>
        <w:t xml:space="preserve">utilizate </w:t>
      </w:r>
      <w:r w:rsidR="00B37661" w:rsidRPr="00B13B9A">
        <w:rPr>
          <w:rFonts w:asciiTheme="majorHAnsi" w:hAnsiTheme="majorHAnsi" w:cstheme="majorHAnsi"/>
          <w:sz w:val="24"/>
          <w:szCs w:val="24"/>
          <w:lang w:val="ro-MD"/>
        </w:rPr>
        <w:t xml:space="preserve">următoarele </w:t>
      </w:r>
      <w:r w:rsidR="00475DED">
        <w:rPr>
          <w:rFonts w:asciiTheme="majorHAnsi" w:hAnsiTheme="majorHAnsi" w:cstheme="majorHAnsi"/>
          <w:sz w:val="24"/>
          <w:szCs w:val="24"/>
          <w:lang w:val="ro-MD"/>
        </w:rPr>
        <w:t>mijloace financiare</w:t>
      </w:r>
      <w:r w:rsidR="00B37661" w:rsidRPr="00B13B9A">
        <w:rPr>
          <w:rFonts w:asciiTheme="majorHAnsi" w:hAnsiTheme="majorHAnsi" w:cstheme="majorHAnsi"/>
          <w:sz w:val="24"/>
          <w:szCs w:val="24"/>
          <w:lang w:val="ro-MD"/>
        </w:rPr>
        <w:t xml:space="preserve">: </w:t>
      </w:r>
      <w:r w:rsidR="00B37661" w:rsidRPr="00B13B9A">
        <w:rPr>
          <w:rFonts w:asciiTheme="majorHAnsi" w:hAnsiTheme="majorHAnsi" w:cstheme="majorHAnsi"/>
          <w:i/>
          <w:sz w:val="24"/>
          <w:szCs w:val="24"/>
          <w:lang w:val="ro-MD"/>
        </w:rPr>
        <w:t>în anul</w:t>
      </w:r>
      <w:r w:rsidR="00B37661" w:rsidRPr="00B13B9A">
        <w:rPr>
          <w:rFonts w:asciiTheme="majorHAnsi" w:hAnsiTheme="majorHAnsi" w:cstheme="majorHAnsi"/>
          <w:sz w:val="24"/>
          <w:szCs w:val="24"/>
          <w:lang w:val="ro-MD"/>
        </w:rPr>
        <w:t xml:space="preserve"> </w:t>
      </w:r>
      <w:r w:rsidR="00B37661" w:rsidRPr="00B13B9A">
        <w:rPr>
          <w:rFonts w:asciiTheme="majorHAnsi" w:hAnsiTheme="majorHAnsi" w:cstheme="majorHAnsi"/>
          <w:i/>
          <w:sz w:val="24"/>
          <w:szCs w:val="24"/>
          <w:lang w:val="ro-MD"/>
        </w:rPr>
        <w:t xml:space="preserve">2021 </w:t>
      </w:r>
      <w:r w:rsidR="00F37F5E" w:rsidRPr="00B13B9A">
        <w:rPr>
          <w:rFonts w:asciiTheme="majorHAnsi" w:hAnsiTheme="majorHAnsi" w:cstheme="majorHAnsi"/>
          <w:i/>
          <w:sz w:val="24"/>
          <w:szCs w:val="24"/>
          <w:lang w:val="ro-MD"/>
        </w:rPr>
        <w:t>–</w:t>
      </w:r>
      <w:r w:rsidR="00B37661" w:rsidRPr="00B13B9A">
        <w:rPr>
          <w:rFonts w:asciiTheme="majorHAnsi" w:hAnsiTheme="majorHAnsi" w:cstheme="majorHAnsi"/>
          <w:i/>
          <w:sz w:val="24"/>
          <w:szCs w:val="24"/>
          <w:lang w:val="ro-MD"/>
        </w:rPr>
        <w:t xml:space="preserve"> 5 319,3 mii lei; în anul 2022 </w:t>
      </w:r>
      <w:r w:rsidR="00F37F5E" w:rsidRPr="00B13B9A">
        <w:rPr>
          <w:rFonts w:asciiTheme="majorHAnsi" w:hAnsiTheme="majorHAnsi" w:cstheme="majorHAnsi"/>
          <w:i/>
          <w:sz w:val="24"/>
          <w:szCs w:val="24"/>
          <w:lang w:val="ro-MD"/>
        </w:rPr>
        <w:t>–</w:t>
      </w:r>
      <w:r w:rsidR="00B37661" w:rsidRPr="00B13B9A">
        <w:rPr>
          <w:rFonts w:asciiTheme="majorHAnsi" w:hAnsiTheme="majorHAnsi" w:cstheme="majorHAnsi"/>
          <w:i/>
          <w:sz w:val="24"/>
          <w:szCs w:val="24"/>
          <w:lang w:val="ro-MD"/>
        </w:rPr>
        <w:t xml:space="preserve"> 3 391,5 mii lei</w:t>
      </w:r>
      <w:r w:rsidR="00F37F5E" w:rsidRPr="00B13B9A">
        <w:rPr>
          <w:rFonts w:asciiTheme="majorHAnsi" w:hAnsiTheme="majorHAnsi" w:cstheme="majorHAnsi"/>
          <w:i/>
          <w:sz w:val="24"/>
          <w:szCs w:val="24"/>
          <w:lang w:val="ro-MD"/>
        </w:rPr>
        <w:t>,</w:t>
      </w:r>
      <w:r w:rsidR="00B37661" w:rsidRPr="00B13B9A">
        <w:rPr>
          <w:rFonts w:asciiTheme="majorHAnsi" w:hAnsiTheme="majorHAnsi" w:cstheme="majorHAnsi"/>
          <w:i/>
          <w:sz w:val="24"/>
          <w:szCs w:val="24"/>
          <w:lang w:val="ro-MD"/>
        </w:rPr>
        <w:t xml:space="preserve"> </w:t>
      </w:r>
      <w:r w:rsidR="00B13B9A" w:rsidRPr="00B13B9A">
        <w:rPr>
          <w:rFonts w:asciiTheme="majorHAnsi" w:hAnsiTheme="majorHAnsi" w:cstheme="majorHAnsi"/>
          <w:i/>
          <w:sz w:val="24"/>
          <w:szCs w:val="24"/>
          <w:lang w:val="ro-MD"/>
        </w:rPr>
        <w:t>ș</w:t>
      </w:r>
      <w:r w:rsidR="00B37661" w:rsidRPr="00B13B9A">
        <w:rPr>
          <w:rFonts w:asciiTheme="majorHAnsi" w:hAnsiTheme="majorHAnsi" w:cstheme="majorHAnsi"/>
          <w:i/>
          <w:sz w:val="24"/>
          <w:szCs w:val="24"/>
          <w:lang w:val="ro-MD"/>
        </w:rPr>
        <w:t xml:space="preserve">i în anul  2023 (6 luni) </w:t>
      </w:r>
      <w:r w:rsidR="00F37F5E" w:rsidRPr="00B13B9A">
        <w:rPr>
          <w:rFonts w:asciiTheme="majorHAnsi" w:hAnsiTheme="majorHAnsi" w:cstheme="majorHAnsi"/>
          <w:i/>
          <w:sz w:val="24"/>
          <w:szCs w:val="24"/>
          <w:lang w:val="ro-MD"/>
        </w:rPr>
        <w:t>–</w:t>
      </w:r>
      <w:r w:rsidR="00B37661" w:rsidRPr="00B13B9A">
        <w:rPr>
          <w:rFonts w:asciiTheme="majorHAnsi" w:hAnsiTheme="majorHAnsi" w:cstheme="majorHAnsi"/>
          <w:i/>
          <w:sz w:val="24"/>
          <w:szCs w:val="24"/>
          <w:lang w:val="ro-MD"/>
        </w:rPr>
        <w:t xml:space="preserve"> 1 907,7 mii lei. </w:t>
      </w:r>
      <w:r w:rsidR="00B37661" w:rsidRPr="00B13B9A">
        <w:rPr>
          <w:rFonts w:asciiTheme="majorHAnsi" w:hAnsiTheme="majorHAnsi" w:cstheme="majorHAnsi"/>
          <w:sz w:val="24"/>
          <w:szCs w:val="24"/>
          <w:lang w:val="ro-MD"/>
        </w:rPr>
        <w:t>Pe parcursul anului 2022</w:t>
      </w:r>
      <w:r w:rsidR="00F37F5E" w:rsidRPr="00B13B9A">
        <w:rPr>
          <w:rFonts w:asciiTheme="majorHAnsi" w:hAnsiTheme="majorHAnsi" w:cstheme="majorHAnsi"/>
          <w:sz w:val="24"/>
          <w:szCs w:val="24"/>
          <w:lang w:val="ro-MD"/>
        </w:rPr>
        <w:t xml:space="preserve">, pentru completarea necesarului de medicamente </w:t>
      </w:r>
      <w:r w:rsidR="00B37661" w:rsidRPr="00B13B9A">
        <w:rPr>
          <w:rFonts w:asciiTheme="majorHAnsi" w:hAnsiTheme="majorHAnsi" w:cstheme="majorHAnsi"/>
          <w:sz w:val="24"/>
          <w:szCs w:val="24"/>
          <w:lang w:val="ro-MD"/>
        </w:rPr>
        <w:t>în  DFI</w:t>
      </w:r>
      <w:r w:rsidR="00FB2E99" w:rsidRPr="00B13B9A">
        <w:rPr>
          <w:rFonts w:asciiTheme="majorHAnsi" w:hAnsiTheme="majorHAnsi" w:cstheme="majorHAnsi"/>
          <w:sz w:val="24"/>
          <w:szCs w:val="24"/>
          <w:lang w:val="ro-MD"/>
        </w:rPr>
        <w:t>,</w:t>
      </w:r>
      <w:r w:rsidR="00B37661" w:rsidRPr="00B13B9A">
        <w:rPr>
          <w:rFonts w:asciiTheme="majorHAnsi" w:hAnsiTheme="majorHAnsi" w:cstheme="majorHAnsi"/>
          <w:sz w:val="24"/>
          <w:szCs w:val="24"/>
          <w:lang w:val="ro-MD"/>
        </w:rPr>
        <w:t xml:space="preserve"> au fost încheiate 45 de contracte cu 10 agen</w:t>
      </w:r>
      <w:r w:rsidR="00B13B9A" w:rsidRPr="00B13B9A">
        <w:rPr>
          <w:rFonts w:asciiTheme="majorHAnsi" w:hAnsiTheme="majorHAnsi" w:cstheme="majorHAnsi"/>
          <w:sz w:val="24"/>
          <w:szCs w:val="24"/>
          <w:lang w:val="ro-MD"/>
        </w:rPr>
        <w:t>ț</w:t>
      </w:r>
      <w:r w:rsidR="00B37661" w:rsidRPr="00B13B9A">
        <w:rPr>
          <w:rFonts w:asciiTheme="majorHAnsi" w:hAnsiTheme="majorHAnsi" w:cstheme="majorHAnsi"/>
          <w:sz w:val="24"/>
          <w:szCs w:val="24"/>
          <w:lang w:val="ro-MD"/>
        </w:rPr>
        <w:t>i economici. Astfel, se denotă că, din 45 de contracte</w:t>
      </w:r>
      <w:r w:rsidR="00F37F5E" w:rsidRPr="00B13B9A">
        <w:rPr>
          <w:rFonts w:asciiTheme="majorHAnsi" w:hAnsiTheme="majorHAnsi" w:cstheme="majorHAnsi"/>
          <w:sz w:val="24"/>
          <w:szCs w:val="24"/>
          <w:lang w:val="ro-MD"/>
        </w:rPr>
        <w:t>,</w:t>
      </w:r>
      <w:r w:rsidR="00B37661" w:rsidRPr="00B13B9A">
        <w:rPr>
          <w:rFonts w:asciiTheme="majorHAnsi" w:hAnsiTheme="majorHAnsi" w:cstheme="majorHAnsi"/>
          <w:sz w:val="24"/>
          <w:szCs w:val="24"/>
          <w:lang w:val="ro-MD"/>
        </w:rPr>
        <w:t xml:space="preserve"> doar 16 au fost executate la nivel de 100%, 5 nu au fost executate, </w:t>
      </w:r>
      <w:r w:rsidR="00F37F5E" w:rsidRPr="00B13B9A">
        <w:rPr>
          <w:rFonts w:asciiTheme="majorHAnsi" w:hAnsiTheme="majorHAnsi" w:cstheme="majorHAnsi"/>
          <w:sz w:val="24"/>
          <w:szCs w:val="24"/>
          <w:lang w:val="ro-MD"/>
        </w:rPr>
        <w:t xml:space="preserve">iar </w:t>
      </w:r>
      <w:r w:rsidR="00B37661" w:rsidRPr="00B13B9A">
        <w:rPr>
          <w:rFonts w:asciiTheme="majorHAnsi" w:hAnsiTheme="majorHAnsi" w:cstheme="majorHAnsi"/>
          <w:sz w:val="24"/>
          <w:szCs w:val="24"/>
          <w:lang w:val="ro-MD"/>
        </w:rPr>
        <w:t xml:space="preserve">altele </w:t>
      </w:r>
      <w:r w:rsidR="00B37661" w:rsidRPr="00B13B9A">
        <w:rPr>
          <w:rFonts w:asciiTheme="majorHAnsi" w:eastAsia="Times New Roman" w:hAnsiTheme="majorHAnsi" w:cstheme="majorHAnsi"/>
          <w:color w:val="000000"/>
          <w:sz w:val="24"/>
          <w:szCs w:val="24"/>
          <w:lang w:val="ro-MD"/>
        </w:rPr>
        <w:t xml:space="preserve">24 au fost executate la un nivel care a variat între 5% </w:t>
      </w:r>
      <w:r w:rsidR="00B13B9A" w:rsidRPr="00B13B9A">
        <w:rPr>
          <w:rFonts w:asciiTheme="majorHAnsi" w:eastAsia="Times New Roman" w:hAnsiTheme="majorHAnsi" w:cstheme="majorHAnsi"/>
          <w:color w:val="000000"/>
          <w:sz w:val="24"/>
          <w:szCs w:val="24"/>
          <w:lang w:val="ro-MD"/>
        </w:rPr>
        <w:t>ș</w:t>
      </w:r>
      <w:r w:rsidR="00B37661" w:rsidRPr="00B13B9A">
        <w:rPr>
          <w:rFonts w:asciiTheme="majorHAnsi" w:eastAsia="Times New Roman" w:hAnsiTheme="majorHAnsi" w:cstheme="majorHAnsi"/>
          <w:color w:val="000000"/>
          <w:sz w:val="24"/>
          <w:szCs w:val="24"/>
          <w:lang w:val="ro-MD"/>
        </w:rPr>
        <w:t xml:space="preserve">i 95%. Entitatea a motivat neexecutarea contractelor </w:t>
      </w:r>
      <w:r w:rsidR="00F37F5E" w:rsidRPr="00B13B9A">
        <w:rPr>
          <w:rFonts w:asciiTheme="majorHAnsi" w:eastAsia="Times New Roman" w:hAnsiTheme="majorHAnsi" w:cstheme="majorHAnsi"/>
          <w:color w:val="000000"/>
          <w:sz w:val="24"/>
          <w:szCs w:val="24"/>
          <w:lang w:val="ro-MD"/>
        </w:rPr>
        <w:t xml:space="preserve">prin </w:t>
      </w:r>
      <w:r w:rsidR="00B37661" w:rsidRPr="00B13B9A">
        <w:rPr>
          <w:rFonts w:asciiTheme="majorHAnsi" w:eastAsia="Times New Roman" w:hAnsiTheme="majorHAnsi" w:cstheme="majorHAnsi"/>
          <w:color w:val="000000"/>
          <w:sz w:val="24"/>
          <w:szCs w:val="24"/>
          <w:lang w:val="ro-MD"/>
        </w:rPr>
        <w:t xml:space="preserve"> cre</w:t>
      </w:r>
      <w:r w:rsidR="00F37F5E" w:rsidRPr="00B13B9A">
        <w:rPr>
          <w:rFonts w:asciiTheme="majorHAnsi" w:eastAsia="Times New Roman" w:hAnsiTheme="majorHAnsi" w:cstheme="majorHAnsi"/>
          <w:color w:val="000000"/>
          <w:sz w:val="24"/>
          <w:szCs w:val="24"/>
          <w:lang w:val="ro-MD"/>
        </w:rPr>
        <w:t>area</w:t>
      </w:r>
      <w:r w:rsidR="00B37661" w:rsidRPr="00B13B9A">
        <w:rPr>
          <w:rFonts w:asciiTheme="majorHAnsi" w:eastAsia="Times New Roman" w:hAnsiTheme="majorHAnsi" w:cstheme="majorHAnsi"/>
          <w:color w:val="000000"/>
          <w:sz w:val="24"/>
          <w:szCs w:val="24"/>
          <w:lang w:val="ro-MD"/>
        </w:rPr>
        <w:t xml:space="preserve"> situa</w:t>
      </w:r>
      <w:r w:rsidR="00B13B9A" w:rsidRPr="00B13B9A">
        <w:rPr>
          <w:rFonts w:asciiTheme="majorHAnsi" w:eastAsia="Times New Roman" w:hAnsiTheme="majorHAnsi" w:cstheme="majorHAnsi"/>
          <w:color w:val="000000"/>
          <w:sz w:val="24"/>
          <w:szCs w:val="24"/>
          <w:lang w:val="ro-MD"/>
        </w:rPr>
        <w:t>ț</w:t>
      </w:r>
      <w:r w:rsidR="00B37661" w:rsidRPr="00B13B9A">
        <w:rPr>
          <w:rFonts w:asciiTheme="majorHAnsi" w:eastAsia="Times New Roman" w:hAnsiTheme="majorHAnsi" w:cstheme="majorHAnsi"/>
          <w:color w:val="000000"/>
          <w:sz w:val="24"/>
          <w:szCs w:val="24"/>
          <w:lang w:val="ro-MD"/>
        </w:rPr>
        <w:t>iei excep</w:t>
      </w:r>
      <w:r w:rsidR="00B13B9A" w:rsidRPr="00B13B9A">
        <w:rPr>
          <w:rFonts w:asciiTheme="majorHAnsi" w:eastAsia="Times New Roman" w:hAnsiTheme="majorHAnsi" w:cstheme="majorHAnsi"/>
          <w:color w:val="000000"/>
          <w:sz w:val="24"/>
          <w:szCs w:val="24"/>
          <w:lang w:val="ro-MD"/>
        </w:rPr>
        <w:t>ț</w:t>
      </w:r>
      <w:r w:rsidR="00B37661" w:rsidRPr="00B13B9A">
        <w:rPr>
          <w:rFonts w:asciiTheme="majorHAnsi" w:eastAsia="Times New Roman" w:hAnsiTheme="majorHAnsi" w:cstheme="majorHAnsi"/>
          <w:color w:val="000000"/>
          <w:sz w:val="24"/>
          <w:szCs w:val="24"/>
          <w:lang w:val="ro-MD"/>
        </w:rPr>
        <w:t xml:space="preserve">ionale din Ucraina, totodată </w:t>
      </w:r>
      <w:r w:rsidR="00F37F5E" w:rsidRPr="00B13B9A">
        <w:rPr>
          <w:rFonts w:asciiTheme="majorHAnsi" w:eastAsia="Times New Roman" w:hAnsiTheme="majorHAnsi" w:cstheme="majorHAnsi"/>
          <w:color w:val="000000"/>
          <w:sz w:val="24"/>
          <w:szCs w:val="24"/>
          <w:lang w:val="ro-MD"/>
        </w:rPr>
        <w:t>men</w:t>
      </w:r>
      <w:r w:rsidR="00B13B9A" w:rsidRPr="00B13B9A">
        <w:rPr>
          <w:rFonts w:asciiTheme="majorHAnsi" w:eastAsia="Times New Roman" w:hAnsiTheme="majorHAnsi" w:cstheme="majorHAnsi"/>
          <w:color w:val="000000"/>
          <w:sz w:val="24"/>
          <w:szCs w:val="24"/>
          <w:lang w:val="ro-MD"/>
        </w:rPr>
        <w:t>ț</w:t>
      </w:r>
      <w:r w:rsidR="00F37F5E" w:rsidRPr="00B13B9A">
        <w:rPr>
          <w:rFonts w:asciiTheme="majorHAnsi" w:eastAsia="Times New Roman" w:hAnsiTheme="majorHAnsi" w:cstheme="majorHAnsi"/>
          <w:color w:val="000000"/>
          <w:sz w:val="24"/>
          <w:szCs w:val="24"/>
          <w:lang w:val="ro-MD"/>
        </w:rPr>
        <w:t xml:space="preserve">ionând că </w:t>
      </w:r>
      <w:r w:rsidR="00B37661" w:rsidRPr="00B13B9A">
        <w:rPr>
          <w:rFonts w:asciiTheme="majorHAnsi" w:eastAsia="Times New Roman" w:hAnsiTheme="majorHAnsi" w:cstheme="majorHAnsi"/>
          <w:color w:val="000000"/>
          <w:sz w:val="24"/>
          <w:szCs w:val="24"/>
          <w:lang w:val="ro-MD"/>
        </w:rPr>
        <w:t xml:space="preserve">procesul de tratament nu a fost afectat. </w:t>
      </w:r>
    </w:p>
    <w:p w14:paraId="60D6810C" w14:textId="2D200B1F" w:rsidR="00B37661" w:rsidRPr="00B13B9A" w:rsidRDefault="00B37661" w:rsidP="00B37661">
      <w:pPr>
        <w:spacing w:after="0" w:line="276" w:lineRule="auto"/>
        <w:ind w:right="-157"/>
        <w:jc w:val="both"/>
        <w:rPr>
          <w:rFonts w:asciiTheme="majorHAnsi" w:eastAsia="Times New Roman" w:hAnsiTheme="majorHAnsi" w:cstheme="majorHAnsi"/>
          <w:color w:val="000000"/>
          <w:sz w:val="24"/>
          <w:szCs w:val="24"/>
          <w:lang w:val="ro-MD"/>
        </w:rPr>
      </w:pPr>
      <w:r w:rsidRPr="00B13B9A">
        <w:rPr>
          <w:rFonts w:asciiTheme="majorHAnsi" w:eastAsia="Times New Roman" w:hAnsiTheme="majorHAnsi" w:cstheme="majorHAnsi"/>
          <w:color w:val="000000"/>
          <w:sz w:val="24"/>
          <w:szCs w:val="24"/>
          <w:lang w:val="ro-MD"/>
        </w:rPr>
        <w:t>Subsecvent,</w:t>
      </w:r>
      <w:r w:rsidRPr="00B13B9A">
        <w:rPr>
          <w:rFonts w:asciiTheme="majorHAnsi" w:hAnsiTheme="majorHAnsi" w:cstheme="majorHAnsi"/>
          <w:sz w:val="24"/>
          <w:szCs w:val="24"/>
          <w:lang w:val="ro-MD"/>
        </w:rPr>
        <w:t xml:space="preserve"> </w:t>
      </w:r>
      <w:r w:rsidR="00F37F5E" w:rsidRPr="00B13B9A">
        <w:rPr>
          <w:rFonts w:asciiTheme="majorHAnsi" w:hAnsiTheme="majorHAnsi" w:cstheme="majorHAnsi"/>
          <w:sz w:val="24"/>
          <w:szCs w:val="24"/>
          <w:lang w:val="ro-MD"/>
        </w:rPr>
        <w:t>se relevă</w:t>
      </w:r>
      <w:r w:rsidRPr="00B13B9A">
        <w:rPr>
          <w:rFonts w:asciiTheme="majorHAnsi" w:hAnsiTheme="majorHAnsi" w:cstheme="majorHAnsi"/>
          <w:sz w:val="24"/>
          <w:szCs w:val="24"/>
          <w:lang w:val="ro-MD"/>
        </w:rPr>
        <w:t xml:space="preserve"> că, clauzele contractuale prevăd livrarea </w:t>
      </w:r>
      <w:r w:rsidR="00B13B9A" w:rsidRPr="00B13B9A">
        <w:rPr>
          <w:rFonts w:asciiTheme="majorHAnsi" w:hAnsiTheme="majorHAnsi" w:cstheme="majorHAnsi"/>
          <w:sz w:val="24"/>
          <w:szCs w:val="24"/>
          <w:lang w:val="ro-MD"/>
        </w:rPr>
        <w:t>ș</w:t>
      </w:r>
      <w:r w:rsidRPr="00B13B9A">
        <w:rPr>
          <w:rFonts w:asciiTheme="majorHAnsi" w:hAnsiTheme="majorHAnsi" w:cstheme="majorHAnsi"/>
          <w:sz w:val="24"/>
          <w:szCs w:val="24"/>
          <w:lang w:val="ro-MD"/>
        </w:rPr>
        <w:t>i recep</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ionarea medicamentelor cu termenul de valabilitate restant nu mai pu</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in de 60% din termenul de valabilitate ini</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ial</w:t>
      </w:r>
      <w:r w:rsidR="00F37F5E" w:rsidRPr="00B13B9A">
        <w:rPr>
          <w:rFonts w:asciiTheme="majorHAnsi" w:hAnsiTheme="majorHAnsi" w:cstheme="majorHAnsi"/>
          <w:sz w:val="24"/>
          <w:szCs w:val="24"/>
          <w:lang w:val="ro-MD"/>
        </w:rPr>
        <w:t>,</w:t>
      </w:r>
      <w:r w:rsidRPr="00B13B9A">
        <w:rPr>
          <w:rFonts w:asciiTheme="majorHAnsi" w:hAnsiTheme="majorHAnsi" w:cstheme="majorHAnsi"/>
          <w:sz w:val="24"/>
          <w:szCs w:val="24"/>
          <w:lang w:val="ro-MD"/>
        </w:rPr>
        <w:t xml:space="preserve"> pentru bunurile cu o valabilitate de 2 ani</w:t>
      </w:r>
      <w:r w:rsidR="00F37F5E" w:rsidRPr="00B13B9A">
        <w:rPr>
          <w:rFonts w:asciiTheme="majorHAnsi" w:hAnsiTheme="majorHAnsi" w:cstheme="majorHAnsi"/>
          <w:sz w:val="24"/>
          <w:szCs w:val="24"/>
          <w:lang w:val="ro-MD"/>
        </w:rPr>
        <w:t>,</w:t>
      </w:r>
      <w:r w:rsidRPr="00B13B9A">
        <w:rPr>
          <w:rFonts w:asciiTheme="majorHAnsi" w:hAnsiTheme="majorHAnsi" w:cstheme="majorHAnsi"/>
          <w:sz w:val="24"/>
          <w:szCs w:val="24"/>
          <w:lang w:val="ro-MD"/>
        </w:rPr>
        <w:t xml:space="preserve"> </w:t>
      </w:r>
      <w:r w:rsidR="00B13B9A" w:rsidRPr="00B13B9A">
        <w:rPr>
          <w:rFonts w:asciiTheme="majorHAnsi" w:hAnsiTheme="majorHAnsi" w:cstheme="majorHAnsi"/>
          <w:sz w:val="24"/>
          <w:szCs w:val="24"/>
          <w:lang w:val="ro-MD"/>
        </w:rPr>
        <w:t>ș</w:t>
      </w:r>
      <w:r w:rsidRPr="00B13B9A">
        <w:rPr>
          <w:rFonts w:asciiTheme="majorHAnsi" w:hAnsiTheme="majorHAnsi" w:cstheme="majorHAnsi"/>
          <w:sz w:val="24"/>
          <w:szCs w:val="24"/>
          <w:lang w:val="ro-MD"/>
        </w:rPr>
        <w:t xml:space="preserve">i mai mult </w:t>
      </w:r>
      <w:r w:rsidR="00B13B9A" w:rsidRPr="00B13B9A">
        <w:rPr>
          <w:rFonts w:asciiTheme="majorHAnsi" w:hAnsiTheme="majorHAnsi" w:cstheme="majorHAnsi"/>
          <w:sz w:val="24"/>
          <w:szCs w:val="24"/>
          <w:lang w:val="ro-MD"/>
        </w:rPr>
        <w:t>ș</w:t>
      </w:r>
      <w:r w:rsidRPr="00B13B9A">
        <w:rPr>
          <w:rFonts w:asciiTheme="majorHAnsi" w:hAnsiTheme="majorHAnsi" w:cstheme="majorHAnsi"/>
          <w:sz w:val="24"/>
          <w:szCs w:val="24"/>
          <w:lang w:val="ro-MD"/>
        </w:rPr>
        <w:t>i de 80% din termenul de valabilitate ini</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ial</w:t>
      </w:r>
      <w:r w:rsidR="00F37F5E" w:rsidRPr="00B13B9A">
        <w:rPr>
          <w:rFonts w:asciiTheme="majorHAnsi" w:hAnsiTheme="majorHAnsi" w:cstheme="majorHAnsi"/>
          <w:sz w:val="24"/>
          <w:szCs w:val="24"/>
          <w:lang w:val="ro-MD"/>
        </w:rPr>
        <w:t>,</w:t>
      </w:r>
      <w:r w:rsidRPr="00B13B9A">
        <w:rPr>
          <w:rFonts w:asciiTheme="majorHAnsi" w:hAnsiTheme="majorHAnsi" w:cstheme="majorHAnsi"/>
          <w:sz w:val="24"/>
          <w:szCs w:val="24"/>
          <w:lang w:val="ro-MD"/>
        </w:rPr>
        <w:t xml:space="preserve"> pentru bunurile cu o valabilitate de până la 2 ani. Prin urmare, se denotă că în cadrul DFI</w:t>
      </w:r>
      <w:r w:rsidRPr="00B13B9A">
        <w:rPr>
          <w:rFonts w:asciiTheme="majorHAnsi" w:eastAsia="Times New Roman" w:hAnsiTheme="majorHAnsi" w:cstheme="majorHAnsi"/>
          <w:color w:val="000000"/>
          <w:sz w:val="24"/>
          <w:szCs w:val="24"/>
          <w:lang w:val="ro-MD"/>
        </w:rPr>
        <w:t xml:space="preserve"> nu se </w:t>
      </w:r>
      <w:r w:rsidR="00B13B9A" w:rsidRPr="00B13B9A">
        <w:rPr>
          <w:rFonts w:asciiTheme="majorHAnsi" w:eastAsia="Times New Roman" w:hAnsiTheme="majorHAnsi" w:cstheme="majorHAnsi"/>
          <w:color w:val="000000"/>
          <w:sz w:val="24"/>
          <w:szCs w:val="24"/>
          <w:lang w:val="ro-MD"/>
        </w:rPr>
        <w:t>ț</w:t>
      </w:r>
      <w:r w:rsidRPr="00B13B9A">
        <w:rPr>
          <w:rFonts w:asciiTheme="majorHAnsi" w:eastAsia="Times New Roman" w:hAnsiTheme="majorHAnsi" w:cstheme="majorHAnsi"/>
          <w:color w:val="000000"/>
          <w:sz w:val="24"/>
          <w:szCs w:val="24"/>
          <w:lang w:val="ro-MD"/>
        </w:rPr>
        <w:t>ine eviden</w:t>
      </w:r>
      <w:r w:rsidR="00B13B9A" w:rsidRPr="00B13B9A">
        <w:rPr>
          <w:rFonts w:asciiTheme="majorHAnsi" w:eastAsia="Times New Roman" w:hAnsiTheme="majorHAnsi" w:cstheme="majorHAnsi"/>
          <w:color w:val="000000"/>
          <w:sz w:val="24"/>
          <w:szCs w:val="24"/>
          <w:lang w:val="ro-MD"/>
        </w:rPr>
        <w:t>ț</w:t>
      </w:r>
      <w:r w:rsidRPr="00B13B9A">
        <w:rPr>
          <w:rFonts w:asciiTheme="majorHAnsi" w:eastAsia="Times New Roman" w:hAnsiTheme="majorHAnsi" w:cstheme="majorHAnsi"/>
          <w:color w:val="000000"/>
          <w:sz w:val="24"/>
          <w:szCs w:val="24"/>
          <w:lang w:val="ro-MD"/>
        </w:rPr>
        <w:t>a termenului de valabilitate restant la recep</w:t>
      </w:r>
      <w:r w:rsidR="00B13B9A" w:rsidRPr="00B13B9A">
        <w:rPr>
          <w:rFonts w:asciiTheme="majorHAnsi" w:eastAsia="Times New Roman" w:hAnsiTheme="majorHAnsi" w:cstheme="majorHAnsi"/>
          <w:color w:val="000000"/>
          <w:sz w:val="24"/>
          <w:szCs w:val="24"/>
          <w:lang w:val="ro-MD"/>
        </w:rPr>
        <w:t>ț</w:t>
      </w:r>
      <w:r w:rsidRPr="00B13B9A">
        <w:rPr>
          <w:rFonts w:asciiTheme="majorHAnsi" w:eastAsia="Times New Roman" w:hAnsiTheme="majorHAnsi" w:cstheme="majorHAnsi"/>
          <w:color w:val="000000"/>
          <w:sz w:val="24"/>
          <w:szCs w:val="24"/>
          <w:lang w:val="ro-MD"/>
        </w:rPr>
        <w:t>ionare</w:t>
      </w:r>
      <w:r w:rsidR="00F37F5E" w:rsidRPr="00B13B9A">
        <w:rPr>
          <w:rFonts w:asciiTheme="majorHAnsi" w:eastAsia="Times New Roman" w:hAnsiTheme="majorHAnsi" w:cstheme="majorHAnsi"/>
          <w:color w:val="000000"/>
          <w:sz w:val="24"/>
          <w:szCs w:val="24"/>
          <w:lang w:val="ro-MD"/>
        </w:rPr>
        <w:t>a medicamentelor</w:t>
      </w:r>
      <w:r w:rsidRPr="00B13B9A">
        <w:rPr>
          <w:rFonts w:asciiTheme="majorHAnsi" w:eastAsia="Times New Roman" w:hAnsiTheme="majorHAnsi" w:cstheme="majorHAnsi"/>
          <w:color w:val="000000"/>
          <w:sz w:val="24"/>
          <w:szCs w:val="24"/>
          <w:lang w:val="ro-MD"/>
        </w:rPr>
        <w:t xml:space="preserve">. </w:t>
      </w:r>
    </w:p>
    <w:p w14:paraId="20218C0B" w14:textId="41B9ABAA" w:rsidR="00B37661" w:rsidRPr="00B13B9A" w:rsidRDefault="00B37661" w:rsidP="00B37661">
      <w:pPr>
        <w:spacing w:after="0" w:line="276" w:lineRule="auto"/>
        <w:ind w:right="-157"/>
        <w:jc w:val="both"/>
        <w:rPr>
          <w:rFonts w:asciiTheme="majorHAnsi" w:hAnsiTheme="majorHAnsi" w:cstheme="majorHAnsi"/>
          <w:sz w:val="24"/>
          <w:szCs w:val="24"/>
          <w:lang w:val="ro-MD"/>
        </w:rPr>
      </w:pPr>
      <w:r w:rsidRPr="00B13B9A">
        <w:rPr>
          <w:rFonts w:asciiTheme="majorHAnsi" w:eastAsia="Times New Roman" w:hAnsiTheme="majorHAnsi" w:cstheme="majorHAnsi"/>
          <w:color w:val="000000"/>
          <w:sz w:val="24"/>
          <w:szCs w:val="24"/>
          <w:lang w:val="ro-MD"/>
        </w:rPr>
        <w:t xml:space="preserve">În </w:t>
      </w:r>
      <w:r w:rsidR="00F37F5E" w:rsidRPr="00B13B9A">
        <w:rPr>
          <w:rFonts w:asciiTheme="majorHAnsi" w:eastAsia="Times New Roman" w:hAnsiTheme="majorHAnsi" w:cstheme="majorHAnsi"/>
          <w:color w:val="000000"/>
          <w:sz w:val="24"/>
          <w:szCs w:val="24"/>
          <w:lang w:val="ro-MD"/>
        </w:rPr>
        <w:t xml:space="preserve">acest </w:t>
      </w:r>
      <w:r w:rsidRPr="00B13B9A">
        <w:rPr>
          <w:rFonts w:asciiTheme="majorHAnsi" w:eastAsia="Times New Roman" w:hAnsiTheme="majorHAnsi" w:cstheme="majorHAnsi"/>
          <w:color w:val="000000"/>
          <w:sz w:val="24"/>
          <w:szCs w:val="24"/>
          <w:lang w:val="ro-MD"/>
        </w:rPr>
        <w:t xml:space="preserve">context, </w:t>
      </w:r>
      <w:r w:rsidRPr="00B13B9A">
        <w:rPr>
          <w:rFonts w:asciiTheme="majorHAnsi" w:hAnsiTheme="majorHAnsi" w:cstheme="majorHAnsi"/>
          <w:sz w:val="24"/>
          <w:szCs w:val="24"/>
          <w:lang w:val="ro-MD"/>
        </w:rPr>
        <w:t>verificările de audit pe un e</w:t>
      </w:r>
      <w:r w:rsidR="00B13B9A" w:rsidRPr="00B13B9A">
        <w:rPr>
          <w:rFonts w:asciiTheme="majorHAnsi" w:hAnsiTheme="majorHAnsi" w:cstheme="majorHAnsi"/>
          <w:sz w:val="24"/>
          <w:szCs w:val="24"/>
          <w:lang w:val="ro-MD"/>
        </w:rPr>
        <w:t>ș</w:t>
      </w:r>
      <w:r w:rsidRPr="00B13B9A">
        <w:rPr>
          <w:rFonts w:asciiTheme="majorHAnsi" w:hAnsiTheme="majorHAnsi" w:cstheme="majorHAnsi"/>
          <w:sz w:val="24"/>
          <w:szCs w:val="24"/>
          <w:lang w:val="ro-MD"/>
        </w:rPr>
        <w:t xml:space="preserve">antion </w:t>
      </w:r>
      <w:r w:rsidR="00F37F5E" w:rsidRPr="00B13B9A">
        <w:rPr>
          <w:rFonts w:asciiTheme="majorHAnsi" w:hAnsiTheme="majorHAnsi" w:cstheme="majorHAnsi"/>
          <w:sz w:val="24"/>
          <w:szCs w:val="24"/>
          <w:lang w:val="ro-MD"/>
        </w:rPr>
        <w:t xml:space="preserve">de </w:t>
      </w:r>
      <w:r w:rsidRPr="00B13B9A">
        <w:rPr>
          <w:rFonts w:asciiTheme="majorHAnsi" w:hAnsiTheme="majorHAnsi" w:cstheme="majorHAnsi"/>
          <w:sz w:val="24"/>
          <w:szCs w:val="24"/>
          <w:lang w:val="ro-MD"/>
        </w:rPr>
        <w:t>13 denumiri de medicamente au stabilit recep</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ionarea cu termen</w:t>
      </w:r>
      <w:r w:rsidR="00F37F5E" w:rsidRPr="00B13B9A">
        <w:rPr>
          <w:rFonts w:asciiTheme="majorHAnsi" w:hAnsiTheme="majorHAnsi" w:cstheme="majorHAnsi"/>
          <w:sz w:val="24"/>
          <w:szCs w:val="24"/>
          <w:lang w:val="ro-MD"/>
        </w:rPr>
        <w:t>ul</w:t>
      </w:r>
      <w:r w:rsidRPr="00B13B9A">
        <w:rPr>
          <w:rFonts w:asciiTheme="majorHAnsi" w:hAnsiTheme="majorHAnsi" w:cstheme="majorHAnsi"/>
          <w:sz w:val="24"/>
          <w:szCs w:val="24"/>
          <w:lang w:val="ro-MD"/>
        </w:rPr>
        <w:t xml:space="preserve"> restant de 50% </w:t>
      </w:r>
      <w:r w:rsidR="00B13B9A" w:rsidRPr="00B13B9A">
        <w:rPr>
          <w:rFonts w:asciiTheme="majorHAnsi" w:hAnsiTheme="majorHAnsi" w:cstheme="majorHAnsi"/>
          <w:sz w:val="24"/>
          <w:szCs w:val="24"/>
          <w:lang w:val="ro-MD"/>
        </w:rPr>
        <w:t>ș</w:t>
      </w:r>
      <w:r w:rsidRPr="00B13B9A">
        <w:rPr>
          <w:rFonts w:asciiTheme="majorHAnsi" w:hAnsiTheme="majorHAnsi" w:cstheme="majorHAnsi"/>
          <w:sz w:val="24"/>
          <w:szCs w:val="24"/>
          <w:lang w:val="ro-MD"/>
        </w:rPr>
        <w:t xml:space="preserve">i </w:t>
      </w:r>
      <w:r w:rsidR="00F37F5E" w:rsidRPr="00B13B9A">
        <w:rPr>
          <w:rFonts w:asciiTheme="majorHAnsi" w:hAnsiTheme="majorHAnsi" w:cstheme="majorHAnsi"/>
          <w:sz w:val="24"/>
          <w:szCs w:val="24"/>
          <w:lang w:val="ro-MD"/>
        </w:rPr>
        <w:t xml:space="preserve">de </w:t>
      </w:r>
      <w:r w:rsidRPr="00B13B9A">
        <w:rPr>
          <w:rFonts w:asciiTheme="majorHAnsi" w:hAnsiTheme="majorHAnsi" w:cstheme="majorHAnsi"/>
          <w:sz w:val="24"/>
          <w:szCs w:val="24"/>
          <w:lang w:val="ro-MD"/>
        </w:rPr>
        <w:t xml:space="preserve">52,3% pentru 2 din ele. </w:t>
      </w:r>
      <w:r w:rsidR="00F37F5E" w:rsidRPr="00B13B9A">
        <w:rPr>
          <w:rFonts w:asciiTheme="majorHAnsi" w:hAnsiTheme="majorHAnsi" w:cstheme="majorHAnsi"/>
          <w:sz w:val="24"/>
          <w:szCs w:val="24"/>
          <w:lang w:val="ro-MD"/>
        </w:rPr>
        <w:t>Drept</w:t>
      </w:r>
      <w:r w:rsidRPr="00B13B9A">
        <w:rPr>
          <w:rFonts w:asciiTheme="majorHAnsi" w:hAnsiTheme="majorHAnsi" w:cstheme="majorHAnsi"/>
          <w:sz w:val="24"/>
          <w:szCs w:val="24"/>
          <w:lang w:val="ro-MD"/>
        </w:rPr>
        <w:t xml:space="preserve"> rezultat, lipsa informa</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iilor privind termenul de valabilitate restant a</w:t>
      </w:r>
      <w:r w:rsidR="00F37F5E" w:rsidRPr="00B13B9A">
        <w:rPr>
          <w:rFonts w:asciiTheme="majorHAnsi" w:hAnsiTheme="majorHAnsi" w:cstheme="majorHAnsi"/>
          <w:sz w:val="24"/>
          <w:szCs w:val="24"/>
          <w:lang w:val="ro-MD"/>
        </w:rPr>
        <w:t>l</w:t>
      </w:r>
      <w:r w:rsidRPr="00B13B9A">
        <w:rPr>
          <w:rFonts w:asciiTheme="majorHAnsi" w:hAnsiTheme="majorHAnsi" w:cstheme="majorHAnsi"/>
          <w:sz w:val="24"/>
          <w:szCs w:val="24"/>
          <w:lang w:val="ro-MD"/>
        </w:rPr>
        <w:t xml:space="preserve"> medicamentelor nu asigură eviden</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a conformă a acestora.</w:t>
      </w:r>
    </w:p>
    <w:p w14:paraId="42063DF0" w14:textId="1F755DE6" w:rsidR="00A47D13" w:rsidRPr="00B13B9A" w:rsidRDefault="00A47D13" w:rsidP="00B37661">
      <w:pPr>
        <w:spacing w:after="0" w:line="276" w:lineRule="auto"/>
        <w:ind w:right="-157"/>
        <w:jc w:val="both"/>
        <w:rPr>
          <w:rFonts w:asciiTheme="majorHAnsi" w:hAnsiTheme="majorHAnsi" w:cstheme="majorHAnsi"/>
          <w:i/>
          <w:sz w:val="24"/>
          <w:szCs w:val="24"/>
          <w:lang w:val="ro-MD"/>
        </w:rPr>
      </w:pPr>
      <w:r w:rsidRPr="00B13B9A">
        <w:rPr>
          <w:rFonts w:asciiTheme="majorHAnsi" w:hAnsiTheme="majorHAnsi" w:cstheme="majorHAnsi"/>
          <w:i/>
          <w:sz w:val="24"/>
          <w:szCs w:val="24"/>
          <w:lang w:val="ro-MD"/>
        </w:rPr>
        <w:t>*Notă: Cu referire la termenul restant mai mic, entitatea a motivat recep</w:t>
      </w:r>
      <w:r w:rsidR="00B13B9A" w:rsidRPr="00B13B9A">
        <w:rPr>
          <w:rFonts w:asciiTheme="majorHAnsi" w:hAnsiTheme="majorHAnsi" w:cstheme="majorHAnsi"/>
          <w:i/>
          <w:sz w:val="24"/>
          <w:szCs w:val="24"/>
          <w:lang w:val="ro-MD"/>
        </w:rPr>
        <w:t>ț</w:t>
      </w:r>
      <w:r w:rsidRPr="00B13B9A">
        <w:rPr>
          <w:rFonts w:asciiTheme="majorHAnsi" w:hAnsiTheme="majorHAnsi" w:cstheme="majorHAnsi"/>
          <w:i/>
          <w:sz w:val="24"/>
          <w:szCs w:val="24"/>
          <w:lang w:val="ro-MD"/>
        </w:rPr>
        <w:t>ionarea</w:t>
      </w:r>
      <w:r w:rsidR="00DE2117" w:rsidRPr="00B13B9A">
        <w:rPr>
          <w:rFonts w:asciiTheme="majorHAnsi" w:hAnsiTheme="majorHAnsi" w:cstheme="majorHAnsi"/>
          <w:i/>
          <w:sz w:val="24"/>
          <w:szCs w:val="24"/>
          <w:lang w:val="ro-MD"/>
        </w:rPr>
        <w:t xml:space="preserve"> medicamentelor </w:t>
      </w:r>
      <w:r w:rsidRPr="00B13B9A">
        <w:rPr>
          <w:rFonts w:asciiTheme="majorHAnsi" w:hAnsiTheme="majorHAnsi" w:cstheme="majorHAnsi"/>
          <w:i/>
          <w:sz w:val="24"/>
          <w:szCs w:val="24"/>
          <w:lang w:val="ro-MD"/>
        </w:rPr>
        <w:t>ca urmare a situa</w:t>
      </w:r>
      <w:r w:rsidR="00B13B9A" w:rsidRPr="00B13B9A">
        <w:rPr>
          <w:rFonts w:asciiTheme="majorHAnsi" w:hAnsiTheme="majorHAnsi" w:cstheme="majorHAnsi"/>
          <w:i/>
          <w:sz w:val="24"/>
          <w:szCs w:val="24"/>
          <w:lang w:val="ro-MD"/>
        </w:rPr>
        <w:t>ț</w:t>
      </w:r>
      <w:r w:rsidRPr="00B13B9A">
        <w:rPr>
          <w:rFonts w:asciiTheme="majorHAnsi" w:hAnsiTheme="majorHAnsi" w:cstheme="majorHAnsi"/>
          <w:i/>
          <w:sz w:val="24"/>
          <w:szCs w:val="24"/>
          <w:lang w:val="ro-MD"/>
        </w:rPr>
        <w:t>iei de urgen</w:t>
      </w:r>
      <w:r w:rsidR="00B13B9A" w:rsidRPr="00B13B9A">
        <w:rPr>
          <w:rFonts w:asciiTheme="majorHAnsi" w:hAnsiTheme="majorHAnsi" w:cstheme="majorHAnsi"/>
          <w:i/>
          <w:sz w:val="24"/>
          <w:szCs w:val="24"/>
          <w:lang w:val="ro-MD"/>
        </w:rPr>
        <w:t>ț</w:t>
      </w:r>
      <w:r w:rsidRPr="00B13B9A">
        <w:rPr>
          <w:rFonts w:asciiTheme="majorHAnsi" w:hAnsiTheme="majorHAnsi" w:cstheme="majorHAnsi"/>
          <w:i/>
          <w:sz w:val="24"/>
          <w:szCs w:val="24"/>
          <w:lang w:val="ro-MD"/>
        </w:rPr>
        <w:t xml:space="preserve">ă din </w:t>
      </w:r>
      <w:r w:rsidR="00B13B9A" w:rsidRPr="00B13B9A">
        <w:rPr>
          <w:rFonts w:asciiTheme="majorHAnsi" w:hAnsiTheme="majorHAnsi" w:cstheme="majorHAnsi"/>
          <w:i/>
          <w:sz w:val="24"/>
          <w:szCs w:val="24"/>
          <w:lang w:val="ro-MD"/>
        </w:rPr>
        <w:t>ț</w:t>
      </w:r>
      <w:r w:rsidRPr="00B13B9A">
        <w:rPr>
          <w:rFonts w:asciiTheme="majorHAnsi" w:hAnsiTheme="majorHAnsi" w:cstheme="majorHAnsi"/>
          <w:i/>
          <w:sz w:val="24"/>
          <w:szCs w:val="24"/>
          <w:lang w:val="ro-MD"/>
        </w:rPr>
        <w:t xml:space="preserve">ara vecină, iar </w:t>
      </w:r>
      <w:r w:rsidR="00DE2117" w:rsidRPr="00B13B9A">
        <w:rPr>
          <w:rFonts w:asciiTheme="majorHAnsi" w:hAnsiTheme="majorHAnsi" w:cstheme="majorHAnsi"/>
          <w:i/>
          <w:sz w:val="24"/>
          <w:szCs w:val="24"/>
          <w:lang w:val="ro-MD"/>
        </w:rPr>
        <w:t xml:space="preserve">acestea </w:t>
      </w:r>
      <w:r w:rsidR="00F37F5E" w:rsidRPr="00B13B9A">
        <w:rPr>
          <w:rFonts w:asciiTheme="majorHAnsi" w:hAnsiTheme="majorHAnsi" w:cstheme="majorHAnsi"/>
          <w:i/>
          <w:sz w:val="24"/>
          <w:szCs w:val="24"/>
          <w:lang w:val="ro-MD"/>
        </w:rPr>
        <w:t>nefiind</w:t>
      </w:r>
      <w:r w:rsidRPr="00B13B9A">
        <w:rPr>
          <w:rFonts w:asciiTheme="majorHAnsi" w:hAnsiTheme="majorHAnsi" w:cstheme="majorHAnsi"/>
          <w:i/>
          <w:sz w:val="24"/>
          <w:szCs w:val="24"/>
          <w:lang w:val="ro-MD"/>
        </w:rPr>
        <w:t xml:space="preserve"> livra</w:t>
      </w:r>
      <w:r w:rsidR="00F37F5E" w:rsidRPr="00B13B9A">
        <w:rPr>
          <w:rFonts w:asciiTheme="majorHAnsi" w:hAnsiTheme="majorHAnsi" w:cstheme="majorHAnsi"/>
          <w:i/>
          <w:sz w:val="24"/>
          <w:szCs w:val="24"/>
          <w:lang w:val="ro-MD"/>
        </w:rPr>
        <w:t>te</w:t>
      </w:r>
      <w:r w:rsidRPr="00B13B9A">
        <w:rPr>
          <w:rFonts w:asciiTheme="majorHAnsi" w:hAnsiTheme="majorHAnsi" w:cstheme="majorHAnsi"/>
          <w:i/>
          <w:sz w:val="24"/>
          <w:szCs w:val="24"/>
          <w:lang w:val="ro-MD"/>
        </w:rPr>
        <w:t xml:space="preserve"> în termen</w:t>
      </w:r>
      <w:r w:rsidR="00F37F5E" w:rsidRPr="00B13B9A">
        <w:rPr>
          <w:rFonts w:asciiTheme="majorHAnsi" w:hAnsiTheme="majorHAnsi" w:cstheme="majorHAnsi"/>
          <w:i/>
          <w:sz w:val="24"/>
          <w:szCs w:val="24"/>
          <w:lang w:val="ro-MD"/>
        </w:rPr>
        <w:t>ele</w:t>
      </w:r>
      <w:r w:rsidRPr="00B13B9A">
        <w:rPr>
          <w:rFonts w:asciiTheme="majorHAnsi" w:hAnsiTheme="majorHAnsi" w:cstheme="majorHAnsi"/>
          <w:i/>
          <w:sz w:val="24"/>
          <w:szCs w:val="24"/>
          <w:lang w:val="ro-MD"/>
        </w:rPr>
        <w:t xml:space="preserve"> stabili</w:t>
      </w:r>
      <w:r w:rsidR="00F37F5E" w:rsidRPr="00B13B9A">
        <w:rPr>
          <w:rFonts w:asciiTheme="majorHAnsi" w:hAnsiTheme="majorHAnsi" w:cstheme="majorHAnsi"/>
          <w:i/>
          <w:sz w:val="24"/>
          <w:szCs w:val="24"/>
          <w:lang w:val="ro-MD"/>
        </w:rPr>
        <w:t>te</w:t>
      </w:r>
      <w:r w:rsidRPr="00B13B9A">
        <w:rPr>
          <w:rFonts w:asciiTheme="majorHAnsi" w:hAnsiTheme="majorHAnsi" w:cstheme="majorHAnsi"/>
          <w:i/>
          <w:sz w:val="24"/>
          <w:szCs w:val="24"/>
          <w:lang w:val="ro-MD"/>
        </w:rPr>
        <w:t>.</w:t>
      </w:r>
      <w:r w:rsidR="00110E89" w:rsidRPr="00B13B9A">
        <w:rPr>
          <w:rFonts w:asciiTheme="majorHAnsi" w:hAnsiTheme="majorHAnsi" w:cstheme="majorHAnsi"/>
          <w:i/>
          <w:sz w:val="24"/>
          <w:szCs w:val="24"/>
          <w:lang w:val="ro-MD"/>
        </w:rPr>
        <w:t xml:space="preserve"> Totodată, auditul </w:t>
      </w:r>
      <w:r w:rsidR="007F1EE9" w:rsidRPr="00B13B9A">
        <w:rPr>
          <w:rFonts w:asciiTheme="majorHAnsi" w:hAnsiTheme="majorHAnsi" w:cstheme="majorHAnsi"/>
          <w:i/>
          <w:sz w:val="24"/>
          <w:szCs w:val="24"/>
          <w:lang w:val="ro-MD"/>
        </w:rPr>
        <w:t>semnalează</w:t>
      </w:r>
      <w:r w:rsidR="00F37F5E" w:rsidRPr="00B13B9A">
        <w:rPr>
          <w:rFonts w:asciiTheme="majorHAnsi" w:hAnsiTheme="majorHAnsi" w:cstheme="majorHAnsi"/>
          <w:i/>
          <w:sz w:val="24"/>
          <w:szCs w:val="24"/>
          <w:lang w:val="ro-MD"/>
        </w:rPr>
        <w:t xml:space="preserve"> </w:t>
      </w:r>
      <w:r w:rsidR="00110E89" w:rsidRPr="00B13B9A">
        <w:rPr>
          <w:rFonts w:asciiTheme="majorHAnsi" w:hAnsiTheme="majorHAnsi" w:cstheme="majorHAnsi"/>
          <w:i/>
          <w:sz w:val="24"/>
          <w:szCs w:val="24"/>
          <w:lang w:val="ro-MD"/>
        </w:rPr>
        <w:t xml:space="preserve">despre </w:t>
      </w:r>
      <w:r w:rsidR="001E452A" w:rsidRPr="00B13B9A">
        <w:rPr>
          <w:rFonts w:asciiTheme="majorHAnsi" w:hAnsiTheme="majorHAnsi" w:cstheme="majorHAnsi"/>
          <w:i/>
          <w:sz w:val="24"/>
          <w:szCs w:val="24"/>
          <w:lang w:val="ro-MD"/>
        </w:rPr>
        <w:t>necesitatea calculării termenului restant.</w:t>
      </w:r>
    </w:p>
    <w:p w14:paraId="04830605" w14:textId="3B77F981" w:rsidR="00B37661" w:rsidRPr="00B13B9A" w:rsidRDefault="00B37661" w:rsidP="00B37661">
      <w:pPr>
        <w:spacing w:after="0" w:line="276" w:lineRule="auto"/>
        <w:ind w:right="-157"/>
        <w:jc w:val="both"/>
        <w:rPr>
          <w:rFonts w:asciiTheme="majorHAnsi" w:hAnsiTheme="majorHAnsi" w:cstheme="majorHAnsi"/>
          <w:sz w:val="24"/>
          <w:szCs w:val="24"/>
          <w:lang w:val="ro-MD"/>
        </w:rPr>
      </w:pPr>
      <w:r w:rsidRPr="00B13B9A">
        <w:rPr>
          <w:rFonts w:asciiTheme="majorHAnsi" w:hAnsiTheme="majorHAnsi" w:cstheme="majorHAnsi"/>
          <w:sz w:val="24"/>
          <w:szCs w:val="24"/>
          <w:lang w:val="ro-MD"/>
        </w:rPr>
        <w:t>Cu referire la decontarea medicamentelor</w:t>
      </w:r>
      <w:r w:rsidR="007F1EE9" w:rsidRPr="00B13B9A">
        <w:rPr>
          <w:rFonts w:asciiTheme="majorHAnsi" w:hAnsiTheme="majorHAnsi" w:cstheme="majorHAnsi"/>
          <w:sz w:val="24"/>
          <w:szCs w:val="24"/>
          <w:lang w:val="ro-MD"/>
        </w:rPr>
        <w:t>,</w:t>
      </w:r>
      <w:r w:rsidRPr="00B13B9A">
        <w:rPr>
          <w:rFonts w:asciiTheme="majorHAnsi" w:hAnsiTheme="majorHAnsi" w:cstheme="majorHAnsi"/>
          <w:sz w:val="24"/>
          <w:szCs w:val="24"/>
          <w:lang w:val="ro-MD"/>
        </w:rPr>
        <w:t xml:space="preserve"> se relevă că, pe parcursul an</w:t>
      </w:r>
      <w:r w:rsidR="007F1EE9" w:rsidRPr="00B13B9A">
        <w:rPr>
          <w:rFonts w:asciiTheme="majorHAnsi" w:hAnsiTheme="majorHAnsi" w:cstheme="majorHAnsi"/>
          <w:sz w:val="24"/>
          <w:szCs w:val="24"/>
          <w:lang w:val="ro-MD"/>
        </w:rPr>
        <w:t>ilor</w:t>
      </w:r>
      <w:r w:rsidRPr="00B13B9A">
        <w:rPr>
          <w:rFonts w:asciiTheme="majorHAnsi" w:hAnsiTheme="majorHAnsi" w:cstheme="majorHAnsi"/>
          <w:sz w:val="24"/>
          <w:szCs w:val="24"/>
          <w:lang w:val="ro-MD"/>
        </w:rPr>
        <w:t xml:space="preserve"> 2021 – 2022</w:t>
      </w:r>
      <w:r w:rsidR="007F1EE9" w:rsidRPr="00B13B9A">
        <w:rPr>
          <w:rFonts w:asciiTheme="majorHAnsi" w:hAnsiTheme="majorHAnsi" w:cstheme="majorHAnsi"/>
          <w:sz w:val="24"/>
          <w:szCs w:val="24"/>
          <w:lang w:val="ro-MD"/>
        </w:rPr>
        <w:t>,</w:t>
      </w:r>
      <w:r w:rsidRPr="00B13B9A">
        <w:rPr>
          <w:rFonts w:asciiTheme="majorHAnsi" w:hAnsiTheme="majorHAnsi" w:cstheme="majorHAnsi"/>
          <w:sz w:val="24"/>
          <w:szCs w:val="24"/>
          <w:lang w:val="ro-MD"/>
        </w:rPr>
        <w:t xml:space="preserve"> entitatea </w:t>
      </w:r>
      <w:r w:rsidR="007F1EE9" w:rsidRPr="00B13B9A">
        <w:rPr>
          <w:rFonts w:asciiTheme="majorHAnsi" w:hAnsiTheme="majorHAnsi" w:cstheme="majorHAnsi"/>
          <w:sz w:val="24"/>
          <w:szCs w:val="24"/>
          <w:lang w:val="ro-MD"/>
        </w:rPr>
        <w:t xml:space="preserve">le </w:t>
      </w:r>
      <w:r w:rsidRPr="00B13B9A">
        <w:rPr>
          <w:rFonts w:asciiTheme="majorHAnsi" w:hAnsiTheme="majorHAnsi" w:cstheme="majorHAnsi"/>
          <w:sz w:val="24"/>
          <w:szCs w:val="24"/>
          <w:lang w:val="ro-MD"/>
        </w:rPr>
        <w:t>trecea la cheltuieli pe măsura consumului</w:t>
      </w:r>
      <w:r w:rsidR="007F1EE9" w:rsidRPr="00B13B9A">
        <w:rPr>
          <w:rFonts w:asciiTheme="majorHAnsi" w:hAnsiTheme="majorHAnsi" w:cstheme="majorHAnsi"/>
          <w:sz w:val="24"/>
          <w:szCs w:val="24"/>
          <w:lang w:val="ro-MD"/>
        </w:rPr>
        <w:t>,</w:t>
      </w:r>
      <w:r w:rsidRPr="00B13B9A">
        <w:rPr>
          <w:rFonts w:asciiTheme="majorHAnsi" w:hAnsiTheme="majorHAnsi" w:cstheme="majorHAnsi"/>
          <w:sz w:val="24"/>
          <w:szCs w:val="24"/>
          <w:lang w:val="ro-MD"/>
        </w:rPr>
        <w:t xml:space="preserve"> în baza rapoartelor de gestiune prezentate lunar. Totodată, veniturile din decontarea medicamentelor primite cu titlu gratuit se reflectau trimestrial prin ajustarea veniturilor curente în mărimea diferen</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 xml:space="preserve">ei dintre suma totală a veniturilor curente </w:t>
      </w:r>
      <w:r w:rsidR="00B13B9A" w:rsidRPr="00B13B9A">
        <w:rPr>
          <w:rFonts w:asciiTheme="majorHAnsi" w:hAnsiTheme="majorHAnsi" w:cstheme="majorHAnsi"/>
          <w:sz w:val="24"/>
          <w:szCs w:val="24"/>
          <w:lang w:val="ro-MD"/>
        </w:rPr>
        <w:t>ș</w:t>
      </w:r>
      <w:r w:rsidRPr="00B13B9A">
        <w:rPr>
          <w:rFonts w:asciiTheme="majorHAnsi" w:hAnsiTheme="majorHAnsi" w:cstheme="majorHAnsi"/>
          <w:sz w:val="24"/>
          <w:szCs w:val="24"/>
          <w:lang w:val="ro-MD"/>
        </w:rPr>
        <w:t>i a cheltuielilor curente, în lipsa documentelor primare. Începând cu anul 2023</w:t>
      </w:r>
      <w:r w:rsidR="007F1EE9" w:rsidRPr="00B13B9A">
        <w:rPr>
          <w:rFonts w:asciiTheme="majorHAnsi" w:hAnsiTheme="majorHAnsi" w:cstheme="majorHAnsi"/>
          <w:sz w:val="24"/>
          <w:szCs w:val="24"/>
          <w:lang w:val="ro-MD"/>
        </w:rPr>
        <w:t>,</w:t>
      </w:r>
      <w:r w:rsidRPr="00B13B9A">
        <w:rPr>
          <w:rFonts w:asciiTheme="majorHAnsi" w:hAnsiTheme="majorHAnsi" w:cstheme="majorHAnsi"/>
          <w:sz w:val="24"/>
          <w:szCs w:val="24"/>
          <w:lang w:val="ro-MD"/>
        </w:rPr>
        <w:t xml:space="preserve"> </w:t>
      </w:r>
      <w:r w:rsidR="00DA19D1" w:rsidRPr="00B13B9A">
        <w:rPr>
          <w:rFonts w:asciiTheme="majorHAnsi" w:hAnsiTheme="majorHAnsi" w:cstheme="majorHAnsi"/>
          <w:sz w:val="24"/>
          <w:szCs w:val="24"/>
          <w:lang w:val="ro-MD"/>
        </w:rPr>
        <w:t xml:space="preserve">veniturile </w:t>
      </w:r>
      <w:r w:rsidRPr="00B13B9A">
        <w:rPr>
          <w:rFonts w:asciiTheme="majorHAnsi" w:hAnsiTheme="majorHAnsi" w:cstheme="majorHAnsi"/>
          <w:sz w:val="24"/>
          <w:szCs w:val="24"/>
          <w:lang w:val="ro-MD"/>
        </w:rPr>
        <w:t>d</w:t>
      </w:r>
      <w:r w:rsidR="00C721C6" w:rsidRPr="00B13B9A">
        <w:rPr>
          <w:rFonts w:asciiTheme="majorHAnsi" w:hAnsiTheme="majorHAnsi" w:cstheme="majorHAnsi"/>
          <w:sz w:val="24"/>
          <w:szCs w:val="24"/>
          <w:lang w:val="ro-MD"/>
        </w:rPr>
        <w:t>in</w:t>
      </w:r>
      <w:r w:rsidRPr="00B13B9A">
        <w:rPr>
          <w:rFonts w:asciiTheme="majorHAnsi" w:hAnsiTheme="majorHAnsi" w:cstheme="majorHAnsi"/>
          <w:sz w:val="24"/>
          <w:szCs w:val="24"/>
          <w:lang w:val="ro-MD"/>
        </w:rPr>
        <w:t xml:space="preserve"> medicamentele primite cu titlu gratuit se înregistrează odată cu trecerea lor la cheltuieli.</w:t>
      </w:r>
    </w:p>
    <w:p w14:paraId="318A9B86" w14:textId="77777777" w:rsidR="001F1448" w:rsidRPr="00B13B9A" w:rsidRDefault="001F1448" w:rsidP="00B37661">
      <w:pPr>
        <w:spacing w:after="0" w:line="276" w:lineRule="auto"/>
        <w:ind w:right="-157"/>
        <w:jc w:val="both"/>
        <w:rPr>
          <w:rFonts w:asciiTheme="majorHAnsi" w:hAnsiTheme="majorHAnsi" w:cstheme="majorHAnsi"/>
          <w:sz w:val="24"/>
          <w:szCs w:val="24"/>
          <w:lang w:val="ro-MD"/>
        </w:rPr>
      </w:pPr>
    </w:p>
    <w:p w14:paraId="2D7D35E1" w14:textId="2A1682C3" w:rsidR="001F1448" w:rsidRPr="00B13B9A" w:rsidRDefault="001F1448" w:rsidP="00D55A48">
      <w:pPr>
        <w:pStyle w:val="a7"/>
        <w:numPr>
          <w:ilvl w:val="2"/>
          <w:numId w:val="10"/>
        </w:numPr>
        <w:spacing w:after="0" w:line="276" w:lineRule="auto"/>
        <w:ind w:right="-157"/>
        <w:jc w:val="both"/>
        <w:outlineLvl w:val="2"/>
        <w:rPr>
          <w:rFonts w:asciiTheme="majorHAnsi" w:hAnsiTheme="majorHAnsi" w:cstheme="majorHAnsi"/>
          <w:b/>
          <w:sz w:val="24"/>
          <w:szCs w:val="24"/>
          <w:lang w:val="ro-MD"/>
        </w:rPr>
      </w:pPr>
      <w:bookmarkStart w:id="49" w:name="_Toc154562520"/>
      <w:r w:rsidRPr="00B13B9A">
        <w:rPr>
          <w:rFonts w:asciiTheme="majorHAnsi" w:hAnsiTheme="majorHAnsi" w:cstheme="majorHAnsi"/>
          <w:b/>
          <w:sz w:val="24"/>
          <w:szCs w:val="24"/>
          <w:lang w:val="ro-MD"/>
        </w:rPr>
        <w:t>Recomandările aferente Raportul</w:t>
      </w:r>
      <w:r w:rsidR="003F0474" w:rsidRPr="00B13B9A">
        <w:rPr>
          <w:rFonts w:asciiTheme="majorHAnsi" w:hAnsiTheme="majorHAnsi" w:cstheme="majorHAnsi"/>
          <w:b/>
          <w:sz w:val="24"/>
          <w:szCs w:val="24"/>
          <w:lang w:val="ro-MD"/>
        </w:rPr>
        <w:t>ui</w:t>
      </w:r>
      <w:r w:rsidRPr="00B13B9A">
        <w:rPr>
          <w:rFonts w:asciiTheme="majorHAnsi" w:hAnsiTheme="majorHAnsi" w:cstheme="majorHAnsi"/>
          <w:b/>
          <w:sz w:val="24"/>
          <w:szCs w:val="24"/>
          <w:lang w:val="ro-MD"/>
        </w:rPr>
        <w:t xml:space="preserve"> auditului performan</w:t>
      </w:r>
      <w:r w:rsidR="00B13B9A" w:rsidRPr="00B13B9A">
        <w:rPr>
          <w:rFonts w:asciiTheme="majorHAnsi" w:hAnsiTheme="majorHAnsi" w:cstheme="majorHAnsi"/>
          <w:b/>
          <w:sz w:val="24"/>
          <w:szCs w:val="24"/>
          <w:lang w:val="ro-MD"/>
        </w:rPr>
        <w:t>ț</w:t>
      </w:r>
      <w:r w:rsidRPr="00B13B9A">
        <w:rPr>
          <w:rFonts w:asciiTheme="majorHAnsi" w:hAnsiTheme="majorHAnsi" w:cstheme="majorHAnsi"/>
          <w:b/>
          <w:sz w:val="24"/>
          <w:szCs w:val="24"/>
          <w:lang w:val="ro-MD"/>
        </w:rPr>
        <w:t>ei privind realizarea Programului na</w:t>
      </w:r>
      <w:r w:rsidR="00B13B9A" w:rsidRPr="00B13B9A">
        <w:rPr>
          <w:rFonts w:asciiTheme="majorHAnsi" w:hAnsiTheme="majorHAnsi" w:cstheme="majorHAnsi"/>
          <w:b/>
          <w:sz w:val="24"/>
          <w:szCs w:val="24"/>
          <w:lang w:val="ro-MD"/>
        </w:rPr>
        <w:t>ț</w:t>
      </w:r>
      <w:r w:rsidRPr="00B13B9A">
        <w:rPr>
          <w:rFonts w:asciiTheme="majorHAnsi" w:hAnsiTheme="majorHAnsi" w:cstheme="majorHAnsi"/>
          <w:b/>
          <w:sz w:val="24"/>
          <w:szCs w:val="24"/>
          <w:lang w:val="ro-MD"/>
        </w:rPr>
        <w:t>ional de reducere a poverii tuberculozei au fost implementate</w:t>
      </w:r>
      <w:r w:rsidR="00C721C6" w:rsidRPr="00B13B9A">
        <w:rPr>
          <w:rFonts w:asciiTheme="majorHAnsi" w:hAnsiTheme="majorHAnsi" w:cstheme="majorHAnsi"/>
          <w:b/>
          <w:sz w:val="24"/>
          <w:szCs w:val="24"/>
          <w:lang w:val="ro-MD"/>
        </w:rPr>
        <w:t>.</w:t>
      </w:r>
      <w:bookmarkEnd w:id="49"/>
      <w:r w:rsidRPr="00B13B9A">
        <w:rPr>
          <w:rFonts w:asciiTheme="majorHAnsi" w:hAnsiTheme="majorHAnsi" w:cstheme="majorHAnsi"/>
          <w:b/>
          <w:sz w:val="24"/>
          <w:szCs w:val="24"/>
          <w:lang w:val="ro-MD"/>
        </w:rPr>
        <w:t xml:space="preserve"> </w:t>
      </w:r>
    </w:p>
    <w:p w14:paraId="3788B62E" w14:textId="467EC19E" w:rsidR="00C202E3" w:rsidRPr="00B13B9A" w:rsidRDefault="00C202E3" w:rsidP="00C202E3">
      <w:pPr>
        <w:spacing w:line="276" w:lineRule="auto"/>
        <w:jc w:val="both"/>
        <w:rPr>
          <w:rFonts w:asciiTheme="majorHAnsi" w:eastAsia="Times New Roman" w:hAnsiTheme="majorHAnsi" w:cstheme="majorHAnsi"/>
          <w:color w:val="212121"/>
          <w:sz w:val="24"/>
          <w:szCs w:val="24"/>
          <w:lang w:val="ro-MD"/>
        </w:rPr>
      </w:pPr>
      <w:r w:rsidRPr="00B13B9A">
        <w:rPr>
          <w:rFonts w:asciiTheme="majorHAnsi" w:eastAsia="Times New Roman" w:hAnsiTheme="majorHAnsi" w:cstheme="majorHAnsi"/>
          <w:color w:val="212121"/>
          <w:sz w:val="24"/>
          <w:szCs w:val="24"/>
          <w:lang w:val="ro-MD"/>
        </w:rPr>
        <w:t>În vederea remedierii caren</w:t>
      </w:r>
      <w:r w:rsidR="00B13B9A" w:rsidRPr="00B13B9A">
        <w:rPr>
          <w:rFonts w:asciiTheme="majorHAnsi" w:eastAsia="Times New Roman" w:hAnsiTheme="majorHAnsi" w:cstheme="majorHAnsi"/>
          <w:color w:val="212121"/>
          <w:sz w:val="24"/>
          <w:szCs w:val="24"/>
          <w:lang w:val="ro-MD"/>
        </w:rPr>
        <w:t>ț</w:t>
      </w:r>
      <w:r w:rsidRPr="00B13B9A">
        <w:rPr>
          <w:rFonts w:asciiTheme="majorHAnsi" w:eastAsia="Times New Roman" w:hAnsiTheme="majorHAnsi" w:cstheme="majorHAnsi"/>
          <w:color w:val="212121"/>
          <w:sz w:val="24"/>
          <w:szCs w:val="24"/>
          <w:lang w:val="ro-MD"/>
        </w:rPr>
        <w:t xml:space="preserve">elor </w:t>
      </w:r>
      <w:r w:rsidR="00B13B9A" w:rsidRPr="00B13B9A">
        <w:rPr>
          <w:rFonts w:asciiTheme="majorHAnsi" w:eastAsia="Times New Roman" w:hAnsiTheme="majorHAnsi" w:cstheme="majorHAnsi"/>
          <w:color w:val="212121"/>
          <w:sz w:val="24"/>
          <w:szCs w:val="24"/>
          <w:lang w:val="ro-MD"/>
        </w:rPr>
        <w:t>ș</w:t>
      </w:r>
      <w:r w:rsidRPr="00B13B9A">
        <w:rPr>
          <w:rFonts w:asciiTheme="majorHAnsi" w:eastAsia="Times New Roman" w:hAnsiTheme="majorHAnsi" w:cstheme="majorHAnsi"/>
          <w:color w:val="212121"/>
          <w:sz w:val="24"/>
          <w:szCs w:val="24"/>
          <w:lang w:val="ro-MD"/>
        </w:rPr>
        <w:t>i neconformită</w:t>
      </w:r>
      <w:r w:rsidR="00B13B9A" w:rsidRPr="00B13B9A">
        <w:rPr>
          <w:rFonts w:asciiTheme="majorHAnsi" w:eastAsia="Times New Roman" w:hAnsiTheme="majorHAnsi" w:cstheme="majorHAnsi"/>
          <w:color w:val="212121"/>
          <w:sz w:val="24"/>
          <w:szCs w:val="24"/>
          <w:lang w:val="ro-MD"/>
        </w:rPr>
        <w:t>ț</w:t>
      </w:r>
      <w:r w:rsidRPr="00B13B9A">
        <w:rPr>
          <w:rFonts w:asciiTheme="majorHAnsi" w:eastAsia="Times New Roman" w:hAnsiTheme="majorHAnsi" w:cstheme="majorHAnsi"/>
          <w:color w:val="212121"/>
          <w:sz w:val="24"/>
          <w:szCs w:val="24"/>
          <w:lang w:val="ro-MD"/>
        </w:rPr>
        <w:t>ilor constatate în misiunea de audit aprobată de Curtea de Conturi prin Hotărârea nr.5 din 30.01.2020 </w:t>
      </w:r>
      <w:r w:rsidRPr="00B13B9A">
        <w:rPr>
          <w:rFonts w:asciiTheme="majorHAnsi" w:eastAsia="Times New Roman" w:hAnsiTheme="majorHAnsi" w:cstheme="majorHAnsi"/>
          <w:iCs/>
          <w:color w:val="212121"/>
          <w:sz w:val="24"/>
          <w:szCs w:val="24"/>
          <w:lang w:val="ro-MD"/>
        </w:rPr>
        <w:t xml:space="preserve">„Cu privire la </w:t>
      </w:r>
      <w:r w:rsidRPr="00B13B9A">
        <w:rPr>
          <w:rFonts w:asciiTheme="majorHAnsi" w:eastAsia="Times New Roman" w:hAnsiTheme="majorHAnsi" w:cstheme="majorHAnsi"/>
          <w:color w:val="000000" w:themeColor="text1"/>
          <w:sz w:val="24"/>
          <w:szCs w:val="24"/>
          <w:lang w:val="ro-MD"/>
        </w:rPr>
        <w:t>Raportul auditului performan</w:t>
      </w:r>
      <w:r w:rsidR="00B13B9A" w:rsidRPr="00B13B9A">
        <w:rPr>
          <w:rFonts w:asciiTheme="majorHAnsi" w:eastAsia="Times New Roman" w:hAnsiTheme="majorHAnsi" w:cstheme="majorHAnsi"/>
          <w:color w:val="000000" w:themeColor="text1"/>
          <w:sz w:val="24"/>
          <w:szCs w:val="24"/>
          <w:lang w:val="ro-MD"/>
        </w:rPr>
        <w:t>ț</w:t>
      </w:r>
      <w:r w:rsidRPr="00B13B9A">
        <w:rPr>
          <w:rFonts w:asciiTheme="majorHAnsi" w:eastAsia="Times New Roman" w:hAnsiTheme="majorHAnsi" w:cstheme="majorHAnsi"/>
          <w:color w:val="000000" w:themeColor="text1"/>
          <w:sz w:val="24"/>
          <w:szCs w:val="24"/>
          <w:lang w:val="ro-MD"/>
        </w:rPr>
        <w:t>ei privind realizarea Programului na</w:t>
      </w:r>
      <w:r w:rsidR="00B13B9A" w:rsidRPr="00B13B9A">
        <w:rPr>
          <w:rFonts w:asciiTheme="majorHAnsi" w:eastAsia="Times New Roman" w:hAnsiTheme="majorHAnsi" w:cstheme="majorHAnsi"/>
          <w:color w:val="000000" w:themeColor="text1"/>
          <w:sz w:val="24"/>
          <w:szCs w:val="24"/>
          <w:lang w:val="ro-MD"/>
        </w:rPr>
        <w:t>ț</w:t>
      </w:r>
      <w:r w:rsidRPr="00B13B9A">
        <w:rPr>
          <w:rFonts w:asciiTheme="majorHAnsi" w:eastAsia="Times New Roman" w:hAnsiTheme="majorHAnsi" w:cstheme="majorHAnsi"/>
          <w:color w:val="000000" w:themeColor="text1"/>
          <w:sz w:val="24"/>
          <w:szCs w:val="24"/>
          <w:lang w:val="ro-MD"/>
        </w:rPr>
        <w:t>ional de reducere a poverii tuberculozei</w:t>
      </w:r>
      <w:r w:rsidRPr="00B13B9A">
        <w:rPr>
          <w:rFonts w:asciiTheme="majorHAnsi" w:eastAsia="Times New Roman" w:hAnsiTheme="majorHAnsi" w:cstheme="majorHAnsi"/>
          <w:iCs/>
          <w:color w:val="212121"/>
          <w:sz w:val="24"/>
          <w:szCs w:val="24"/>
          <w:lang w:val="ro-MD"/>
        </w:rPr>
        <w:t>”</w:t>
      </w:r>
      <w:r w:rsidRPr="00B13B9A">
        <w:rPr>
          <w:rFonts w:asciiTheme="majorHAnsi" w:eastAsia="Times New Roman" w:hAnsiTheme="majorHAnsi" w:cstheme="majorHAnsi"/>
          <w:color w:val="212121"/>
          <w:sz w:val="24"/>
          <w:szCs w:val="24"/>
          <w:lang w:val="ro-MD"/>
        </w:rPr>
        <w:t xml:space="preserve">, </w:t>
      </w:r>
      <w:r w:rsidR="00A0215B" w:rsidRPr="00B13B9A">
        <w:rPr>
          <w:rFonts w:asciiTheme="majorHAnsi" w:eastAsia="Times New Roman" w:hAnsiTheme="majorHAnsi" w:cstheme="majorHAnsi"/>
          <w:color w:val="212121"/>
          <w:sz w:val="24"/>
          <w:szCs w:val="24"/>
          <w:lang w:val="ro-MD"/>
        </w:rPr>
        <w:t xml:space="preserve">auditul relevă că </w:t>
      </w:r>
      <w:r w:rsidRPr="00B13B9A">
        <w:rPr>
          <w:rFonts w:asciiTheme="majorHAnsi" w:eastAsia="Times New Roman" w:hAnsiTheme="majorHAnsi" w:cstheme="majorHAnsi"/>
          <w:color w:val="212121"/>
          <w:sz w:val="24"/>
          <w:szCs w:val="24"/>
          <w:lang w:val="ro-MD"/>
        </w:rPr>
        <w:t>au fost înaintate 19 recomandări</w:t>
      </w:r>
      <w:r w:rsidR="00A0215B" w:rsidRPr="00B13B9A">
        <w:rPr>
          <w:rFonts w:asciiTheme="majorHAnsi" w:eastAsia="Times New Roman" w:hAnsiTheme="majorHAnsi" w:cstheme="majorHAnsi"/>
          <w:color w:val="212121"/>
          <w:sz w:val="24"/>
          <w:szCs w:val="24"/>
          <w:lang w:val="ro-MD"/>
        </w:rPr>
        <w:t>,</w:t>
      </w:r>
      <w:r w:rsidRPr="00B13B9A">
        <w:rPr>
          <w:rFonts w:asciiTheme="majorHAnsi" w:eastAsia="Times New Roman" w:hAnsiTheme="majorHAnsi" w:cstheme="majorHAnsi"/>
          <w:color w:val="212121"/>
          <w:sz w:val="24"/>
          <w:szCs w:val="24"/>
          <w:lang w:val="ro-MD"/>
        </w:rPr>
        <w:t xml:space="preserve"> care au fost implementate la nivel de 94,7%. Ministerului Sănătă</w:t>
      </w:r>
      <w:r w:rsidR="00B13B9A" w:rsidRPr="00B13B9A">
        <w:rPr>
          <w:rFonts w:asciiTheme="majorHAnsi" w:eastAsia="Times New Roman" w:hAnsiTheme="majorHAnsi" w:cstheme="majorHAnsi"/>
          <w:color w:val="212121"/>
          <w:sz w:val="24"/>
          <w:szCs w:val="24"/>
          <w:lang w:val="ro-MD"/>
        </w:rPr>
        <w:t>ț</w:t>
      </w:r>
      <w:r w:rsidRPr="00B13B9A">
        <w:rPr>
          <w:rFonts w:asciiTheme="majorHAnsi" w:eastAsia="Times New Roman" w:hAnsiTheme="majorHAnsi" w:cstheme="majorHAnsi"/>
          <w:color w:val="212121"/>
          <w:sz w:val="24"/>
          <w:szCs w:val="24"/>
          <w:lang w:val="ro-MD"/>
        </w:rPr>
        <w:t xml:space="preserve">ii, Muncii </w:t>
      </w:r>
      <w:r w:rsidR="00B13B9A" w:rsidRPr="00B13B9A">
        <w:rPr>
          <w:rFonts w:asciiTheme="majorHAnsi" w:eastAsia="Times New Roman" w:hAnsiTheme="majorHAnsi" w:cstheme="majorHAnsi"/>
          <w:color w:val="212121"/>
          <w:sz w:val="24"/>
          <w:szCs w:val="24"/>
          <w:lang w:val="ro-MD"/>
        </w:rPr>
        <w:t>ș</w:t>
      </w:r>
      <w:r w:rsidRPr="00B13B9A">
        <w:rPr>
          <w:rFonts w:asciiTheme="majorHAnsi" w:eastAsia="Times New Roman" w:hAnsiTheme="majorHAnsi" w:cstheme="majorHAnsi"/>
          <w:color w:val="212121"/>
          <w:sz w:val="24"/>
          <w:szCs w:val="24"/>
          <w:lang w:val="ro-MD"/>
        </w:rPr>
        <w:t>i Protec</w:t>
      </w:r>
      <w:r w:rsidR="00B13B9A" w:rsidRPr="00B13B9A">
        <w:rPr>
          <w:rFonts w:asciiTheme="majorHAnsi" w:eastAsia="Times New Roman" w:hAnsiTheme="majorHAnsi" w:cstheme="majorHAnsi"/>
          <w:color w:val="212121"/>
          <w:sz w:val="24"/>
          <w:szCs w:val="24"/>
          <w:lang w:val="ro-MD"/>
        </w:rPr>
        <w:t>ț</w:t>
      </w:r>
      <w:r w:rsidRPr="00B13B9A">
        <w:rPr>
          <w:rFonts w:asciiTheme="majorHAnsi" w:eastAsia="Times New Roman" w:hAnsiTheme="majorHAnsi" w:cstheme="majorHAnsi"/>
          <w:color w:val="212121"/>
          <w:sz w:val="24"/>
          <w:szCs w:val="24"/>
          <w:lang w:val="ro-MD"/>
        </w:rPr>
        <w:t xml:space="preserve">iei Sociale i-au fost înaintate 9 recomandări, </w:t>
      </w:r>
      <w:r w:rsidRPr="00B13B9A">
        <w:rPr>
          <w:rFonts w:asciiTheme="majorHAnsi" w:hAnsiTheme="majorHAnsi" w:cstheme="majorHAnsi"/>
          <w:color w:val="000000" w:themeColor="text1"/>
          <w:sz w:val="24"/>
          <w:szCs w:val="24"/>
          <w:lang w:val="ro-MD"/>
        </w:rPr>
        <w:t>Ministerului Justi</w:t>
      </w:r>
      <w:r w:rsidR="00B13B9A" w:rsidRPr="00B13B9A">
        <w:rPr>
          <w:rFonts w:asciiTheme="majorHAnsi" w:hAnsiTheme="majorHAnsi" w:cstheme="majorHAnsi"/>
          <w:color w:val="000000" w:themeColor="text1"/>
          <w:sz w:val="24"/>
          <w:szCs w:val="24"/>
          <w:lang w:val="ro-MD"/>
        </w:rPr>
        <w:t>ț</w:t>
      </w:r>
      <w:r w:rsidRPr="00B13B9A">
        <w:rPr>
          <w:rFonts w:asciiTheme="majorHAnsi" w:hAnsiTheme="majorHAnsi" w:cstheme="majorHAnsi"/>
          <w:color w:val="000000" w:themeColor="text1"/>
          <w:sz w:val="24"/>
          <w:szCs w:val="24"/>
          <w:lang w:val="ro-MD"/>
        </w:rPr>
        <w:t>iei</w:t>
      </w:r>
      <w:r w:rsidRPr="00B13B9A">
        <w:rPr>
          <w:rFonts w:asciiTheme="majorHAnsi" w:eastAsia="Times New Roman" w:hAnsiTheme="majorHAnsi" w:cstheme="majorHAnsi"/>
          <w:color w:val="212121"/>
          <w:sz w:val="24"/>
          <w:szCs w:val="24"/>
          <w:lang w:val="ro-MD"/>
        </w:rPr>
        <w:t xml:space="preserve"> </w:t>
      </w:r>
      <w:r w:rsidR="00A0215B" w:rsidRPr="00B13B9A">
        <w:rPr>
          <w:rFonts w:asciiTheme="majorHAnsi" w:eastAsia="Times New Roman" w:hAnsiTheme="majorHAnsi" w:cstheme="majorHAnsi"/>
          <w:color w:val="212121"/>
          <w:sz w:val="24"/>
          <w:szCs w:val="24"/>
          <w:lang w:val="ro-MD"/>
        </w:rPr>
        <w:t>–</w:t>
      </w:r>
      <w:r w:rsidRPr="00B13B9A">
        <w:rPr>
          <w:rFonts w:asciiTheme="majorHAnsi" w:eastAsia="Times New Roman" w:hAnsiTheme="majorHAnsi" w:cstheme="majorHAnsi"/>
          <w:color w:val="212121"/>
          <w:sz w:val="24"/>
          <w:szCs w:val="24"/>
          <w:lang w:val="ro-MD"/>
        </w:rPr>
        <w:t xml:space="preserve"> 5 recomandări, </w:t>
      </w:r>
      <w:r w:rsidRPr="00B13B9A">
        <w:rPr>
          <w:rFonts w:asciiTheme="majorHAnsi" w:hAnsiTheme="majorHAnsi" w:cstheme="majorHAnsi"/>
          <w:bCs/>
          <w:iCs/>
          <w:sz w:val="24"/>
          <w:szCs w:val="24"/>
          <w:lang w:val="ro-MD"/>
        </w:rPr>
        <w:t>Companiei Na</w:t>
      </w:r>
      <w:r w:rsidR="00B13B9A" w:rsidRPr="00B13B9A">
        <w:rPr>
          <w:rFonts w:asciiTheme="majorHAnsi" w:hAnsiTheme="majorHAnsi" w:cstheme="majorHAnsi"/>
          <w:bCs/>
          <w:iCs/>
          <w:sz w:val="24"/>
          <w:szCs w:val="24"/>
          <w:lang w:val="ro-MD"/>
        </w:rPr>
        <w:t>ț</w:t>
      </w:r>
      <w:r w:rsidRPr="00B13B9A">
        <w:rPr>
          <w:rFonts w:asciiTheme="majorHAnsi" w:hAnsiTheme="majorHAnsi" w:cstheme="majorHAnsi"/>
          <w:bCs/>
          <w:iCs/>
          <w:sz w:val="24"/>
          <w:szCs w:val="24"/>
          <w:lang w:val="ro-MD"/>
        </w:rPr>
        <w:t>ionale de Asigurări în Medicină</w:t>
      </w:r>
      <w:r w:rsidRPr="00B13B9A">
        <w:rPr>
          <w:rFonts w:asciiTheme="majorHAnsi" w:eastAsia="Times New Roman" w:hAnsiTheme="majorHAnsi" w:cstheme="majorHAnsi"/>
          <w:color w:val="212121"/>
          <w:sz w:val="24"/>
          <w:szCs w:val="24"/>
          <w:lang w:val="ro-MD"/>
        </w:rPr>
        <w:t xml:space="preserve"> – 2 recomandări, </w:t>
      </w:r>
      <w:r w:rsidRPr="00B13B9A">
        <w:rPr>
          <w:rFonts w:asciiTheme="majorHAnsi" w:hAnsiTheme="majorHAnsi" w:cstheme="majorHAnsi"/>
          <w:color w:val="000000" w:themeColor="text1"/>
          <w:sz w:val="24"/>
          <w:szCs w:val="24"/>
          <w:lang w:val="ro-MD"/>
        </w:rPr>
        <w:t>Maternită</w:t>
      </w:r>
      <w:r w:rsidR="00B13B9A" w:rsidRPr="00B13B9A">
        <w:rPr>
          <w:rFonts w:asciiTheme="majorHAnsi" w:hAnsiTheme="majorHAnsi" w:cstheme="majorHAnsi"/>
          <w:color w:val="000000" w:themeColor="text1"/>
          <w:sz w:val="24"/>
          <w:szCs w:val="24"/>
          <w:lang w:val="ro-MD"/>
        </w:rPr>
        <w:t>ț</w:t>
      </w:r>
      <w:r w:rsidRPr="00B13B9A">
        <w:rPr>
          <w:rFonts w:asciiTheme="majorHAnsi" w:hAnsiTheme="majorHAnsi" w:cstheme="majorHAnsi"/>
          <w:color w:val="000000" w:themeColor="text1"/>
          <w:sz w:val="24"/>
          <w:szCs w:val="24"/>
          <w:lang w:val="ro-MD"/>
        </w:rPr>
        <w:t xml:space="preserve">ii Municipale nr.2, </w:t>
      </w:r>
      <w:r w:rsidR="00A0215B" w:rsidRPr="00B13B9A">
        <w:rPr>
          <w:rFonts w:asciiTheme="majorHAnsi" w:hAnsiTheme="majorHAnsi" w:cstheme="majorHAnsi"/>
          <w:color w:val="000000" w:themeColor="text1"/>
          <w:sz w:val="24"/>
          <w:szCs w:val="24"/>
          <w:lang w:val="ro-MD"/>
        </w:rPr>
        <w:t xml:space="preserve">mun. </w:t>
      </w:r>
      <w:r w:rsidRPr="00B13B9A">
        <w:rPr>
          <w:rFonts w:asciiTheme="majorHAnsi" w:hAnsiTheme="majorHAnsi" w:cstheme="majorHAnsi"/>
          <w:color w:val="000000" w:themeColor="text1"/>
          <w:sz w:val="24"/>
          <w:szCs w:val="24"/>
          <w:lang w:val="ro-MD"/>
        </w:rPr>
        <w:t>Chi</w:t>
      </w:r>
      <w:r w:rsidR="00B13B9A" w:rsidRPr="00B13B9A">
        <w:rPr>
          <w:rFonts w:asciiTheme="majorHAnsi" w:hAnsiTheme="majorHAnsi" w:cstheme="majorHAnsi"/>
          <w:color w:val="000000" w:themeColor="text1"/>
          <w:sz w:val="24"/>
          <w:szCs w:val="24"/>
          <w:lang w:val="ro-MD"/>
        </w:rPr>
        <w:t>ș</w:t>
      </w:r>
      <w:r w:rsidRPr="00B13B9A">
        <w:rPr>
          <w:rFonts w:asciiTheme="majorHAnsi" w:hAnsiTheme="majorHAnsi" w:cstheme="majorHAnsi"/>
          <w:color w:val="000000" w:themeColor="text1"/>
          <w:sz w:val="24"/>
          <w:szCs w:val="24"/>
          <w:lang w:val="ro-MD"/>
        </w:rPr>
        <w:t>inău</w:t>
      </w:r>
      <w:r w:rsidRPr="00B13B9A">
        <w:rPr>
          <w:rFonts w:asciiTheme="majorHAnsi" w:eastAsia="Times New Roman" w:hAnsiTheme="majorHAnsi" w:cstheme="majorHAnsi"/>
          <w:color w:val="212121"/>
          <w:sz w:val="24"/>
          <w:szCs w:val="24"/>
          <w:lang w:val="ro-MD"/>
        </w:rPr>
        <w:t xml:space="preserve">, </w:t>
      </w:r>
      <w:r w:rsidRPr="00B13B9A">
        <w:rPr>
          <w:rFonts w:asciiTheme="majorHAnsi" w:hAnsiTheme="majorHAnsi" w:cstheme="majorHAnsi"/>
          <w:color w:val="000000" w:themeColor="text1"/>
          <w:sz w:val="24"/>
          <w:szCs w:val="24"/>
          <w:lang w:val="ro-MD"/>
        </w:rPr>
        <w:t xml:space="preserve">Spitalului Clinic Municipal nr.1, </w:t>
      </w:r>
      <w:r w:rsidR="00A0215B" w:rsidRPr="00B13B9A">
        <w:rPr>
          <w:rFonts w:asciiTheme="majorHAnsi" w:hAnsiTheme="majorHAnsi" w:cstheme="majorHAnsi"/>
          <w:color w:val="000000" w:themeColor="text1"/>
          <w:sz w:val="24"/>
          <w:szCs w:val="24"/>
          <w:lang w:val="ro-MD"/>
        </w:rPr>
        <w:t xml:space="preserve">mun. </w:t>
      </w:r>
      <w:r w:rsidRPr="00B13B9A">
        <w:rPr>
          <w:rFonts w:asciiTheme="majorHAnsi" w:hAnsiTheme="majorHAnsi" w:cstheme="majorHAnsi"/>
          <w:color w:val="000000" w:themeColor="text1"/>
          <w:sz w:val="24"/>
          <w:szCs w:val="24"/>
          <w:lang w:val="ro-MD"/>
        </w:rPr>
        <w:t>Chi</w:t>
      </w:r>
      <w:r w:rsidR="00B13B9A" w:rsidRPr="00B13B9A">
        <w:rPr>
          <w:rFonts w:asciiTheme="majorHAnsi" w:hAnsiTheme="majorHAnsi" w:cstheme="majorHAnsi"/>
          <w:color w:val="000000" w:themeColor="text1"/>
          <w:sz w:val="24"/>
          <w:szCs w:val="24"/>
          <w:lang w:val="ro-MD"/>
        </w:rPr>
        <w:t>ș</w:t>
      </w:r>
      <w:r w:rsidRPr="00B13B9A">
        <w:rPr>
          <w:rFonts w:asciiTheme="majorHAnsi" w:hAnsiTheme="majorHAnsi" w:cstheme="majorHAnsi"/>
          <w:color w:val="000000" w:themeColor="text1"/>
          <w:sz w:val="24"/>
          <w:szCs w:val="24"/>
          <w:lang w:val="ro-MD"/>
        </w:rPr>
        <w:t xml:space="preserve">inău </w:t>
      </w:r>
      <w:r w:rsidR="00B13B9A" w:rsidRPr="00B13B9A">
        <w:rPr>
          <w:rFonts w:asciiTheme="majorHAnsi" w:hAnsiTheme="majorHAnsi" w:cstheme="majorHAnsi"/>
          <w:color w:val="000000" w:themeColor="text1"/>
          <w:sz w:val="24"/>
          <w:szCs w:val="24"/>
          <w:lang w:val="ro-MD"/>
        </w:rPr>
        <w:t>ș</w:t>
      </w:r>
      <w:r w:rsidRPr="00B13B9A">
        <w:rPr>
          <w:rFonts w:asciiTheme="majorHAnsi" w:hAnsiTheme="majorHAnsi" w:cstheme="majorHAnsi"/>
          <w:color w:val="000000" w:themeColor="text1"/>
          <w:sz w:val="24"/>
          <w:szCs w:val="24"/>
          <w:lang w:val="ro-MD"/>
        </w:rPr>
        <w:t>i Departamentului Perinatologic, mun. Băl</w:t>
      </w:r>
      <w:r w:rsidR="00B13B9A" w:rsidRPr="00B13B9A">
        <w:rPr>
          <w:rFonts w:asciiTheme="majorHAnsi" w:hAnsiTheme="majorHAnsi" w:cstheme="majorHAnsi"/>
          <w:color w:val="000000" w:themeColor="text1"/>
          <w:sz w:val="24"/>
          <w:szCs w:val="24"/>
          <w:lang w:val="ro-MD"/>
        </w:rPr>
        <w:t>ț</w:t>
      </w:r>
      <w:r w:rsidRPr="00B13B9A">
        <w:rPr>
          <w:rFonts w:asciiTheme="majorHAnsi" w:hAnsiTheme="majorHAnsi" w:cstheme="majorHAnsi"/>
          <w:color w:val="000000" w:themeColor="text1"/>
          <w:sz w:val="24"/>
          <w:szCs w:val="24"/>
          <w:lang w:val="ro-MD"/>
        </w:rPr>
        <w:t xml:space="preserve">i </w:t>
      </w:r>
      <w:r w:rsidR="00A0215B" w:rsidRPr="00B13B9A">
        <w:rPr>
          <w:rFonts w:asciiTheme="majorHAnsi" w:eastAsia="Times New Roman" w:hAnsiTheme="majorHAnsi" w:cstheme="majorHAnsi"/>
          <w:color w:val="212121"/>
          <w:sz w:val="24"/>
          <w:szCs w:val="24"/>
          <w:lang w:val="ro-MD"/>
        </w:rPr>
        <w:t>–</w:t>
      </w:r>
      <w:r w:rsidRPr="00B13B9A">
        <w:rPr>
          <w:rFonts w:asciiTheme="majorHAnsi" w:hAnsiTheme="majorHAnsi" w:cstheme="majorHAnsi"/>
          <w:color w:val="000000" w:themeColor="text1"/>
          <w:sz w:val="24"/>
          <w:szCs w:val="24"/>
          <w:lang w:val="ro-MD"/>
        </w:rPr>
        <w:t xml:space="preserve"> câte o recomandare</w:t>
      </w:r>
      <w:r w:rsidRPr="00B13B9A">
        <w:rPr>
          <w:rFonts w:asciiTheme="majorHAnsi" w:eastAsia="Times New Roman" w:hAnsiTheme="majorHAnsi" w:cstheme="majorHAnsi"/>
          <w:color w:val="212121"/>
          <w:sz w:val="24"/>
          <w:szCs w:val="24"/>
          <w:lang w:val="ro-MD"/>
        </w:rPr>
        <w:t>. </w:t>
      </w:r>
    </w:p>
    <w:p w14:paraId="246DE85C" w14:textId="26F20485" w:rsidR="008E3D7A" w:rsidRPr="00B13B9A" w:rsidRDefault="00C202E3" w:rsidP="00C202E3">
      <w:pPr>
        <w:spacing w:after="0" w:line="276" w:lineRule="auto"/>
        <w:jc w:val="both"/>
        <w:rPr>
          <w:rFonts w:asciiTheme="majorHAnsi" w:hAnsiTheme="majorHAnsi" w:cstheme="majorHAnsi"/>
          <w:color w:val="000000"/>
          <w:sz w:val="24"/>
          <w:szCs w:val="24"/>
          <w:lang w:val="ro-MD"/>
        </w:rPr>
      </w:pPr>
      <w:r w:rsidRPr="00B13B9A">
        <w:rPr>
          <w:rFonts w:asciiTheme="majorHAnsi" w:eastAsia="Times New Roman" w:hAnsiTheme="majorHAnsi" w:cstheme="majorHAnsi"/>
          <w:color w:val="212121"/>
          <w:sz w:val="24"/>
          <w:szCs w:val="24"/>
          <w:lang w:val="ro-MD"/>
        </w:rPr>
        <w:t>Astfel, în urma evaluării informa</w:t>
      </w:r>
      <w:r w:rsidR="00B13B9A" w:rsidRPr="00B13B9A">
        <w:rPr>
          <w:rFonts w:asciiTheme="majorHAnsi" w:eastAsia="Times New Roman" w:hAnsiTheme="majorHAnsi" w:cstheme="majorHAnsi"/>
          <w:color w:val="212121"/>
          <w:sz w:val="24"/>
          <w:szCs w:val="24"/>
          <w:lang w:val="ro-MD"/>
        </w:rPr>
        <w:t>ț</w:t>
      </w:r>
      <w:r w:rsidRPr="00B13B9A">
        <w:rPr>
          <w:rFonts w:asciiTheme="majorHAnsi" w:eastAsia="Times New Roman" w:hAnsiTheme="majorHAnsi" w:cstheme="majorHAnsi"/>
          <w:color w:val="212121"/>
          <w:sz w:val="24"/>
          <w:szCs w:val="24"/>
          <w:lang w:val="ro-MD"/>
        </w:rPr>
        <w:t>iilor prezentate de entită</w:t>
      </w:r>
      <w:r w:rsidR="00B13B9A" w:rsidRPr="00B13B9A">
        <w:rPr>
          <w:rFonts w:asciiTheme="majorHAnsi" w:eastAsia="Times New Roman" w:hAnsiTheme="majorHAnsi" w:cstheme="majorHAnsi"/>
          <w:color w:val="212121"/>
          <w:sz w:val="24"/>
          <w:szCs w:val="24"/>
          <w:lang w:val="ro-MD"/>
        </w:rPr>
        <w:t>ț</w:t>
      </w:r>
      <w:r w:rsidRPr="00B13B9A">
        <w:rPr>
          <w:rFonts w:asciiTheme="majorHAnsi" w:eastAsia="Times New Roman" w:hAnsiTheme="majorHAnsi" w:cstheme="majorHAnsi"/>
          <w:color w:val="212121"/>
          <w:sz w:val="24"/>
          <w:szCs w:val="24"/>
          <w:lang w:val="ro-MD"/>
        </w:rPr>
        <w:t>i, auditul a stabilit</w:t>
      </w:r>
      <w:r w:rsidR="001B5D3D" w:rsidRPr="00B13B9A">
        <w:rPr>
          <w:rFonts w:asciiTheme="majorHAnsi" w:eastAsia="Times New Roman" w:hAnsiTheme="majorHAnsi" w:cstheme="majorHAnsi"/>
          <w:color w:val="212121"/>
          <w:sz w:val="24"/>
          <w:szCs w:val="24"/>
          <w:lang w:val="ro-MD"/>
        </w:rPr>
        <w:t xml:space="preserve"> implementarea a</w:t>
      </w:r>
      <w:r w:rsidRPr="00B13B9A">
        <w:rPr>
          <w:rFonts w:asciiTheme="majorHAnsi" w:eastAsia="Times New Roman" w:hAnsiTheme="majorHAnsi" w:cstheme="majorHAnsi"/>
          <w:color w:val="212121"/>
          <w:sz w:val="24"/>
          <w:szCs w:val="24"/>
          <w:lang w:val="ro-MD"/>
        </w:rPr>
        <w:t xml:space="preserve"> 18 recomandări. </w:t>
      </w:r>
      <w:r w:rsidRPr="00B13B9A">
        <w:rPr>
          <w:rFonts w:asciiTheme="majorHAnsi" w:hAnsiTheme="majorHAnsi" w:cstheme="majorHAnsi"/>
          <w:noProof/>
          <w:sz w:val="24"/>
          <w:szCs w:val="24"/>
          <w:lang w:val="ro-MD"/>
        </w:rPr>
        <w:t xml:space="preserve">Prin urmare, realizarea proceselor de către IMSP a determinat </w:t>
      </w:r>
      <w:r w:rsidRPr="00B13B9A">
        <w:rPr>
          <w:rFonts w:asciiTheme="majorHAnsi" w:hAnsiTheme="majorHAnsi" w:cstheme="majorHAnsi"/>
          <w:color w:val="000000"/>
          <w:sz w:val="24"/>
          <w:szCs w:val="24"/>
          <w:lang w:val="ro-MD"/>
        </w:rPr>
        <w:t>estimarea necesită</w:t>
      </w:r>
      <w:r w:rsidR="00B13B9A" w:rsidRPr="00B13B9A">
        <w:rPr>
          <w:rFonts w:asciiTheme="majorHAnsi" w:hAnsiTheme="majorHAnsi" w:cstheme="majorHAnsi"/>
          <w:color w:val="000000"/>
          <w:sz w:val="24"/>
          <w:szCs w:val="24"/>
          <w:lang w:val="ro-MD"/>
        </w:rPr>
        <w:t>ț</w:t>
      </w:r>
      <w:r w:rsidRPr="00B13B9A">
        <w:rPr>
          <w:rFonts w:asciiTheme="majorHAnsi" w:hAnsiTheme="majorHAnsi" w:cstheme="majorHAnsi"/>
          <w:color w:val="000000"/>
          <w:sz w:val="24"/>
          <w:szCs w:val="24"/>
          <w:lang w:val="ro-MD"/>
        </w:rPr>
        <w:t>ilor de medicamente antituberculoase pentru asigurarea tratamentului tuturor pacien</w:t>
      </w:r>
      <w:r w:rsidR="00B13B9A" w:rsidRPr="00B13B9A">
        <w:rPr>
          <w:rFonts w:asciiTheme="majorHAnsi" w:hAnsiTheme="majorHAnsi" w:cstheme="majorHAnsi"/>
          <w:color w:val="000000"/>
          <w:sz w:val="24"/>
          <w:szCs w:val="24"/>
          <w:lang w:val="ro-MD"/>
        </w:rPr>
        <w:t>ț</w:t>
      </w:r>
      <w:r w:rsidRPr="00B13B9A">
        <w:rPr>
          <w:rFonts w:asciiTheme="majorHAnsi" w:hAnsiTheme="majorHAnsi" w:cstheme="majorHAnsi"/>
          <w:color w:val="000000"/>
          <w:sz w:val="24"/>
          <w:szCs w:val="24"/>
          <w:lang w:val="ro-MD"/>
        </w:rPr>
        <w:t>ilor prognoza</w:t>
      </w:r>
      <w:r w:rsidR="00B13B9A" w:rsidRPr="00B13B9A">
        <w:rPr>
          <w:rFonts w:asciiTheme="majorHAnsi" w:hAnsiTheme="majorHAnsi" w:cstheme="majorHAnsi"/>
          <w:color w:val="000000"/>
          <w:sz w:val="24"/>
          <w:szCs w:val="24"/>
          <w:lang w:val="ro-MD"/>
        </w:rPr>
        <w:t>ț</w:t>
      </w:r>
      <w:r w:rsidRPr="00B13B9A">
        <w:rPr>
          <w:rFonts w:asciiTheme="majorHAnsi" w:hAnsiTheme="majorHAnsi" w:cstheme="majorHAnsi"/>
          <w:color w:val="000000"/>
          <w:sz w:val="24"/>
          <w:szCs w:val="24"/>
          <w:lang w:val="ro-MD"/>
        </w:rPr>
        <w:t>i de a fi înrola</w:t>
      </w:r>
      <w:r w:rsidR="00B13B9A" w:rsidRPr="00B13B9A">
        <w:rPr>
          <w:rFonts w:asciiTheme="majorHAnsi" w:hAnsiTheme="majorHAnsi" w:cstheme="majorHAnsi"/>
          <w:color w:val="000000"/>
          <w:sz w:val="24"/>
          <w:szCs w:val="24"/>
          <w:lang w:val="ro-MD"/>
        </w:rPr>
        <w:t>ț</w:t>
      </w:r>
      <w:r w:rsidRPr="00B13B9A">
        <w:rPr>
          <w:rFonts w:asciiTheme="majorHAnsi" w:hAnsiTheme="majorHAnsi" w:cstheme="majorHAnsi"/>
          <w:color w:val="000000"/>
          <w:sz w:val="24"/>
          <w:szCs w:val="24"/>
          <w:lang w:val="ro-MD"/>
        </w:rPr>
        <w:t>i în tratament</w:t>
      </w:r>
      <w:r w:rsidRPr="00B13B9A">
        <w:rPr>
          <w:rFonts w:asciiTheme="majorHAnsi" w:hAnsiTheme="majorHAnsi" w:cstheme="majorHAnsi"/>
          <w:noProof/>
          <w:sz w:val="24"/>
          <w:szCs w:val="24"/>
          <w:lang w:val="ro-MD"/>
        </w:rPr>
        <w:t xml:space="preserve">, </w:t>
      </w:r>
      <w:r w:rsidRPr="00B13B9A">
        <w:rPr>
          <w:rFonts w:asciiTheme="majorHAnsi" w:hAnsiTheme="majorHAnsi" w:cstheme="majorHAnsi"/>
          <w:color w:val="000000"/>
          <w:sz w:val="24"/>
          <w:szCs w:val="24"/>
          <w:lang w:val="ro-MD"/>
        </w:rPr>
        <w:t>delimita</w:t>
      </w:r>
      <w:r w:rsidR="00666849" w:rsidRPr="00B13B9A">
        <w:rPr>
          <w:rFonts w:asciiTheme="majorHAnsi" w:hAnsiTheme="majorHAnsi" w:cstheme="majorHAnsi"/>
          <w:color w:val="000000"/>
          <w:sz w:val="24"/>
          <w:szCs w:val="24"/>
          <w:lang w:val="ro-MD"/>
        </w:rPr>
        <w:t>rea</w:t>
      </w:r>
      <w:r w:rsidRPr="00B13B9A">
        <w:rPr>
          <w:rFonts w:asciiTheme="majorHAnsi" w:hAnsiTheme="majorHAnsi" w:cstheme="majorHAnsi"/>
          <w:color w:val="000000"/>
          <w:sz w:val="24"/>
          <w:szCs w:val="24"/>
          <w:lang w:val="ro-MD"/>
        </w:rPr>
        <w:t xml:space="preserve"> responsabilită</w:t>
      </w:r>
      <w:r w:rsidR="00B13B9A" w:rsidRPr="00B13B9A">
        <w:rPr>
          <w:rFonts w:asciiTheme="majorHAnsi" w:hAnsiTheme="majorHAnsi" w:cstheme="majorHAnsi"/>
          <w:color w:val="000000"/>
          <w:sz w:val="24"/>
          <w:szCs w:val="24"/>
          <w:lang w:val="ro-MD"/>
        </w:rPr>
        <w:t>ț</w:t>
      </w:r>
      <w:r w:rsidRPr="00B13B9A">
        <w:rPr>
          <w:rFonts w:asciiTheme="majorHAnsi" w:hAnsiTheme="majorHAnsi" w:cstheme="majorHAnsi"/>
          <w:color w:val="000000"/>
          <w:sz w:val="24"/>
          <w:szCs w:val="24"/>
          <w:lang w:val="ro-MD"/>
        </w:rPr>
        <w:t>il</w:t>
      </w:r>
      <w:r w:rsidR="00666849" w:rsidRPr="00B13B9A">
        <w:rPr>
          <w:rFonts w:asciiTheme="majorHAnsi" w:hAnsiTheme="majorHAnsi" w:cstheme="majorHAnsi"/>
          <w:color w:val="000000"/>
          <w:sz w:val="24"/>
          <w:szCs w:val="24"/>
          <w:lang w:val="ro-MD"/>
        </w:rPr>
        <w:t>or</w:t>
      </w:r>
      <w:r w:rsidRPr="00B13B9A">
        <w:rPr>
          <w:rFonts w:asciiTheme="majorHAnsi" w:hAnsiTheme="majorHAnsi" w:cstheme="majorHAnsi"/>
          <w:color w:val="000000"/>
          <w:sz w:val="24"/>
          <w:szCs w:val="24"/>
          <w:lang w:val="ro-MD"/>
        </w:rPr>
        <w:t xml:space="preserve"> </w:t>
      </w:r>
      <w:r w:rsidR="00B13B9A" w:rsidRPr="00B13B9A">
        <w:rPr>
          <w:rFonts w:asciiTheme="majorHAnsi" w:hAnsiTheme="majorHAnsi" w:cstheme="majorHAnsi"/>
          <w:color w:val="000000"/>
          <w:sz w:val="24"/>
          <w:szCs w:val="24"/>
          <w:lang w:val="ro-MD"/>
        </w:rPr>
        <w:t>ș</w:t>
      </w:r>
      <w:r w:rsidRPr="00B13B9A">
        <w:rPr>
          <w:rFonts w:asciiTheme="majorHAnsi" w:hAnsiTheme="majorHAnsi" w:cstheme="majorHAnsi"/>
          <w:color w:val="000000"/>
          <w:sz w:val="24"/>
          <w:szCs w:val="24"/>
          <w:lang w:val="ro-MD"/>
        </w:rPr>
        <w:t>i atribu</w:t>
      </w:r>
      <w:r w:rsidR="00B13B9A" w:rsidRPr="00B13B9A">
        <w:rPr>
          <w:rFonts w:asciiTheme="majorHAnsi" w:hAnsiTheme="majorHAnsi" w:cstheme="majorHAnsi"/>
          <w:color w:val="000000"/>
          <w:sz w:val="24"/>
          <w:szCs w:val="24"/>
          <w:lang w:val="ro-MD"/>
        </w:rPr>
        <w:t>ț</w:t>
      </w:r>
      <w:r w:rsidRPr="00B13B9A">
        <w:rPr>
          <w:rFonts w:asciiTheme="majorHAnsi" w:hAnsiTheme="majorHAnsi" w:cstheme="majorHAnsi"/>
          <w:color w:val="000000"/>
          <w:sz w:val="24"/>
          <w:szCs w:val="24"/>
          <w:lang w:val="ro-MD"/>
        </w:rPr>
        <w:t>iil</w:t>
      </w:r>
      <w:r w:rsidR="00666849" w:rsidRPr="00B13B9A">
        <w:rPr>
          <w:rFonts w:asciiTheme="majorHAnsi" w:hAnsiTheme="majorHAnsi" w:cstheme="majorHAnsi"/>
          <w:color w:val="000000"/>
          <w:sz w:val="24"/>
          <w:szCs w:val="24"/>
          <w:lang w:val="ro-MD"/>
        </w:rPr>
        <w:t>or</w:t>
      </w:r>
      <w:r w:rsidRPr="00B13B9A">
        <w:rPr>
          <w:rFonts w:asciiTheme="majorHAnsi" w:hAnsiTheme="majorHAnsi" w:cstheme="majorHAnsi"/>
          <w:color w:val="000000"/>
          <w:sz w:val="24"/>
          <w:szCs w:val="24"/>
          <w:lang w:val="ro-MD"/>
        </w:rPr>
        <w:t xml:space="preserve"> la etapa de profilaxie, depistare, diagnostic </w:t>
      </w:r>
      <w:r w:rsidR="00B13B9A" w:rsidRPr="00B13B9A">
        <w:rPr>
          <w:rFonts w:asciiTheme="majorHAnsi" w:hAnsiTheme="majorHAnsi" w:cstheme="majorHAnsi"/>
          <w:color w:val="000000"/>
          <w:sz w:val="24"/>
          <w:szCs w:val="24"/>
          <w:lang w:val="ro-MD"/>
        </w:rPr>
        <w:t>ș</w:t>
      </w:r>
      <w:r w:rsidRPr="00B13B9A">
        <w:rPr>
          <w:rFonts w:asciiTheme="majorHAnsi" w:hAnsiTheme="majorHAnsi" w:cstheme="majorHAnsi"/>
          <w:color w:val="000000"/>
          <w:sz w:val="24"/>
          <w:szCs w:val="24"/>
          <w:lang w:val="ro-MD"/>
        </w:rPr>
        <w:t>i tratament. Totodată, Ministerul Sănătă</w:t>
      </w:r>
      <w:r w:rsidR="00B13B9A" w:rsidRPr="00B13B9A">
        <w:rPr>
          <w:rFonts w:asciiTheme="majorHAnsi" w:hAnsiTheme="majorHAnsi" w:cstheme="majorHAnsi"/>
          <w:color w:val="000000"/>
          <w:sz w:val="24"/>
          <w:szCs w:val="24"/>
          <w:lang w:val="ro-MD"/>
        </w:rPr>
        <w:t>ț</w:t>
      </w:r>
      <w:r w:rsidRPr="00B13B9A">
        <w:rPr>
          <w:rFonts w:asciiTheme="majorHAnsi" w:hAnsiTheme="majorHAnsi" w:cstheme="majorHAnsi"/>
          <w:color w:val="000000"/>
          <w:sz w:val="24"/>
          <w:szCs w:val="24"/>
          <w:lang w:val="ro-MD"/>
        </w:rPr>
        <w:t>ii a format un grup de lucru pentru examinarea modalită</w:t>
      </w:r>
      <w:r w:rsidR="00B13B9A" w:rsidRPr="00B13B9A">
        <w:rPr>
          <w:rFonts w:asciiTheme="majorHAnsi" w:hAnsiTheme="majorHAnsi" w:cstheme="majorHAnsi"/>
          <w:color w:val="000000"/>
          <w:sz w:val="24"/>
          <w:szCs w:val="24"/>
          <w:lang w:val="ro-MD"/>
        </w:rPr>
        <w:t>ț</w:t>
      </w:r>
      <w:r w:rsidRPr="00B13B9A">
        <w:rPr>
          <w:rFonts w:asciiTheme="majorHAnsi" w:hAnsiTheme="majorHAnsi" w:cstheme="majorHAnsi"/>
          <w:color w:val="000000"/>
          <w:sz w:val="24"/>
          <w:szCs w:val="24"/>
          <w:lang w:val="ro-MD"/>
        </w:rPr>
        <w:t xml:space="preserve">ii </w:t>
      </w:r>
      <w:r w:rsidR="00666849" w:rsidRPr="00B13B9A">
        <w:rPr>
          <w:rFonts w:asciiTheme="majorHAnsi" w:hAnsiTheme="majorHAnsi" w:cstheme="majorHAnsi"/>
          <w:color w:val="000000"/>
          <w:sz w:val="24"/>
          <w:szCs w:val="24"/>
          <w:lang w:val="ro-MD"/>
        </w:rPr>
        <w:t xml:space="preserve">de </w:t>
      </w:r>
      <w:r w:rsidRPr="00B13B9A">
        <w:rPr>
          <w:rFonts w:asciiTheme="majorHAnsi" w:hAnsiTheme="majorHAnsi" w:cstheme="majorHAnsi"/>
          <w:color w:val="000000"/>
          <w:sz w:val="24"/>
          <w:szCs w:val="24"/>
          <w:lang w:val="ro-MD"/>
        </w:rPr>
        <w:t>analiz</w:t>
      </w:r>
      <w:r w:rsidR="00666849" w:rsidRPr="00B13B9A">
        <w:rPr>
          <w:rFonts w:asciiTheme="majorHAnsi" w:hAnsiTheme="majorHAnsi" w:cstheme="majorHAnsi"/>
          <w:color w:val="000000"/>
          <w:sz w:val="24"/>
          <w:szCs w:val="24"/>
          <w:lang w:val="ro-MD"/>
        </w:rPr>
        <w:t>ă</w:t>
      </w:r>
      <w:r w:rsidRPr="00B13B9A">
        <w:rPr>
          <w:rFonts w:asciiTheme="majorHAnsi" w:hAnsiTheme="majorHAnsi" w:cstheme="majorHAnsi"/>
          <w:color w:val="000000"/>
          <w:sz w:val="24"/>
          <w:szCs w:val="24"/>
          <w:lang w:val="ro-MD"/>
        </w:rPr>
        <w:t xml:space="preserve"> </w:t>
      </w:r>
      <w:r w:rsidR="00B13B9A" w:rsidRPr="00B13B9A">
        <w:rPr>
          <w:rFonts w:asciiTheme="majorHAnsi" w:hAnsiTheme="majorHAnsi" w:cstheme="majorHAnsi"/>
          <w:color w:val="000000"/>
          <w:sz w:val="24"/>
          <w:szCs w:val="24"/>
          <w:lang w:val="ro-MD"/>
        </w:rPr>
        <w:t>ș</w:t>
      </w:r>
      <w:r w:rsidRPr="00B13B9A">
        <w:rPr>
          <w:rFonts w:asciiTheme="majorHAnsi" w:hAnsiTheme="majorHAnsi" w:cstheme="majorHAnsi"/>
          <w:color w:val="000000"/>
          <w:sz w:val="24"/>
          <w:szCs w:val="24"/>
          <w:lang w:val="ro-MD"/>
        </w:rPr>
        <w:t>i modificare</w:t>
      </w:r>
      <w:r w:rsidR="00666849" w:rsidRPr="00B13B9A">
        <w:rPr>
          <w:rFonts w:asciiTheme="majorHAnsi" w:hAnsiTheme="majorHAnsi" w:cstheme="majorHAnsi"/>
          <w:color w:val="000000"/>
          <w:sz w:val="24"/>
          <w:szCs w:val="24"/>
          <w:lang w:val="ro-MD"/>
        </w:rPr>
        <w:t xml:space="preserve"> </w:t>
      </w:r>
      <w:r w:rsidRPr="00B13B9A">
        <w:rPr>
          <w:rFonts w:asciiTheme="majorHAnsi" w:hAnsiTheme="majorHAnsi" w:cstheme="majorHAnsi"/>
          <w:color w:val="000000"/>
          <w:sz w:val="24"/>
          <w:szCs w:val="24"/>
          <w:lang w:val="ro-MD"/>
        </w:rPr>
        <w:t>a oferirii suportului motiva</w:t>
      </w:r>
      <w:r w:rsidR="00B13B9A" w:rsidRPr="00B13B9A">
        <w:rPr>
          <w:rFonts w:asciiTheme="majorHAnsi" w:hAnsiTheme="majorHAnsi" w:cstheme="majorHAnsi"/>
          <w:color w:val="000000"/>
          <w:sz w:val="24"/>
          <w:szCs w:val="24"/>
          <w:lang w:val="ro-MD"/>
        </w:rPr>
        <w:t>ț</w:t>
      </w:r>
      <w:r w:rsidRPr="00B13B9A">
        <w:rPr>
          <w:rFonts w:asciiTheme="majorHAnsi" w:hAnsiTheme="majorHAnsi" w:cstheme="majorHAnsi"/>
          <w:color w:val="000000"/>
          <w:sz w:val="24"/>
          <w:szCs w:val="24"/>
          <w:lang w:val="ro-MD"/>
        </w:rPr>
        <w:t>ional în formă de tichete de masă/alimentare electronice</w:t>
      </w:r>
      <w:r w:rsidR="008E3D7A" w:rsidRPr="00B13B9A">
        <w:rPr>
          <w:rFonts w:asciiTheme="majorHAnsi" w:hAnsiTheme="majorHAnsi" w:cstheme="majorHAnsi"/>
          <w:color w:val="000000"/>
          <w:sz w:val="24"/>
          <w:szCs w:val="24"/>
          <w:lang w:val="ro-MD"/>
        </w:rPr>
        <w:t>,</w:t>
      </w:r>
      <w:r w:rsidRPr="00B13B9A">
        <w:rPr>
          <w:rFonts w:asciiTheme="majorHAnsi" w:hAnsiTheme="majorHAnsi" w:cstheme="majorHAnsi"/>
          <w:color w:val="000000"/>
          <w:sz w:val="24"/>
          <w:szCs w:val="24"/>
          <w:lang w:val="ro-MD"/>
        </w:rPr>
        <w:t xml:space="preserve"> cât </w:t>
      </w:r>
      <w:r w:rsidR="00B13B9A" w:rsidRPr="00B13B9A">
        <w:rPr>
          <w:rFonts w:asciiTheme="majorHAnsi" w:hAnsiTheme="majorHAnsi" w:cstheme="majorHAnsi"/>
          <w:color w:val="000000"/>
          <w:sz w:val="24"/>
          <w:szCs w:val="24"/>
          <w:lang w:val="ro-MD"/>
        </w:rPr>
        <w:t>ș</w:t>
      </w:r>
      <w:r w:rsidRPr="00B13B9A">
        <w:rPr>
          <w:rFonts w:asciiTheme="majorHAnsi" w:hAnsiTheme="majorHAnsi" w:cstheme="majorHAnsi"/>
          <w:color w:val="000000"/>
          <w:sz w:val="24"/>
          <w:szCs w:val="24"/>
          <w:lang w:val="ro-MD"/>
        </w:rPr>
        <w:t>i costul lunar al tichetului alimentar, inclusiv costul pentru drum tur</w:t>
      </w:r>
      <w:r w:rsidR="00666849" w:rsidRPr="00B13B9A">
        <w:rPr>
          <w:rFonts w:asciiTheme="majorHAnsi" w:hAnsiTheme="majorHAnsi" w:cstheme="majorHAnsi"/>
          <w:color w:val="000000"/>
          <w:sz w:val="24"/>
          <w:szCs w:val="24"/>
          <w:lang w:val="ro-MD"/>
        </w:rPr>
        <w:t>-</w:t>
      </w:r>
      <w:r w:rsidRPr="00B13B9A">
        <w:rPr>
          <w:rFonts w:asciiTheme="majorHAnsi" w:hAnsiTheme="majorHAnsi" w:cstheme="majorHAnsi"/>
          <w:color w:val="000000"/>
          <w:sz w:val="24"/>
          <w:szCs w:val="24"/>
          <w:lang w:val="ro-MD"/>
        </w:rPr>
        <w:t xml:space="preserve">retur. </w:t>
      </w:r>
    </w:p>
    <w:p w14:paraId="12C1DA74" w14:textId="42F25250" w:rsidR="00C202E3" w:rsidRPr="00B13B9A" w:rsidRDefault="00C202E3" w:rsidP="00C202E3">
      <w:pPr>
        <w:spacing w:after="0" w:line="276" w:lineRule="auto"/>
        <w:jc w:val="both"/>
        <w:rPr>
          <w:rFonts w:asciiTheme="majorHAnsi" w:eastAsia="Times New Roman" w:hAnsiTheme="majorHAnsi" w:cstheme="majorHAnsi"/>
          <w:color w:val="212121"/>
          <w:sz w:val="24"/>
          <w:szCs w:val="24"/>
          <w:lang w:val="ro-MD"/>
        </w:rPr>
      </w:pPr>
      <w:r w:rsidRPr="00B13B9A">
        <w:rPr>
          <w:rFonts w:asciiTheme="majorHAnsi" w:hAnsiTheme="majorHAnsi" w:cstheme="majorHAnsi"/>
          <w:color w:val="000000"/>
          <w:sz w:val="24"/>
          <w:szCs w:val="24"/>
          <w:lang w:val="ro-MD"/>
        </w:rPr>
        <w:t>Ministerul Justi</w:t>
      </w:r>
      <w:r w:rsidR="00B13B9A" w:rsidRPr="00B13B9A">
        <w:rPr>
          <w:rFonts w:asciiTheme="majorHAnsi" w:hAnsiTheme="majorHAnsi" w:cstheme="majorHAnsi"/>
          <w:color w:val="000000"/>
          <w:sz w:val="24"/>
          <w:szCs w:val="24"/>
          <w:lang w:val="ro-MD"/>
        </w:rPr>
        <w:t>ț</w:t>
      </w:r>
      <w:r w:rsidRPr="00B13B9A">
        <w:rPr>
          <w:rFonts w:asciiTheme="majorHAnsi" w:hAnsiTheme="majorHAnsi" w:cstheme="majorHAnsi"/>
          <w:color w:val="000000"/>
          <w:sz w:val="24"/>
          <w:szCs w:val="24"/>
          <w:lang w:val="ro-MD"/>
        </w:rPr>
        <w:t xml:space="preserve">iei a </w:t>
      </w:r>
      <w:r w:rsidR="008E3D7A" w:rsidRPr="00B13B9A">
        <w:rPr>
          <w:rFonts w:asciiTheme="majorHAnsi" w:hAnsiTheme="majorHAnsi" w:cstheme="majorHAnsi"/>
          <w:color w:val="000000"/>
          <w:sz w:val="24"/>
          <w:szCs w:val="24"/>
          <w:lang w:val="ro-MD"/>
        </w:rPr>
        <w:t xml:space="preserve">dispus </w:t>
      </w:r>
      <w:r w:rsidRPr="00B13B9A">
        <w:rPr>
          <w:rFonts w:asciiTheme="majorHAnsi" w:hAnsiTheme="majorHAnsi" w:cstheme="majorHAnsi"/>
          <w:color w:val="000000"/>
          <w:sz w:val="24"/>
          <w:szCs w:val="24"/>
          <w:lang w:val="ro-MD"/>
        </w:rPr>
        <w:t>examina</w:t>
      </w:r>
      <w:r w:rsidR="008E3D7A" w:rsidRPr="00B13B9A">
        <w:rPr>
          <w:rFonts w:asciiTheme="majorHAnsi" w:hAnsiTheme="majorHAnsi" w:cstheme="majorHAnsi"/>
          <w:color w:val="000000"/>
          <w:sz w:val="24"/>
          <w:szCs w:val="24"/>
          <w:lang w:val="ro-MD"/>
        </w:rPr>
        <w:t>rea</w:t>
      </w:r>
      <w:r w:rsidRPr="00B13B9A">
        <w:rPr>
          <w:rFonts w:asciiTheme="majorHAnsi" w:hAnsiTheme="majorHAnsi" w:cstheme="majorHAnsi"/>
          <w:color w:val="000000"/>
          <w:sz w:val="24"/>
          <w:szCs w:val="24"/>
          <w:lang w:val="ro-MD"/>
        </w:rPr>
        <w:t xml:space="preserve"> persoanel</w:t>
      </w:r>
      <w:r w:rsidR="008E3D7A" w:rsidRPr="00B13B9A">
        <w:rPr>
          <w:rFonts w:asciiTheme="majorHAnsi" w:hAnsiTheme="majorHAnsi" w:cstheme="majorHAnsi"/>
          <w:color w:val="000000"/>
          <w:sz w:val="24"/>
          <w:szCs w:val="24"/>
          <w:lang w:val="ro-MD"/>
        </w:rPr>
        <w:t>or</w:t>
      </w:r>
      <w:r w:rsidRPr="00B13B9A">
        <w:rPr>
          <w:rFonts w:asciiTheme="majorHAnsi" w:hAnsiTheme="majorHAnsi" w:cstheme="majorHAnsi"/>
          <w:color w:val="000000"/>
          <w:sz w:val="24"/>
          <w:szCs w:val="24"/>
          <w:lang w:val="ro-MD"/>
        </w:rPr>
        <w:t xml:space="preserve"> </w:t>
      </w:r>
      <w:r w:rsidR="008E3D7A" w:rsidRPr="00B13B9A">
        <w:rPr>
          <w:rFonts w:asciiTheme="majorHAnsi" w:hAnsiTheme="majorHAnsi" w:cstheme="majorHAnsi"/>
          <w:color w:val="000000"/>
          <w:sz w:val="24"/>
          <w:szCs w:val="24"/>
          <w:lang w:val="ro-MD"/>
        </w:rPr>
        <w:t>di</w:t>
      </w:r>
      <w:r w:rsidRPr="00B13B9A">
        <w:rPr>
          <w:rFonts w:asciiTheme="majorHAnsi" w:hAnsiTheme="majorHAnsi" w:cstheme="majorHAnsi"/>
          <w:color w:val="000000"/>
          <w:sz w:val="24"/>
          <w:szCs w:val="24"/>
          <w:lang w:val="ro-MD"/>
        </w:rPr>
        <w:t>n deten</w:t>
      </w:r>
      <w:r w:rsidR="00B13B9A" w:rsidRPr="00B13B9A">
        <w:rPr>
          <w:rFonts w:asciiTheme="majorHAnsi" w:hAnsiTheme="majorHAnsi" w:cstheme="majorHAnsi"/>
          <w:color w:val="000000"/>
          <w:sz w:val="24"/>
          <w:szCs w:val="24"/>
          <w:lang w:val="ro-MD"/>
        </w:rPr>
        <w:t>ț</w:t>
      </w:r>
      <w:r w:rsidRPr="00B13B9A">
        <w:rPr>
          <w:rFonts w:asciiTheme="majorHAnsi" w:hAnsiTheme="majorHAnsi" w:cstheme="majorHAnsi"/>
          <w:color w:val="000000"/>
          <w:sz w:val="24"/>
          <w:szCs w:val="24"/>
          <w:lang w:val="ro-MD"/>
        </w:rPr>
        <w:t>i</w:t>
      </w:r>
      <w:r w:rsidR="008E3D7A" w:rsidRPr="00B13B9A">
        <w:rPr>
          <w:rFonts w:asciiTheme="majorHAnsi" w:hAnsiTheme="majorHAnsi" w:cstheme="majorHAnsi"/>
          <w:color w:val="000000"/>
          <w:sz w:val="24"/>
          <w:szCs w:val="24"/>
          <w:lang w:val="ro-MD"/>
        </w:rPr>
        <w:t>e</w:t>
      </w:r>
      <w:r w:rsidRPr="00B13B9A">
        <w:rPr>
          <w:rFonts w:asciiTheme="majorHAnsi" w:hAnsiTheme="majorHAnsi" w:cstheme="majorHAnsi"/>
          <w:color w:val="000000" w:themeColor="text1"/>
          <w:sz w:val="24"/>
          <w:szCs w:val="24"/>
          <w:lang w:val="ro-MD"/>
        </w:rPr>
        <w:t xml:space="preserve"> prin realizarea screening-ului radiografic de două ori pe an</w:t>
      </w:r>
      <w:r w:rsidR="008E3D7A" w:rsidRPr="00B13B9A">
        <w:rPr>
          <w:rFonts w:asciiTheme="majorHAnsi" w:hAnsiTheme="majorHAnsi" w:cstheme="majorHAnsi"/>
          <w:color w:val="000000" w:themeColor="text1"/>
          <w:sz w:val="24"/>
          <w:szCs w:val="24"/>
          <w:lang w:val="ro-MD"/>
        </w:rPr>
        <w:t>;</w:t>
      </w:r>
      <w:r w:rsidRPr="00B13B9A">
        <w:rPr>
          <w:rFonts w:asciiTheme="majorHAnsi" w:hAnsiTheme="majorHAnsi" w:cstheme="majorHAnsi"/>
          <w:color w:val="000000" w:themeColor="text1"/>
          <w:sz w:val="24"/>
          <w:szCs w:val="24"/>
          <w:lang w:val="ro-MD"/>
        </w:rPr>
        <w:t xml:space="preserve"> a elaborat reglementări cu privire la acordarea asisten</w:t>
      </w:r>
      <w:r w:rsidR="00B13B9A" w:rsidRPr="00B13B9A">
        <w:rPr>
          <w:rFonts w:asciiTheme="majorHAnsi" w:hAnsiTheme="majorHAnsi" w:cstheme="majorHAnsi"/>
          <w:color w:val="000000" w:themeColor="text1"/>
          <w:sz w:val="24"/>
          <w:szCs w:val="24"/>
          <w:lang w:val="ro-MD"/>
        </w:rPr>
        <w:t>ț</w:t>
      </w:r>
      <w:r w:rsidRPr="00B13B9A">
        <w:rPr>
          <w:rFonts w:asciiTheme="majorHAnsi" w:hAnsiTheme="majorHAnsi" w:cstheme="majorHAnsi"/>
          <w:color w:val="000000" w:themeColor="text1"/>
          <w:sz w:val="24"/>
          <w:szCs w:val="24"/>
          <w:lang w:val="ro-MD"/>
        </w:rPr>
        <w:t>ei medicale persoanelor aflate în deten</w:t>
      </w:r>
      <w:r w:rsidR="00B13B9A" w:rsidRPr="00B13B9A">
        <w:rPr>
          <w:rFonts w:asciiTheme="majorHAnsi" w:hAnsiTheme="majorHAnsi" w:cstheme="majorHAnsi"/>
          <w:color w:val="000000" w:themeColor="text1"/>
          <w:sz w:val="24"/>
          <w:szCs w:val="24"/>
          <w:lang w:val="ro-MD"/>
        </w:rPr>
        <w:t>ț</w:t>
      </w:r>
      <w:r w:rsidRPr="00B13B9A">
        <w:rPr>
          <w:rFonts w:asciiTheme="majorHAnsi" w:hAnsiTheme="majorHAnsi" w:cstheme="majorHAnsi"/>
          <w:color w:val="000000" w:themeColor="text1"/>
          <w:sz w:val="24"/>
          <w:szCs w:val="24"/>
          <w:lang w:val="ro-MD"/>
        </w:rPr>
        <w:t>ie</w:t>
      </w:r>
      <w:r w:rsidR="008E3D7A" w:rsidRPr="00B13B9A">
        <w:rPr>
          <w:rFonts w:asciiTheme="majorHAnsi" w:hAnsiTheme="majorHAnsi" w:cstheme="majorHAnsi"/>
          <w:color w:val="000000" w:themeColor="text1"/>
          <w:sz w:val="24"/>
          <w:szCs w:val="24"/>
          <w:lang w:val="ro-MD"/>
        </w:rPr>
        <w:t>;</w:t>
      </w:r>
      <w:r w:rsidRPr="00B13B9A">
        <w:rPr>
          <w:rFonts w:asciiTheme="majorHAnsi" w:hAnsiTheme="majorHAnsi" w:cstheme="majorHAnsi"/>
          <w:color w:val="000000" w:themeColor="text1"/>
          <w:sz w:val="24"/>
          <w:szCs w:val="24"/>
          <w:lang w:val="ro-MD"/>
        </w:rPr>
        <w:t xml:space="preserve"> a creat condi</w:t>
      </w:r>
      <w:r w:rsidR="00B13B9A" w:rsidRPr="00B13B9A">
        <w:rPr>
          <w:rFonts w:asciiTheme="majorHAnsi" w:hAnsiTheme="majorHAnsi" w:cstheme="majorHAnsi"/>
          <w:color w:val="000000" w:themeColor="text1"/>
          <w:sz w:val="24"/>
          <w:szCs w:val="24"/>
          <w:lang w:val="ro-MD"/>
        </w:rPr>
        <w:t>ț</w:t>
      </w:r>
      <w:r w:rsidRPr="00B13B9A">
        <w:rPr>
          <w:rFonts w:asciiTheme="majorHAnsi" w:hAnsiTheme="majorHAnsi" w:cstheme="majorHAnsi"/>
          <w:color w:val="000000" w:themeColor="text1"/>
          <w:sz w:val="24"/>
          <w:szCs w:val="24"/>
          <w:lang w:val="ro-MD"/>
        </w:rPr>
        <w:t>ii necesare în locurile de deten</w:t>
      </w:r>
      <w:r w:rsidR="00B13B9A" w:rsidRPr="00B13B9A">
        <w:rPr>
          <w:rFonts w:asciiTheme="majorHAnsi" w:hAnsiTheme="majorHAnsi" w:cstheme="majorHAnsi"/>
          <w:color w:val="000000" w:themeColor="text1"/>
          <w:sz w:val="24"/>
          <w:szCs w:val="24"/>
          <w:lang w:val="ro-MD"/>
        </w:rPr>
        <w:t>ț</w:t>
      </w:r>
      <w:r w:rsidRPr="00B13B9A">
        <w:rPr>
          <w:rFonts w:asciiTheme="majorHAnsi" w:hAnsiTheme="majorHAnsi" w:cstheme="majorHAnsi"/>
          <w:color w:val="000000" w:themeColor="text1"/>
          <w:sz w:val="24"/>
          <w:szCs w:val="24"/>
          <w:lang w:val="ro-MD"/>
        </w:rPr>
        <w:t>ie prin instalarea ventila</w:t>
      </w:r>
      <w:r w:rsidR="00B13B9A" w:rsidRPr="00B13B9A">
        <w:rPr>
          <w:rFonts w:asciiTheme="majorHAnsi" w:hAnsiTheme="majorHAnsi" w:cstheme="majorHAnsi"/>
          <w:color w:val="000000" w:themeColor="text1"/>
          <w:sz w:val="24"/>
          <w:szCs w:val="24"/>
          <w:lang w:val="ro-MD"/>
        </w:rPr>
        <w:t>ț</w:t>
      </w:r>
      <w:r w:rsidRPr="00B13B9A">
        <w:rPr>
          <w:rFonts w:asciiTheme="majorHAnsi" w:hAnsiTheme="majorHAnsi" w:cstheme="majorHAnsi"/>
          <w:color w:val="000000" w:themeColor="text1"/>
          <w:sz w:val="24"/>
          <w:szCs w:val="24"/>
          <w:lang w:val="ro-MD"/>
        </w:rPr>
        <w:t xml:space="preserve">iei mecanice </w:t>
      </w:r>
      <w:r w:rsidR="00B13B9A" w:rsidRPr="00B13B9A">
        <w:rPr>
          <w:rFonts w:asciiTheme="majorHAnsi" w:hAnsiTheme="majorHAnsi" w:cstheme="majorHAnsi"/>
          <w:color w:val="000000" w:themeColor="text1"/>
          <w:sz w:val="24"/>
          <w:szCs w:val="24"/>
          <w:lang w:val="ro-MD"/>
        </w:rPr>
        <w:t>ș</w:t>
      </w:r>
      <w:r w:rsidRPr="00B13B9A">
        <w:rPr>
          <w:rFonts w:asciiTheme="majorHAnsi" w:hAnsiTheme="majorHAnsi" w:cstheme="majorHAnsi"/>
          <w:color w:val="000000" w:themeColor="text1"/>
          <w:sz w:val="24"/>
          <w:szCs w:val="24"/>
          <w:lang w:val="ro-MD"/>
        </w:rPr>
        <w:t xml:space="preserve">i iradierea încăperilor cu raze ultraviolete germicide. </w:t>
      </w:r>
      <w:r w:rsidRPr="00B13B9A">
        <w:rPr>
          <w:rFonts w:asciiTheme="majorHAnsi" w:hAnsiTheme="majorHAnsi" w:cstheme="majorHAnsi"/>
          <w:color w:val="000000"/>
          <w:sz w:val="24"/>
          <w:szCs w:val="24"/>
          <w:lang w:val="ro-MD"/>
        </w:rPr>
        <w:t xml:space="preserve">CNAM a consolidat controlul </w:t>
      </w:r>
      <w:r w:rsidR="002D0DBF" w:rsidRPr="00B13B9A">
        <w:rPr>
          <w:rFonts w:asciiTheme="majorHAnsi" w:hAnsiTheme="majorHAnsi" w:cstheme="majorHAnsi"/>
          <w:color w:val="000000"/>
          <w:sz w:val="24"/>
          <w:szCs w:val="24"/>
          <w:lang w:val="ro-MD"/>
        </w:rPr>
        <w:t xml:space="preserve">asupra </w:t>
      </w:r>
      <w:r w:rsidRPr="00B13B9A">
        <w:rPr>
          <w:rFonts w:asciiTheme="majorHAnsi" w:hAnsiTheme="majorHAnsi" w:cstheme="majorHAnsi"/>
          <w:color w:val="000000"/>
          <w:sz w:val="24"/>
          <w:szCs w:val="24"/>
          <w:lang w:val="ro-MD"/>
        </w:rPr>
        <w:t xml:space="preserve">corectitudinii eliberării tichetelor alimentare </w:t>
      </w:r>
      <w:r w:rsidR="00B13B9A" w:rsidRPr="00B13B9A">
        <w:rPr>
          <w:rFonts w:asciiTheme="majorHAnsi" w:hAnsiTheme="majorHAnsi" w:cstheme="majorHAnsi"/>
          <w:color w:val="000000"/>
          <w:sz w:val="24"/>
          <w:szCs w:val="24"/>
          <w:lang w:val="ro-MD"/>
        </w:rPr>
        <w:t>ș</w:t>
      </w:r>
      <w:r w:rsidRPr="00B13B9A">
        <w:rPr>
          <w:rFonts w:asciiTheme="majorHAnsi" w:hAnsiTheme="majorHAnsi" w:cstheme="majorHAnsi"/>
          <w:color w:val="000000"/>
          <w:sz w:val="24"/>
          <w:szCs w:val="24"/>
          <w:lang w:val="ro-MD"/>
        </w:rPr>
        <w:t xml:space="preserve">i </w:t>
      </w:r>
      <w:r w:rsidR="008E3D7A" w:rsidRPr="00B13B9A">
        <w:rPr>
          <w:rFonts w:asciiTheme="majorHAnsi" w:hAnsiTheme="majorHAnsi" w:cstheme="majorHAnsi"/>
          <w:color w:val="000000"/>
          <w:sz w:val="24"/>
          <w:szCs w:val="24"/>
          <w:lang w:val="ro-MD"/>
        </w:rPr>
        <w:t xml:space="preserve">a </w:t>
      </w:r>
      <w:r w:rsidRPr="00B13B9A">
        <w:rPr>
          <w:rFonts w:asciiTheme="majorHAnsi" w:hAnsiTheme="majorHAnsi" w:cstheme="majorHAnsi"/>
          <w:color w:val="000000"/>
          <w:sz w:val="24"/>
          <w:szCs w:val="24"/>
          <w:lang w:val="ro-MD"/>
        </w:rPr>
        <w:t>sumelor rambursate pentru eliber</w:t>
      </w:r>
      <w:r w:rsidR="008E3D7A" w:rsidRPr="00B13B9A">
        <w:rPr>
          <w:rFonts w:asciiTheme="majorHAnsi" w:hAnsiTheme="majorHAnsi" w:cstheme="majorHAnsi"/>
          <w:color w:val="000000"/>
          <w:sz w:val="24"/>
          <w:szCs w:val="24"/>
          <w:lang w:val="ro-MD"/>
        </w:rPr>
        <w:t>area</w:t>
      </w:r>
      <w:r w:rsidRPr="00B13B9A">
        <w:rPr>
          <w:rFonts w:asciiTheme="majorHAnsi" w:hAnsiTheme="majorHAnsi" w:cstheme="majorHAnsi"/>
          <w:color w:val="000000"/>
          <w:sz w:val="24"/>
          <w:szCs w:val="24"/>
          <w:lang w:val="ro-MD"/>
        </w:rPr>
        <w:t xml:space="preserve"> tichetelor </w:t>
      </w:r>
      <w:r w:rsidR="00B13B9A" w:rsidRPr="00B13B9A">
        <w:rPr>
          <w:rFonts w:asciiTheme="majorHAnsi" w:hAnsiTheme="majorHAnsi" w:cstheme="majorHAnsi"/>
          <w:color w:val="000000"/>
          <w:sz w:val="24"/>
          <w:szCs w:val="24"/>
          <w:lang w:val="ro-MD"/>
        </w:rPr>
        <w:t>ș</w:t>
      </w:r>
      <w:r w:rsidRPr="00B13B9A">
        <w:rPr>
          <w:rFonts w:asciiTheme="majorHAnsi" w:hAnsiTheme="majorHAnsi" w:cstheme="majorHAnsi"/>
          <w:color w:val="000000"/>
          <w:sz w:val="24"/>
          <w:szCs w:val="24"/>
          <w:lang w:val="ro-MD"/>
        </w:rPr>
        <w:t xml:space="preserve">i cheltuielile de transport. </w:t>
      </w:r>
    </w:p>
    <w:p w14:paraId="31E66284" w14:textId="04F7AE04" w:rsidR="00C202E3" w:rsidRPr="00B13B9A" w:rsidRDefault="00C202E3" w:rsidP="00C202E3">
      <w:pPr>
        <w:shd w:val="clear" w:color="auto" w:fill="FFFFFF"/>
        <w:spacing w:after="0" w:line="276" w:lineRule="auto"/>
        <w:jc w:val="both"/>
        <w:rPr>
          <w:rFonts w:asciiTheme="majorHAnsi" w:eastAsia="Times New Roman" w:hAnsiTheme="majorHAnsi" w:cstheme="majorHAnsi"/>
          <w:color w:val="212121"/>
          <w:sz w:val="24"/>
          <w:szCs w:val="24"/>
          <w:lang w:val="ro-MD"/>
        </w:rPr>
      </w:pPr>
      <w:r w:rsidRPr="00B13B9A">
        <w:rPr>
          <w:rFonts w:asciiTheme="majorHAnsi" w:eastAsia="Times New Roman" w:hAnsiTheme="majorHAnsi" w:cstheme="majorHAnsi"/>
          <w:color w:val="212121"/>
          <w:sz w:val="24"/>
          <w:szCs w:val="24"/>
          <w:lang w:val="ro-MD"/>
        </w:rPr>
        <w:t>În anul 2022</w:t>
      </w:r>
      <w:r w:rsidR="00DE34E4" w:rsidRPr="00B13B9A">
        <w:rPr>
          <w:rFonts w:asciiTheme="majorHAnsi" w:eastAsia="Times New Roman" w:hAnsiTheme="majorHAnsi" w:cstheme="majorHAnsi"/>
          <w:color w:val="212121"/>
          <w:sz w:val="24"/>
          <w:szCs w:val="24"/>
          <w:lang w:val="ro-MD"/>
        </w:rPr>
        <w:t>,</w:t>
      </w:r>
      <w:r w:rsidRPr="00B13B9A">
        <w:rPr>
          <w:rFonts w:asciiTheme="majorHAnsi" w:eastAsia="Times New Roman" w:hAnsiTheme="majorHAnsi" w:cstheme="majorHAnsi"/>
          <w:color w:val="212121"/>
          <w:sz w:val="24"/>
          <w:szCs w:val="24"/>
          <w:lang w:val="ro-MD"/>
        </w:rPr>
        <w:t xml:space="preserve"> prin </w:t>
      </w:r>
      <w:r w:rsidRPr="00B13B9A">
        <w:rPr>
          <w:rFonts w:asciiTheme="majorHAnsi" w:hAnsiTheme="majorHAnsi" w:cstheme="majorHAnsi"/>
          <w:sz w:val="24"/>
          <w:szCs w:val="24"/>
          <w:lang w:val="ro-MD"/>
        </w:rPr>
        <w:t xml:space="preserve">Hotărârea Guvernului nr.107 din 23.02.2022 </w:t>
      </w:r>
      <w:r w:rsidRPr="00B13B9A">
        <w:rPr>
          <w:rFonts w:asciiTheme="majorHAnsi" w:eastAsia="Times New Roman" w:hAnsiTheme="majorHAnsi" w:cstheme="majorHAnsi"/>
          <w:color w:val="212121"/>
          <w:sz w:val="24"/>
          <w:szCs w:val="24"/>
          <w:lang w:val="ro-MD"/>
        </w:rPr>
        <w:t>a fost aprobat al cincilea Program Na</w:t>
      </w:r>
      <w:r w:rsidR="00B13B9A" w:rsidRPr="00B13B9A">
        <w:rPr>
          <w:rFonts w:asciiTheme="majorHAnsi" w:eastAsia="Times New Roman" w:hAnsiTheme="majorHAnsi" w:cstheme="majorHAnsi"/>
          <w:color w:val="212121"/>
          <w:sz w:val="24"/>
          <w:szCs w:val="24"/>
          <w:lang w:val="ro-MD"/>
        </w:rPr>
        <w:t>ț</w:t>
      </w:r>
      <w:r w:rsidRPr="00B13B9A">
        <w:rPr>
          <w:rFonts w:asciiTheme="majorHAnsi" w:eastAsia="Times New Roman" w:hAnsiTheme="majorHAnsi" w:cstheme="majorHAnsi"/>
          <w:color w:val="212121"/>
          <w:sz w:val="24"/>
          <w:szCs w:val="24"/>
          <w:lang w:val="ro-MD"/>
        </w:rPr>
        <w:t>ional de răspuns la tuberculoză</w:t>
      </w:r>
      <w:r w:rsidRPr="00B13B9A">
        <w:rPr>
          <w:rFonts w:asciiTheme="majorHAnsi" w:hAnsiTheme="majorHAnsi" w:cstheme="majorHAnsi"/>
          <w:sz w:val="24"/>
          <w:szCs w:val="24"/>
          <w:lang w:val="ro-MD"/>
        </w:rPr>
        <w:t xml:space="preserve">, în care au fost luate în considerare </w:t>
      </w:r>
      <w:r w:rsidR="00B13B9A" w:rsidRPr="00B13B9A">
        <w:rPr>
          <w:rFonts w:asciiTheme="majorHAnsi" w:hAnsiTheme="majorHAnsi" w:cstheme="majorHAnsi"/>
          <w:sz w:val="24"/>
          <w:szCs w:val="24"/>
          <w:lang w:val="ro-MD"/>
        </w:rPr>
        <w:t>ș</w:t>
      </w:r>
      <w:r w:rsidRPr="00B13B9A">
        <w:rPr>
          <w:rFonts w:asciiTheme="majorHAnsi" w:hAnsiTheme="majorHAnsi" w:cstheme="majorHAnsi"/>
          <w:sz w:val="24"/>
          <w:szCs w:val="24"/>
          <w:lang w:val="ro-MD"/>
        </w:rPr>
        <w:t xml:space="preserve">i recomandările înaintate de Curtea de Conturi. </w:t>
      </w:r>
      <w:r w:rsidRPr="00B13B9A">
        <w:rPr>
          <w:rFonts w:asciiTheme="majorHAnsi" w:hAnsiTheme="majorHAnsi" w:cstheme="majorHAnsi"/>
          <w:noProof/>
          <w:sz w:val="24"/>
          <w:szCs w:val="24"/>
          <w:lang w:val="ro-MD"/>
        </w:rPr>
        <w:t>Prin urmare, se propune de a se exclude din regim de monitorizare Hotărârea Cur</w:t>
      </w:r>
      <w:r w:rsidR="00B13B9A" w:rsidRPr="00B13B9A">
        <w:rPr>
          <w:rFonts w:asciiTheme="majorHAnsi" w:hAnsiTheme="majorHAnsi" w:cstheme="majorHAnsi"/>
          <w:noProof/>
          <w:sz w:val="24"/>
          <w:szCs w:val="24"/>
          <w:lang w:val="ro-MD"/>
        </w:rPr>
        <w:t>ț</w:t>
      </w:r>
      <w:r w:rsidRPr="00B13B9A">
        <w:rPr>
          <w:rFonts w:asciiTheme="majorHAnsi" w:hAnsiTheme="majorHAnsi" w:cstheme="majorHAnsi"/>
          <w:noProof/>
          <w:sz w:val="24"/>
          <w:szCs w:val="24"/>
          <w:lang w:val="ro-MD"/>
        </w:rPr>
        <w:t>ii de Conturi nr.5 din 30.01.2020.</w:t>
      </w:r>
    </w:p>
    <w:p w14:paraId="6E5E3BA4" w14:textId="77777777" w:rsidR="00D900FA" w:rsidRPr="00B13B9A" w:rsidRDefault="00D900FA" w:rsidP="00D900FA">
      <w:pPr>
        <w:pStyle w:val="cn"/>
        <w:spacing w:line="276" w:lineRule="auto"/>
        <w:ind w:right="71"/>
        <w:jc w:val="both"/>
        <w:rPr>
          <w:rFonts w:asciiTheme="majorHAnsi" w:eastAsiaTheme="minorHAnsi" w:hAnsiTheme="majorHAnsi" w:cstheme="minorHAnsi"/>
          <w:b/>
          <w:color w:val="1F4E79" w:themeColor="accent1" w:themeShade="80"/>
          <w:lang w:val="ro-MD" w:eastAsia="en-US"/>
        </w:rPr>
      </w:pPr>
    </w:p>
    <w:p w14:paraId="3022ECAE" w14:textId="77777777" w:rsidR="00D900FA" w:rsidRPr="00B13B9A" w:rsidRDefault="00D900FA" w:rsidP="00C5192A">
      <w:pPr>
        <w:pStyle w:val="cn"/>
        <w:numPr>
          <w:ilvl w:val="0"/>
          <w:numId w:val="1"/>
        </w:numPr>
        <w:spacing w:line="276" w:lineRule="auto"/>
        <w:ind w:left="0" w:right="71" w:firstLine="0"/>
        <w:jc w:val="both"/>
        <w:outlineLvl w:val="0"/>
        <w:rPr>
          <w:rFonts w:asciiTheme="majorHAnsi" w:eastAsiaTheme="minorHAnsi" w:hAnsiTheme="majorHAnsi" w:cstheme="minorHAnsi"/>
          <w:b/>
          <w:color w:val="1F4E79" w:themeColor="accent1" w:themeShade="80"/>
          <w:lang w:val="ro-MD" w:eastAsia="en-US"/>
        </w:rPr>
      </w:pPr>
      <w:bookmarkStart w:id="50" w:name="_Toc154562521"/>
      <w:r w:rsidRPr="00B13B9A">
        <w:rPr>
          <w:rFonts w:asciiTheme="majorHAnsi" w:eastAsiaTheme="minorHAnsi" w:hAnsiTheme="majorHAnsi" w:cstheme="minorHAnsi"/>
          <w:b/>
          <w:color w:val="1F4E79" w:themeColor="accent1" w:themeShade="80"/>
          <w:lang w:val="ro-MD" w:eastAsia="en-US"/>
        </w:rPr>
        <w:t>CONCLUZIE GENERALĂ</w:t>
      </w:r>
      <w:bookmarkEnd w:id="50"/>
    </w:p>
    <w:p w14:paraId="46DE8A7B" w14:textId="5D89B90F" w:rsidR="001B5D3D" w:rsidRPr="00B13B9A" w:rsidRDefault="001B5D3D" w:rsidP="001B5D3D">
      <w:pPr>
        <w:pStyle w:val="cn"/>
        <w:spacing w:line="276" w:lineRule="auto"/>
        <w:ind w:right="71"/>
        <w:jc w:val="both"/>
        <w:rPr>
          <w:rFonts w:asciiTheme="majorHAnsi" w:hAnsiTheme="majorHAnsi" w:cstheme="majorHAnsi"/>
          <w:szCs w:val="28"/>
          <w:lang w:val="ro-MD"/>
        </w:rPr>
      </w:pPr>
      <w:r w:rsidRPr="00B13B9A">
        <w:rPr>
          <w:rFonts w:asciiTheme="majorHAnsi" w:hAnsiTheme="majorHAnsi" w:cstheme="majorHAnsi"/>
          <w:szCs w:val="28"/>
          <w:lang w:val="ro-MD"/>
        </w:rPr>
        <w:t>Tuberculoza este una dintre problemele prioritare de sănătate publică în plan na</w:t>
      </w:r>
      <w:r w:rsidR="00B13B9A" w:rsidRPr="00B13B9A">
        <w:rPr>
          <w:rFonts w:asciiTheme="majorHAnsi" w:hAnsiTheme="majorHAnsi" w:cstheme="majorHAnsi"/>
          <w:szCs w:val="28"/>
          <w:lang w:val="ro-MD"/>
        </w:rPr>
        <w:t>ț</w:t>
      </w:r>
      <w:r w:rsidRPr="00B13B9A">
        <w:rPr>
          <w:rFonts w:asciiTheme="majorHAnsi" w:hAnsiTheme="majorHAnsi" w:cstheme="majorHAnsi"/>
          <w:szCs w:val="28"/>
          <w:lang w:val="ro-MD"/>
        </w:rPr>
        <w:t>ional, astfel, rolul IMSP IFP „Chiril Draganiuc” este unul semnificativ în implementarea obiectivelor de dezvoltare durabilă din domeniul sănătă</w:t>
      </w:r>
      <w:r w:rsidR="00B13B9A" w:rsidRPr="00B13B9A">
        <w:rPr>
          <w:rFonts w:asciiTheme="majorHAnsi" w:hAnsiTheme="majorHAnsi" w:cstheme="majorHAnsi"/>
          <w:szCs w:val="28"/>
          <w:lang w:val="ro-MD"/>
        </w:rPr>
        <w:t>ț</w:t>
      </w:r>
      <w:r w:rsidRPr="00B13B9A">
        <w:rPr>
          <w:rFonts w:asciiTheme="majorHAnsi" w:hAnsiTheme="majorHAnsi" w:cstheme="majorHAnsi"/>
          <w:szCs w:val="28"/>
          <w:lang w:val="ro-MD"/>
        </w:rPr>
        <w:t xml:space="preserve">ii </w:t>
      </w:r>
      <w:r w:rsidR="00B13B9A" w:rsidRPr="00B13B9A">
        <w:rPr>
          <w:rFonts w:asciiTheme="majorHAnsi" w:hAnsiTheme="majorHAnsi" w:cstheme="majorHAnsi"/>
          <w:szCs w:val="28"/>
          <w:lang w:val="ro-MD"/>
        </w:rPr>
        <w:t>ș</w:t>
      </w:r>
      <w:r w:rsidRPr="00B13B9A">
        <w:rPr>
          <w:rFonts w:asciiTheme="majorHAnsi" w:hAnsiTheme="majorHAnsi" w:cstheme="majorHAnsi"/>
          <w:szCs w:val="28"/>
          <w:lang w:val="ro-MD"/>
        </w:rPr>
        <w:t>i realizarea politicilor na</w:t>
      </w:r>
      <w:r w:rsidR="00B13B9A" w:rsidRPr="00B13B9A">
        <w:rPr>
          <w:rFonts w:asciiTheme="majorHAnsi" w:hAnsiTheme="majorHAnsi" w:cstheme="majorHAnsi"/>
          <w:szCs w:val="28"/>
          <w:lang w:val="ro-MD"/>
        </w:rPr>
        <w:t>ț</w:t>
      </w:r>
      <w:r w:rsidRPr="00B13B9A">
        <w:rPr>
          <w:rFonts w:asciiTheme="majorHAnsi" w:hAnsiTheme="majorHAnsi" w:cstheme="majorHAnsi"/>
          <w:szCs w:val="28"/>
          <w:lang w:val="ro-MD"/>
        </w:rPr>
        <w:t>ionale, aceasta fiind unica institu</w:t>
      </w:r>
      <w:r w:rsidR="00B13B9A" w:rsidRPr="00B13B9A">
        <w:rPr>
          <w:rFonts w:asciiTheme="majorHAnsi" w:hAnsiTheme="majorHAnsi" w:cstheme="majorHAnsi"/>
          <w:szCs w:val="28"/>
          <w:lang w:val="ro-MD"/>
        </w:rPr>
        <w:t>ț</w:t>
      </w:r>
      <w:r w:rsidRPr="00B13B9A">
        <w:rPr>
          <w:rFonts w:asciiTheme="majorHAnsi" w:hAnsiTheme="majorHAnsi" w:cstheme="majorHAnsi"/>
          <w:szCs w:val="28"/>
          <w:lang w:val="ro-MD"/>
        </w:rPr>
        <w:t xml:space="preserve">ie de nivel republican în domeniul ftiziopneumologie </w:t>
      </w:r>
      <w:r w:rsidR="00B13B9A" w:rsidRPr="00B13B9A">
        <w:rPr>
          <w:rFonts w:asciiTheme="majorHAnsi" w:hAnsiTheme="majorHAnsi" w:cstheme="majorHAnsi"/>
          <w:szCs w:val="28"/>
          <w:lang w:val="ro-MD"/>
        </w:rPr>
        <w:t>ș</w:t>
      </w:r>
      <w:r w:rsidRPr="00B13B9A">
        <w:rPr>
          <w:rFonts w:asciiTheme="majorHAnsi" w:hAnsiTheme="majorHAnsi" w:cstheme="majorHAnsi"/>
          <w:szCs w:val="28"/>
          <w:lang w:val="ro-MD"/>
        </w:rPr>
        <w:t>i coordonatoare a  programelor na</w:t>
      </w:r>
      <w:r w:rsidR="00B13B9A" w:rsidRPr="00B13B9A">
        <w:rPr>
          <w:rFonts w:asciiTheme="majorHAnsi" w:hAnsiTheme="majorHAnsi" w:cstheme="majorHAnsi"/>
          <w:szCs w:val="28"/>
          <w:lang w:val="ro-MD"/>
        </w:rPr>
        <w:t>ț</w:t>
      </w:r>
      <w:r w:rsidRPr="00B13B9A">
        <w:rPr>
          <w:rFonts w:asciiTheme="majorHAnsi" w:hAnsiTheme="majorHAnsi" w:cstheme="majorHAnsi"/>
          <w:szCs w:val="28"/>
          <w:lang w:val="ro-MD"/>
        </w:rPr>
        <w:t>ionale în acest sens.</w:t>
      </w:r>
      <w:r w:rsidR="00DE34E4" w:rsidRPr="00B13B9A">
        <w:rPr>
          <w:rFonts w:asciiTheme="majorHAnsi" w:hAnsiTheme="majorHAnsi" w:cstheme="majorHAnsi"/>
          <w:szCs w:val="28"/>
          <w:lang w:val="ro-MD"/>
        </w:rPr>
        <w:t xml:space="preserve"> </w:t>
      </w:r>
    </w:p>
    <w:p w14:paraId="62735E28" w14:textId="557F61D8" w:rsidR="001B5D3D" w:rsidRPr="00B13B9A" w:rsidRDefault="001B5D3D" w:rsidP="001B5D3D">
      <w:pPr>
        <w:pStyle w:val="cn"/>
        <w:spacing w:line="276" w:lineRule="auto"/>
        <w:ind w:right="71"/>
        <w:jc w:val="both"/>
        <w:rPr>
          <w:rFonts w:asciiTheme="majorHAnsi" w:hAnsiTheme="majorHAnsi" w:cstheme="majorHAnsi"/>
          <w:szCs w:val="28"/>
          <w:lang w:val="ro-MD"/>
        </w:rPr>
      </w:pPr>
      <w:r w:rsidRPr="00B13B9A">
        <w:rPr>
          <w:rFonts w:asciiTheme="majorHAnsi" w:hAnsiTheme="majorHAnsi" w:cstheme="majorHAnsi"/>
          <w:szCs w:val="28"/>
          <w:lang w:val="ro-MD"/>
        </w:rPr>
        <w:t>Misiunea de audit desfă</w:t>
      </w:r>
      <w:r w:rsidR="00B13B9A" w:rsidRPr="00B13B9A">
        <w:rPr>
          <w:rFonts w:asciiTheme="majorHAnsi" w:hAnsiTheme="majorHAnsi" w:cstheme="majorHAnsi"/>
          <w:szCs w:val="28"/>
          <w:lang w:val="ro-MD"/>
        </w:rPr>
        <w:t>ș</w:t>
      </w:r>
      <w:r w:rsidRPr="00B13B9A">
        <w:rPr>
          <w:rFonts w:asciiTheme="majorHAnsi" w:hAnsiTheme="majorHAnsi" w:cstheme="majorHAnsi"/>
          <w:szCs w:val="28"/>
          <w:lang w:val="ro-MD"/>
        </w:rPr>
        <w:t>urată a relevat că modul de gestionare a patrimoniului public  de către IMSP IFP „Chiril Draganiuc” necesită a fi îmbunătă</w:t>
      </w:r>
      <w:r w:rsidR="00B13B9A" w:rsidRPr="00B13B9A">
        <w:rPr>
          <w:rFonts w:asciiTheme="majorHAnsi" w:hAnsiTheme="majorHAnsi" w:cstheme="majorHAnsi"/>
          <w:szCs w:val="28"/>
          <w:lang w:val="ro-MD"/>
        </w:rPr>
        <w:t>ț</w:t>
      </w:r>
      <w:r w:rsidRPr="00B13B9A">
        <w:rPr>
          <w:rFonts w:asciiTheme="majorHAnsi" w:hAnsiTheme="majorHAnsi" w:cstheme="majorHAnsi"/>
          <w:szCs w:val="28"/>
          <w:lang w:val="ro-MD"/>
        </w:rPr>
        <w:t>it.</w:t>
      </w:r>
    </w:p>
    <w:p w14:paraId="7EF01DB0" w14:textId="2D32532E" w:rsidR="001B5D3D" w:rsidRPr="00B13B9A" w:rsidRDefault="001B5D3D" w:rsidP="001B5D3D">
      <w:pPr>
        <w:pStyle w:val="cn"/>
        <w:spacing w:line="276" w:lineRule="auto"/>
        <w:ind w:right="71"/>
        <w:jc w:val="both"/>
        <w:rPr>
          <w:rFonts w:asciiTheme="majorHAnsi" w:hAnsiTheme="majorHAnsi" w:cstheme="majorHAnsi"/>
          <w:szCs w:val="28"/>
          <w:lang w:val="ro-MD"/>
        </w:rPr>
      </w:pPr>
      <w:r w:rsidRPr="00B13B9A">
        <w:rPr>
          <w:rFonts w:asciiTheme="majorHAnsi" w:hAnsiTheme="majorHAnsi" w:cstheme="majorHAnsi"/>
          <w:szCs w:val="28"/>
          <w:lang w:val="ro-MD"/>
        </w:rPr>
        <w:t xml:space="preserve"> Astfel, managementul gestionării patrimoniului public denotă admiterea caren</w:t>
      </w:r>
      <w:r w:rsidR="00B13B9A" w:rsidRPr="00B13B9A">
        <w:rPr>
          <w:rFonts w:asciiTheme="majorHAnsi" w:hAnsiTheme="majorHAnsi" w:cstheme="majorHAnsi"/>
          <w:szCs w:val="28"/>
          <w:lang w:val="ro-MD"/>
        </w:rPr>
        <w:t>ț</w:t>
      </w:r>
      <w:r w:rsidRPr="00B13B9A">
        <w:rPr>
          <w:rFonts w:asciiTheme="majorHAnsi" w:hAnsiTheme="majorHAnsi" w:cstheme="majorHAnsi"/>
          <w:szCs w:val="28"/>
          <w:lang w:val="ro-MD"/>
        </w:rPr>
        <w:t xml:space="preserve">elor </w:t>
      </w:r>
      <w:r w:rsidR="00B13B9A" w:rsidRPr="00B13B9A">
        <w:rPr>
          <w:rFonts w:asciiTheme="majorHAnsi" w:hAnsiTheme="majorHAnsi" w:cstheme="majorHAnsi"/>
          <w:szCs w:val="28"/>
          <w:lang w:val="ro-MD"/>
        </w:rPr>
        <w:t>ș</w:t>
      </w:r>
      <w:r w:rsidRPr="00B13B9A">
        <w:rPr>
          <w:rFonts w:asciiTheme="majorHAnsi" w:hAnsiTheme="majorHAnsi" w:cstheme="majorHAnsi"/>
          <w:szCs w:val="28"/>
          <w:lang w:val="ro-MD"/>
        </w:rPr>
        <w:t>i neconformită</w:t>
      </w:r>
      <w:r w:rsidR="00B13B9A" w:rsidRPr="00B13B9A">
        <w:rPr>
          <w:rFonts w:asciiTheme="majorHAnsi" w:hAnsiTheme="majorHAnsi" w:cstheme="majorHAnsi"/>
          <w:szCs w:val="28"/>
          <w:lang w:val="ro-MD"/>
        </w:rPr>
        <w:t>ț</w:t>
      </w:r>
      <w:r w:rsidRPr="00B13B9A">
        <w:rPr>
          <w:rFonts w:asciiTheme="majorHAnsi" w:hAnsiTheme="majorHAnsi" w:cstheme="majorHAnsi"/>
          <w:szCs w:val="28"/>
          <w:lang w:val="ro-MD"/>
        </w:rPr>
        <w:t xml:space="preserve">ilor, prin nefinalizarea procesului de delimitare a bunurilor imobile proprietate publică,  de înregistrare a drepturilor de proprietate </w:t>
      </w:r>
      <w:r w:rsidR="00B13B9A" w:rsidRPr="00B13B9A">
        <w:rPr>
          <w:rFonts w:asciiTheme="majorHAnsi" w:hAnsiTheme="majorHAnsi" w:cstheme="majorHAnsi"/>
          <w:szCs w:val="28"/>
          <w:lang w:val="ro-MD"/>
        </w:rPr>
        <w:t>ș</w:t>
      </w:r>
      <w:r w:rsidRPr="00B13B9A">
        <w:rPr>
          <w:rFonts w:asciiTheme="majorHAnsi" w:hAnsiTheme="majorHAnsi" w:cstheme="majorHAnsi"/>
          <w:szCs w:val="28"/>
          <w:lang w:val="ro-MD"/>
        </w:rPr>
        <w:t xml:space="preserve">i de contabilizare conformă a acestuia, ceea ce indică despre necesitatea intensificării </w:t>
      </w:r>
      <w:r w:rsidR="00B13B9A" w:rsidRPr="00B13B9A">
        <w:rPr>
          <w:rFonts w:asciiTheme="majorHAnsi" w:hAnsiTheme="majorHAnsi" w:cstheme="majorHAnsi"/>
          <w:szCs w:val="28"/>
          <w:lang w:val="ro-MD"/>
        </w:rPr>
        <w:t>ș</w:t>
      </w:r>
      <w:r w:rsidRPr="00B13B9A">
        <w:rPr>
          <w:rFonts w:asciiTheme="majorHAnsi" w:hAnsiTheme="majorHAnsi" w:cstheme="majorHAnsi"/>
          <w:szCs w:val="28"/>
          <w:lang w:val="ro-MD"/>
        </w:rPr>
        <w:t>i fundamentării proceselor de control intern. Concomitent</w:t>
      </w:r>
      <w:r w:rsidR="00DE34E4" w:rsidRPr="00B13B9A">
        <w:rPr>
          <w:rFonts w:asciiTheme="majorHAnsi" w:hAnsiTheme="majorHAnsi" w:cstheme="majorHAnsi"/>
          <w:szCs w:val="28"/>
          <w:lang w:val="ro-MD"/>
        </w:rPr>
        <w:t>,</w:t>
      </w:r>
      <w:r w:rsidRPr="00B13B9A">
        <w:rPr>
          <w:rFonts w:asciiTheme="majorHAnsi" w:hAnsiTheme="majorHAnsi" w:cstheme="majorHAnsi"/>
          <w:szCs w:val="28"/>
          <w:lang w:val="ro-MD"/>
        </w:rPr>
        <w:t xml:space="preserve"> contabilizarea neconformă a dispozitivelor medicale influen</w:t>
      </w:r>
      <w:r w:rsidR="00B13B9A" w:rsidRPr="00B13B9A">
        <w:rPr>
          <w:rFonts w:asciiTheme="majorHAnsi" w:hAnsiTheme="majorHAnsi" w:cstheme="majorHAnsi"/>
          <w:szCs w:val="28"/>
          <w:lang w:val="ro-MD"/>
        </w:rPr>
        <w:t>ț</w:t>
      </w:r>
      <w:r w:rsidRPr="00B13B9A">
        <w:rPr>
          <w:rFonts w:asciiTheme="majorHAnsi" w:hAnsiTheme="majorHAnsi" w:cstheme="majorHAnsi"/>
          <w:szCs w:val="28"/>
          <w:lang w:val="ro-MD"/>
        </w:rPr>
        <w:t xml:space="preserve">ează </w:t>
      </w:r>
      <w:r w:rsidR="00DE34E4" w:rsidRPr="00B13B9A">
        <w:rPr>
          <w:rFonts w:asciiTheme="majorHAnsi" w:hAnsiTheme="majorHAnsi" w:cstheme="majorHAnsi"/>
          <w:szCs w:val="28"/>
          <w:lang w:val="ro-MD"/>
        </w:rPr>
        <w:t>includerea</w:t>
      </w:r>
      <w:r w:rsidRPr="00B13B9A">
        <w:rPr>
          <w:rFonts w:asciiTheme="majorHAnsi" w:hAnsiTheme="majorHAnsi" w:cstheme="majorHAnsi"/>
          <w:szCs w:val="28"/>
          <w:lang w:val="ro-MD"/>
        </w:rPr>
        <w:t xml:space="preserve"> corectă a uzurii </w:t>
      </w:r>
      <w:r w:rsidR="00DE34E4" w:rsidRPr="00B13B9A">
        <w:rPr>
          <w:rFonts w:asciiTheme="majorHAnsi" w:hAnsiTheme="majorHAnsi" w:cstheme="majorHAnsi"/>
          <w:szCs w:val="28"/>
          <w:lang w:val="ro-MD"/>
        </w:rPr>
        <w:t>în</w:t>
      </w:r>
      <w:r w:rsidRPr="00B13B9A">
        <w:rPr>
          <w:rFonts w:asciiTheme="majorHAnsi" w:hAnsiTheme="majorHAnsi" w:cstheme="majorHAnsi"/>
          <w:szCs w:val="28"/>
          <w:lang w:val="ro-MD"/>
        </w:rPr>
        <w:t xml:space="preserve"> costul serviciilor. De asemenea, se atestă lipsa deciziilor în raport cu activele corporale în curs de execu</w:t>
      </w:r>
      <w:r w:rsidR="00B13B9A" w:rsidRPr="00B13B9A">
        <w:rPr>
          <w:rFonts w:asciiTheme="majorHAnsi" w:hAnsiTheme="majorHAnsi" w:cstheme="majorHAnsi"/>
          <w:szCs w:val="28"/>
          <w:lang w:val="ro-MD"/>
        </w:rPr>
        <w:t>ț</w:t>
      </w:r>
      <w:r w:rsidRPr="00B13B9A">
        <w:rPr>
          <w:rFonts w:asciiTheme="majorHAnsi" w:hAnsiTheme="majorHAnsi" w:cstheme="majorHAnsi"/>
          <w:szCs w:val="28"/>
          <w:lang w:val="ro-MD"/>
        </w:rPr>
        <w:t xml:space="preserve">ie, precum </w:t>
      </w:r>
      <w:r w:rsidR="00B13B9A" w:rsidRPr="00B13B9A">
        <w:rPr>
          <w:rFonts w:asciiTheme="majorHAnsi" w:hAnsiTheme="majorHAnsi" w:cstheme="majorHAnsi"/>
          <w:szCs w:val="28"/>
          <w:lang w:val="ro-MD"/>
        </w:rPr>
        <w:t>ș</w:t>
      </w:r>
      <w:r w:rsidRPr="00B13B9A">
        <w:rPr>
          <w:rFonts w:asciiTheme="majorHAnsi" w:hAnsiTheme="majorHAnsi" w:cstheme="majorHAnsi"/>
          <w:szCs w:val="28"/>
          <w:lang w:val="ro-MD"/>
        </w:rPr>
        <w:t>i a</w:t>
      </w:r>
      <w:r w:rsidR="001C6DA5">
        <w:rPr>
          <w:rFonts w:asciiTheme="majorHAnsi" w:hAnsiTheme="majorHAnsi" w:cstheme="majorHAnsi"/>
          <w:szCs w:val="28"/>
          <w:lang w:val="ro-MD"/>
        </w:rPr>
        <w:t>supra</w:t>
      </w:r>
      <w:r w:rsidRPr="00B13B9A">
        <w:rPr>
          <w:rFonts w:asciiTheme="majorHAnsi" w:hAnsiTheme="majorHAnsi" w:cstheme="majorHAnsi"/>
          <w:szCs w:val="28"/>
          <w:lang w:val="ro-MD"/>
        </w:rPr>
        <w:t xml:space="preserve"> bunurilor neutilizate, ceea ce contravine  principiilor bunei guvernări. </w:t>
      </w:r>
    </w:p>
    <w:p w14:paraId="5CAFDE20" w14:textId="1EA6527D" w:rsidR="001B5D3D" w:rsidRPr="00B13B9A" w:rsidRDefault="001B5D3D" w:rsidP="001B5D3D">
      <w:pPr>
        <w:pStyle w:val="cn"/>
        <w:spacing w:line="276" w:lineRule="auto"/>
        <w:ind w:right="71"/>
        <w:jc w:val="both"/>
        <w:rPr>
          <w:rFonts w:asciiTheme="majorHAnsi" w:hAnsiTheme="majorHAnsi" w:cstheme="majorHAnsi"/>
          <w:szCs w:val="28"/>
          <w:lang w:val="ro-MD"/>
        </w:rPr>
      </w:pPr>
      <w:r w:rsidRPr="00B13B9A">
        <w:rPr>
          <w:rFonts w:asciiTheme="majorHAnsi" w:hAnsiTheme="majorHAnsi" w:cstheme="majorHAnsi"/>
          <w:szCs w:val="28"/>
          <w:lang w:val="ro-MD"/>
        </w:rPr>
        <w:t>La capitolul utiliz</w:t>
      </w:r>
      <w:r w:rsidR="00DE34E4" w:rsidRPr="00B13B9A">
        <w:rPr>
          <w:rFonts w:asciiTheme="majorHAnsi" w:hAnsiTheme="majorHAnsi" w:cstheme="majorHAnsi"/>
          <w:szCs w:val="28"/>
          <w:lang w:val="ro-MD"/>
        </w:rPr>
        <w:t>area</w:t>
      </w:r>
      <w:r w:rsidRPr="00B13B9A">
        <w:rPr>
          <w:rFonts w:asciiTheme="majorHAnsi" w:hAnsiTheme="majorHAnsi" w:cstheme="majorHAnsi"/>
          <w:szCs w:val="28"/>
          <w:lang w:val="ro-MD"/>
        </w:rPr>
        <w:t xml:space="preserve"> mijloacelor financiare, s-au constatat neconformită</w:t>
      </w:r>
      <w:r w:rsidR="00B13B9A" w:rsidRPr="00B13B9A">
        <w:rPr>
          <w:rFonts w:asciiTheme="majorHAnsi" w:hAnsiTheme="majorHAnsi" w:cstheme="majorHAnsi"/>
          <w:szCs w:val="28"/>
          <w:lang w:val="ro-MD"/>
        </w:rPr>
        <w:t>ț</w:t>
      </w:r>
      <w:r w:rsidRPr="00B13B9A">
        <w:rPr>
          <w:rFonts w:asciiTheme="majorHAnsi" w:hAnsiTheme="majorHAnsi" w:cstheme="majorHAnsi"/>
          <w:szCs w:val="28"/>
          <w:lang w:val="ro-MD"/>
        </w:rPr>
        <w:t>i determinate de insuficien</w:t>
      </w:r>
      <w:r w:rsidR="00B13B9A" w:rsidRPr="00B13B9A">
        <w:rPr>
          <w:rFonts w:asciiTheme="majorHAnsi" w:hAnsiTheme="majorHAnsi" w:cstheme="majorHAnsi"/>
          <w:szCs w:val="28"/>
          <w:lang w:val="ro-MD"/>
        </w:rPr>
        <w:t>ț</w:t>
      </w:r>
      <w:r w:rsidRPr="00B13B9A">
        <w:rPr>
          <w:rFonts w:asciiTheme="majorHAnsi" w:hAnsiTheme="majorHAnsi" w:cstheme="majorHAnsi"/>
          <w:szCs w:val="28"/>
          <w:lang w:val="ro-MD"/>
        </w:rPr>
        <w:t>a proceselor de control intern</w:t>
      </w:r>
      <w:r w:rsidR="00DE34E4" w:rsidRPr="00B13B9A">
        <w:rPr>
          <w:rFonts w:asciiTheme="majorHAnsi" w:hAnsiTheme="majorHAnsi" w:cstheme="majorHAnsi"/>
          <w:szCs w:val="28"/>
          <w:lang w:val="ro-MD"/>
        </w:rPr>
        <w:t>,</w:t>
      </w:r>
      <w:r w:rsidRPr="00B13B9A">
        <w:rPr>
          <w:rFonts w:asciiTheme="majorHAnsi" w:hAnsiTheme="majorHAnsi" w:cstheme="majorHAnsi"/>
          <w:szCs w:val="28"/>
          <w:lang w:val="ro-MD"/>
        </w:rPr>
        <w:t xml:space="preserve"> care se exprimă prin calcularea </w:t>
      </w:r>
      <w:r w:rsidR="00B13B9A" w:rsidRPr="00B13B9A">
        <w:rPr>
          <w:rFonts w:asciiTheme="majorHAnsi" w:hAnsiTheme="majorHAnsi" w:cstheme="majorHAnsi"/>
          <w:szCs w:val="28"/>
          <w:lang w:val="ro-MD"/>
        </w:rPr>
        <w:t>ș</w:t>
      </w:r>
      <w:r w:rsidRPr="00B13B9A">
        <w:rPr>
          <w:rFonts w:asciiTheme="majorHAnsi" w:hAnsiTheme="majorHAnsi" w:cstheme="majorHAnsi"/>
          <w:szCs w:val="28"/>
          <w:lang w:val="ro-MD"/>
        </w:rPr>
        <w:t>i achitarea neregulamentară a unor plă</w:t>
      </w:r>
      <w:r w:rsidR="00B13B9A" w:rsidRPr="00B13B9A">
        <w:rPr>
          <w:rFonts w:asciiTheme="majorHAnsi" w:hAnsiTheme="majorHAnsi" w:cstheme="majorHAnsi"/>
          <w:szCs w:val="28"/>
          <w:lang w:val="ro-MD"/>
        </w:rPr>
        <w:t>ț</w:t>
      </w:r>
      <w:r w:rsidRPr="00B13B9A">
        <w:rPr>
          <w:rFonts w:asciiTheme="majorHAnsi" w:hAnsiTheme="majorHAnsi" w:cstheme="majorHAnsi"/>
          <w:szCs w:val="28"/>
          <w:lang w:val="ro-MD"/>
        </w:rPr>
        <w:t xml:space="preserve">i salariale; planificarea </w:t>
      </w:r>
      <w:r w:rsidR="00B13B9A" w:rsidRPr="00B13B9A">
        <w:rPr>
          <w:rFonts w:asciiTheme="majorHAnsi" w:hAnsiTheme="majorHAnsi" w:cstheme="majorHAnsi"/>
          <w:szCs w:val="28"/>
          <w:lang w:val="ro-MD"/>
        </w:rPr>
        <w:t>ș</w:t>
      </w:r>
      <w:r w:rsidRPr="00B13B9A">
        <w:rPr>
          <w:rFonts w:asciiTheme="majorHAnsi" w:hAnsiTheme="majorHAnsi" w:cstheme="majorHAnsi"/>
          <w:szCs w:val="28"/>
          <w:lang w:val="ro-MD"/>
        </w:rPr>
        <w:t>i realizarea achizi</w:t>
      </w:r>
      <w:r w:rsidR="00B13B9A" w:rsidRPr="00B13B9A">
        <w:rPr>
          <w:rFonts w:asciiTheme="majorHAnsi" w:hAnsiTheme="majorHAnsi" w:cstheme="majorHAnsi"/>
          <w:szCs w:val="28"/>
          <w:lang w:val="ro-MD"/>
        </w:rPr>
        <w:t>ț</w:t>
      </w:r>
      <w:r w:rsidRPr="00B13B9A">
        <w:rPr>
          <w:rFonts w:asciiTheme="majorHAnsi" w:hAnsiTheme="majorHAnsi" w:cstheme="majorHAnsi"/>
          <w:szCs w:val="28"/>
          <w:lang w:val="ro-MD"/>
        </w:rPr>
        <w:t>iilor în lipsa respectării principiilor ce reglementează acest proces; alimentarea pacien</w:t>
      </w:r>
      <w:r w:rsidR="00B13B9A" w:rsidRPr="00B13B9A">
        <w:rPr>
          <w:rFonts w:asciiTheme="majorHAnsi" w:hAnsiTheme="majorHAnsi" w:cstheme="majorHAnsi"/>
          <w:szCs w:val="28"/>
          <w:lang w:val="ro-MD"/>
        </w:rPr>
        <w:t>ț</w:t>
      </w:r>
      <w:r w:rsidRPr="00B13B9A">
        <w:rPr>
          <w:rFonts w:asciiTheme="majorHAnsi" w:hAnsiTheme="majorHAnsi" w:cstheme="majorHAnsi"/>
          <w:szCs w:val="28"/>
          <w:lang w:val="ro-MD"/>
        </w:rPr>
        <w:t>ilor cu respectarea par</w:t>
      </w:r>
      <w:r w:rsidR="00B13B9A" w:rsidRPr="00B13B9A">
        <w:rPr>
          <w:rFonts w:asciiTheme="majorHAnsi" w:hAnsiTheme="majorHAnsi" w:cstheme="majorHAnsi"/>
          <w:szCs w:val="28"/>
          <w:lang w:val="ro-MD"/>
        </w:rPr>
        <w:t>ț</w:t>
      </w:r>
      <w:r w:rsidRPr="00B13B9A">
        <w:rPr>
          <w:rFonts w:asciiTheme="majorHAnsi" w:hAnsiTheme="majorHAnsi" w:cstheme="majorHAnsi"/>
          <w:szCs w:val="28"/>
          <w:lang w:val="ro-MD"/>
        </w:rPr>
        <w:t>ială a normativelor stabilite. Totodată, metoda de eviden</w:t>
      </w:r>
      <w:r w:rsidR="00B13B9A" w:rsidRPr="00B13B9A">
        <w:rPr>
          <w:rFonts w:asciiTheme="majorHAnsi" w:hAnsiTheme="majorHAnsi" w:cstheme="majorHAnsi"/>
          <w:szCs w:val="28"/>
          <w:lang w:val="ro-MD"/>
        </w:rPr>
        <w:t>ț</w:t>
      </w:r>
      <w:r w:rsidRPr="00B13B9A">
        <w:rPr>
          <w:rFonts w:asciiTheme="majorHAnsi" w:hAnsiTheme="majorHAnsi" w:cstheme="majorHAnsi"/>
          <w:szCs w:val="28"/>
          <w:lang w:val="ro-MD"/>
        </w:rPr>
        <w:t>ă a veniturilor provenit</w:t>
      </w:r>
      <w:r w:rsidR="00DE34E4" w:rsidRPr="00B13B9A">
        <w:rPr>
          <w:rFonts w:asciiTheme="majorHAnsi" w:hAnsiTheme="majorHAnsi" w:cstheme="majorHAnsi"/>
          <w:szCs w:val="28"/>
          <w:lang w:val="ro-MD"/>
        </w:rPr>
        <w:t>e</w:t>
      </w:r>
      <w:r w:rsidRPr="00B13B9A">
        <w:rPr>
          <w:rFonts w:asciiTheme="majorHAnsi" w:hAnsiTheme="majorHAnsi" w:cstheme="majorHAnsi"/>
          <w:szCs w:val="28"/>
          <w:lang w:val="ro-MD"/>
        </w:rPr>
        <w:t xml:space="preserve"> din dona</w:t>
      </w:r>
      <w:r w:rsidR="00B13B9A" w:rsidRPr="00B13B9A">
        <w:rPr>
          <w:rFonts w:asciiTheme="majorHAnsi" w:hAnsiTheme="majorHAnsi" w:cstheme="majorHAnsi"/>
          <w:szCs w:val="28"/>
          <w:lang w:val="ro-MD"/>
        </w:rPr>
        <w:t>ț</w:t>
      </w:r>
      <w:r w:rsidRPr="00B13B9A">
        <w:rPr>
          <w:rFonts w:asciiTheme="majorHAnsi" w:hAnsiTheme="majorHAnsi" w:cstheme="majorHAnsi"/>
          <w:szCs w:val="28"/>
          <w:lang w:val="ro-MD"/>
        </w:rPr>
        <w:t>ii urmează a fi ajustat</w:t>
      </w:r>
      <w:r w:rsidR="00DE34E4" w:rsidRPr="00B13B9A">
        <w:rPr>
          <w:rFonts w:asciiTheme="majorHAnsi" w:hAnsiTheme="majorHAnsi" w:cstheme="majorHAnsi"/>
          <w:szCs w:val="28"/>
          <w:lang w:val="ro-MD"/>
        </w:rPr>
        <w:t>ă</w:t>
      </w:r>
      <w:r w:rsidRPr="00B13B9A">
        <w:rPr>
          <w:rFonts w:asciiTheme="majorHAnsi" w:hAnsiTheme="majorHAnsi" w:cstheme="majorHAnsi"/>
          <w:szCs w:val="28"/>
          <w:lang w:val="ro-MD"/>
        </w:rPr>
        <w:t xml:space="preserve"> în scopul reflectării conforme a situa</w:t>
      </w:r>
      <w:r w:rsidR="00B13B9A" w:rsidRPr="00B13B9A">
        <w:rPr>
          <w:rFonts w:asciiTheme="majorHAnsi" w:hAnsiTheme="majorHAnsi" w:cstheme="majorHAnsi"/>
          <w:szCs w:val="28"/>
          <w:lang w:val="ro-MD"/>
        </w:rPr>
        <w:t>ț</w:t>
      </w:r>
      <w:r w:rsidRPr="00B13B9A">
        <w:rPr>
          <w:rFonts w:asciiTheme="majorHAnsi" w:hAnsiTheme="majorHAnsi" w:cstheme="majorHAnsi"/>
          <w:szCs w:val="28"/>
          <w:lang w:val="ro-MD"/>
        </w:rPr>
        <w:t>iilor financiare a</w:t>
      </w:r>
      <w:r w:rsidR="00DE34E4" w:rsidRPr="00B13B9A">
        <w:rPr>
          <w:rFonts w:asciiTheme="majorHAnsi" w:hAnsiTheme="majorHAnsi" w:cstheme="majorHAnsi"/>
          <w:szCs w:val="28"/>
          <w:lang w:val="ro-MD"/>
        </w:rPr>
        <w:t>le</w:t>
      </w:r>
      <w:r w:rsidRPr="00B13B9A">
        <w:rPr>
          <w:rFonts w:asciiTheme="majorHAnsi" w:hAnsiTheme="majorHAnsi" w:cstheme="majorHAnsi"/>
          <w:szCs w:val="28"/>
          <w:lang w:val="ro-MD"/>
        </w:rPr>
        <w:t xml:space="preserve"> institu</w:t>
      </w:r>
      <w:r w:rsidR="00B13B9A" w:rsidRPr="00B13B9A">
        <w:rPr>
          <w:rFonts w:asciiTheme="majorHAnsi" w:hAnsiTheme="majorHAnsi" w:cstheme="majorHAnsi"/>
          <w:szCs w:val="28"/>
          <w:lang w:val="ro-MD"/>
        </w:rPr>
        <w:t>ț</w:t>
      </w:r>
      <w:r w:rsidRPr="00B13B9A">
        <w:rPr>
          <w:rFonts w:asciiTheme="majorHAnsi" w:hAnsiTheme="majorHAnsi" w:cstheme="majorHAnsi"/>
          <w:szCs w:val="28"/>
          <w:lang w:val="ro-MD"/>
        </w:rPr>
        <w:t>iei.</w:t>
      </w:r>
    </w:p>
    <w:p w14:paraId="61E94EC2" w14:textId="31E8FC81" w:rsidR="001B5D3D" w:rsidRPr="00B13B9A" w:rsidRDefault="001B5D3D" w:rsidP="001B5D3D">
      <w:pPr>
        <w:pStyle w:val="cn"/>
        <w:spacing w:line="276" w:lineRule="auto"/>
        <w:ind w:right="71"/>
        <w:jc w:val="both"/>
        <w:rPr>
          <w:rFonts w:asciiTheme="majorHAnsi" w:hAnsiTheme="majorHAnsi" w:cstheme="majorHAnsi"/>
          <w:szCs w:val="28"/>
          <w:lang w:val="ro-MD"/>
        </w:rPr>
      </w:pPr>
      <w:r w:rsidRPr="00B13B9A">
        <w:rPr>
          <w:rFonts w:asciiTheme="majorHAnsi" w:hAnsiTheme="majorHAnsi" w:cstheme="majorHAnsi"/>
          <w:szCs w:val="28"/>
          <w:lang w:val="ro-MD"/>
        </w:rPr>
        <w:t>Auditul indică necesitatea de asumare a unor decizii manageriale pentru elucidarea situa</w:t>
      </w:r>
      <w:r w:rsidR="00B13B9A" w:rsidRPr="00B13B9A">
        <w:rPr>
          <w:rFonts w:asciiTheme="majorHAnsi" w:hAnsiTheme="majorHAnsi" w:cstheme="majorHAnsi"/>
          <w:szCs w:val="28"/>
          <w:lang w:val="ro-MD"/>
        </w:rPr>
        <w:t>ț</w:t>
      </w:r>
      <w:r w:rsidRPr="00B13B9A">
        <w:rPr>
          <w:rFonts w:asciiTheme="majorHAnsi" w:hAnsiTheme="majorHAnsi" w:cstheme="majorHAnsi"/>
          <w:szCs w:val="28"/>
          <w:lang w:val="ro-MD"/>
        </w:rPr>
        <w:t>iilor expuse, consolidarea sistemului de control intern</w:t>
      </w:r>
      <w:r w:rsidR="00DE34E4" w:rsidRPr="00B13B9A">
        <w:rPr>
          <w:rFonts w:asciiTheme="majorHAnsi" w:hAnsiTheme="majorHAnsi" w:cstheme="majorHAnsi"/>
          <w:szCs w:val="28"/>
          <w:lang w:val="ro-MD"/>
        </w:rPr>
        <w:t xml:space="preserve"> capabil</w:t>
      </w:r>
      <w:r w:rsidRPr="00B13B9A">
        <w:rPr>
          <w:rFonts w:asciiTheme="majorHAnsi" w:hAnsiTheme="majorHAnsi" w:cstheme="majorHAnsi"/>
          <w:szCs w:val="28"/>
          <w:lang w:val="ro-MD"/>
        </w:rPr>
        <w:t xml:space="preserve"> să asigure gestionarea conformă a patrimoniului </w:t>
      </w:r>
      <w:r w:rsidR="00B13B9A" w:rsidRPr="00B13B9A">
        <w:rPr>
          <w:rFonts w:asciiTheme="majorHAnsi" w:hAnsiTheme="majorHAnsi" w:cstheme="majorHAnsi"/>
          <w:szCs w:val="28"/>
          <w:lang w:val="ro-MD"/>
        </w:rPr>
        <w:t>ș</w:t>
      </w:r>
      <w:r w:rsidRPr="00B13B9A">
        <w:rPr>
          <w:rFonts w:asciiTheme="majorHAnsi" w:hAnsiTheme="majorHAnsi" w:cstheme="majorHAnsi"/>
          <w:szCs w:val="28"/>
          <w:lang w:val="ro-MD"/>
        </w:rPr>
        <w:t>i</w:t>
      </w:r>
      <w:r w:rsidR="00DE34E4" w:rsidRPr="00B13B9A">
        <w:rPr>
          <w:rFonts w:asciiTheme="majorHAnsi" w:hAnsiTheme="majorHAnsi" w:cstheme="majorHAnsi"/>
          <w:szCs w:val="28"/>
          <w:lang w:val="ro-MD"/>
        </w:rPr>
        <w:t xml:space="preserve"> a</w:t>
      </w:r>
      <w:r w:rsidRPr="00B13B9A">
        <w:rPr>
          <w:rFonts w:asciiTheme="majorHAnsi" w:hAnsiTheme="majorHAnsi" w:cstheme="majorHAnsi"/>
          <w:szCs w:val="28"/>
          <w:lang w:val="ro-MD"/>
        </w:rPr>
        <w:t xml:space="preserve"> resurselor financiare prin remedierea aspectelor vulnerabile depistate în cadrul prezentei misiuni de audit, care vor contribui inclusiv la îmbunătă</w:t>
      </w:r>
      <w:r w:rsidR="00B13B9A" w:rsidRPr="00B13B9A">
        <w:rPr>
          <w:rFonts w:asciiTheme="majorHAnsi" w:hAnsiTheme="majorHAnsi" w:cstheme="majorHAnsi"/>
          <w:szCs w:val="28"/>
          <w:lang w:val="ro-MD"/>
        </w:rPr>
        <w:t>ț</w:t>
      </w:r>
      <w:r w:rsidRPr="00B13B9A">
        <w:rPr>
          <w:rFonts w:asciiTheme="majorHAnsi" w:hAnsiTheme="majorHAnsi" w:cstheme="majorHAnsi"/>
          <w:szCs w:val="28"/>
          <w:lang w:val="ro-MD"/>
        </w:rPr>
        <w:t xml:space="preserve">irea serviciilor </w:t>
      </w:r>
      <w:r w:rsidR="00B13B9A" w:rsidRPr="00B13B9A">
        <w:rPr>
          <w:rFonts w:asciiTheme="majorHAnsi" w:hAnsiTheme="majorHAnsi" w:cstheme="majorHAnsi"/>
          <w:szCs w:val="28"/>
          <w:lang w:val="ro-MD"/>
        </w:rPr>
        <w:t>ș</w:t>
      </w:r>
      <w:r w:rsidRPr="00B13B9A">
        <w:rPr>
          <w:rFonts w:asciiTheme="majorHAnsi" w:hAnsiTheme="majorHAnsi" w:cstheme="majorHAnsi"/>
          <w:szCs w:val="28"/>
          <w:lang w:val="ro-MD"/>
        </w:rPr>
        <w:t xml:space="preserve">i </w:t>
      </w:r>
      <w:r w:rsidR="00BA22DB" w:rsidRPr="00B13B9A">
        <w:rPr>
          <w:rFonts w:asciiTheme="majorHAnsi" w:hAnsiTheme="majorHAnsi" w:cstheme="majorHAnsi"/>
          <w:szCs w:val="28"/>
          <w:lang w:val="ro-MD"/>
        </w:rPr>
        <w:t>sănătă</w:t>
      </w:r>
      <w:r w:rsidR="00B13B9A" w:rsidRPr="00B13B9A">
        <w:rPr>
          <w:rFonts w:asciiTheme="majorHAnsi" w:hAnsiTheme="majorHAnsi" w:cstheme="majorHAnsi"/>
          <w:szCs w:val="28"/>
          <w:lang w:val="ro-MD"/>
        </w:rPr>
        <w:t>ț</w:t>
      </w:r>
      <w:r w:rsidR="00BA22DB" w:rsidRPr="00B13B9A">
        <w:rPr>
          <w:rFonts w:asciiTheme="majorHAnsi" w:hAnsiTheme="majorHAnsi" w:cstheme="majorHAnsi"/>
          <w:szCs w:val="28"/>
          <w:lang w:val="ro-MD"/>
        </w:rPr>
        <w:t>ii</w:t>
      </w:r>
      <w:r w:rsidRPr="00B13B9A">
        <w:rPr>
          <w:rFonts w:asciiTheme="majorHAnsi" w:hAnsiTheme="majorHAnsi" w:cstheme="majorHAnsi"/>
          <w:szCs w:val="28"/>
          <w:lang w:val="ro-MD"/>
        </w:rPr>
        <w:t xml:space="preserve"> popula</w:t>
      </w:r>
      <w:r w:rsidR="00B13B9A" w:rsidRPr="00B13B9A">
        <w:rPr>
          <w:rFonts w:asciiTheme="majorHAnsi" w:hAnsiTheme="majorHAnsi" w:cstheme="majorHAnsi"/>
          <w:szCs w:val="28"/>
          <w:lang w:val="ro-MD"/>
        </w:rPr>
        <w:t>ț</w:t>
      </w:r>
      <w:r w:rsidRPr="00B13B9A">
        <w:rPr>
          <w:rFonts w:asciiTheme="majorHAnsi" w:hAnsiTheme="majorHAnsi" w:cstheme="majorHAnsi"/>
          <w:szCs w:val="28"/>
          <w:lang w:val="ro-MD"/>
        </w:rPr>
        <w:t>iei, consolidarea ac</w:t>
      </w:r>
      <w:r w:rsidR="00B13B9A" w:rsidRPr="00B13B9A">
        <w:rPr>
          <w:rFonts w:asciiTheme="majorHAnsi" w:hAnsiTheme="majorHAnsi" w:cstheme="majorHAnsi"/>
          <w:szCs w:val="28"/>
          <w:lang w:val="ro-MD"/>
        </w:rPr>
        <w:t>ț</w:t>
      </w:r>
      <w:r w:rsidRPr="00B13B9A">
        <w:rPr>
          <w:rFonts w:asciiTheme="majorHAnsi" w:hAnsiTheme="majorHAnsi" w:cstheme="majorHAnsi"/>
          <w:szCs w:val="28"/>
          <w:lang w:val="ro-MD"/>
        </w:rPr>
        <w:t>iunilor în controlul tuberculozei.</w:t>
      </w:r>
    </w:p>
    <w:p w14:paraId="4E7F6036" w14:textId="28C95D81" w:rsidR="00703996" w:rsidRPr="00B13B9A" w:rsidRDefault="001B5D3D" w:rsidP="001B5D3D">
      <w:pPr>
        <w:pStyle w:val="cn"/>
        <w:spacing w:line="276" w:lineRule="auto"/>
        <w:ind w:right="71"/>
        <w:jc w:val="both"/>
        <w:rPr>
          <w:rFonts w:asciiTheme="majorHAnsi" w:hAnsiTheme="majorHAnsi" w:cstheme="majorHAnsi"/>
          <w:lang w:val="ro-MD"/>
        </w:rPr>
      </w:pPr>
      <w:r w:rsidRPr="00B13B9A">
        <w:rPr>
          <w:rFonts w:asciiTheme="majorHAnsi" w:hAnsiTheme="majorHAnsi" w:cstheme="majorHAnsi"/>
          <w:szCs w:val="28"/>
          <w:lang w:val="ro-MD"/>
        </w:rPr>
        <w:t>Rezumând cele expuse, auditul public extern a adus la cuno</w:t>
      </w:r>
      <w:r w:rsidR="00B13B9A" w:rsidRPr="00B13B9A">
        <w:rPr>
          <w:rFonts w:asciiTheme="majorHAnsi" w:hAnsiTheme="majorHAnsi" w:cstheme="majorHAnsi"/>
          <w:szCs w:val="28"/>
          <w:lang w:val="ro-MD"/>
        </w:rPr>
        <w:t>ș</w:t>
      </w:r>
      <w:r w:rsidRPr="00B13B9A">
        <w:rPr>
          <w:rFonts w:asciiTheme="majorHAnsi" w:hAnsiTheme="majorHAnsi" w:cstheme="majorHAnsi"/>
          <w:szCs w:val="28"/>
          <w:lang w:val="ro-MD"/>
        </w:rPr>
        <w:t>tin</w:t>
      </w:r>
      <w:r w:rsidR="00B13B9A" w:rsidRPr="00B13B9A">
        <w:rPr>
          <w:rFonts w:asciiTheme="majorHAnsi" w:hAnsiTheme="majorHAnsi" w:cstheme="majorHAnsi"/>
          <w:szCs w:val="28"/>
          <w:lang w:val="ro-MD"/>
        </w:rPr>
        <w:t>ț</w:t>
      </w:r>
      <w:r w:rsidRPr="00B13B9A">
        <w:rPr>
          <w:rFonts w:asciiTheme="majorHAnsi" w:hAnsiTheme="majorHAnsi" w:cstheme="majorHAnsi"/>
          <w:szCs w:val="28"/>
          <w:lang w:val="ro-MD"/>
        </w:rPr>
        <w:t xml:space="preserve">ă constatările </w:t>
      </w:r>
      <w:r w:rsidR="00B13B9A" w:rsidRPr="00B13B9A">
        <w:rPr>
          <w:rFonts w:asciiTheme="majorHAnsi" w:hAnsiTheme="majorHAnsi" w:cstheme="majorHAnsi"/>
          <w:szCs w:val="28"/>
          <w:lang w:val="ro-MD"/>
        </w:rPr>
        <w:t>ș</w:t>
      </w:r>
      <w:r w:rsidRPr="00B13B9A">
        <w:rPr>
          <w:rFonts w:asciiTheme="majorHAnsi" w:hAnsiTheme="majorHAnsi" w:cstheme="majorHAnsi"/>
          <w:szCs w:val="28"/>
          <w:lang w:val="ro-MD"/>
        </w:rPr>
        <w:t xml:space="preserve">i concluziile formulate </w:t>
      </w:r>
      <w:r w:rsidR="00B13B9A" w:rsidRPr="00B13B9A">
        <w:rPr>
          <w:rFonts w:asciiTheme="majorHAnsi" w:hAnsiTheme="majorHAnsi" w:cstheme="majorHAnsi"/>
          <w:szCs w:val="28"/>
          <w:lang w:val="ro-MD"/>
        </w:rPr>
        <w:t>ș</w:t>
      </w:r>
      <w:r w:rsidRPr="00B13B9A">
        <w:rPr>
          <w:rFonts w:asciiTheme="majorHAnsi" w:hAnsiTheme="majorHAnsi" w:cstheme="majorHAnsi"/>
          <w:szCs w:val="28"/>
          <w:lang w:val="ro-MD"/>
        </w:rPr>
        <w:t>i a oferit recomandări pentru remedierea aspectelor vulnerabile depistate în cadrul prezentei misiuni de audit, acestea fiind acceptate de către institu</w:t>
      </w:r>
      <w:r w:rsidR="00B13B9A" w:rsidRPr="00B13B9A">
        <w:rPr>
          <w:rFonts w:asciiTheme="majorHAnsi" w:hAnsiTheme="majorHAnsi" w:cstheme="majorHAnsi"/>
          <w:szCs w:val="28"/>
          <w:lang w:val="ro-MD"/>
        </w:rPr>
        <w:t>ț</w:t>
      </w:r>
      <w:r w:rsidRPr="00B13B9A">
        <w:rPr>
          <w:rFonts w:asciiTheme="majorHAnsi" w:hAnsiTheme="majorHAnsi" w:cstheme="majorHAnsi"/>
          <w:szCs w:val="28"/>
          <w:lang w:val="ro-MD"/>
        </w:rPr>
        <w:t>iile vizate.</w:t>
      </w:r>
    </w:p>
    <w:p w14:paraId="079ADB80" w14:textId="3C84269C" w:rsidR="00A73003" w:rsidRDefault="00A73003" w:rsidP="00476510">
      <w:pPr>
        <w:pStyle w:val="cn"/>
        <w:spacing w:line="276" w:lineRule="auto"/>
        <w:ind w:right="71"/>
        <w:jc w:val="both"/>
        <w:rPr>
          <w:rFonts w:asciiTheme="majorHAnsi" w:eastAsiaTheme="minorHAnsi" w:hAnsiTheme="majorHAnsi" w:cstheme="minorHAnsi"/>
          <w:b/>
          <w:color w:val="1F4E79" w:themeColor="accent1" w:themeShade="80"/>
          <w:lang w:val="ro-MD" w:eastAsia="en-US"/>
        </w:rPr>
      </w:pPr>
      <w:r>
        <w:rPr>
          <w:rFonts w:asciiTheme="majorHAnsi" w:eastAsiaTheme="minorHAnsi" w:hAnsiTheme="majorHAnsi" w:cstheme="minorHAnsi"/>
          <w:b/>
          <w:color w:val="1F4E79" w:themeColor="accent1" w:themeShade="80"/>
          <w:lang w:val="ro-MD" w:eastAsia="en-US"/>
        </w:rPr>
        <w:br w:type="page"/>
      </w:r>
    </w:p>
    <w:p w14:paraId="34CA025E" w14:textId="77777777" w:rsidR="00147F26" w:rsidRPr="00B13B9A" w:rsidRDefault="00147F26" w:rsidP="00476510">
      <w:pPr>
        <w:pStyle w:val="cn"/>
        <w:spacing w:line="276" w:lineRule="auto"/>
        <w:ind w:right="71"/>
        <w:jc w:val="both"/>
        <w:rPr>
          <w:rFonts w:asciiTheme="majorHAnsi" w:eastAsiaTheme="minorHAnsi" w:hAnsiTheme="majorHAnsi" w:cstheme="minorHAnsi"/>
          <w:b/>
          <w:color w:val="1F4E79" w:themeColor="accent1" w:themeShade="80"/>
          <w:lang w:val="ro-MD" w:eastAsia="en-US"/>
        </w:rPr>
      </w:pPr>
    </w:p>
    <w:p w14:paraId="5AE375D8" w14:textId="77777777" w:rsidR="00D900FA" w:rsidRPr="00B13B9A" w:rsidRDefault="00D900FA" w:rsidP="00C5192A">
      <w:pPr>
        <w:pStyle w:val="cn"/>
        <w:numPr>
          <w:ilvl w:val="0"/>
          <w:numId w:val="1"/>
        </w:numPr>
        <w:spacing w:line="276" w:lineRule="auto"/>
        <w:ind w:left="709" w:right="71" w:hanging="709"/>
        <w:jc w:val="both"/>
        <w:outlineLvl w:val="0"/>
        <w:rPr>
          <w:rFonts w:asciiTheme="majorHAnsi" w:eastAsiaTheme="minorHAnsi" w:hAnsiTheme="majorHAnsi" w:cstheme="minorHAnsi"/>
          <w:b/>
          <w:color w:val="1F4E79" w:themeColor="accent1" w:themeShade="80"/>
          <w:lang w:val="ro-MD" w:eastAsia="en-US"/>
        </w:rPr>
      </w:pPr>
      <w:bookmarkStart w:id="51" w:name="_Toc154562522"/>
      <w:r w:rsidRPr="00B13B9A">
        <w:rPr>
          <w:rFonts w:asciiTheme="majorHAnsi" w:eastAsiaTheme="minorHAnsi" w:hAnsiTheme="majorHAnsi" w:cstheme="minorHAnsi"/>
          <w:b/>
          <w:color w:val="1F4E79" w:themeColor="accent1" w:themeShade="80"/>
          <w:lang w:val="ro-MD" w:eastAsia="en-US"/>
        </w:rPr>
        <w:t>RECOMANDĂRI</w:t>
      </w:r>
      <w:bookmarkEnd w:id="51"/>
    </w:p>
    <w:p w14:paraId="4937B60E" w14:textId="4F446800" w:rsidR="00D900FA" w:rsidRPr="00B13B9A" w:rsidRDefault="00D900FA" w:rsidP="002101A1">
      <w:pPr>
        <w:pStyle w:val="a7"/>
        <w:shd w:val="clear" w:color="auto" w:fill="FFFFFF" w:themeFill="background1"/>
        <w:spacing w:after="0" w:line="276" w:lineRule="auto"/>
        <w:ind w:left="0"/>
        <w:jc w:val="both"/>
        <w:rPr>
          <w:rFonts w:asciiTheme="majorHAnsi" w:hAnsiTheme="majorHAnsi" w:cstheme="majorHAnsi"/>
          <w:b/>
          <w:i/>
          <w:sz w:val="24"/>
          <w:szCs w:val="24"/>
          <w:lang w:val="ro-MD"/>
        </w:rPr>
      </w:pPr>
      <w:r w:rsidRPr="00B13B9A">
        <w:rPr>
          <w:rFonts w:asciiTheme="majorHAnsi" w:hAnsiTheme="majorHAnsi" w:cstheme="majorHAnsi"/>
          <w:b/>
          <w:sz w:val="24"/>
          <w:szCs w:val="24"/>
          <w:lang w:val="ro-MD"/>
        </w:rPr>
        <w:t>Conducerii M</w:t>
      </w:r>
      <w:r w:rsidR="00C5192A" w:rsidRPr="00B13B9A">
        <w:rPr>
          <w:rFonts w:asciiTheme="majorHAnsi" w:hAnsiTheme="majorHAnsi" w:cstheme="majorHAnsi"/>
          <w:b/>
          <w:sz w:val="24"/>
          <w:szCs w:val="24"/>
          <w:lang w:val="ro-MD"/>
        </w:rPr>
        <w:t xml:space="preserve">inisterului </w:t>
      </w:r>
      <w:r w:rsidRPr="00B13B9A">
        <w:rPr>
          <w:rFonts w:asciiTheme="majorHAnsi" w:hAnsiTheme="majorHAnsi" w:cstheme="majorHAnsi"/>
          <w:b/>
          <w:sz w:val="24"/>
          <w:szCs w:val="24"/>
          <w:lang w:val="ro-MD"/>
        </w:rPr>
        <w:t>S</w:t>
      </w:r>
      <w:r w:rsidR="00C5192A" w:rsidRPr="00B13B9A">
        <w:rPr>
          <w:rFonts w:asciiTheme="majorHAnsi" w:hAnsiTheme="majorHAnsi" w:cstheme="majorHAnsi"/>
          <w:b/>
          <w:sz w:val="24"/>
          <w:szCs w:val="24"/>
          <w:lang w:val="ro-MD"/>
        </w:rPr>
        <w:t>ănătă</w:t>
      </w:r>
      <w:r w:rsidR="00B13B9A" w:rsidRPr="00B13B9A">
        <w:rPr>
          <w:rFonts w:asciiTheme="majorHAnsi" w:hAnsiTheme="majorHAnsi" w:cstheme="majorHAnsi"/>
          <w:b/>
          <w:sz w:val="24"/>
          <w:szCs w:val="24"/>
          <w:lang w:val="ro-MD"/>
        </w:rPr>
        <w:t>ț</w:t>
      </w:r>
      <w:r w:rsidR="00C5192A" w:rsidRPr="00B13B9A">
        <w:rPr>
          <w:rFonts w:asciiTheme="majorHAnsi" w:hAnsiTheme="majorHAnsi" w:cstheme="majorHAnsi"/>
          <w:b/>
          <w:sz w:val="24"/>
          <w:szCs w:val="24"/>
          <w:lang w:val="ro-MD"/>
        </w:rPr>
        <w:t>ii</w:t>
      </w:r>
      <w:r w:rsidRPr="00B13B9A">
        <w:rPr>
          <w:rFonts w:asciiTheme="majorHAnsi" w:hAnsiTheme="majorHAnsi" w:cstheme="majorHAnsi"/>
          <w:b/>
          <w:sz w:val="24"/>
          <w:szCs w:val="24"/>
          <w:lang w:val="ro-MD"/>
        </w:rPr>
        <w:t xml:space="preserve"> de comun cu IMSP</w:t>
      </w:r>
      <w:r w:rsidRPr="00B13B9A">
        <w:rPr>
          <w:rFonts w:asciiTheme="majorHAnsi" w:hAnsiTheme="majorHAnsi" w:cstheme="majorHAnsi"/>
          <w:b/>
          <w:i/>
          <w:sz w:val="24"/>
          <w:szCs w:val="24"/>
          <w:lang w:val="ro-MD"/>
        </w:rPr>
        <w:t xml:space="preserve"> </w:t>
      </w:r>
      <w:r w:rsidRPr="00B13B9A">
        <w:rPr>
          <w:rFonts w:asciiTheme="majorHAnsi" w:hAnsiTheme="majorHAnsi" w:cstheme="majorHAnsi"/>
          <w:b/>
          <w:sz w:val="24"/>
          <w:szCs w:val="24"/>
          <w:lang w:val="ro-MD"/>
        </w:rPr>
        <w:t>Institutul de Ftiziopneumologie</w:t>
      </w:r>
      <w:r w:rsidR="0041425D" w:rsidRPr="00B13B9A">
        <w:rPr>
          <w:rFonts w:asciiTheme="majorHAnsi" w:hAnsiTheme="majorHAnsi" w:cstheme="majorHAnsi"/>
          <w:b/>
          <w:i/>
          <w:sz w:val="24"/>
          <w:szCs w:val="24"/>
          <w:lang w:val="ro-MD"/>
        </w:rPr>
        <w:t xml:space="preserve"> </w:t>
      </w:r>
      <w:r w:rsidR="0041425D" w:rsidRPr="00B13B9A">
        <w:rPr>
          <w:rFonts w:asciiTheme="majorHAnsi" w:hAnsiTheme="majorHAnsi" w:cstheme="majorHAnsi"/>
          <w:b/>
          <w:sz w:val="24"/>
          <w:szCs w:val="24"/>
          <w:lang w:val="ro-MD"/>
        </w:rPr>
        <w:t>„</w:t>
      </w:r>
      <w:r w:rsidRPr="00B13B9A">
        <w:rPr>
          <w:rFonts w:asciiTheme="majorHAnsi" w:hAnsiTheme="majorHAnsi" w:cstheme="majorHAnsi"/>
          <w:b/>
          <w:sz w:val="24"/>
          <w:szCs w:val="24"/>
          <w:lang w:val="ro-MD"/>
        </w:rPr>
        <w:t>Chiril Draganiuc”</w:t>
      </w:r>
      <w:r w:rsidR="00B359BE" w:rsidRPr="00B13B9A">
        <w:rPr>
          <w:rFonts w:asciiTheme="majorHAnsi" w:hAnsiTheme="majorHAnsi" w:cstheme="majorHAnsi"/>
          <w:b/>
          <w:sz w:val="24"/>
          <w:szCs w:val="24"/>
          <w:lang w:val="ro-MD"/>
        </w:rPr>
        <w:t>:</w:t>
      </w:r>
      <w:r w:rsidRPr="00B13B9A">
        <w:rPr>
          <w:rFonts w:asciiTheme="majorHAnsi" w:hAnsiTheme="majorHAnsi" w:cstheme="majorHAnsi"/>
          <w:b/>
          <w:i/>
          <w:sz w:val="24"/>
          <w:szCs w:val="24"/>
          <w:lang w:val="ro-MD"/>
        </w:rPr>
        <w:t xml:space="preserve"> </w:t>
      </w:r>
    </w:p>
    <w:p w14:paraId="79501DA9" w14:textId="2FFDFF13" w:rsidR="00281A21" w:rsidRPr="00B13B9A" w:rsidRDefault="00281A21" w:rsidP="002101A1">
      <w:pPr>
        <w:pStyle w:val="ae"/>
        <w:numPr>
          <w:ilvl w:val="0"/>
          <w:numId w:val="8"/>
        </w:numPr>
        <w:shd w:val="clear" w:color="auto" w:fill="FFFFFF"/>
        <w:tabs>
          <w:tab w:val="left" w:pos="709"/>
        </w:tabs>
        <w:spacing w:before="0" w:beforeAutospacing="0" w:after="0" w:afterAutospacing="0" w:line="276" w:lineRule="auto"/>
        <w:ind w:left="0" w:firstLine="0"/>
        <w:contextualSpacing/>
        <w:jc w:val="both"/>
        <w:rPr>
          <w:rFonts w:asciiTheme="majorHAnsi" w:hAnsiTheme="majorHAnsi" w:cstheme="majorHAnsi"/>
          <w:i/>
          <w:lang w:val="ro-MD"/>
        </w:rPr>
      </w:pPr>
      <w:r w:rsidRPr="00B13B9A">
        <w:rPr>
          <w:rFonts w:asciiTheme="majorHAnsi" w:hAnsiTheme="majorHAnsi" w:cstheme="majorHAnsi"/>
          <w:i/>
          <w:lang w:val="ro-MD"/>
        </w:rPr>
        <w:t xml:space="preserve">Să asigure inventarierea patrimoniului/bunurilor publice, determinarea </w:t>
      </w:r>
      <w:r w:rsidR="00B13B9A" w:rsidRPr="00B13B9A">
        <w:rPr>
          <w:rFonts w:asciiTheme="majorHAnsi" w:hAnsiTheme="majorHAnsi" w:cstheme="majorHAnsi"/>
          <w:i/>
          <w:lang w:val="ro-MD"/>
        </w:rPr>
        <w:t>ș</w:t>
      </w:r>
      <w:r w:rsidRPr="00B13B9A">
        <w:rPr>
          <w:rFonts w:asciiTheme="majorHAnsi" w:hAnsiTheme="majorHAnsi" w:cstheme="majorHAnsi"/>
          <w:i/>
          <w:lang w:val="ro-MD"/>
        </w:rPr>
        <w:t xml:space="preserve">i întocmirea listei bunurilor, cu divizarea celor transmise în gestiune economică </w:t>
      </w:r>
      <w:r w:rsidR="00B13B9A" w:rsidRPr="00B13B9A">
        <w:rPr>
          <w:rFonts w:asciiTheme="majorHAnsi" w:hAnsiTheme="majorHAnsi" w:cstheme="majorHAnsi"/>
          <w:i/>
          <w:lang w:val="ro-MD"/>
        </w:rPr>
        <w:t>ș</w:t>
      </w:r>
      <w:r w:rsidRPr="00B13B9A">
        <w:rPr>
          <w:rFonts w:asciiTheme="majorHAnsi" w:hAnsiTheme="majorHAnsi" w:cstheme="majorHAnsi"/>
          <w:i/>
          <w:lang w:val="ro-MD"/>
        </w:rPr>
        <w:t xml:space="preserve">i </w:t>
      </w:r>
      <w:r w:rsidR="00B359BE" w:rsidRPr="00B13B9A">
        <w:rPr>
          <w:rFonts w:asciiTheme="majorHAnsi" w:hAnsiTheme="majorHAnsi" w:cstheme="majorHAnsi"/>
          <w:i/>
          <w:lang w:val="ro-MD"/>
        </w:rPr>
        <w:t xml:space="preserve">a celor </w:t>
      </w:r>
      <w:r w:rsidRPr="00B13B9A">
        <w:rPr>
          <w:rFonts w:asciiTheme="majorHAnsi" w:hAnsiTheme="majorHAnsi" w:cstheme="majorHAnsi"/>
          <w:i/>
          <w:lang w:val="ro-MD"/>
        </w:rPr>
        <w:t xml:space="preserve">cu </w:t>
      </w:r>
      <w:r w:rsidR="001E5721" w:rsidRPr="00B13B9A">
        <w:rPr>
          <w:rFonts w:asciiTheme="majorHAnsi" w:hAnsiTheme="majorHAnsi" w:cstheme="majorHAnsi"/>
          <w:i/>
          <w:lang w:val="ro-MD"/>
        </w:rPr>
        <w:t>titlu de proprietate către IMSP (Observa</w:t>
      </w:r>
      <w:r w:rsidR="00B13B9A" w:rsidRPr="00B13B9A">
        <w:rPr>
          <w:rFonts w:asciiTheme="majorHAnsi" w:hAnsiTheme="majorHAnsi" w:cstheme="majorHAnsi"/>
          <w:i/>
          <w:lang w:val="ro-MD"/>
        </w:rPr>
        <w:t>ț</w:t>
      </w:r>
      <w:r w:rsidR="001E5721" w:rsidRPr="00B13B9A">
        <w:rPr>
          <w:rFonts w:asciiTheme="majorHAnsi" w:hAnsiTheme="majorHAnsi" w:cstheme="majorHAnsi"/>
          <w:i/>
          <w:lang w:val="ro-MD"/>
        </w:rPr>
        <w:t>ia 4.1.1)</w:t>
      </w:r>
      <w:r w:rsidR="00B359BE" w:rsidRPr="00B13B9A">
        <w:rPr>
          <w:rFonts w:asciiTheme="majorHAnsi" w:hAnsiTheme="majorHAnsi" w:cstheme="majorHAnsi"/>
          <w:i/>
          <w:lang w:val="ro-MD"/>
        </w:rPr>
        <w:t>;</w:t>
      </w:r>
    </w:p>
    <w:p w14:paraId="118ECFCA" w14:textId="39078B0D" w:rsidR="00281A21" w:rsidRPr="00B13B9A" w:rsidRDefault="00281A21" w:rsidP="00CA5C8D">
      <w:pPr>
        <w:pStyle w:val="ae"/>
        <w:numPr>
          <w:ilvl w:val="0"/>
          <w:numId w:val="8"/>
        </w:numPr>
        <w:shd w:val="clear" w:color="auto" w:fill="FFFFFF"/>
        <w:tabs>
          <w:tab w:val="left" w:pos="709"/>
        </w:tabs>
        <w:spacing w:before="240" w:beforeAutospacing="0" w:after="240" w:afterAutospacing="0" w:line="276" w:lineRule="auto"/>
        <w:ind w:left="0" w:firstLine="0"/>
        <w:contextualSpacing/>
        <w:jc w:val="both"/>
        <w:rPr>
          <w:rFonts w:asciiTheme="majorHAnsi" w:hAnsiTheme="majorHAnsi" w:cstheme="majorHAnsi"/>
          <w:i/>
          <w:lang w:val="ro-MD"/>
        </w:rPr>
      </w:pPr>
      <w:r w:rsidRPr="00B13B9A">
        <w:rPr>
          <w:rFonts w:asciiTheme="majorHAnsi" w:hAnsiTheme="majorHAnsi" w:cstheme="majorHAnsi"/>
          <w:i/>
          <w:lang w:val="ro-MD"/>
        </w:rPr>
        <w:t xml:space="preserve">Să asigure înregistrarea conformă a patrimoniului transmis în gestiune economică de către fondator </w:t>
      </w:r>
      <w:r w:rsidR="00B13B9A" w:rsidRPr="00B13B9A">
        <w:rPr>
          <w:rFonts w:asciiTheme="majorHAnsi" w:hAnsiTheme="majorHAnsi" w:cstheme="majorHAnsi"/>
          <w:i/>
          <w:lang w:val="ro-MD"/>
        </w:rPr>
        <w:t>ș</w:t>
      </w:r>
      <w:r w:rsidRPr="00B13B9A">
        <w:rPr>
          <w:rFonts w:asciiTheme="majorHAnsi" w:hAnsiTheme="majorHAnsi" w:cstheme="majorHAnsi"/>
          <w:i/>
          <w:lang w:val="ro-MD"/>
        </w:rPr>
        <w:t>i cu titlu de proprietate</w:t>
      </w:r>
      <w:r w:rsidR="00B359BE" w:rsidRPr="00B13B9A">
        <w:rPr>
          <w:rFonts w:asciiTheme="majorHAnsi" w:hAnsiTheme="majorHAnsi" w:cstheme="majorHAnsi"/>
          <w:i/>
          <w:lang w:val="ro-MD"/>
        </w:rPr>
        <w:t>,</w:t>
      </w:r>
      <w:r w:rsidRPr="00B13B9A">
        <w:rPr>
          <w:rFonts w:asciiTheme="majorHAnsi" w:hAnsiTheme="majorHAnsi" w:cstheme="majorHAnsi"/>
          <w:i/>
          <w:lang w:val="ro-MD"/>
        </w:rPr>
        <w:t xml:space="preserve"> cu ajustarea înregistrărilor aferente capitalului propriu</w:t>
      </w:r>
      <w:r w:rsidR="001E5721" w:rsidRPr="00B13B9A">
        <w:rPr>
          <w:rFonts w:asciiTheme="majorHAnsi" w:hAnsiTheme="majorHAnsi" w:cstheme="majorHAnsi"/>
          <w:i/>
          <w:lang w:val="ro-MD"/>
        </w:rPr>
        <w:t xml:space="preserve"> (Observa</w:t>
      </w:r>
      <w:r w:rsidR="00B13B9A" w:rsidRPr="00B13B9A">
        <w:rPr>
          <w:rFonts w:asciiTheme="majorHAnsi" w:hAnsiTheme="majorHAnsi" w:cstheme="majorHAnsi"/>
          <w:i/>
          <w:lang w:val="ro-MD"/>
        </w:rPr>
        <w:t>ț</w:t>
      </w:r>
      <w:r w:rsidR="001E5721" w:rsidRPr="00B13B9A">
        <w:rPr>
          <w:rFonts w:asciiTheme="majorHAnsi" w:hAnsiTheme="majorHAnsi" w:cstheme="majorHAnsi"/>
          <w:i/>
          <w:lang w:val="ro-MD"/>
        </w:rPr>
        <w:t>ia 4.1.</w:t>
      </w:r>
      <w:r w:rsidR="00667F52" w:rsidRPr="00B13B9A">
        <w:rPr>
          <w:rFonts w:asciiTheme="majorHAnsi" w:hAnsiTheme="majorHAnsi" w:cstheme="majorHAnsi"/>
          <w:i/>
          <w:lang w:val="ro-MD"/>
        </w:rPr>
        <w:t>8</w:t>
      </w:r>
      <w:r w:rsidR="001E5721" w:rsidRPr="00B13B9A">
        <w:rPr>
          <w:rFonts w:asciiTheme="majorHAnsi" w:hAnsiTheme="majorHAnsi" w:cstheme="majorHAnsi"/>
          <w:i/>
          <w:lang w:val="ro-MD"/>
        </w:rPr>
        <w:t>)</w:t>
      </w:r>
      <w:r w:rsidRPr="00B13B9A">
        <w:rPr>
          <w:rFonts w:asciiTheme="majorHAnsi" w:hAnsiTheme="majorHAnsi" w:cstheme="majorHAnsi"/>
          <w:i/>
          <w:lang w:val="ro-MD"/>
        </w:rPr>
        <w:t>;</w:t>
      </w:r>
    </w:p>
    <w:p w14:paraId="2EC6215F" w14:textId="214C0C4F" w:rsidR="00D900FA" w:rsidRPr="00B13B9A" w:rsidRDefault="00D900FA" w:rsidP="00CA5C8D">
      <w:pPr>
        <w:pStyle w:val="ae"/>
        <w:numPr>
          <w:ilvl w:val="0"/>
          <w:numId w:val="8"/>
        </w:numPr>
        <w:shd w:val="clear" w:color="auto" w:fill="FFFFFF"/>
        <w:tabs>
          <w:tab w:val="left" w:pos="709"/>
        </w:tabs>
        <w:spacing w:before="0" w:beforeAutospacing="0" w:after="0" w:afterAutospacing="0" w:line="276" w:lineRule="auto"/>
        <w:ind w:left="0" w:firstLine="0"/>
        <w:contextualSpacing/>
        <w:jc w:val="both"/>
        <w:rPr>
          <w:rFonts w:asciiTheme="majorHAnsi" w:hAnsiTheme="majorHAnsi" w:cstheme="majorHAnsi"/>
          <w:i/>
          <w:lang w:val="ro-MD"/>
        </w:rPr>
      </w:pPr>
      <w:r w:rsidRPr="00B13B9A">
        <w:rPr>
          <w:rFonts w:asciiTheme="majorHAnsi" w:hAnsiTheme="majorHAnsi" w:cstheme="majorHAnsi"/>
          <w:i/>
          <w:lang w:val="ro-MD"/>
        </w:rPr>
        <w:t>Să asigure înregistrarea în R</w:t>
      </w:r>
      <w:r w:rsidR="00C5192A" w:rsidRPr="00B13B9A">
        <w:rPr>
          <w:rFonts w:asciiTheme="majorHAnsi" w:hAnsiTheme="majorHAnsi" w:cstheme="majorHAnsi"/>
          <w:i/>
          <w:lang w:val="ro-MD"/>
        </w:rPr>
        <w:t xml:space="preserve">egistrul </w:t>
      </w:r>
      <w:r w:rsidR="00B359BE" w:rsidRPr="00B13B9A">
        <w:rPr>
          <w:rFonts w:asciiTheme="majorHAnsi" w:hAnsiTheme="majorHAnsi" w:cstheme="majorHAnsi"/>
          <w:i/>
          <w:lang w:val="ro-MD"/>
        </w:rPr>
        <w:t>b</w:t>
      </w:r>
      <w:r w:rsidR="00C5192A" w:rsidRPr="00B13B9A">
        <w:rPr>
          <w:rFonts w:asciiTheme="majorHAnsi" w:hAnsiTheme="majorHAnsi" w:cstheme="majorHAnsi"/>
          <w:i/>
          <w:lang w:val="ro-MD"/>
        </w:rPr>
        <w:t xml:space="preserve">unurilor </w:t>
      </w:r>
      <w:r w:rsidR="00B359BE" w:rsidRPr="00B13B9A">
        <w:rPr>
          <w:rFonts w:asciiTheme="majorHAnsi" w:hAnsiTheme="majorHAnsi" w:cstheme="majorHAnsi"/>
          <w:i/>
          <w:lang w:val="ro-MD"/>
        </w:rPr>
        <w:t>i</w:t>
      </w:r>
      <w:r w:rsidR="00C5192A" w:rsidRPr="00B13B9A">
        <w:rPr>
          <w:rFonts w:asciiTheme="majorHAnsi" w:hAnsiTheme="majorHAnsi" w:cstheme="majorHAnsi"/>
          <w:i/>
          <w:lang w:val="ro-MD"/>
        </w:rPr>
        <w:t>mobile</w:t>
      </w:r>
      <w:r w:rsidRPr="00B13B9A">
        <w:rPr>
          <w:rFonts w:asciiTheme="majorHAnsi" w:hAnsiTheme="majorHAnsi" w:cstheme="majorHAnsi"/>
          <w:i/>
          <w:lang w:val="ro-MD"/>
        </w:rPr>
        <w:t xml:space="preserve"> a</w:t>
      </w:r>
      <w:r w:rsidR="00667F52" w:rsidRPr="00B13B9A">
        <w:rPr>
          <w:rFonts w:asciiTheme="majorHAnsi" w:hAnsiTheme="majorHAnsi" w:cstheme="majorHAnsi"/>
          <w:i/>
          <w:lang w:val="ro-MD"/>
        </w:rPr>
        <w:t xml:space="preserve"> bunurilor de</w:t>
      </w:r>
      <w:r w:rsidR="00B13B9A" w:rsidRPr="00B13B9A">
        <w:rPr>
          <w:rFonts w:asciiTheme="majorHAnsi" w:hAnsiTheme="majorHAnsi" w:cstheme="majorHAnsi"/>
          <w:i/>
          <w:lang w:val="ro-MD"/>
        </w:rPr>
        <w:t>ț</w:t>
      </w:r>
      <w:r w:rsidR="00667F52" w:rsidRPr="00B13B9A">
        <w:rPr>
          <w:rFonts w:asciiTheme="majorHAnsi" w:hAnsiTheme="majorHAnsi" w:cstheme="majorHAnsi"/>
          <w:i/>
          <w:lang w:val="ro-MD"/>
        </w:rPr>
        <w:t>inute</w:t>
      </w:r>
      <w:r w:rsidR="00110E89" w:rsidRPr="00B13B9A">
        <w:rPr>
          <w:rFonts w:asciiTheme="majorHAnsi" w:hAnsiTheme="majorHAnsi" w:cstheme="majorHAnsi"/>
          <w:i/>
          <w:lang w:val="ro-MD"/>
        </w:rPr>
        <w:t xml:space="preserve"> </w:t>
      </w:r>
      <w:r w:rsidR="00667F52" w:rsidRPr="00B13B9A">
        <w:rPr>
          <w:rFonts w:asciiTheme="majorHAnsi" w:hAnsiTheme="majorHAnsi" w:cstheme="majorHAnsi"/>
          <w:i/>
          <w:lang w:val="ro-MD"/>
        </w:rPr>
        <w:t>(Observa</w:t>
      </w:r>
      <w:r w:rsidR="00B13B9A" w:rsidRPr="00B13B9A">
        <w:rPr>
          <w:rFonts w:asciiTheme="majorHAnsi" w:hAnsiTheme="majorHAnsi" w:cstheme="majorHAnsi"/>
          <w:i/>
          <w:lang w:val="ro-MD"/>
        </w:rPr>
        <w:t>ț</w:t>
      </w:r>
      <w:r w:rsidR="00667F52" w:rsidRPr="00B13B9A">
        <w:rPr>
          <w:rFonts w:asciiTheme="majorHAnsi" w:hAnsiTheme="majorHAnsi" w:cstheme="majorHAnsi"/>
          <w:i/>
          <w:lang w:val="ro-MD"/>
        </w:rPr>
        <w:t>ia 4.1.1, 4.1.3)</w:t>
      </w:r>
      <w:r w:rsidR="00B359BE" w:rsidRPr="00B13B9A">
        <w:rPr>
          <w:rFonts w:asciiTheme="majorHAnsi" w:hAnsiTheme="majorHAnsi" w:cstheme="majorHAnsi"/>
          <w:i/>
          <w:lang w:val="ro-MD"/>
        </w:rPr>
        <w:t>;</w:t>
      </w:r>
    </w:p>
    <w:p w14:paraId="01FAFAB4" w14:textId="6D850379" w:rsidR="00D96F8A" w:rsidRPr="00B13B9A" w:rsidRDefault="00D96F8A" w:rsidP="00CA5C8D">
      <w:pPr>
        <w:pStyle w:val="ae"/>
        <w:numPr>
          <w:ilvl w:val="0"/>
          <w:numId w:val="8"/>
        </w:numPr>
        <w:shd w:val="clear" w:color="auto" w:fill="FFFFFF"/>
        <w:tabs>
          <w:tab w:val="left" w:pos="709"/>
        </w:tabs>
        <w:spacing w:before="0" w:beforeAutospacing="0" w:after="0" w:afterAutospacing="0" w:line="276" w:lineRule="auto"/>
        <w:ind w:left="0" w:firstLine="0"/>
        <w:contextualSpacing/>
        <w:jc w:val="both"/>
        <w:rPr>
          <w:rFonts w:asciiTheme="majorHAnsi" w:hAnsiTheme="majorHAnsi" w:cstheme="majorHAnsi"/>
          <w:i/>
          <w:lang w:val="ro-MD"/>
        </w:rPr>
      </w:pPr>
      <w:r w:rsidRPr="00B13B9A">
        <w:rPr>
          <w:rFonts w:asciiTheme="majorHAnsi" w:hAnsiTheme="majorHAnsi" w:cstheme="majorHAnsi"/>
          <w:i/>
          <w:lang w:val="ro-MD"/>
        </w:rPr>
        <w:t xml:space="preserve">Să </w:t>
      </w:r>
      <w:r w:rsidR="000C7DCA" w:rsidRPr="00B13B9A">
        <w:rPr>
          <w:rFonts w:asciiTheme="majorHAnsi" w:hAnsiTheme="majorHAnsi" w:cstheme="majorHAnsi"/>
          <w:i/>
          <w:color w:val="000000" w:themeColor="text1"/>
          <w:lang w:val="ro-MD"/>
        </w:rPr>
        <w:t>examineze modul de optimizare a cheltuielilor în cadrul clinicii V</w:t>
      </w:r>
      <w:r w:rsidR="00281A21" w:rsidRPr="00B13B9A">
        <w:rPr>
          <w:rFonts w:asciiTheme="majorHAnsi" w:hAnsiTheme="majorHAnsi" w:cstheme="majorHAnsi"/>
          <w:i/>
          <w:color w:val="000000" w:themeColor="text1"/>
          <w:lang w:val="ro-MD"/>
        </w:rPr>
        <w:t>orniceni</w:t>
      </w:r>
      <w:r w:rsidR="00F3121B" w:rsidRPr="00B13B9A">
        <w:rPr>
          <w:rFonts w:asciiTheme="majorHAnsi" w:hAnsiTheme="majorHAnsi" w:cstheme="majorHAnsi"/>
          <w:i/>
          <w:color w:val="000000" w:themeColor="text1"/>
          <w:lang w:val="ro-MD"/>
        </w:rPr>
        <w:t>,</w:t>
      </w:r>
      <w:r w:rsidR="000C7DCA" w:rsidRPr="00B13B9A">
        <w:rPr>
          <w:rFonts w:asciiTheme="majorHAnsi" w:hAnsiTheme="majorHAnsi" w:cstheme="majorHAnsi"/>
          <w:i/>
          <w:color w:val="000000" w:themeColor="text1"/>
          <w:lang w:val="ro-MD"/>
        </w:rPr>
        <w:t xml:space="preserve"> </w:t>
      </w:r>
      <w:r w:rsidR="00281A21" w:rsidRPr="00B13B9A">
        <w:rPr>
          <w:rFonts w:asciiTheme="majorHAnsi" w:hAnsiTheme="majorHAnsi" w:cstheme="majorHAnsi"/>
          <w:i/>
          <w:color w:val="000000" w:themeColor="text1"/>
          <w:lang w:val="ro-MD"/>
        </w:rPr>
        <w:t>cu</w:t>
      </w:r>
      <w:r w:rsidR="000C7DCA" w:rsidRPr="00B13B9A">
        <w:rPr>
          <w:rFonts w:asciiTheme="majorHAnsi" w:hAnsiTheme="majorHAnsi" w:cstheme="majorHAnsi"/>
          <w:i/>
          <w:color w:val="000000" w:themeColor="text1"/>
          <w:lang w:val="ro-MD"/>
        </w:rPr>
        <w:t xml:space="preserve"> identific</w:t>
      </w:r>
      <w:r w:rsidR="00B359BE" w:rsidRPr="00B13B9A">
        <w:rPr>
          <w:rFonts w:asciiTheme="majorHAnsi" w:hAnsiTheme="majorHAnsi" w:cstheme="majorHAnsi"/>
          <w:i/>
          <w:color w:val="000000" w:themeColor="text1"/>
          <w:lang w:val="ro-MD"/>
        </w:rPr>
        <w:t>ar</w:t>
      </w:r>
      <w:r w:rsidR="000C7DCA" w:rsidRPr="00B13B9A">
        <w:rPr>
          <w:rFonts w:asciiTheme="majorHAnsi" w:hAnsiTheme="majorHAnsi" w:cstheme="majorHAnsi"/>
          <w:i/>
          <w:color w:val="000000" w:themeColor="text1"/>
          <w:lang w:val="ro-MD"/>
        </w:rPr>
        <w:t>e</w:t>
      </w:r>
      <w:r w:rsidR="00B359BE" w:rsidRPr="00B13B9A">
        <w:rPr>
          <w:rFonts w:asciiTheme="majorHAnsi" w:hAnsiTheme="majorHAnsi" w:cstheme="majorHAnsi"/>
          <w:i/>
          <w:color w:val="000000" w:themeColor="text1"/>
          <w:lang w:val="ro-MD"/>
        </w:rPr>
        <w:t>a</w:t>
      </w:r>
      <w:r w:rsidR="000C7DCA" w:rsidRPr="00B13B9A">
        <w:rPr>
          <w:rFonts w:asciiTheme="majorHAnsi" w:hAnsiTheme="majorHAnsi" w:cstheme="majorHAnsi"/>
          <w:i/>
          <w:color w:val="000000" w:themeColor="text1"/>
          <w:lang w:val="ro-MD"/>
        </w:rPr>
        <w:t xml:space="preserve"> </w:t>
      </w:r>
      <w:r w:rsidR="00B359BE" w:rsidRPr="00B13B9A">
        <w:rPr>
          <w:rFonts w:asciiTheme="majorHAnsi" w:hAnsiTheme="majorHAnsi" w:cstheme="majorHAnsi"/>
          <w:i/>
          <w:color w:val="000000" w:themeColor="text1"/>
          <w:lang w:val="ro-MD"/>
        </w:rPr>
        <w:t xml:space="preserve"> </w:t>
      </w:r>
      <w:r w:rsidR="000C7DCA" w:rsidRPr="00B13B9A">
        <w:rPr>
          <w:rFonts w:asciiTheme="majorHAnsi" w:hAnsiTheme="majorHAnsi" w:cstheme="majorHAnsi"/>
          <w:i/>
          <w:color w:val="000000" w:themeColor="text1"/>
          <w:lang w:val="ro-MD"/>
        </w:rPr>
        <w:t>solu</w:t>
      </w:r>
      <w:r w:rsidR="00B13B9A" w:rsidRPr="00B13B9A">
        <w:rPr>
          <w:rFonts w:asciiTheme="majorHAnsi" w:hAnsiTheme="majorHAnsi" w:cstheme="majorHAnsi"/>
          <w:i/>
          <w:color w:val="000000" w:themeColor="text1"/>
          <w:lang w:val="ro-MD"/>
        </w:rPr>
        <w:t>ț</w:t>
      </w:r>
      <w:r w:rsidR="000C7DCA" w:rsidRPr="00B13B9A">
        <w:rPr>
          <w:rFonts w:asciiTheme="majorHAnsi" w:hAnsiTheme="majorHAnsi" w:cstheme="majorHAnsi"/>
          <w:i/>
          <w:color w:val="000000" w:themeColor="text1"/>
          <w:lang w:val="ro-MD"/>
        </w:rPr>
        <w:t>ii</w:t>
      </w:r>
      <w:r w:rsidR="00B359BE" w:rsidRPr="00B13B9A">
        <w:rPr>
          <w:rFonts w:asciiTheme="majorHAnsi" w:hAnsiTheme="majorHAnsi" w:cstheme="majorHAnsi"/>
          <w:i/>
          <w:color w:val="000000" w:themeColor="text1"/>
          <w:lang w:val="ro-MD"/>
        </w:rPr>
        <w:t>lor</w:t>
      </w:r>
      <w:r w:rsidR="000C7DCA" w:rsidRPr="00B13B9A">
        <w:rPr>
          <w:rFonts w:asciiTheme="majorHAnsi" w:hAnsiTheme="majorHAnsi" w:cstheme="majorHAnsi"/>
          <w:i/>
          <w:color w:val="000000" w:themeColor="text1"/>
          <w:lang w:val="ro-MD"/>
        </w:rPr>
        <w:t xml:space="preserve"> oportune</w:t>
      </w:r>
      <w:r w:rsidR="00B359BE" w:rsidRPr="00B13B9A">
        <w:rPr>
          <w:rFonts w:asciiTheme="majorHAnsi" w:hAnsiTheme="majorHAnsi" w:cstheme="majorHAnsi"/>
          <w:i/>
          <w:color w:val="000000" w:themeColor="text1"/>
          <w:lang w:val="ro-MD"/>
        </w:rPr>
        <w:t>,</w:t>
      </w:r>
      <w:r w:rsidR="000C7DCA" w:rsidRPr="00B13B9A">
        <w:rPr>
          <w:rFonts w:asciiTheme="majorHAnsi" w:hAnsiTheme="majorHAnsi" w:cstheme="majorHAnsi"/>
          <w:i/>
          <w:color w:val="000000" w:themeColor="text1"/>
          <w:lang w:val="ro-MD"/>
        </w:rPr>
        <w:t xml:space="preserve"> </w:t>
      </w:r>
      <w:r w:rsidR="00281A21" w:rsidRPr="00B13B9A">
        <w:rPr>
          <w:rFonts w:asciiTheme="majorHAnsi" w:hAnsiTheme="majorHAnsi" w:cstheme="majorHAnsi"/>
          <w:i/>
          <w:color w:val="000000" w:themeColor="text1"/>
          <w:lang w:val="ro-MD"/>
        </w:rPr>
        <w:t>inclusiv de reprofilare a acesteia</w:t>
      </w:r>
      <w:r w:rsidR="00C64395" w:rsidRPr="00B13B9A">
        <w:rPr>
          <w:rFonts w:asciiTheme="majorHAnsi" w:hAnsiTheme="majorHAnsi" w:cstheme="majorHAnsi"/>
          <w:i/>
          <w:color w:val="000000" w:themeColor="text1"/>
          <w:lang w:val="ro-MD"/>
        </w:rPr>
        <w:t xml:space="preserve"> </w:t>
      </w:r>
      <w:r w:rsidR="00C64395" w:rsidRPr="00B13B9A">
        <w:rPr>
          <w:rFonts w:asciiTheme="majorHAnsi" w:hAnsiTheme="majorHAnsi" w:cstheme="majorHAnsi"/>
          <w:i/>
          <w:lang w:val="ro-MD"/>
        </w:rPr>
        <w:t>(Observa</w:t>
      </w:r>
      <w:r w:rsidR="00B13B9A" w:rsidRPr="00B13B9A">
        <w:rPr>
          <w:rFonts w:asciiTheme="majorHAnsi" w:hAnsiTheme="majorHAnsi" w:cstheme="majorHAnsi"/>
          <w:i/>
          <w:lang w:val="ro-MD"/>
        </w:rPr>
        <w:t>ț</w:t>
      </w:r>
      <w:r w:rsidR="00C64395" w:rsidRPr="00B13B9A">
        <w:rPr>
          <w:rFonts w:asciiTheme="majorHAnsi" w:hAnsiTheme="majorHAnsi" w:cstheme="majorHAnsi"/>
          <w:i/>
          <w:lang w:val="ro-MD"/>
        </w:rPr>
        <w:t>ia 4.1.6, 4.1.7)</w:t>
      </w:r>
      <w:r w:rsidR="00281A21" w:rsidRPr="00B13B9A">
        <w:rPr>
          <w:rFonts w:asciiTheme="majorHAnsi" w:hAnsiTheme="majorHAnsi" w:cstheme="majorHAnsi"/>
          <w:i/>
          <w:color w:val="000000" w:themeColor="text1"/>
          <w:lang w:val="ro-MD"/>
        </w:rPr>
        <w:t>.</w:t>
      </w:r>
    </w:p>
    <w:p w14:paraId="14707FEB" w14:textId="4D28A930" w:rsidR="00A44F95" w:rsidRPr="00B13B9A" w:rsidRDefault="00D900FA" w:rsidP="00CA5C8D">
      <w:pPr>
        <w:pStyle w:val="ae"/>
        <w:shd w:val="clear" w:color="auto" w:fill="FFFFFF"/>
        <w:tabs>
          <w:tab w:val="left" w:pos="709"/>
        </w:tabs>
        <w:spacing w:before="0" w:beforeAutospacing="0" w:after="0" w:afterAutospacing="0" w:line="276" w:lineRule="auto"/>
        <w:jc w:val="both"/>
        <w:rPr>
          <w:rFonts w:asciiTheme="majorHAnsi" w:hAnsiTheme="majorHAnsi" w:cstheme="majorHAnsi"/>
          <w:b/>
          <w:lang w:val="ro-MD"/>
        </w:rPr>
      </w:pPr>
      <w:r w:rsidRPr="00B13B9A">
        <w:rPr>
          <w:rFonts w:asciiTheme="majorHAnsi" w:hAnsiTheme="majorHAnsi" w:cstheme="majorHAnsi"/>
          <w:b/>
          <w:lang w:val="ro-MD"/>
        </w:rPr>
        <w:t>Conducerii A</w:t>
      </w:r>
      <w:r w:rsidR="00B359BE" w:rsidRPr="00B13B9A">
        <w:rPr>
          <w:rFonts w:asciiTheme="majorHAnsi" w:hAnsiTheme="majorHAnsi" w:cstheme="majorHAnsi"/>
          <w:b/>
          <w:lang w:val="ro-MD"/>
        </w:rPr>
        <w:t>gen</w:t>
      </w:r>
      <w:r w:rsidR="00B13B9A" w:rsidRPr="00B13B9A">
        <w:rPr>
          <w:rFonts w:asciiTheme="majorHAnsi" w:hAnsiTheme="majorHAnsi" w:cstheme="majorHAnsi"/>
          <w:b/>
          <w:lang w:val="ro-MD"/>
        </w:rPr>
        <w:t>ț</w:t>
      </w:r>
      <w:r w:rsidR="00B359BE" w:rsidRPr="00B13B9A">
        <w:rPr>
          <w:rFonts w:asciiTheme="majorHAnsi" w:hAnsiTheme="majorHAnsi" w:cstheme="majorHAnsi"/>
          <w:b/>
          <w:lang w:val="ro-MD"/>
        </w:rPr>
        <w:t xml:space="preserve">iei </w:t>
      </w:r>
      <w:r w:rsidRPr="00B13B9A">
        <w:rPr>
          <w:rFonts w:asciiTheme="majorHAnsi" w:hAnsiTheme="majorHAnsi" w:cstheme="majorHAnsi"/>
          <w:b/>
          <w:lang w:val="ro-MD"/>
        </w:rPr>
        <w:t>P</w:t>
      </w:r>
      <w:r w:rsidR="00B359BE" w:rsidRPr="00B13B9A">
        <w:rPr>
          <w:rFonts w:asciiTheme="majorHAnsi" w:hAnsiTheme="majorHAnsi" w:cstheme="majorHAnsi"/>
          <w:b/>
          <w:lang w:val="ro-MD"/>
        </w:rPr>
        <w:t>roprietă</w:t>
      </w:r>
      <w:r w:rsidR="00B13B9A" w:rsidRPr="00B13B9A">
        <w:rPr>
          <w:rFonts w:asciiTheme="majorHAnsi" w:hAnsiTheme="majorHAnsi" w:cstheme="majorHAnsi"/>
          <w:b/>
          <w:lang w:val="ro-MD"/>
        </w:rPr>
        <w:t>ț</w:t>
      </w:r>
      <w:r w:rsidR="00B359BE" w:rsidRPr="00B13B9A">
        <w:rPr>
          <w:rFonts w:asciiTheme="majorHAnsi" w:hAnsiTheme="majorHAnsi" w:cstheme="majorHAnsi"/>
          <w:b/>
          <w:lang w:val="ro-MD"/>
        </w:rPr>
        <w:t xml:space="preserve">ii </w:t>
      </w:r>
      <w:r w:rsidRPr="00B13B9A">
        <w:rPr>
          <w:rFonts w:asciiTheme="majorHAnsi" w:hAnsiTheme="majorHAnsi" w:cstheme="majorHAnsi"/>
          <w:b/>
          <w:lang w:val="ro-MD"/>
        </w:rPr>
        <w:t>P</w:t>
      </w:r>
      <w:r w:rsidR="00B359BE" w:rsidRPr="00B13B9A">
        <w:rPr>
          <w:rFonts w:asciiTheme="majorHAnsi" w:hAnsiTheme="majorHAnsi" w:cstheme="majorHAnsi"/>
          <w:b/>
          <w:lang w:val="ro-MD"/>
        </w:rPr>
        <w:t>ublice</w:t>
      </w:r>
      <w:r w:rsidRPr="00B13B9A">
        <w:rPr>
          <w:rFonts w:asciiTheme="majorHAnsi" w:hAnsiTheme="majorHAnsi" w:cstheme="majorHAnsi"/>
          <w:b/>
          <w:lang w:val="ro-MD"/>
        </w:rPr>
        <w:t>:</w:t>
      </w:r>
    </w:p>
    <w:p w14:paraId="3AE81A83" w14:textId="1EF7AE38" w:rsidR="00D900FA" w:rsidRPr="00B13B9A" w:rsidRDefault="00D900FA" w:rsidP="00CA5C8D">
      <w:pPr>
        <w:pStyle w:val="ae"/>
        <w:numPr>
          <w:ilvl w:val="0"/>
          <w:numId w:val="8"/>
        </w:numPr>
        <w:shd w:val="clear" w:color="auto" w:fill="FFFFFF"/>
        <w:tabs>
          <w:tab w:val="left" w:pos="709"/>
        </w:tabs>
        <w:spacing w:before="0" w:beforeAutospacing="0" w:after="0" w:afterAutospacing="0" w:line="276" w:lineRule="auto"/>
        <w:ind w:left="0" w:firstLine="0"/>
        <w:jc w:val="both"/>
        <w:rPr>
          <w:rFonts w:asciiTheme="majorHAnsi" w:hAnsiTheme="majorHAnsi" w:cstheme="majorHAnsi"/>
          <w:i/>
          <w:lang w:val="ro-MD"/>
        </w:rPr>
      </w:pPr>
      <w:r w:rsidRPr="00B13B9A">
        <w:rPr>
          <w:rFonts w:asciiTheme="majorHAnsi" w:hAnsiTheme="majorHAnsi" w:cstheme="majorHAnsi"/>
          <w:i/>
          <w:lang w:val="ro-MD"/>
        </w:rPr>
        <w:t>Să as</w:t>
      </w:r>
      <w:r w:rsidR="00602AC1" w:rsidRPr="00B13B9A">
        <w:rPr>
          <w:rFonts w:asciiTheme="majorHAnsi" w:hAnsiTheme="majorHAnsi" w:cstheme="majorHAnsi"/>
          <w:i/>
          <w:lang w:val="ro-MD"/>
        </w:rPr>
        <w:t xml:space="preserve">igure </w:t>
      </w:r>
      <w:r w:rsidRPr="00B13B9A">
        <w:rPr>
          <w:rFonts w:asciiTheme="majorHAnsi" w:hAnsiTheme="majorHAnsi" w:cstheme="majorHAnsi"/>
          <w:i/>
          <w:lang w:val="ro-MD"/>
        </w:rPr>
        <w:t>finalizar</w:t>
      </w:r>
      <w:r w:rsidR="00FB17F5" w:rsidRPr="00B13B9A">
        <w:rPr>
          <w:rFonts w:asciiTheme="majorHAnsi" w:hAnsiTheme="majorHAnsi" w:cstheme="majorHAnsi"/>
          <w:i/>
          <w:lang w:val="ro-MD"/>
        </w:rPr>
        <w:t>ea procedurii de transmitere</w:t>
      </w:r>
      <w:r w:rsidR="000C7DCA" w:rsidRPr="00B13B9A">
        <w:rPr>
          <w:rFonts w:asciiTheme="majorHAnsi" w:hAnsiTheme="majorHAnsi" w:cstheme="majorHAnsi"/>
          <w:i/>
          <w:lang w:val="ro-MD"/>
        </w:rPr>
        <w:t xml:space="preserve"> a terenurilor</w:t>
      </w:r>
      <w:r w:rsidR="00FB17F5" w:rsidRPr="00B13B9A">
        <w:rPr>
          <w:rFonts w:asciiTheme="majorHAnsi" w:hAnsiTheme="majorHAnsi" w:cstheme="majorHAnsi"/>
          <w:i/>
          <w:lang w:val="ro-MD"/>
        </w:rPr>
        <w:t xml:space="preserve"> </w:t>
      </w:r>
      <w:r w:rsidRPr="00B13B9A">
        <w:rPr>
          <w:rFonts w:asciiTheme="majorHAnsi" w:hAnsiTheme="majorHAnsi" w:cstheme="majorHAnsi"/>
          <w:i/>
          <w:lang w:val="ro-MD"/>
        </w:rPr>
        <w:t xml:space="preserve">către </w:t>
      </w:r>
      <w:r w:rsidR="007350FF" w:rsidRPr="00B13B9A">
        <w:rPr>
          <w:rFonts w:asciiTheme="majorHAnsi" w:hAnsiTheme="majorHAnsi" w:cstheme="majorHAnsi"/>
          <w:i/>
          <w:lang w:val="ro-MD"/>
        </w:rPr>
        <w:t>IMSP</w:t>
      </w:r>
      <w:r w:rsidR="00F3121B" w:rsidRPr="00B13B9A">
        <w:rPr>
          <w:rFonts w:asciiTheme="majorHAnsi" w:hAnsiTheme="majorHAnsi" w:cstheme="majorHAnsi"/>
          <w:i/>
          <w:lang w:val="ro-MD"/>
        </w:rPr>
        <w:t>,</w:t>
      </w:r>
      <w:r w:rsidRPr="00B13B9A">
        <w:rPr>
          <w:rFonts w:asciiTheme="majorHAnsi" w:hAnsiTheme="majorHAnsi" w:cstheme="majorHAnsi"/>
          <w:i/>
          <w:lang w:val="ro-MD"/>
        </w:rPr>
        <w:t xml:space="preserve"> cu s</w:t>
      </w:r>
      <w:r w:rsidR="00553C24" w:rsidRPr="00B13B9A">
        <w:rPr>
          <w:rFonts w:asciiTheme="majorHAnsi" w:hAnsiTheme="majorHAnsi" w:cstheme="majorHAnsi"/>
          <w:i/>
          <w:lang w:val="ro-MD"/>
        </w:rPr>
        <w:t>emnarea contractelor de comodat</w:t>
      </w:r>
      <w:r w:rsidR="000C7DCA" w:rsidRPr="00B13B9A">
        <w:rPr>
          <w:rFonts w:asciiTheme="majorHAnsi" w:hAnsiTheme="majorHAnsi" w:cstheme="majorHAnsi"/>
          <w:i/>
          <w:lang w:val="ro-MD"/>
        </w:rPr>
        <w:t xml:space="preserve">, precum </w:t>
      </w:r>
      <w:r w:rsidR="00B13B9A" w:rsidRPr="00B13B9A">
        <w:rPr>
          <w:rFonts w:asciiTheme="majorHAnsi" w:hAnsiTheme="majorHAnsi" w:cstheme="majorHAnsi"/>
          <w:i/>
          <w:lang w:val="ro-MD"/>
        </w:rPr>
        <w:t>ș</w:t>
      </w:r>
      <w:r w:rsidR="000C7DCA" w:rsidRPr="00B13B9A">
        <w:rPr>
          <w:rFonts w:asciiTheme="majorHAnsi" w:hAnsiTheme="majorHAnsi" w:cstheme="majorHAnsi"/>
          <w:i/>
          <w:lang w:val="ro-MD"/>
        </w:rPr>
        <w:t>i să asigure actualiza</w:t>
      </w:r>
      <w:r w:rsidR="00C64395" w:rsidRPr="00B13B9A">
        <w:rPr>
          <w:rFonts w:asciiTheme="majorHAnsi" w:hAnsiTheme="majorHAnsi" w:cstheme="majorHAnsi"/>
          <w:i/>
          <w:lang w:val="ro-MD"/>
        </w:rPr>
        <w:t xml:space="preserve">rea valorii </w:t>
      </w:r>
      <w:r w:rsidR="00F70F89" w:rsidRPr="00B13B9A">
        <w:rPr>
          <w:rFonts w:asciiTheme="majorHAnsi" w:hAnsiTheme="majorHAnsi" w:cstheme="majorHAnsi"/>
          <w:i/>
          <w:lang w:val="ro-MD"/>
        </w:rPr>
        <w:t>terenuri</w:t>
      </w:r>
      <w:r w:rsidR="00C64395" w:rsidRPr="00B13B9A">
        <w:rPr>
          <w:rFonts w:asciiTheme="majorHAnsi" w:hAnsiTheme="majorHAnsi" w:cstheme="majorHAnsi"/>
          <w:i/>
          <w:lang w:val="ro-MD"/>
        </w:rPr>
        <w:t>lor (Observa</w:t>
      </w:r>
      <w:r w:rsidR="00B13B9A" w:rsidRPr="00B13B9A">
        <w:rPr>
          <w:rFonts w:asciiTheme="majorHAnsi" w:hAnsiTheme="majorHAnsi" w:cstheme="majorHAnsi"/>
          <w:i/>
          <w:lang w:val="ro-MD"/>
        </w:rPr>
        <w:t>ț</w:t>
      </w:r>
      <w:r w:rsidR="00C64395" w:rsidRPr="00B13B9A">
        <w:rPr>
          <w:rFonts w:asciiTheme="majorHAnsi" w:hAnsiTheme="majorHAnsi" w:cstheme="majorHAnsi"/>
          <w:i/>
          <w:lang w:val="ro-MD"/>
        </w:rPr>
        <w:t>ia 4.1.4)</w:t>
      </w:r>
      <w:r w:rsidR="00F3121B" w:rsidRPr="00B13B9A">
        <w:rPr>
          <w:rFonts w:asciiTheme="majorHAnsi" w:hAnsiTheme="majorHAnsi" w:cstheme="majorHAnsi"/>
          <w:i/>
          <w:lang w:val="ro-MD"/>
        </w:rPr>
        <w:t>.</w:t>
      </w:r>
    </w:p>
    <w:p w14:paraId="754DF0A6" w14:textId="14A57B01" w:rsidR="00A44F95" w:rsidRPr="00B13B9A" w:rsidRDefault="00A44F95" w:rsidP="00CA5C8D">
      <w:pPr>
        <w:pStyle w:val="ae"/>
        <w:shd w:val="clear" w:color="auto" w:fill="FFFFFF"/>
        <w:tabs>
          <w:tab w:val="left" w:pos="709"/>
        </w:tabs>
        <w:spacing w:before="0" w:beforeAutospacing="0" w:after="0" w:afterAutospacing="0" w:line="276" w:lineRule="auto"/>
        <w:jc w:val="both"/>
        <w:rPr>
          <w:rFonts w:asciiTheme="majorHAnsi" w:hAnsiTheme="majorHAnsi" w:cstheme="majorHAnsi"/>
          <w:b/>
          <w:lang w:val="ro-MD"/>
        </w:rPr>
      </w:pPr>
      <w:r w:rsidRPr="00B13B9A">
        <w:rPr>
          <w:rFonts w:asciiTheme="majorHAnsi" w:hAnsiTheme="majorHAnsi" w:cstheme="majorHAnsi"/>
          <w:b/>
          <w:lang w:val="ro-MD"/>
        </w:rPr>
        <w:t>Conducerii Ministerului Finan</w:t>
      </w:r>
      <w:r w:rsidR="00B13B9A" w:rsidRPr="00B13B9A">
        <w:rPr>
          <w:rFonts w:asciiTheme="majorHAnsi" w:hAnsiTheme="majorHAnsi" w:cstheme="majorHAnsi"/>
          <w:b/>
          <w:lang w:val="ro-MD"/>
        </w:rPr>
        <w:t>ț</w:t>
      </w:r>
      <w:r w:rsidRPr="00B13B9A">
        <w:rPr>
          <w:rFonts w:asciiTheme="majorHAnsi" w:hAnsiTheme="majorHAnsi" w:cstheme="majorHAnsi"/>
          <w:b/>
          <w:lang w:val="ro-MD"/>
        </w:rPr>
        <w:t>elor:</w:t>
      </w:r>
    </w:p>
    <w:p w14:paraId="4A160112" w14:textId="7C9C9F5A" w:rsidR="001E775F" w:rsidRPr="00B13B9A" w:rsidRDefault="001E775F" w:rsidP="00CA5C8D">
      <w:pPr>
        <w:pStyle w:val="ae"/>
        <w:numPr>
          <w:ilvl w:val="0"/>
          <w:numId w:val="8"/>
        </w:numPr>
        <w:shd w:val="clear" w:color="auto" w:fill="FFFFFF"/>
        <w:tabs>
          <w:tab w:val="left" w:pos="709"/>
        </w:tabs>
        <w:spacing w:before="0" w:beforeAutospacing="0" w:after="0" w:afterAutospacing="0" w:line="276" w:lineRule="auto"/>
        <w:ind w:left="0" w:firstLine="0"/>
        <w:contextualSpacing/>
        <w:jc w:val="both"/>
        <w:rPr>
          <w:rFonts w:asciiTheme="majorHAnsi" w:hAnsiTheme="majorHAnsi" w:cstheme="majorHAnsi"/>
          <w:i/>
          <w:lang w:val="ro-MD"/>
        </w:rPr>
      </w:pPr>
      <w:r w:rsidRPr="00B13B9A">
        <w:rPr>
          <w:rFonts w:asciiTheme="majorHAnsi" w:hAnsiTheme="majorHAnsi" w:cstheme="majorHAnsi"/>
          <w:i/>
          <w:lang w:val="ro-MD"/>
        </w:rPr>
        <w:t xml:space="preserve">Să elaboreze îndrumări metodologice privind modul de ajustare de către IMSP a elementelor de capital propriu </w:t>
      </w:r>
      <w:r w:rsidR="00B13B9A" w:rsidRPr="00B13B9A">
        <w:rPr>
          <w:rFonts w:asciiTheme="majorHAnsi" w:hAnsiTheme="majorHAnsi" w:cstheme="majorHAnsi"/>
          <w:i/>
          <w:lang w:val="ro-MD"/>
        </w:rPr>
        <w:t>ș</w:t>
      </w:r>
      <w:r w:rsidRPr="00B13B9A">
        <w:rPr>
          <w:rFonts w:asciiTheme="majorHAnsi" w:hAnsiTheme="majorHAnsi" w:cstheme="majorHAnsi"/>
          <w:i/>
          <w:lang w:val="ro-MD"/>
        </w:rPr>
        <w:t>i datorii</w:t>
      </w:r>
      <w:r w:rsidR="00F70F89" w:rsidRPr="00B13B9A">
        <w:rPr>
          <w:rFonts w:asciiTheme="majorHAnsi" w:hAnsiTheme="majorHAnsi" w:cstheme="majorHAnsi"/>
          <w:i/>
          <w:lang w:val="ro-MD"/>
        </w:rPr>
        <w:t>,</w:t>
      </w:r>
      <w:r w:rsidRPr="00B13B9A">
        <w:rPr>
          <w:rFonts w:asciiTheme="majorHAnsi" w:hAnsiTheme="majorHAnsi" w:cstheme="majorHAnsi"/>
          <w:i/>
          <w:lang w:val="ro-MD"/>
        </w:rPr>
        <w:t xml:space="preserve"> în scopul reflectării corecte a datoriilor aferente patrimoniului primit în gestiune economică, precum </w:t>
      </w:r>
      <w:r w:rsidR="00B13B9A" w:rsidRPr="00B13B9A">
        <w:rPr>
          <w:rFonts w:asciiTheme="majorHAnsi" w:hAnsiTheme="majorHAnsi" w:cstheme="majorHAnsi"/>
          <w:i/>
          <w:lang w:val="ro-MD"/>
        </w:rPr>
        <w:t>ș</w:t>
      </w:r>
      <w:r w:rsidRPr="00B13B9A">
        <w:rPr>
          <w:rFonts w:asciiTheme="majorHAnsi" w:hAnsiTheme="majorHAnsi" w:cstheme="majorHAnsi"/>
          <w:i/>
          <w:lang w:val="ro-MD"/>
        </w:rPr>
        <w:t>i a patrimoniului primit de la stat cu drept de proprietate</w:t>
      </w:r>
      <w:r w:rsidR="00BA22DB" w:rsidRPr="00B13B9A">
        <w:rPr>
          <w:rFonts w:asciiTheme="majorHAnsi" w:hAnsiTheme="majorHAnsi" w:cstheme="majorHAnsi"/>
          <w:i/>
          <w:lang w:val="ro-MD"/>
        </w:rPr>
        <w:t xml:space="preserve"> (Observa</w:t>
      </w:r>
      <w:r w:rsidR="00B13B9A" w:rsidRPr="00B13B9A">
        <w:rPr>
          <w:rFonts w:asciiTheme="majorHAnsi" w:hAnsiTheme="majorHAnsi" w:cstheme="majorHAnsi"/>
          <w:i/>
          <w:lang w:val="ro-MD"/>
        </w:rPr>
        <w:t>ț</w:t>
      </w:r>
      <w:r w:rsidR="00BA22DB" w:rsidRPr="00B13B9A">
        <w:rPr>
          <w:rFonts w:asciiTheme="majorHAnsi" w:hAnsiTheme="majorHAnsi" w:cstheme="majorHAnsi"/>
          <w:i/>
          <w:lang w:val="ro-MD"/>
        </w:rPr>
        <w:t>ia 4.</w:t>
      </w:r>
      <w:r w:rsidR="00082422" w:rsidRPr="00B13B9A">
        <w:rPr>
          <w:rFonts w:asciiTheme="majorHAnsi" w:hAnsiTheme="majorHAnsi" w:cstheme="majorHAnsi"/>
          <w:i/>
          <w:lang w:val="ro-MD"/>
        </w:rPr>
        <w:t>1.8</w:t>
      </w:r>
      <w:r w:rsidR="00BA22DB" w:rsidRPr="00B13B9A">
        <w:rPr>
          <w:rFonts w:asciiTheme="majorHAnsi" w:hAnsiTheme="majorHAnsi" w:cstheme="majorHAnsi"/>
          <w:i/>
          <w:lang w:val="ro-MD"/>
        </w:rPr>
        <w:t>)</w:t>
      </w:r>
      <w:r w:rsidRPr="00B13B9A">
        <w:rPr>
          <w:rFonts w:asciiTheme="majorHAnsi" w:hAnsiTheme="majorHAnsi" w:cstheme="majorHAnsi"/>
          <w:i/>
          <w:lang w:val="ro-MD"/>
        </w:rPr>
        <w:t xml:space="preserve">. </w:t>
      </w:r>
    </w:p>
    <w:p w14:paraId="4933F79D" w14:textId="55B0A6E6" w:rsidR="00281A21" w:rsidRPr="00B13B9A" w:rsidRDefault="00281A21" w:rsidP="00CA5C8D">
      <w:pPr>
        <w:pStyle w:val="ae"/>
        <w:shd w:val="clear" w:color="auto" w:fill="FFFFFF"/>
        <w:tabs>
          <w:tab w:val="left" w:pos="709"/>
        </w:tabs>
        <w:spacing w:before="0" w:beforeAutospacing="0" w:after="0" w:afterAutospacing="0" w:line="276" w:lineRule="auto"/>
        <w:contextualSpacing/>
        <w:jc w:val="both"/>
        <w:rPr>
          <w:rFonts w:asciiTheme="majorHAnsi" w:hAnsiTheme="majorHAnsi" w:cstheme="majorHAnsi"/>
          <w:b/>
          <w:lang w:val="ro-MD"/>
        </w:rPr>
      </w:pPr>
      <w:r w:rsidRPr="00B13B9A">
        <w:rPr>
          <w:rFonts w:asciiTheme="majorHAnsi" w:hAnsiTheme="majorHAnsi" w:cstheme="majorHAnsi"/>
          <w:b/>
          <w:lang w:val="ro-MD"/>
        </w:rPr>
        <w:t>Conducerii A</w:t>
      </w:r>
      <w:r w:rsidR="00F70F89" w:rsidRPr="00B13B9A">
        <w:rPr>
          <w:rFonts w:asciiTheme="majorHAnsi" w:hAnsiTheme="majorHAnsi" w:cstheme="majorHAnsi"/>
          <w:b/>
          <w:lang w:val="ro-MD"/>
        </w:rPr>
        <w:t>gen</w:t>
      </w:r>
      <w:r w:rsidR="00B13B9A" w:rsidRPr="00B13B9A">
        <w:rPr>
          <w:rFonts w:asciiTheme="majorHAnsi" w:hAnsiTheme="majorHAnsi" w:cstheme="majorHAnsi"/>
          <w:b/>
          <w:lang w:val="ro-MD"/>
        </w:rPr>
        <w:t>ț</w:t>
      </w:r>
      <w:r w:rsidR="00F70F89" w:rsidRPr="00B13B9A">
        <w:rPr>
          <w:rFonts w:asciiTheme="majorHAnsi" w:hAnsiTheme="majorHAnsi" w:cstheme="majorHAnsi"/>
          <w:b/>
          <w:lang w:val="ro-MD"/>
        </w:rPr>
        <w:t xml:space="preserve">iei </w:t>
      </w:r>
      <w:r w:rsidRPr="00B13B9A">
        <w:rPr>
          <w:rFonts w:asciiTheme="majorHAnsi" w:hAnsiTheme="majorHAnsi" w:cstheme="majorHAnsi"/>
          <w:b/>
          <w:lang w:val="ro-MD"/>
        </w:rPr>
        <w:t>P</w:t>
      </w:r>
      <w:r w:rsidR="00F70F89" w:rsidRPr="00B13B9A">
        <w:rPr>
          <w:rFonts w:asciiTheme="majorHAnsi" w:hAnsiTheme="majorHAnsi" w:cstheme="majorHAnsi"/>
          <w:b/>
          <w:lang w:val="ro-MD"/>
        </w:rPr>
        <w:t>roprietă</w:t>
      </w:r>
      <w:r w:rsidR="00B13B9A" w:rsidRPr="00B13B9A">
        <w:rPr>
          <w:rFonts w:asciiTheme="majorHAnsi" w:hAnsiTheme="majorHAnsi" w:cstheme="majorHAnsi"/>
          <w:b/>
          <w:lang w:val="ro-MD"/>
        </w:rPr>
        <w:t>ț</w:t>
      </w:r>
      <w:r w:rsidR="00F70F89" w:rsidRPr="00B13B9A">
        <w:rPr>
          <w:rFonts w:asciiTheme="majorHAnsi" w:hAnsiTheme="majorHAnsi" w:cstheme="majorHAnsi"/>
          <w:b/>
          <w:lang w:val="ro-MD"/>
        </w:rPr>
        <w:t xml:space="preserve">ii </w:t>
      </w:r>
      <w:r w:rsidRPr="00B13B9A">
        <w:rPr>
          <w:rFonts w:asciiTheme="majorHAnsi" w:hAnsiTheme="majorHAnsi" w:cstheme="majorHAnsi"/>
          <w:b/>
          <w:lang w:val="ro-MD"/>
        </w:rPr>
        <w:t>P</w:t>
      </w:r>
      <w:r w:rsidR="00F70F89" w:rsidRPr="00B13B9A">
        <w:rPr>
          <w:rFonts w:asciiTheme="majorHAnsi" w:hAnsiTheme="majorHAnsi" w:cstheme="majorHAnsi"/>
          <w:b/>
          <w:lang w:val="ro-MD"/>
        </w:rPr>
        <w:t>ublice</w:t>
      </w:r>
      <w:r w:rsidRPr="00B13B9A">
        <w:rPr>
          <w:rFonts w:asciiTheme="majorHAnsi" w:hAnsiTheme="majorHAnsi" w:cstheme="majorHAnsi"/>
          <w:b/>
          <w:lang w:val="ro-MD"/>
        </w:rPr>
        <w:t xml:space="preserve"> de comun cu Ministerul Sănătă</w:t>
      </w:r>
      <w:r w:rsidR="00B13B9A" w:rsidRPr="00B13B9A">
        <w:rPr>
          <w:rFonts w:asciiTheme="majorHAnsi" w:hAnsiTheme="majorHAnsi" w:cstheme="majorHAnsi"/>
          <w:b/>
          <w:lang w:val="ro-MD"/>
        </w:rPr>
        <w:t>ț</w:t>
      </w:r>
      <w:r w:rsidRPr="00B13B9A">
        <w:rPr>
          <w:rFonts w:asciiTheme="majorHAnsi" w:hAnsiTheme="majorHAnsi" w:cstheme="majorHAnsi"/>
          <w:b/>
          <w:lang w:val="ro-MD"/>
        </w:rPr>
        <w:t>ii:</w:t>
      </w:r>
    </w:p>
    <w:p w14:paraId="69AF2756" w14:textId="6B65EBAE" w:rsidR="00281A21" w:rsidRPr="00B13B9A" w:rsidRDefault="00281A21" w:rsidP="00CA5C8D">
      <w:pPr>
        <w:pStyle w:val="ae"/>
        <w:numPr>
          <w:ilvl w:val="0"/>
          <w:numId w:val="8"/>
        </w:numPr>
        <w:shd w:val="clear" w:color="auto" w:fill="FFFFFF"/>
        <w:tabs>
          <w:tab w:val="left" w:pos="709"/>
        </w:tabs>
        <w:spacing w:before="0" w:beforeAutospacing="0" w:after="0" w:afterAutospacing="0" w:line="276" w:lineRule="auto"/>
        <w:ind w:left="0" w:firstLine="0"/>
        <w:contextualSpacing/>
        <w:jc w:val="both"/>
        <w:rPr>
          <w:rFonts w:asciiTheme="majorHAnsi" w:hAnsiTheme="majorHAnsi" w:cstheme="majorHAnsi"/>
          <w:i/>
          <w:lang w:val="ro-MD"/>
        </w:rPr>
      </w:pPr>
      <w:r w:rsidRPr="00B13B9A">
        <w:rPr>
          <w:rFonts w:asciiTheme="majorHAnsi" w:hAnsiTheme="majorHAnsi" w:cstheme="majorHAnsi"/>
          <w:i/>
          <w:lang w:val="ro-MD"/>
        </w:rPr>
        <w:t xml:space="preserve">Să asigure delimitarea </w:t>
      </w:r>
      <w:r w:rsidR="00B13B9A" w:rsidRPr="00B13B9A">
        <w:rPr>
          <w:rFonts w:asciiTheme="majorHAnsi" w:hAnsiTheme="majorHAnsi" w:cstheme="majorHAnsi"/>
          <w:i/>
          <w:lang w:val="ro-MD"/>
        </w:rPr>
        <w:t>ș</w:t>
      </w:r>
      <w:r w:rsidR="007B72D9" w:rsidRPr="00B13B9A">
        <w:rPr>
          <w:rFonts w:asciiTheme="majorHAnsi" w:hAnsiTheme="majorHAnsi" w:cstheme="majorHAnsi"/>
          <w:i/>
          <w:lang w:val="ro-MD"/>
        </w:rPr>
        <w:t>i î</w:t>
      </w:r>
      <w:r w:rsidRPr="00B13B9A">
        <w:rPr>
          <w:rFonts w:asciiTheme="majorHAnsi" w:hAnsiTheme="majorHAnsi" w:cstheme="majorHAnsi"/>
          <w:i/>
          <w:lang w:val="ro-MD"/>
        </w:rPr>
        <w:t>nre</w:t>
      </w:r>
      <w:r w:rsidR="007B72D9" w:rsidRPr="00B13B9A">
        <w:rPr>
          <w:rFonts w:asciiTheme="majorHAnsi" w:hAnsiTheme="majorHAnsi" w:cstheme="majorHAnsi"/>
          <w:i/>
          <w:lang w:val="ro-MD"/>
        </w:rPr>
        <w:t>gistrarea bunurilor publice ut</w:t>
      </w:r>
      <w:r w:rsidRPr="00B13B9A">
        <w:rPr>
          <w:rFonts w:asciiTheme="majorHAnsi" w:hAnsiTheme="majorHAnsi" w:cstheme="majorHAnsi"/>
          <w:i/>
          <w:lang w:val="ro-MD"/>
        </w:rPr>
        <w:t>ilizate ca s</w:t>
      </w:r>
      <w:r w:rsidR="00E11501" w:rsidRPr="00B13B9A">
        <w:rPr>
          <w:rFonts w:asciiTheme="majorHAnsi" w:hAnsiTheme="majorHAnsi" w:cstheme="majorHAnsi"/>
          <w:i/>
          <w:lang w:val="ro-MD"/>
        </w:rPr>
        <w:t>pa</w:t>
      </w:r>
      <w:r w:rsidR="00B13B9A" w:rsidRPr="00B13B9A">
        <w:rPr>
          <w:rFonts w:asciiTheme="majorHAnsi" w:hAnsiTheme="majorHAnsi" w:cstheme="majorHAnsi"/>
          <w:i/>
          <w:lang w:val="ro-MD"/>
        </w:rPr>
        <w:t>ț</w:t>
      </w:r>
      <w:r w:rsidR="00E11501" w:rsidRPr="00B13B9A">
        <w:rPr>
          <w:rFonts w:asciiTheme="majorHAnsi" w:hAnsiTheme="majorHAnsi" w:cstheme="majorHAnsi"/>
          <w:i/>
          <w:lang w:val="ro-MD"/>
        </w:rPr>
        <w:t xml:space="preserve">iu locativ în conformitate </w:t>
      </w:r>
      <w:r w:rsidR="00CA5C8D" w:rsidRPr="00B13B9A">
        <w:rPr>
          <w:rFonts w:asciiTheme="majorHAnsi" w:hAnsiTheme="majorHAnsi" w:cstheme="majorHAnsi"/>
          <w:i/>
          <w:lang w:val="ro-MD"/>
        </w:rPr>
        <w:t>c</w:t>
      </w:r>
      <w:r w:rsidR="00CA5C8D">
        <w:rPr>
          <w:rFonts w:asciiTheme="majorHAnsi" w:hAnsiTheme="majorHAnsi" w:cstheme="majorHAnsi"/>
          <w:i/>
          <w:lang w:val="ro-MD"/>
        </w:rPr>
        <w:t>u</w:t>
      </w:r>
      <w:r w:rsidR="00CA5C8D" w:rsidRPr="00B13B9A">
        <w:rPr>
          <w:rFonts w:asciiTheme="majorHAnsi" w:hAnsiTheme="majorHAnsi" w:cstheme="majorHAnsi"/>
          <w:i/>
          <w:lang w:val="ro-MD"/>
        </w:rPr>
        <w:t xml:space="preserve"> </w:t>
      </w:r>
      <w:r w:rsidR="00E11501" w:rsidRPr="00B13B9A">
        <w:rPr>
          <w:rFonts w:asciiTheme="majorHAnsi" w:hAnsiTheme="majorHAnsi" w:cstheme="majorHAnsi"/>
          <w:i/>
          <w:lang w:val="ro-MD"/>
        </w:rPr>
        <w:t>Legea nr. 187 din 14</w:t>
      </w:r>
      <w:r w:rsidR="0005144E" w:rsidRPr="00B13B9A">
        <w:rPr>
          <w:rFonts w:asciiTheme="majorHAnsi" w:hAnsiTheme="majorHAnsi" w:cstheme="majorHAnsi"/>
          <w:i/>
          <w:lang w:val="ro-MD"/>
        </w:rPr>
        <w:t>.</w:t>
      </w:r>
      <w:r w:rsidR="00E11501" w:rsidRPr="00B13B9A">
        <w:rPr>
          <w:rFonts w:asciiTheme="majorHAnsi" w:hAnsiTheme="majorHAnsi" w:cstheme="majorHAnsi"/>
          <w:i/>
          <w:lang w:val="ro-MD"/>
        </w:rPr>
        <w:t>07</w:t>
      </w:r>
      <w:r w:rsidR="0005144E" w:rsidRPr="00B13B9A">
        <w:rPr>
          <w:rFonts w:asciiTheme="majorHAnsi" w:hAnsiTheme="majorHAnsi" w:cstheme="majorHAnsi"/>
          <w:i/>
          <w:lang w:val="ro-MD"/>
        </w:rPr>
        <w:t>.</w:t>
      </w:r>
      <w:r w:rsidR="00E11501" w:rsidRPr="00B13B9A">
        <w:rPr>
          <w:rFonts w:asciiTheme="majorHAnsi" w:hAnsiTheme="majorHAnsi" w:cstheme="majorHAnsi"/>
          <w:i/>
          <w:lang w:val="ro-MD"/>
        </w:rPr>
        <w:t>2022 cu privire la condominiu</w:t>
      </w:r>
      <w:r w:rsidR="0005144E" w:rsidRPr="00B13B9A">
        <w:rPr>
          <w:rFonts w:asciiTheme="majorHAnsi" w:hAnsiTheme="majorHAnsi" w:cstheme="majorHAnsi"/>
          <w:i/>
          <w:lang w:val="ro-MD"/>
        </w:rPr>
        <w:t>,</w:t>
      </w:r>
      <w:r w:rsidR="007B72D9" w:rsidRPr="00B13B9A">
        <w:rPr>
          <w:rFonts w:asciiTheme="majorHAnsi" w:hAnsiTheme="majorHAnsi" w:cstheme="majorHAnsi"/>
          <w:i/>
          <w:lang w:val="ro-MD"/>
        </w:rPr>
        <w:t xml:space="preserve"> cu determinarea responsabilului de luare </w:t>
      </w:r>
      <w:r w:rsidR="0005144E" w:rsidRPr="00B13B9A">
        <w:rPr>
          <w:rFonts w:asciiTheme="majorHAnsi" w:hAnsiTheme="majorHAnsi" w:cstheme="majorHAnsi"/>
          <w:i/>
          <w:lang w:val="ro-MD"/>
        </w:rPr>
        <w:t>în</w:t>
      </w:r>
      <w:r w:rsidR="007B72D9" w:rsidRPr="00B13B9A">
        <w:rPr>
          <w:rFonts w:asciiTheme="majorHAnsi" w:hAnsiTheme="majorHAnsi" w:cstheme="majorHAnsi"/>
          <w:i/>
          <w:lang w:val="ro-MD"/>
        </w:rPr>
        <w:t xml:space="preserve"> eviden</w:t>
      </w:r>
      <w:r w:rsidR="00B13B9A" w:rsidRPr="00B13B9A">
        <w:rPr>
          <w:rFonts w:asciiTheme="majorHAnsi" w:hAnsiTheme="majorHAnsi" w:cstheme="majorHAnsi"/>
          <w:i/>
          <w:lang w:val="ro-MD"/>
        </w:rPr>
        <w:t>ț</w:t>
      </w:r>
      <w:r w:rsidR="007B72D9" w:rsidRPr="00B13B9A">
        <w:rPr>
          <w:rFonts w:asciiTheme="majorHAnsi" w:hAnsiTheme="majorHAnsi" w:cstheme="majorHAnsi"/>
          <w:i/>
          <w:lang w:val="ro-MD"/>
        </w:rPr>
        <w:t>ă</w:t>
      </w:r>
      <w:r w:rsidR="00C64395" w:rsidRPr="00B13B9A">
        <w:rPr>
          <w:rFonts w:asciiTheme="majorHAnsi" w:hAnsiTheme="majorHAnsi" w:cstheme="majorHAnsi"/>
          <w:i/>
          <w:lang w:val="ro-MD"/>
        </w:rPr>
        <w:t xml:space="preserve"> a apartamentelor neprivatizate ((Observa</w:t>
      </w:r>
      <w:r w:rsidR="00B13B9A" w:rsidRPr="00B13B9A">
        <w:rPr>
          <w:rFonts w:asciiTheme="majorHAnsi" w:hAnsiTheme="majorHAnsi" w:cstheme="majorHAnsi"/>
          <w:i/>
          <w:lang w:val="ro-MD"/>
        </w:rPr>
        <w:t>ț</w:t>
      </w:r>
      <w:r w:rsidR="00C64395" w:rsidRPr="00B13B9A">
        <w:rPr>
          <w:rFonts w:asciiTheme="majorHAnsi" w:hAnsiTheme="majorHAnsi" w:cstheme="majorHAnsi"/>
          <w:i/>
          <w:lang w:val="ro-MD"/>
        </w:rPr>
        <w:t>ia 4.1.3)</w:t>
      </w:r>
      <w:r w:rsidR="0005144E" w:rsidRPr="00B13B9A">
        <w:rPr>
          <w:rFonts w:asciiTheme="majorHAnsi" w:hAnsiTheme="majorHAnsi" w:cstheme="majorHAnsi"/>
          <w:i/>
          <w:lang w:val="ro-MD"/>
        </w:rPr>
        <w:t>.</w:t>
      </w:r>
    </w:p>
    <w:p w14:paraId="7F84FE42" w14:textId="77777777" w:rsidR="00D96F8A" w:rsidRPr="00B13B9A" w:rsidRDefault="00D900FA" w:rsidP="00CA5C8D">
      <w:pPr>
        <w:tabs>
          <w:tab w:val="left" w:pos="709"/>
        </w:tabs>
        <w:spacing w:after="0" w:line="276" w:lineRule="auto"/>
        <w:contextualSpacing/>
        <w:rPr>
          <w:rFonts w:asciiTheme="majorHAnsi" w:hAnsiTheme="majorHAnsi" w:cstheme="majorHAnsi"/>
          <w:b/>
          <w:i/>
          <w:sz w:val="24"/>
          <w:lang w:val="ro-MD"/>
        </w:rPr>
      </w:pPr>
      <w:r w:rsidRPr="00B13B9A">
        <w:rPr>
          <w:rFonts w:asciiTheme="majorHAnsi" w:hAnsiTheme="majorHAnsi" w:cstheme="majorHAnsi"/>
          <w:b/>
          <w:color w:val="000000" w:themeColor="text1"/>
          <w:sz w:val="24"/>
          <w:szCs w:val="24"/>
          <w:lang w:val="ro-MD"/>
        </w:rPr>
        <w:t xml:space="preserve">Conducerii IMSP </w:t>
      </w:r>
      <w:r w:rsidRPr="00B13B9A">
        <w:rPr>
          <w:rFonts w:asciiTheme="majorHAnsi" w:hAnsiTheme="majorHAnsi" w:cstheme="majorHAnsi"/>
          <w:b/>
          <w:sz w:val="24"/>
          <w:szCs w:val="24"/>
          <w:lang w:val="ro-MD"/>
        </w:rPr>
        <w:t>Institutul de Ftiziopneumologie „Chiril Draganiuc</w:t>
      </w:r>
      <w:r w:rsidR="0041425D" w:rsidRPr="00B13B9A">
        <w:rPr>
          <w:rFonts w:asciiTheme="majorHAnsi" w:hAnsiTheme="majorHAnsi" w:cstheme="majorHAnsi"/>
          <w:b/>
          <w:sz w:val="24"/>
          <w:szCs w:val="24"/>
          <w:lang w:val="ro-MD"/>
        </w:rPr>
        <w:t>”:</w:t>
      </w:r>
    </w:p>
    <w:p w14:paraId="2C1B1906" w14:textId="29C69FFA" w:rsidR="00AF3C65" w:rsidRPr="00B13B9A" w:rsidRDefault="00AF3C65" w:rsidP="00CA5C8D">
      <w:pPr>
        <w:pStyle w:val="af0"/>
        <w:numPr>
          <w:ilvl w:val="0"/>
          <w:numId w:val="8"/>
        </w:numPr>
        <w:tabs>
          <w:tab w:val="left" w:pos="709"/>
          <w:tab w:val="left" w:pos="9072"/>
        </w:tabs>
        <w:autoSpaceDE w:val="0"/>
        <w:autoSpaceDN w:val="0"/>
        <w:adjustRightInd w:val="0"/>
        <w:spacing w:line="276" w:lineRule="auto"/>
        <w:ind w:left="0" w:firstLine="0"/>
        <w:contextualSpacing/>
        <w:jc w:val="both"/>
        <w:rPr>
          <w:rFonts w:asciiTheme="majorHAnsi" w:hAnsiTheme="majorHAnsi" w:cstheme="majorHAnsi"/>
          <w:i/>
          <w:sz w:val="24"/>
          <w:szCs w:val="24"/>
          <w:lang w:val="ro-MD"/>
        </w:rPr>
      </w:pPr>
      <w:r w:rsidRPr="00B13B9A">
        <w:rPr>
          <w:rFonts w:asciiTheme="majorHAnsi" w:hAnsiTheme="majorHAnsi" w:cstheme="majorHAnsi"/>
          <w:i/>
          <w:sz w:val="24"/>
          <w:szCs w:val="24"/>
          <w:lang w:val="ro-MD"/>
        </w:rPr>
        <w:t>Să asigure analiza proceselor defectuoase aferente conformită</w:t>
      </w:r>
      <w:r w:rsidR="00B13B9A" w:rsidRPr="00B13B9A">
        <w:rPr>
          <w:rFonts w:asciiTheme="majorHAnsi" w:hAnsiTheme="majorHAnsi" w:cstheme="majorHAnsi"/>
          <w:i/>
          <w:sz w:val="24"/>
          <w:szCs w:val="24"/>
          <w:lang w:val="ro-MD"/>
        </w:rPr>
        <w:t>ț</w:t>
      </w:r>
      <w:r w:rsidRPr="00B13B9A">
        <w:rPr>
          <w:rFonts w:asciiTheme="majorHAnsi" w:hAnsiTheme="majorHAnsi" w:cstheme="majorHAnsi"/>
          <w:i/>
          <w:sz w:val="24"/>
          <w:szCs w:val="24"/>
          <w:lang w:val="ro-MD"/>
        </w:rPr>
        <w:t xml:space="preserve">ii remunerării muncii, cu tragerea la răspundere a persoanelor responsabile ce nu </w:t>
      </w:r>
      <w:r w:rsidR="00B13B9A" w:rsidRPr="00B13B9A">
        <w:rPr>
          <w:rFonts w:asciiTheme="majorHAnsi" w:hAnsiTheme="majorHAnsi" w:cstheme="majorHAnsi"/>
          <w:i/>
          <w:sz w:val="24"/>
          <w:szCs w:val="24"/>
          <w:lang w:val="ro-MD"/>
        </w:rPr>
        <w:t>ș</w:t>
      </w:r>
      <w:r w:rsidRPr="00B13B9A">
        <w:rPr>
          <w:rFonts w:asciiTheme="majorHAnsi" w:hAnsiTheme="majorHAnsi" w:cstheme="majorHAnsi"/>
          <w:i/>
          <w:sz w:val="24"/>
          <w:szCs w:val="24"/>
          <w:lang w:val="ro-MD"/>
        </w:rPr>
        <w:t>i-au re</w:t>
      </w:r>
      <w:r w:rsidR="00C64395" w:rsidRPr="00B13B9A">
        <w:rPr>
          <w:rFonts w:asciiTheme="majorHAnsi" w:hAnsiTheme="majorHAnsi" w:cstheme="majorHAnsi"/>
          <w:i/>
          <w:sz w:val="24"/>
          <w:szCs w:val="24"/>
          <w:lang w:val="ro-MD"/>
        </w:rPr>
        <w:t>alizat atribu</w:t>
      </w:r>
      <w:r w:rsidR="00B13B9A" w:rsidRPr="00B13B9A">
        <w:rPr>
          <w:rFonts w:asciiTheme="majorHAnsi" w:hAnsiTheme="majorHAnsi" w:cstheme="majorHAnsi"/>
          <w:i/>
          <w:sz w:val="24"/>
          <w:szCs w:val="24"/>
          <w:lang w:val="ro-MD"/>
        </w:rPr>
        <w:t>ț</w:t>
      </w:r>
      <w:r w:rsidR="00C64395" w:rsidRPr="00B13B9A">
        <w:rPr>
          <w:rFonts w:asciiTheme="majorHAnsi" w:hAnsiTheme="majorHAnsi" w:cstheme="majorHAnsi"/>
          <w:i/>
          <w:sz w:val="24"/>
          <w:szCs w:val="24"/>
          <w:lang w:val="ro-MD"/>
        </w:rPr>
        <w:t>iile regulamentar (Observa</w:t>
      </w:r>
      <w:r w:rsidR="00B13B9A" w:rsidRPr="00B13B9A">
        <w:rPr>
          <w:rFonts w:asciiTheme="majorHAnsi" w:hAnsiTheme="majorHAnsi" w:cstheme="majorHAnsi"/>
          <w:i/>
          <w:sz w:val="24"/>
          <w:szCs w:val="24"/>
          <w:lang w:val="ro-MD"/>
        </w:rPr>
        <w:t>ț</w:t>
      </w:r>
      <w:r w:rsidR="00C64395" w:rsidRPr="00B13B9A">
        <w:rPr>
          <w:rFonts w:asciiTheme="majorHAnsi" w:hAnsiTheme="majorHAnsi" w:cstheme="majorHAnsi"/>
          <w:i/>
          <w:sz w:val="24"/>
          <w:szCs w:val="24"/>
          <w:lang w:val="ro-MD"/>
        </w:rPr>
        <w:t>ia 4.2.1);</w:t>
      </w:r>
    </w:p>
    <w:p w14:paraId="269BB626" w14:textId="01D78349" w:rsidR="00D96F8A" w:rsidRPr="00B13B9A" w:rsidRDefault="00D96F8A" w:rsidP="00CA5C8D">
      <w:pPr>
        <w:pStyle w:val="af0"/>
        <w:numPr>
          <w:ilvl w:val="0"/>
          <w:numId w:val="8"/>
        </w:numPr>
        <w:tabs>
          <w:tab w:val="left" w:pos="709"/>
          <w:tab w:val="left" w:pos="9072"/>
        </w:tabs>
        <w:autoSpaceDE w:val="0"/>
        <w:autoSpaceDN w:val="0"/>
        <w:adjustRightInd w:val="0"/>
        <w:spacing w:line="276" w:lineRule="auto"/>
        <w:ind w:left="0" w:firstLine="0"/>
        <w:contextualSpacing/>
        <w:jc w:val="both"/>
        <w:rPr>
          <w:rFonts w:asciiTheme="majorHAnsi" w:hAnsiTheme="majorHAnsi" w:cstheme="majorHAnsi"/>
          <w:i/>
          <w:sz w:val="24"/>
          <w:szCs w:val="24"/>
          <w:lang w:val="ro-MD"/>
        </w:rPr>
      </w:pPr>
      <w:r w:rsidRPr="00B13B9A">
        <w:rPr>
          <w:rFonts w:asciiTheme="majorHAnsi" w:hAnsiTheme="majorHAnsi" w:cstheme="majorHAnsi"/>
          <w:i/>
          <w:sz w:val="24"/>
          <w:szCs w:val="24"/>
          <w:lang w:val="ro-MD"/>
        </w:rPr>
        <w:t xml:space="preserve">Să intensifice controalele interne în vederea asigurării conforme a tabelării, calculării </w:t>
      </w:r>
      <w:r w:rsidR="00B13B9A" w:rsidRPr="00B13B9A">
        <w:rPr>
          <w:rFonts w:asciiTheme="majorHAnsi" w:hAnsiTheme="majorHAnsi" w:cstheme="majorHAnsi"/>
          <w:i/>
          <w:sz w:val="24"/>
          <w:szCs w:val="24"/>
          <w:lang w:val="ro-MD"/>
        </w:rPr>
        <w:t>ș</w:t>
      </w:r>
      <w:r w:rsidRPr="00B13B9A">
        <w:rPr>
          <w:rFonts w:asciiTheme="majorHAnsi" w:hAnsiTheme="majorHAnsi" w:cstheme="majorHAnsi"/>
          <w:i/>
          <w:sz w:val="24"/>
          <w:szCs w:val="24"/>
          <w:lang w:val="ro-MD"/>
        </w:rPr>
        <w:t>i achitării mijloacelor financiare publice</w:t>
      </w:r>
      <w:r w:rsidR="009071F5" w:rsidRPr="00B13B9A">
        <w:rPr>
          <w:rFonts w:asciiTheme="majorHAnsi" w:hAnsiTheme="majorHAnsi" w:cstheme="majorHAnsi"/>
          <w:i/>
          <w:sz w:val="24"/>
          <w:szCs w:val="24"/>
          <w:lang w:val="ro-MD"/>
        </w:rPr>
        <w:t xml:space="preserve"> pentru remunerarea muncii prin descrierea proceselor</w:t>
      </w:r>
      <w:r w:rsidR="00E16A9F" w:rsidRPr="00B13B9A">
        <w:rPr>
          <w:rFonts w:asciiTheme="majorHAnsi" w:hAnsiTheme="majorHAnsi" w:cstheme="majorHAnsi"/>
          <w:i/>
          <w:sz w:val="24"/>
          <w:szCs w:val="24"/>
          <w:lang w:val="ro-MD"/>
        </w:rPr>
        <w:t xml:space="preserve"> interne</w:t>
      </w:r>
      <w:r w:rsidR="009071F5" w:rsidRPr="00B13B9A">
        <w:rPr>
          <w:rFonts w:asciiTheme="majorHAnsi" w:hAnsiTheme="majorHAnsi" w:cstheme="majorHAnsi"/>
          <w:i/>
          <w:sz w:val="24"/>
          <w:szCs w:val="24"/>
          <w:lang w:val="ro-MD"/>
        </w:rPr>
        <w:t xml:space="preserve"> cu stabilirea persoanelor responsabile de veridicitatea datelor, </w:t>
      </w:r>
      <w:r w:rsidR="0005144E" w:rsidRPr="00B13B9A">
        <w:rPr>
          <w:rFonts w:asciiTheme="majorHAnsi" w:hAnsiTheme="majorHAnsi" w:cstheme="majorHAnsi"/>
          <w:i/>
          <w:sz w:val="24"/>
          <w:szCs w:val="24"/>
          <w:lang w:val="ro-MD"/>
        </w:rPr>
        <w:t>inclusiv</w:t>
      </w:r>
      <w:r w:rsidR="00C64395" w:rsidRPr="00B13B9A">
        <w:rPr>
          <w:rFonts w:asciiTheme="majorHAnsi" w:hAnsiTheme="majorHAnsi" w:cstheme="majorHAnsi"/>
          <w:i/>
          <w:sz w:val="24"/>
          <w:szCs w:val="24"/>
          <w:lang w:val="ro-MD"/>
        </w:rPr>
        <w:t xml:space="preserve"> la toate etapele (Observa</w:t>
      </w:r>
      <w:r w:rsidR="00B13B9A" w:rsidRPr="00B13B9A">
        <w:rPr>
          <w:rFonts w:asciiTheme="majorHAnsi" w:hAnsiTheme="majorHAnsi" w:cstheme="majorHAnsi"/>
          <w:i/>
          <w:sz w:val="24"/>
          <w:szCs w:val="24"/>
          <w:lang w:val="ro-MD"/>
        </w:rPr>
        <w:t>ț</w:t>
      </w:r>
      <w:r w:rsidR="00C64395" w:rsidRPr="00B13B9A">
        <w:rPr>
          <w:rFonts w:asciiTheme="majorHAnsi" w:hAnsiTheme="majorHAnsi" w:cstheme="majorHAnsi"/>
          <w:i/>
          <w:sz w:val="24"/>
          <w:szCs w:val="24"/>
          <w:lang w:val="ro-MD"/>
        </w:rPr>
        <w:t>ia 4.2.2);</w:t>
      </w:r>
    </w:p>
    <w:p w14:paraId="3EA7A7C5" w14:textId="6ED9616B" w:rsidR="00AF3C65" w:rsidRPr="00B13B9A" w:rsidRDefault="00AF3C65" w:rsidP="00CA5C8D">
      <w:pPr>
        <w:pStyle w:val="a7"/>
        <w:numPr>
          <w:ilvl w:val="0"/>
          <w:numId w:val="8"/>
        </w:numPr>
        <w:tabs>
          <w:tab w:val="left" w:pos="709"/>
        </w:tabs>
        <w:spacing w:after="0" w:line="276" w:lineRule="auto"/>
        <w:ind w:left="0" w:firstLine="0"/>
        <w:jc w:val="both"/>
        <w:rPr>
          <w:rFonts w:asciiTheme="majorHAnsi" w:hAnsiTheme="majorHAnsi" w:cstheme="majorHAnsi"/>
          <w:i/>
          <w:sz w:val="24"/>
          <w:szCs w:val="24"/>
          <w:lang w:val="ro-MD"/>
        </w:rPr>
      </w:pPr>
      <w:r w:rsidRPr="00B13B9A">
        <w:rPr>
          <w:rFonts w:asciiTheme="majorHAnsi" w:hAnsiTheme="majorHAnsi" w:cstheme="majorHAnsi"/>
          <w:i/>
          <w:sz w:val="24"/>
          <w:szCs w:val="24"/>
          <w:lang w:val="ro-MD"/>
        </w:rPr>
        <w:t xml:space="preserve">Să asigure returnarea </w:t>
      </w:r>
      <w:r w:rsidR="0005144E" w:rsidRPr="00B13B9A">
        <w:rPr>
          <w:rFonts w:asciiTheme="majorHAnsi" w:eastAsia="Calibri Light" w:hAnsiTheme="majorHAnsi" w:cs="Calibri Light"/>
          <w:i/>
          <w:color w:val="000000"/>
          <w:sz w:val="24"/>
          <w:szCs w:val="24"/>
          <w:lang w:val="ro-MD"/>
        </w:rPr>
        <w:t>sumelor achitate neregulamentar angaja</w:t>
      </w:r>
      <w:r w:rsidR="00B13B9A" w:rsidRPr="00B13B9A">
        <w:rPr>
          <w:rFonts w:asciiTheme="majorHAnsi" w:eastAsia="Calibri Light" w:hAnsiTheme="majorHAnsi" w:cs="Calibri Light"/>
          <w:i/>
          <w:color w:val="000000"/>
          <w:sz w:val="24"/>
          <w:szCs w:val="24"/>
          <w:lang w:val="ro-MD"/>
        </w:rPr>
        <w:t>ț</w:t>
      </w:r>
      <w:r w:rsidR="0005144E" w:rsidRPr="00B13B9A">
        <w:rPr>
          <w:rFonts w:asciiTheme="majorHAnsi" w:eastAsia="Calibri Light" w:hAnsiTheme="majorHAnsi" w:cs="Calibri Light"/>
          <w:i/>
          <w:color w:val="000000"/>
          <w:sz w:val="24"/>
          <w:szCs w:val="24"/>
          <w:lang w:val="ro-MD"/>
        </w:rPr>
        <w:t>ilor care</w:t>
      </w:r>
      <w:r w:rsidRPr="00B13B9A">
        <w:rPr>
          <w:rFonts w:asciiTheme="majorHAnsi" w:eastAsia="Calibri Light" w:hAnsiTheme="majorHAnsi" w:cs="Calibri Light"/>
          <w:i/>
          <w:color w:val="000000"/>
          <w:sz w:val="24"/>
          <w:szCs w:val="24"/>
          <w:lang w:val="ro-MD"/>
        </w:rPr>
        <w:t xml:space="preserve"> nu se aflau pe teritoriu</w:t>
      </w:r>
      <w:r w:rsidR="0005144E" w:rsidRPr="00B13B9A">
        <w:rPr>
          <w:rFonts w:asciiTheme="majorHAnsi" w:eastAsia="Calibri Light" w:hAnsiTheme="majorHAnsi" w:cs="Calibri Light"/>
          <w:i/>
          <w:color w:val="000000"/>
          <w:sz w:val="24"/>
          <w:szCs w:val="24"/>
          <w:lang w:val="ro-MD"/>
        </w:rPr>
        <w:t>l</w:t>
      </w:r>
      <w:r w:rsidRPr="00B13B9A">
        <w:rPr>
          <w:rFonts w:asciiTheme="majorHAnsi" w:eastAsia="Calibri Light" w:hAnsiTheme="majorHAnsi" w:cs="Calibri Light"/>
          <w:i/>
          <w:color w:val="000000"/>
          <w:sz w:val="24"/>
          <w:szCs w:val="24"/>
          <w:lang w:val="ro-MD"/>
        </w:rPr>
        <w:t xml:space="preserve"> </w:t>
      </w:r>
      <w:r w:rsidR="0005144E" w:rsidRPr="00B13B9A">
        <w:rPr>
          <w:rFonts w:asciiTheme="majorHAnsi" w:eastAsia="Calibri Light" w:hAnsiTheme="majorHAnsi" w:cs="Calibri Light"/>
          <w:i/>
          <w:color w:val="000000"/>
          <w:sz w:val="24"/>
          <w:szCs w:val="24"/>
          <w:lang w:val="ro-MD"/>
        </w:rPr>
        <w:t>R</w:t>
      </w:r>
      <w:r w:rsidRPr="00B13B9A">
        <w:rPr>
          <w:rFonts w:asciiTheme="majorHAnsi" w:eastAsia="Calibri Light" w:hAnsiTheme="majorHAnsi" w:cs="Calibri Light"/>
          <w:i/>
          <w:color w:val="000000"/>
          <w:sz w:val="24"/>
          <w:szCs w:val="24"/>
          <w:lang w:val="ro-MD"/>
        </w:rPr>
        <w:t>epublici</w:t>
      </w:r>
      <w:r w:rsidR="0005144E" w:rsidRPr="00B13B9A">
        <w:rPr>
          <w:rFonts w:asciiTheme="majorHAnsi" w:eastAsia="Calibri Light" w:hAnsiTheme="majorHAnsi" w:cs="Calibri Light"/>
          <w:i/>
          <w:color w:val="000000"/>
          <w:sz w:val="24"/>
          <w:szCs w:val="24"/>
          <w:lang w:val="ro-MD"/>
        </w:rPr>
        <w:t>i</w:t>
      </w:r>
      <w:r w:rsidRPr="00B13B9A">
        <w:rPr>
          <w:rFonts w:asciiTheme="majorHAnsi" w:eastAsia="Calibri Light" w:hAnsiTheme="majorHAnsi" w:cs="Calibri Light"/>
          <w:i/>
          <w:color w:val="000000"/>
          <w:sz w:val="24"/>
          <w:szCs w:val="24"/>
          <w:lang w:val="ro-MD"/>
        </w:rPr>
        <w:t xml:space="preserve"> Moldova</w:t>
      </w:r>
      <w:r w:rsidR="0005144E" w:rsidRPr="00B13B9A">
        <w:rPr>
          <w:rFonts w:asciiTheme="majorHAnsi" w:eastAsia="Calibri Light" w:hAnsiTheme="majorHAnsi" w:cs="Calibri Light"/>
          <w:i/>
          <w:color w:val="000000"/>
          <w:sz w:val="24"/>
          <w:szCs w:val="24"/>
          <w:lang w:val="ro-MD"/>
        </w:rPr>
        <w:t>,</w:t>
      </w:r>
      <w:r w:rsidR="001A49ED" w:rsidRPr="00B13B9A">
        <w:rPr>
          <w:rFonts w:asciiTheme="majorHAnsi" w:eastAsia="Calibri Light" w:hAnsiTheme="majorHAnsi" w:cs="Calibri Light"/>
          <w:i/>
          <w:color w:val="000000"/>
          <w:sz w:val="24"/>
          <w:szCs w:val="24"/>
          <w:lang w:val="ro-MD"/>
        </w:rPr>
        <w:t xml:space="preserve"> în </w:t>
      </w:r>
      <w:r w:rsidR="0005144E" w:rsidRPr="00B13B9A">
        <w:rPr>
          <w:rFonts w:asciiTheme="majorHAnsi" w:eastAsia="Calibri Light" w:hAnsiTheme="majorHAnsi" w:cs="Calibri Light"/>
          <w:i/>
          <w:color w:val="000000"/>
          <w:sz w:val="24"/>
          <w:szCs w:val="24"/>
          <w:lang w:val="ro-MD"/>
        </w:rPr>
        <w:t>valoare de</w:t>
      </w:r>
      <w:r w:rsidR="00F77D2B" w:rsidRPr="00B13B9A">
        <w:rPr>
          <w:rFonts w:asciiTheme="majorHAnsi" w:eastAsia="Calibri Light" w:hAnsiTheme="majorHAnsi" w:cs="Calibri Light"/>
          <w:i/>
          <w:color w:val="000000"/>
          <w:sz w:val="24"/>
          <w:szCs w:val="24"/>
          <w:lang w:val="ro-MD"/>
        </w:rPr>
        <w:t xml:space="preserve"> </w:t>
      </w:r>
      <w:r w:rsidR="00F77D2B" w:rsidRPr="00B13B9A">
        <w:rPr>
          <w:rFonts w:asciiTheme="majorHAnsi" w:eastAsia="SimSun" w:hAnsiTheme="majorHAnsi" w:cstheme="majorHAnsi"/>
          <w:i/>
          <w:sz w:val="24"/>
          <w:szCs w:val="24"/>
          <w:lang w:val="ro-MD"/>
        </w:rPr>
        <w:t>39,5 mii lei</w:t>
      </w:r>
      <w:r w:rsidR="004B28C7" w:rsidRPr="00B13B9A">
        <w:rPr>
          <w:rFonts w:asciiTheme="majorHAnsi" w:eastAsia="SimSun" w:hAnsiTheme="majorHAnsi" w:cstheme="majorHAnsi"/>
          <w:i/>
          <w:sz w:val="24"/>
          <w:szCs w:val="24"/>
          <w:lang w:val="ro-MD"/>
        </w:rPr>
        <w:t>,</w:t>
      </w:r>
      <w:r w:rsidR="002E037C" w:rsidRPr="00B13B9A">
        <w:rPr>
          <w:rFonts w:asciiTheme="majorHAnsi" w:eastAsia="Calibri Light" w:hAnsiTheme="majorHAnsi" w:cs="Calibri Light"/>
          <w:i/>
          <w:color w:val="000000"/>
          <w:sz w:val="24"/>
          <w:szCs w:val="24"/>
          <w:lang w:val="ro-MD"/>
        </w:rPr>
        <w:t xml:space="preserve"> </w:t>
      </w:r>
      <w:r w:rsidR="00B13B9A" w:rsidRPr="00B13B9A">
        <w:rPr>
          <w:rFonts w:asciiTheme="majorHAnsi" w:eastAsia="Calibri Light" w:hAnsiTheme="majorHAnsi" w:cs="Calibri Light"/>
          <w:i/>
          <w:color w:val="000000"/>
          <w:sz w:val="24"/>
          <w:szCs w:val="24"/>
          <w:lang w:val="ro-MD"/>
        </w:rPr>
        <w:t>ș</w:t>
      </w:r>
      <w:r w:rsidR="002E037C" w:rsidRPr="00B13B9A">
        <w:rPr>
          <w:rFonts w:asciiTheme="majorHAnsi" w:eastAsia="Calibri Light" w:hAnsiTheme="majorHAnsi" w:cs="Calibri Light"/>
          <w:i/>
          <w:color w:val="000000"/>
          <w:sz w:val="24"/>
          <w:szCs w:val="24"/>
          <w:lang w:val="ro-MD"/>
        </w:rPr>
        <w:t>i a celor achitate neîntemeiat în sumă de 19,7 mii lei</w:t>
      </w:r>
      <w:r w:rsidR="00C64395" w:rsidRPr="00B13B9A">
        <w:rPr>
          <w:rFonts w:asciiTheme="majorHAnsi" w:eastAsia="Calibri Light" w:hAnsiTheme="majorHAnsi" w:cs="Calibri Light"/>
          <w:i/>
          <w:color w:val="000000"/>
          <w:sz w:val="24"/>
          <w:szCs w:val="24"/>
          <w:lang w:val="ro-MD"/>
        </w:rPr>
        <w:t xml:space="preserve"> </w:t>
      </w:r>
      <w:r w:rsidR="00C64395" w:rsidRPr="00B13B9A">
        <w:rPr>
          <w:rFonts w:asciiTheme="majorHAnsi" w:hAnsiTheme="majorHAnsi" w:cstheme="majorHAnsi"/>
          <w:i/>
          <w:sz w:val="24"/>
          <w:szCs w:val="24"/>
          <w:lang w:val="ro-MD"/>
        </w:rPr>
        <w:t xml:space="preserve"> (Observa</w:t>
      </w:r>
      <w:r w:rsidR="00B13B9A" w:rsidRPr="00B13B9A">
        <w:rPr>
          <w:rFonts w:asciiTheme="majorHAnsi" w:hAnsiTheme="majorHAnsi" w:cstheme="majorHAnsi"/>
          <w:i/>
          <w:sz w:val="24"/>
          <w:szCs w:val="24"/>
          <w:lang w:val="ro-MD"/>
        </w:rPr>
        <w:t>ț</w:t>
      </w:r>
      <w:r w:rsidR="00C64395" w:rsidRPr="00B13B9A">
        <w:rPr>
          <w:rFonts w:asciiTheme="majorHAnsi" w:hAnsiTheme="majorHAnsi" w:cstheme="majorHAnsi"/>
          <w:i/>
          <w:sz w:val="24"/>
          <w:szCs w:val="24"/>
          <w:lang w:val="ro-MD"/>
        </w:rPr>
        <w:t>ia 4.2.</w:t>
      </w:r>
      <w:r w:rsidR="002E037C" w:rsidRPr="00B13B9A">
        <w:rPr>
          <w:rFonts w:asciiTheme="majorHAnsi" w:hAnsiTheme="majorHAnsi" w:cstheme="majorHAnsi"/>
          <w:i/>
          <w:sz w:val="24"/>
          <w:szCs w:val="24"/>
          <w:lang w:val="ro-MD"/>
        </w:rPr>
        <w:t>2</w:t>
      </w:r>
      <w:r w:rsidR="00C64395" w:rsidRPr="00B13B9A">
        <w:rPr>
          <w:rFonts w:asciiTheme="majorHAnsi" w:hAnsiTheme="majorHAnsi" w:cstheme="majorHAnsi"/>
          <w:i/>
          <w:sz w:val="24"/>
          <w:szCs w:val="24"/>
          <w:lang w:val="ro-MD"/>
        </w:rPr>
        <w:t>- 4.2.</w:t>
      </w:r>
      <w:r w:rsidR="002E037C" w:rsidRPr="00B13B9A">
        <w:rPr>
          <w:rFonts w:asciiTheme="majorHAnsi" w:hAnsiTheme="majorHAnsi" w:cstheme="majorHAnsi"/>
          <w:i/>
          <w:sz w:val="24"/>
          <w:szCs w:val="24"/>
          <w:lang w:val="ro-MD"/>
        </w:rPr>
        <w:t>3</w:t>
      </w:r>
      <w:r w:rsidR="00C64395" w:rsidRPr="00B13B9A">
        <w:rPr>
          <w:rFonts w:asciiTheme="majorHAnsi" w:hAnsiTheme="majorHAnsi" w:cstheme="majorHAnsi"/>
          <w:i/>
          <w:sz w:val="24"/>
          <w:szCs w:val="24"/>
          <w:lang w:val="ro-MD"/>
        </w:rPr>
        <w:t>);</w:t>
      </w:r>
    </w:p>
    <w:p w14:paraId="40DC13D9" w14:textId="4CBDF782" w:rsidR="001A49ED" w:rsidRPr="00B13B9A" w:rsidRDefault="001A49ED" w:rsidP="00CA5C8D">
      <w:pPr>
        <w:pStyle w:val="af0"/>
        <w:numPr>
          <w:ilvl w:val="0"/>
          <w:numId w:val="8"/>
        </w:numPr>
        <w:tabs>
          <w:tab w:val="left" w:pos="709"/>
          <w:tab w:val="left" w:pos="9072"/>
        </w:tabs>
        <w:autoSpaceDE w:val="0"/>
        <w:autoSpaceDN w:val="0"/>
        <w:adjustRightInd w:val="0"/>
        <w:spacing w:line="276" w:lineRule="auto"/>
        <w:ind w:left="0" w:firstLine="0"/>
        <w:contextualSpacing/>
        <w:jc w:val="both"/>
        <w:rPr>
          <w:rFonts w:asciiTheme="majorHAnsi" w:hAnsiTheme="majorHAnsi" w:cstheme="majorHAnsi"/>
          <w:i/>
          <w:sz w:val="24"/>
          <w:szCs w:val="24"/>
          <w:lang w:val="ro-MD"/>
        </w:rPr>
      </w:pPr>
      <w:r w:rsidRPr="00B13B9A">
        <w:rPr>
          <w:rFonts w:asciiTheme="majorHAnsi" w:hAnsiTheme="majorHAnsi" w:cstheme="majorHAnsi"/>
          <w:i/>
          <w:sz w:val="24"/>
          <w:szCs w:val="24"/>
          <w:lang w:val="ro-MD"/>
        </w:rPr>
        <w:t>Să asigure</w:t>
      </w:r>
      <w:r w:rsidR="00F6587E" w:rsidRPr="00B13B9A">
        <w:rPr>
          <w:rFonts w:asciiTheme="majorHAnsi" w:hAnsiTheme="majorHAnsi" w:cstheme="majorHAnsi"/>
          <w:i/>
          <w:sz w:val="24"/>
          <w:szCs w:val="24"/>
          <w:lang w:val="ro-MD"/>
        </w:rPr>
        <w:t xml:space="preserve"> analiza </w:t>
      </w:r>
      <w:r w:rsidR="00B13B9A" w:rsidRPr="00B13B9A">
        <w:rPr>
          <w:rFonts w:asciiTheme="majorHAnsi" w:hAnsiTheme="majorHAnsi" w:cstheme="majorHAnsi"/>
          <w:i/>
          <w:sz w:val="24"/>
          <w:szCs w:val="24"/>
          <w:lang w:val="ro-MD"/>
        </w:rPr>
        <w:t>ș</w:t>
      </w:r>
      <w:r w:rsidR="00F6587E" w:rsidRPr="00B13B9A">
        <w:rPr>
          <w:rFonts w:asciiTheme="majorHAnsi" w:hAnsiTheme="majorHAnsi" w:cstheme="majorHAnsi"/>
          <w:i/>
          <w:sz w:val="24"/>
          <w:szCs w:val="24"/>
          <w:lang w:val="ro-MD"/>
        </w:rPr>
        <w:t>i planificarea utilizării</w:t>
      </w:r>
      <w:r w:rsidRPr="00B13B9A">
        <w:rPr>
          <w:rFonts w:asciiTheme="majorHAnsi" w:hAnsiTheme="majorHAnsi" w:cstheme="majorHAnsi"/>
          <w:i/>
          <w:sz w:val="24"/>
          <w:szCs w:val="24"/>
          <w:lang w:val="ro-MD"/>
        </w:rPr>
        <w:t xml:space="preserve"> zilelor de concediu anual a</w:t>
      </w:r>
      <w:r w:rsidR="009514C5" w:rsidRPr="00B13B9A">
        <w:rPr>
          <w:rFonts w:asciiTheme="majorHAnsi" w:hAnsiTheme="majorHAnsi" w:cstheme="majorHAnsi"/>
          <w:i/>
          <w:sz w:val="24"/>
          <w:szCs w:val="24"/>
          <w:lang w:val="ro-MD"/>
        </w:rPr>
        <w:t>l</w:t>
      </w:r>
      <w:r w:rsidRPr="00B13B9A">
        <w:rPr>
          <w:rFonts w:asciiTheme="majorHAnsi" w:hAnsiTheme="majorHAnsi" w:cstheme="majorHAnsi"/>
          <w:i/>
          <w:sz w:val="24"/>
          <w:szCs w:val="24"/>
          <w:lang w:val="ro-MD"/>
        </w:rPr>
        <w:t xml:space="preserve"> angaja</w:t>
      </w:r>
      <w:r w:rsidR="00B13B9A" w:rsidRPr="00B13B9A">
        <w:rPr>
          <w:rFonts w:asciiTheme="majorHAnsi" w:hAnsiTheme="majorHAnsi" w:cstheme="majorHAnsi"/>
          <w:i/>
          <w:sz w:val="24"/>
          <w:szCs w:val="24"/>
          <w:lang w:val="ro-MD"/>
        </w:rPr>
        <w:t>ț</w:t>
      </w:r>
      <w:r w:rsidRPr="00B13B9A">
        <w:rPr>
          <w:rFonts w:asciiTheme="majorHAnsi" w:hAnsiTheme="majorHAnsi" w:cstheme="majorHAnsi"/>
          <w:i/>
          <w:sz w:val="24"/>
          <w:szCs w:val="24"/>
          <w:lang w:val="ro-MD"/>
        </w:rPr>
        <w:t xml:space="preserve">ilor în termen, potrivit art.118 din Codul </w:t>
      </w:r>
      <w:r w:rsidR="009514C5" w:rsidRPr="00B13B9A">
        <w:rPr>
          <w:rFonts w:asciiTheme="majorHAnsi" w:hAnsiTheme="majorHAnsi" w:cstheme="majorHAnsi"/>
          <w:i/>
          <w:sz w:val="24"/>
          <w:szCs w:val="24"/>
          <w:lang w:val="ro-MD"/>
        </w:rPr>
        <w:t>m</w:t>
      </w:r>
      <w:r w:rsidRPr="00B13B9A">
        <w:rPr>
          <w:rFonts w:asciiTheme="majorHAnsi" w:hAnsiTheme="majorHAnsi" w:cstheme="majorHAnsi"/>
          <w:i/>
          <w:sz w:val="24"/>
          <w:szCs w:val="24"/>
          <w:lang w:val="ro-MD"/>
        </w:rPr>
        <w:t xml:space="preserve">uncii, iar pentru zilele de concediu neutilizate </w:t>
      </w:r>
      <w:r w:rsidR="00B24768" w:rsidRPr="00B13B9A">
        <w:rPr>
          <w:rFonts w:asciiTheme="majorHAnsi" w:hAnsiTheme="majorHAnsi" w:cstheme="majorHAnsi"/>
          <w:i/>
          <w:sz w:val="24"/>
          <w:szCs w:val="24"/>
          <w:lang w:val="ro-MD"/>
        </w:rPr>
        <w:t>aferente unor func</w:t>
      </w:r>
      <w:r w:rsidR="00B13B9A" w:rsidRPr="00B13B9A">
        <w:rPr>
          <w:rFonts w:asciiTheme="majorHAnsi" w:hAnsiTheme="majorHAnsi" w:cstheme="majorHAnsi"/>
          <w:i/>
          <w:sz w:val="24"/>
          <w:szCs w:val="24"/>
          <w:lang w:val="ro-MD"/>
        </w:rPr>
        <w:t>ț</w:t>
      </w:r>
      <w:r w:rsidR="00B24768" w:rsidRPr="00B13B9A">
        <w:rPr>
          <w:rFonts w:asciiTheme="majorHAnsi" w:hAnsiTheme="majorHAnsi" w:cstheme="majorHAnsi"/>
          <w:i/>
          <w:sz w:val="24"/>
          <w:szCs w:val="24"/>
          <w:lang w:val="ro-MD"/>
        </w:rPr>
        <w:t xml:space="preserve">ii </w:t>
      </w:r>
      <w:r w:rsidRPr="00B13B9A">
        <w:rPr>
          <w:rFonts w:asciiTheme="majorHAnsi" w:hAnsiTheme="majorHAnsi" w:cstheme="majorHAnsi"/>
          <w:i/>
          <w:sz w:val="24"/>
          <w:szCs w:val="24"/>
          <w:lang w:val="ro-MD"/>
        </w:rPr>
        <w:t xml:space="preserve">să </w:t>
      </w:r>
      <w:r w:rsidR="00F6587E" w:rsidRPr="00B13B9A">
        <w:rPr>
          <w:rFonts w:asciiTheme="majorHAnsi" w:hAnsiTheme="majorHAnsi" w:cstheme="majorHAnsi"/>
          <w:i/>
          <w:sz w:val="24"/>
          <w:szCs w:val="24"/>
          <w:lang w:val="ro-MD"/>
        </w:rPr>
        <w:t>examineze posibilitatea formării provizioanelor</w:t>
      </w:r>
      <w:r w:rsidR="00C64395" w:rsidRPr="00B13B9A">
        <w:rPr>
          <w:rFonts w:asciiTheme="majorHAnsi" w:hAnsiTheme="majorHAnsi" w:cstheme="majorHAnsi"/>
          <w:i/>
          <w:sz w:val="24"/>
          <w:szCs w:val="24"/>
          <w:lang w:val="ro-MD"/>
        </w:rPr>
        <w:t xml:space="preserve"> (Observa</w:t>
      </w:r>
      <w:r w:rsidR="00B13B9A" w:rsidRPr="00B13B9A">
        <w:rPr>
          <w:rFonts w:asciiTheme="majorHAnsi" w:hAnsiTheme="majorHAnsi" w:cstheme="majorHAnsi"/>
          <w:i/>
          <w:sz w:val="24"/>
          <w:szCs w:val="24"/>
          <w:lang w:val="ro-MD"/>
        </w:rPr>
        <w:t>ț</w:t>
      </w:r>
      <w:r w:rsidR="00C64395" w:rsidRPr="00B13B9A">
        <w:rPr>
          <w:rFonts w:asciiTheme="majorHAnsi" w:hAnsiTheme="majorHAnsi" w:cstheme="majorHAnsi"/>
          <w:i/>
          <w:sz w:val="24"/>
          <w:szCs w:val="24"/>
          <w:lang w:val="ro-MD"/>
        </w:rPr>
        <w:t>ia 4.2.4)</w:t>
      </w:r>
      <w:r w:rsidR="00F6587E" w:rsidRPr="00B13B9A">
        <w:rPr>
          <w:rFonts w:asciiTheme="majorHAnsi" w:hAnsiTheme="majorHAnsi" w:cstheme="majorHAnsi"/>
          <w:i/>
          <w:sz w:val="24"/>
          <w:szCs w:val="24"/>
          <w:lang w:val="ro-MD"/>
        </w:rPr>
        <w:t>;</w:t>
      </w:r>
    </w:p>
    <w:p w14:paraId="55F23928" w14:textId="71A5E2A5" w:rsidR="00AF3C65" w:rsidRPr="00B13B9A" w:rsidRDefault="00D96F8A" w:rsidP="00CA5C8D">
      <w:pPr>
        <w:pStyle w:val="af0"/>
        <w:numPr>
          <w:ilvl w:val="0"/>
          <w:numId w:val="8"/>
        </w:numPr>
        <w:tabs>
          <w:tab w:val="left" w:pos="709"/>
          <w:tab w:val="left" w:pos="9072"/>
        </w:tabs>
        <w:autoSpaceDE w:val="0"/>
        <w:autoSpaceDN w:val="0"/>
        <w:adjustRightInd w:val="0"/>
        <w:spacing w:line="276" w:lineRule="auto"/>
        <w:ind w:left="0" w:firstLine="0"/>
        <w:contextualSpacing/>
        <w:jc w:val="both"/>
        <w:rPr>
          <w:rFonts w:asciiTheme="majorHAnsi" w:hAnsiTheme="majorHAnsi" w:cstheme="majorHAnsi"/>
          <w:i/>
          <w:sz w:val="24"/>
          <w:szCs w:val="24"/>
          <w:lang w:val="ro-MD"/>
        </w:rPr>
      </w:pPr>
      <w:r w:rsidRPr="00B13B9A">
        <w:rPr>
          <w:rFonts w:asciiTheme="majorHAnsi" w:hAnsiTheme="majorHAnsi" w:cstheme="majorHAnsi"/>
          <w:i/>
          <w:sz w:val="24"/>
          <w:szCs w:val="24"/>
          <w:lang w:val="ro-MD"/>
        </w:rPr>
        <w:t>Să asigure eviden</w:t>
      </w:r>
      <w:r w:rsidR="00B13B9A" w:rsidRPr="00B13B9A">
        <w:rPr>
          <w:rFonts w:asciiTheme="majorHAnsi" w:hAnsiTheme="majorHAnsi" w:cstheme="majorHAnsi"/>
          <w:i/>
          <w:sz w:val="24"/>
          <w:szCs w:val="24"/>
          <w:lang w:val="ro-MD"/>
        </w:rPr>
        <w:t>ț</w:t>
      </w:r>
      <w:r w:rsidRPr="00B13B9A">
        <w:rPr>
          <w:rFonts w:asciiTheme="majorHAnsi" w:hAnsiTheme="majorHAnsi" w:cstheme="majorHAnsi"/>
          <w:i/>
          <w:sz w:val="24"/>
          <w:szCs w:val="24"/>
          <w:lang w:val="ro-MD"/>
        </w:rPr>
        <w:t xml:space="preserve">a conformă a veniturilor </w:t>
      </w:r>
      <w:r w:rsidR="00B13B9A" w:rsidRPr="00B13B9A">
        <w:rPr>
          <w:rFonts w:asciiTheme="majorHAnsi" w:hAnsiTheme="majorHAnsi" w:cstheme="majorHAnsi"/>
          <w:i/>
          <w:sz w:val="24"/>
          <w:szCs w:val="24"/>
          <w:lang w:val="ro-MD"/>
        </w:rPr>
        <w:t>ș</w:t>
      </w:r>
      <w:r w:rsidR="00B24768" w:rsidRPr="00B13B9A">
        <w:rPr>
          <w:rFonts w:asciiTheme="majorHAnsi" w:hAnsiTheme="majorHAnsi" w:cstheme="majorHAnsi"/>
          <w:i/>
          <w:sz w:val="24"/>
          <w:szCs w:val="24"/>
          <w:lang w:val="ro-MD"/>
        </w:rPr>
        <w:t>i cheltuielilor aferente tuturor tipurilor de servicii prestate</w:t>
      </w:r>
      <w:r w:rsidRPr="00B13B9A">
        <w:rPr>
          <w:rFonts w:asciiTheme="majorHAnsi" w:hAnsiTheme="majorHAnsi" w:cstheme="majorHAnsi"/>
          <w:i/>
          <w:sz w:val="24"/>
          <w:szCs w:val="24"/>
          <w:lang w:val="ro-MD"/>
        </w:rPr>
        <w:t xml:space="preserve"> </w:t>
      </w:r>
      <w:r w:rsidR="00B24768" w:rsidRPr="00B13B9A">
        <w:rPr>
          <w:rFonts w:asciiTheme="majorHAnsi" w:hAnsiTheme="majorHAnsi" w:cstheme="majorHAnsi"/>
          <w:i/>
          <w:sz w:val="24"/>
          <w:szCs w:val="24"/>
          <w:lang w:val="ro-MD"/>
        </w:rPr>
        <w:t>(</w:t>
      </w:r>
      <w:r w:rsidRPr="00B13B9A">
        <w:rPr>
          <w:rFonts w:asciiTheme="majorHAnsi" w:hAnsiTheme="majorHAnsi" w:cstheme="majorHAnsi"/>
          <w:i/>
          <w:sz w:val="24"/>
          <w:szCs w:val="24"/>
          <w:lang w:val="ro-MD"/>
        </w:rPr>
        <w:t>dona</w:t>
      </w:r>
      <w:r w:rsidR="00B13B9A" w:rsidRPr="00B13B9A">
        <w:rPr>
          <w:rFonts w:asciiTheme="majorHAnsi" w:hAnsiTheme="majorHAnsi" w:cstheme="majorHAnsi"/>
          <w:i/>
          <w:sz w:val="24"/>
          <w:szCs w:val="24"/>
          <w:lang w:val="ro-MD"/>
        </w:rPr>
        <w:t>ț</w:t>
      </w:r>
      <w:r w:rsidRPr="00B13B9A">
        <w:rPr>
          <w:rFonts w:asciiTheme="majorHAnsi" w:hAnsiTheme="majorHAnsi" w:cstheme="majorHAnsi"/>
          <w:i/>
          <w:sz w:val="24"/>
          <w:szCs w:val="24"/>
          <w:lang w:val="ro-MD"/>
        </w:rPr>
        <w:t>ii</w:t>
      </w:r>
      <w:r w:rsidR="00B24768" w:rsidRPr="00B13B9A">
        <w:rPr>
          <w:rFonts w:asciiTheme="majorHAnsi" w:hAnsiTheme="majorHAnsi" w:cstheme="majorHAnsi"/>
          <w:i/>
          <w:sz w:val="24"/>
          <w:szCs w:val="24"/>
          <w:lang w:val="ro-MD"/>
        </w:rPr>
        <w:t>, implementarea schemelor de tratament etc.)</w:t>
      </w:r>
      <w:r w:rsidR="009514C5" w:rsidRPr="00B13B9A">
        <w:rPr>
          <w:rFonts w:asciiTheme="majorHAnsi" w:hAnsiTheme="majorHAnsi" w:cstheme="majorHAnsi"/>
          <w:i/>
          <w:sz w:val="24"/>
          <w:szCs w:val="24"/>
          <w:lang w:val="ro-MD"/>
        </w:rPr>
        <w:t>,</w:t>
      </w:r>
      <w:r w:rsidRPr="00B13B9A">
        <w:rPr>
          <w:rFonts w:asciiTheme="majorHAnsi" w:hAnsiTheme="majorHAnsi" w:cstheme="majorHAnsi"/>
          <w:i/>
          <w:sz w:val="24"/>
          <w:szCs w:val="24"/>
          <w:lang w:val="ro-MD"/>
        </w:rPr>
        <w:t xml:space="preserve"> cu elaborarea pr</w:t>
      </w:r>
      <w:r w:rsidR="009071F5" w:rsidRPr="00B13B9A">
        <w:rPr>
          <w:rFonts w:asciiTheme="majorHAnsi" w:hAnsiTheme="majorHAnsi" w:cstheme="majorHAnsi"/>
          <w:i/>
          <w:sz w:val="24"/>
          <w:szCs w:val="24"/>
          <w:lang w:val="ro-MD"/>
        </w:rPr>
        <w:t>ocedurilor distincte de recunoa</w:t>
      </w:r>
      <w:r w:rsidR="00B13B9A" w:rsidRPr="00B13B9A">
        <w:rPr>
          <w:rFonts w:asciiTheme="majorHAnsi" w:hAnsiTheme="majorHAnsi" w:cstheme="majorHAnsi"/>
          <w:i/>
          <w:sz w:val="24"/>
          <w:szCs w:val="24"/>
          <w:lang w:val="ro-MD"/>
        </w:rPr>
        <w:t>ș</w:t>
      </w:r>
      <w:r w:rsidR="00B24768" w:rsidRPr="00B13B9A">
        <w:rPr>
          <w:rFonts w:asciiTheme="majorHAnsi" w:hAnsiTheme="majorHAnsi" w:cstheme="majorHAnsi"/>
          <w:i/>
          <w:sz w:val="24"/>
          <w:szCs w:val="24"/>
          <w:lang w:val="ro-MD"/>
        </w:rPr>
        <w:t>tere</w:t>
      </w:r>
      <w:r w:rsidRPr="00B13B9A">
        <w:rPr>
          <w:rFonts w:asciiTheme="majorHAnsi" w:hAnsiTheme="majorHAnsi" w:cstheme="majorHAnsi"/>
          <w:i/>
          <w:sz w:val="24"/>
          <w:szCs w:val="24"/>
          <w:lang w:val="ro-MD"/>
        </w:rPr>
        <w:t xml:space="preserve"> </w:t>
      </w:r>
      <w:r w:rsidR="00B24768" w:rsidRPr="00B13B9A">
        <w:rPr>
          <w:rFonts w:asciiTheme="majorHAnsi" w:hAnsiTheme="majorHAnsi" w:cstheme="majorHAnsi"/>
          <w:i/>
          <w:sz w:val="24"/>
          <w:szCs w:val="24"/>
          <w:lang w:val="ro-MD"/>
        </w:rPr>
        <w:t>a</w:t>
      </w:r>
      <w:r w:rsidRPr="00B13B9A">
        <w:rPr>
          <w:rFonts w:asciiTheme="majorHAnsi" w:hAnsiTheme="majorHAnsi" w:cstheme="majorHAnsi"/>
          <w:i/>
          <w:sz w:val="24"/>
          <w:szCs w:val="24"/>
          <w:lang w:val="ro-MD"/>
        </w:rPr>
        <w:t xml:space="preserve"> acestora în baza documentelor pr</w:t>
      </w:r>
      <w:r w:rsidR="00C64395" w:rsidRPr="00B13B9A">
        <w:rPr>
          <w:rFonts w:asciiTheme="majorHAnsi" w:hAnsiTheme="majorHAnsi" w:cstheme="majorHAnsi"/>
          <w:i/>
          <w:sz w:val="24"/>
          <w:szCs w:val="24"/>
          <w:lang w:val="ro-MD"/>
        </w:rPr>
        <w:t xml:space="preserve">imare </w:t>
      </w:r>
      <w:r w:rsidR="00B13B9A" w:rsidRPr="00B13B9A">
        <w:rPr>
          <w:rFonts w:asciiTheme="majorHAnsi" w:hAnsiTheme="majorHAnsi" w:cstheme="majorHAnsi"/>
          <w:i/>
          <w:sz w:val="24"/>
          <w:szCs w:val="24"/>
          <w:lang w:val="ro-MD"/>
        </w:rPr>
        <w:t>ș</w:t>
      </w:r>
      <w:r w:rsidR="00C64395" w:rsidRPr="00B13B9A">
        <w:rPr>
          <w:rFonts w:asciiTheme="majorHAnsi" w:hAnsiTheme="majorHAnsi" w:cstheme="majorHAnsi"/>
          <w:i/>
          <w:sz w:val="24"/>
          <w:szCs w:val="24"/>
          <w:lang w:val="ro-MD"/>
        </w:rPr>
        <w:t>i în conformitate cu SNC  (Observa</w:t>
      </w:r>
      <w:r w:rsidR="00B13B9A" w:rsidRPr="00B13B9A">
        <w:rPr>
          <w:rFonts w:asciiTheme="majorHAnsi" w:hAnsiTheme="majorHAnsi" w:cstheme="majorHAnsi"/>
          <w:i/>
          <w:sz w:val="24"/>
          <w:szCs w:val="24"/>
          <w:lang w:val="ro-MD"/>
        </w:rPr>
        <w:t>ț</w:t>
      </w:r>
      <w:r w:rsidR="00C64395" w:rsidRPr="00B13B9A">
        <w:rPr>
          <w:rFonts w:asciiTheme="majorHAnsi" w:hAnsiTheme="majorHAnsi" w:cstheme="majorHAnsi"/>
          <w:i/>
          <w:sz w:val="24"/>
          <w:szCs w:val="24"/>
          <w:lang w:val="ro-MD"/>
        </w:rPr>
        <w:t>ia 4.2.</w:t>
      </w:r>
      <w:r w:rsidR="00B80D7E" w:rsidRPr="00B13B9A">
        <w:rPr>
          <w:rFonts w:asciiTheme="majorHAnsi" w:hAnsiTheme="majorHAnsi" w:cstheme="majorHAnsi"/>
          <w:i/>
          <w:sz w:val="24"/>
          <w:szCs w:val="24"/>
          <w:lang w:val="ro-MD"/>
        </w:rPr>
        <w:t>1</w:t>
      </w:r>
      <w:r w:rsidR="007E110A" w:rsidRPr="00B13B9A">
        <w:rPr>
          <w:rFonts w:asciiTheme="majorHAnsi" w:hAnsiTheme="majorHAnsi" w:cstheme="majorHAnsi"/>
          <w:i/>
          <w:sz w:val="24"/>
          <w:szCs w:val="24"/>
          <w:lang w:val="ro-MD"/>
        </w:rPr>
        <w:t>0</w:t>
      </w:r>
      <w:r w:rsidR="00C64395" w:rsidRPr="00B13B9A">
        <w:rPr>
          <w:rFonts w:asciiTheme="majorHAnsi" w:hAnsiTheme="majorHAnsi" w:cstheme="majorHAnsi"/>
          <w:i/>
          <w:sz w:val="24"/>
          <w:szCs w:val="24"/>
          <w:lang w:val="ro-MD"/>
        </w:rPr>
        <w:t>);</w:t>
      </w:r>
    </w:p>
    <w:p w14:paraId="48879EC1" w14:textId="4ACD5D8B" w:rsidR="00894FFE" w:rsidRPr="00B13B9A" w:rsidRDefault="00B24768" w:rsidP="00CA5C8D">
      <w:pPr>
        <w:pStyle w:val="a7"/>
        <w:numPr>
          <w:ilvl w:val="0"/>
          <w:numId w:val="8"/>
        </w:numPr>
        <w:shd w:val="clear" w:color="auto" w:fill="FFFFFF" w:themeFill="background1"/>
        <w:tabs>
          <w:tab w:val="left" w:pos="709"/>
        </w:tabs>
        <w:spacing w:after="0" w:line="276" w:lineRule="auto"/>
        <w:ind w:left="0" w:firstLine="0"/>
        <w:jc w:val="both"/>
        <w:rPr>
          <w:rFonts w:asciiTheme="majorHAnsi" w:hAnsiTheme="majorHAnsi" w:cstheme="majorHAnsi"/>
          <w:i/>
          <w:sz w:val="24"/>
          <w:szCs w:val="24"/>
          <w:lang w:val="ro-MD"/>
        </w:rPr>
      </w:pPr>
      <w:r w:rsidRPr="00B13B9A">
        <w:rPr>
          <w:rFonts w:asciiTheme="majorHAnsi" w:hAnsiTheme="majorHAnsi" w:cstheme="majorHAnsi"/>
          <w:i/>
          <w:sz w:val="24"/>
          <w:szCs w:val="24"/>
          <w:lang w:val="ro-MD"/>
        </w:rPr>
        <w:t>Să asigure evaluarea func</w:t>
      </w:r>
      <w:r w:rsidR="00B13B9A" w:rsidRPr="00B13B9A">
        <w:rPr>
          <w:rFonts w:asciiTheme="majorHAnsi" w:hAnsiTheme="majorHAnsi" w:cstheme="majorHAnsi"/>
          <w:i/>
          <w:sz w:val="24"/>
          <w:szCs w:val="24"/>
          <w:lang w:val="ro-MD"/>
        </w:rPr>
        <w:t>ț</w:t>
      </w:r>
      <w:r w:rsidRPr="00B13B9A">
        <w:rPr>
          <w:rFonts w:asciiTheme="majorHAnsi" w:hAnsiTheme="majorHAnsi" w:cstheme="majorHAnsi"/>
          <w:i/>
          <w:sz w:val="24"/>
          <w:szCs w:val="24"/>
          <w:lang w:val="ro-MD"/>
        </w:rPr>
        <w:t>ionalită</w:t>
      </w:r>
      <w:r w:rsidR="00B13B9A" w:rsidRPr="00B13B9A">
        <w:rPr>
          <w:rFonts w:asciiTheme="majorHAnsi" w:hAnsiTheme="majorHAnsi" w:cstheme="majorHAnsi"/>
          <w:i/>
          <w:sz w:val="24"/>
          <w:szCs w:val="24"/>
          <w:lang w:val="ro-MD"/>
        </w:rPr>
        <w:t>ț</w:t>
      </w:r>
      <w:r w:rsidRPr="00B13B9A">
        <w:rPr>
          <w:rFonts w:asciiTheme="majorHAnsi" w:hAnsiTheme="majorHAnsi" w:cstheme="majorHAnsi"/>
          <w:i/>
          <w:sz w:val="24"/>
          <w:szCs w:val="24"/>
          <w:lang w:val="ro-MD"/>
        </w:rPr>
        <w:t xml:space="preserve">ii utilajului </w:t>
      </w:r>
      <w:r w:rsidR="00B13B9A" w:rsidRPr="00B13B9A">
        <w:rPr>
          <w:rFonts w:asciiTheme="majorHAnsi" w:hAnsiTheme="majorHAnsi" w:cstheme="majorHAnsi"/>
          <w:i/>
          <w:sz w:val="24"/>
          <w:szCs w:val="24"/>
          <w:lang w:val="ro-MD"/>
        </w:rPr>
        <w:t>ș</w:t>
      </w:r>
      <w:r w:rsidRPr="00B13B9A">
        <w:rPr>
          <w:rFonts w:asciiTheme="majorHAnsi" w:hAnsiTheme="majorHAnsi" w:cstheme="majorHAnsi"/>
          <w:i/>
          <w:sz w:val="24"/>
          <w:szCs w:val="24"/>
          <w:lang w:val="ro-MD"/>
        </w:rPr>
        <w:t>i echipamentelor medicale</w:t>
      </w:r>
      <w:r w:rsidR="009514C5" w:rsidRPr="00B13B9A">
        <w:rPr>
          <w:rFonts w:asciiTheme="majorHAnsi" w:hAnsiTheme="majorHAnsi" w:cstheme="majorHAnsi"/>
          <w:i/>
          <w:sz w:val="24"/>
          <w:szCs w:val="24"/>
          <w:lang w:val="ro-MD"/>
        </w:rPr>
        <w:t>,</w:t>
      </w:r>
      <w:r w:rsidRPr="00B13B9A">
        <w:rPr>
          <w:rFonts w:asciiTheme="majorHAnsi" w:hAnsiTheme="majorHAnsi" w:cstheme="majorHAnsi"/>
          <w:i/>
          <w:sz w:val="24"/>
          <w:szCs w:val="24"/>
          <w:lang w:val="ro-MD"/>
        </w:rPr>
        <w:t xml:space="preserve"> cu cas</w:t>
      </w:r>
      <w:r w:rsidR="009514C5" w:rsidRPr="00B13B9A">
        <w:rPr>
          <w:rFonts w:asciiTheme="majorHAnsi" w:hAnsiTheme="majorHAnsi" w:cstheme="majorHAnsi"/>
          <w:i/>
          <w:sz w:val="24"/>
          <w:szCs w:val="24"/>
          <w:lang w:val="ro-MD"/>
        </w:rPr>
        <w:t>area</w:t>
      </w:r>
      <w:r w:rsidRPr="00B13B9A">
        <w:rPr>
          <w:rFonts w:asciiTheme="majorHAnsi" w:hAnsiTheme="majorHAnsi" w:cstheme="majorHAnsi"/>
          <w:i/>
          <w:sz w:val="24"/>
          <w:szCs w:val="24"/>
          <w:lang w:val="ro-MD"/>
        </w:rPr>
        <w:t xml:space="preserve"> celor uzate</w:t>
      </w:r>
      <w:r w:rsidR="009514C5" w:rsidRPr="00B13B9A">
        <w:rPr>
          <w:rFonts w:asciiTheme="majorHAnsi" w:hAnsiTheme="majorHAnsi" w:cstheme="majorHAnsi"/>
          <w:i/>
          <w:sz w:val="24"/>
          <w:szCs w:val="24"/>
          <w:lang w:val="ro-MD"/>
        </w:rPr>
        <w:t>,</w:t>
      </w:r>
      <w:r w:rsidRPr="00B13B9A">
        <w:rPr>
          <w:rFonts w:asciiTheme="majorHAnsi" w:hAnsiTheme="majorHAnsi" w:cstheme="majorHAnsi"/>
          <w:i/>
          <w:sz w:val="24"/>
          <w:szCs w:val="24"/>
          <w:lang w:val="ro-MD"/>
        </w:rPr>
        <w:t xml:space="preserve"> precum </w:t>
      </w:r>
      <w:r w:rsidR="00B13B9A" w:rsidRPr="00B13B9A">
        <w:rPr>
          <w:rFonts w:asciiTheme="majorHAnsi" w:hAnsiTheme="majorHAnsi" w:cstheme="majorHAnsi"/>
          <w:i/>
          <w:sz w:val="24"/>
          <w:szCs w:val="24"/>
          <w:lang w:val="ro-MD"/>
        </w:rPr>
        <w:t>ș</w:t>
      </w:r>
      <w:r w:rsidRPr="00B13B9A">
        <w:rPr>
          <w:rFonts w:asciiTheme="majorHAnsi" w:hAnsiTheme="majorHAnsi" w:cstheme="majorHAnsi"/>
          <w:i/>
          <w:sz w:val="24"/>
          <w:szCs w:val="24"/>
          <w:lang w:val="ro-MD"/>
        </w:rPr>
        <w:t xml:space="preserve">i elaborarea reglementărilor privind punerea </w:t>
      </w:r>
      <w:r w:rsidR="00CA5C8D">
        <w:rPr>
          <w:rFonts w:asciiTheme="majorHAnsi" w:hAnsiTheme="majorHAnsi" w:cstheme="majorHAnsi"/>
          <w:i/>
          <w:sz w:val="24"/>
          <w:szCs w:val="24"/>
          <w:lang w:val="ro-MD"/>
        </w:rPr>
        <w:t xml:space="preserve">lor </w:t>
      </w:r>
      <w:r w:rsidRPr="00B13B9A">
        <w:rPr>
          <w:rFonts w:asciiTheme="majorHAnsi" w:hAnsiTheme="majorHAnsi" w:cstheme="majorHAnsi"/>
          <w:i/>
          <w:sz w:val="24"/>
          <w:szCs w:val="24"/>
          <w:lang w:val="ro-MD"/>
        </w:rPr>
        <w:t>în func</w:t>
      </w:r>
      <w:r w:rsidR="00B13B9A" w:rsidRPr="00B13B9A">
        <w:rPr>
          <w:rFonts w:asciiTheme="majorHAnsi" w:hAnsiTheme="majorHAnsi" w:cstheme="majorHAnsi"/>
          <w:i/>
          <w:sz w:val="24"/>
          <w:szCs w:val="24"/>
          <w:lang w:val="ro-MD"/>
        </w:rPr>
        <w:t>ț</w:t>
      </w:r>
      <w:r w:rsidRPr="00B13B9A">
        <w:rPr>
          <w:rFonts w:asciiTheme="majorHAnsi" w:hAnsiTheme="majorHAnsi" w:cstheme="majorHAnsi"/>
          <w:i/>
          <w:sz w:val="24"/>
          <w:szCs w:val="24"/>
          <w:lang w:val="ro-MD"/>
        </w:rPr>
        <w:t>iune doar în cazul necesită</w:t>
      </w:r>
      <w:r w:rsidR="00B13B9A" w:rsidRPr="00B13B9A">
        <w:rPr>
          <w:rFonts w:asciiTheme="majorHAnsi" w:hAnsiTheme="majorHAnsi" w:cstheme="majorHAnsi"/>
          <w:i/>
          <w:sz w:val="24"/>
          <w:szCs w:val="24"/>
          <w:lang w:val="ro-MD"/>
        </w:rPr>
        <w:t>ț</w:t>
      </w:r>
      <w:r w:rsidRPr="00B13B9A">
        <w:rPr>
          <w:rFonts w:asciiTheme="majorHAnsi" w:hAnsiTheme="majorHAnsi" w:cstheme="majorHAnsi"/>
          <w:i/>
          <w:sz w:val="24"/>
          <w:szCs w:val="24"/>
          <w:lang w:val="ro-MD"/>
        </w:rPr>
        <w:t>ii acestora</w:t>
      </w:r>
      <w:r w:rsidR="00B80D7E" w:rsidRPr="00B13B9A">
        <w:rPr>
          <w:rFonts w:asciiTheme="majorHAnsi" w:hAnsiTheme="majorHAnsi" w:cstheme="majorHAnsi"/>
          <w:i/>
          <w:sz w:val="24"/>
          <w:szCs w:val="24"/>
          <w:lang w:val="ro-MD"/>
        </w:rPr>
        <w:t xml:space="preserve"> (Observa</w:t>
      </w:r>
      <w:r w:rsidR="00B13B9A" w:rsidRPr="00B13B9A">
        <w:rPr>
          <w:rFonts w:asciiTheme="majorHAnsi" w:hAnsiTheme="majorHAnsi" w:cstheme="majorHAnsi"/>
          <w:i/>
          <w:sz w:val="24"/>
          <w:szCs w:val="24"/>
          <w:lang w:val="ro-MD"/>
        </w:rPr>
        <w:t>ț</w:t>
      </w:r>
      <w:r w:rsidR="00B80D7E" w:rsidRPr="00B13B9A">
        <w:rPr>
          <w:rFonts w:asciiTheme="majorHAnsi" w:hAnsiTheme="majorHAnsi" w:cstheme="majorHAnsi"/>
          <w:i/>
          <w:sz w:val="24"/>
          <w:szCs w:val="24"/>
          <w:lang w:val="ro-MD"/>
        </w:rPr>
        <w:t>ia 4.1.9, 4.1.10)</w:t>
      </w:r>
      <w:r w:rsidRPr="00B13B9A">
        <w:rPr>
          <w:rFonts w:asciiTheme="majorHAnsi" w:hAnsiTheme="majorHAnsi" w:cstheme="majorHAnsi"/>
          <w:i/>
          <w:sz w:val="24"/>
          <w:szCs w:val="24"/>
          <w:lang w:val="ro-MD"/>
        </w:rPr>
        <w:t>;</w:t>
      </w:r>
    </w:p>
    <w:p w14:paraId="15E2292F" w14:textId="2AA8589F" w:rsidR="00B24768" w:rsidRPr="00B13B9A" w:rsidRDefault="009514C5" w:rsidP="00CA5C8D">
      <w:pPr>
        <w:pStyle w:val="a7"/>
        <w:numPr>
          <w:ilvl w:val="0"/>
          <w:numId w:val="8"/>
        </w:numPr>
        <w:shd w:val="clear" w:color="auto" w:fill="FFFFFF" w:themeFill="background1"/>
        <w:tabs>
          <w:tab w:val="left" w:pos="709"/>
        </w:tabs>
        <w:spacing w:after="0" w:line="276" w:lineRule="auto"/>
        <w:ind w:left="0" w:firstLine="0"/>
        <w:jc w:val="both"/>
        <w:rPr>
          <w:rFonts w:asciiTheme="majorHAnsi" w:hAnsiTheme="majorHAnsi" w:cstheme="majorHAnsi"/>
          <w:i/>
          <w:sz w:val="24"/>
          <w:szCs w:val="24"/>
          <w:lang w:val="ro-MD"/>
        </w:rPr>
      </w:pPr>
      <w:r w:rsidRPr="00B13B9A">
        <w:rPr>
          <w:rFonts w:asciiTheme="majorHAnsi" w:hAnsiTheme="majorHAnsi" w:cstheme="majorHAnsi"/>
          <w:i/>
          <w:sz w:val="24"/>
          <w:szCs w:val="24"/>
          <w:lang w:val="ro-MD"/>
        </w:rPr>
        <w:t>Ca u</w:t>
      </w:r>
      <w:r w:rsidR="00B24768" w:rsidRPr="00B13B9A">
        <w:rPr>
          <w:rFonts w:asciiTheme="majorHAnsi" w:hAnsiTheme="majorHAnsi" w:cstheme="majorHAnsi"/>
          <w:i/>
          <w:sz w:val="24"/>
          <w:szCs w:val="24"/>
          <w:lang w:val="ro-MD"/>
        </w:rPr>
        <w:t>rmare a efectuării inventarierii anuale</w:t>
      </w:r>
      <w:r w:rsidRPr="00B13B9A">
        <w:rPr>
          <w:rFonts w:asciiTheme="majorHAnsi" w:hAnsiTheme="majorHAnsi" w:cstheme="majorHAnsi"/>
          <w:i/>
          <w:sz w:val="24"/>
          <w:szCs w:val="24"/>
          <w:lang w:val="ro-MD"/>
        </w:rPr>
        <w:t>,</w:t>
      </w:r>
      <w:r w:rsidR="00B24768" w:rsidRPr="00B13B9A">
        <w:rPr>
          <w:rFonts w:asciiTheme="majorHAnsi" w:hAnsiTheme="majorHAnsi" w:cstheme="majorHAnsi"/>
          <w:i/>
          <w:sz w:val="24"/>
          <w:szCs w:val="24"/>
          <w:lang w:val="ro-MD"/>
        </w:rPr>
        <w:t xml:space="preserve"> să determine utilajele noi neutilizate, dar necesare institu</w:t>
      </w:r>
      <w:r w:rsidR="00B13B9A" w:rsidRPr="00B13B9A">
        <w:rPr>
          <w:rFonts w:asciiTheme="majorHAnsi" w:hAnsiTheme="majorHAnsi" w:cstheme="majorHAnsi"/>
          <w:i/>
          <w:sz w:val="24"/>
          <w:szCs w:val="24"/>
          <w:lang w:val="ro-MD"/>
        </w:rPr>
        <w:t>ț</w:t>
      </w:r>
      <w:r w:rsidR="00B24768" w:rsidRPr="00B13B9A">
        <w:rPr>
          <w:rFonts w:asciiTheme="majorHAnsi" w:hAnsiTheme="majorHAnsi" w:cstheme="majorHAnsi"/>
          <w:i/>
          <w:sz w:val="24"/>
          <w:szCs w:val="24"/>
          <w:lang w:val="ro-MD"/>
        </w:rPr>
        <w:t xml:space="preserve">iei </w:t>
      </w:r>
      <w:r w:rsidR="00B13B9A" w:rsidRPr="00B13B9A">
        <w:rPr>
          <w:rFonts w:asciiTheme="majorHAnsi" w:hAnsiTheme="majorHAnsi" w:cstheme="majorHAnsi"/>
          <w:i/>
          <w:sz w:val="24"/>
          <w:szCs w:val="24"/>
          <w:lang w:val="ro-MD"/>
        </w:rPr>
        <w:t>ș</w:t>
      </w:r>
      <w:r w:rsidR="00B24768" w:rsidRPr="00B13B9A">
        <w:rPr>
          <w:rFonts w:asciiTheme="majorHAnsi" w:hAnsiTheme="majorHAnsi" w:cstheme="majorHAnsi"/>
          <w:i/>
          <w:sz w:val="24"/>
          <w:szCs w:val="24"/>
          <w:lang w:val="ro-MD"/>
        </w:rPr>
        <w:t xml:space="preserve">i cele care </w:t>
      </w:r>
      <w:r w:rsidR="00B80D7E" w:rsidRPr="00B13B9A">
        <w:rPr>
          <w:rFonts w:asciiTheme="majorHAnsi" w:hAnsiTheme="majorHAnsi" w:cstheme="majorHAnsi"/>
          <w:i/>
          <w:sz w:val="24"/>
          <w:szCs w:val="24"/>
          <w:lang w:val="ro-MD"/>
        </w:rPr>
        <w:t>pot fi transmise altor entită</w:t>
      </w:r>
      <w:r w:rsidR="00B13B9A" w:rsidRPr="00B13B9A">
        <w:rPr>
          <w:rFonts w:asciiTheme="majorHAnsi" w:hAnsiTheme="majorHAnsi" w:cstheme="majorHAnsi"/>
          <w:i/>
          <w:sz w:val="24"/>
          <w:szCs w:val="24"/>
          <w:lang w:val="ro-MD"/>
        </w:rPr>
        <w:t>ț</w:t>
      </w:r>
      <w:r w:rsidR="00B80D7E" w:rsidRPr="00B13B9A">
        <w:rPr>
          <w:rFonts w:asciiTheme="majorHAnsi" w:hAnsiTheme="majorHAnsi" w:cstheme="majorHAnsi"/>
          <w:i/>
          <w:sz w:val="24"/>
          <w:szCs w:val="24"/>
          <w:lang w:val="ro-MD"/>
        </w:rPr>
        <w:t>i (Observa</w:t>
      </w:r>
      <w:r w:rsidR="00B13B9A" w:rsidRPr="00B13B9A">
        <w:rPr>
          <w:rFonts w:asciiTheme="majorHAnsi" w:hAnsiTheme="majorHAnsi" w:cstheme="majorHAnsi"/>
          <w:i/>
          <w:sz w:val="24"/>
          <w:szCs w:val="24"/>
          <w:lang w:val="ro-MD"/>
        </w:rPr>
        <w:t>ț</w:t>
      </w:r>
      <w:r w:rsidR="00B80D7E" w:rsidRPr="00B13B9A">
        <w:rPr>
          <w:rFonts w:asciiTheme="majorHAnsi" w:hAnsiTheme="majorHAnsi" w:cstheme="majorHAnsi"/>
          <w:i/>
          <w:sz w:val="24"/>
          <w:szCs w:val="24"/>
          <w:lang w:val="ro-MD"/>
        </w:rPr>
        <w:t>ia 4.1.9);</w:t>
      </w:r>
    </w:p>
    <w:p w14:paraId="2052A61A" w14:textId="3C2156AF" w:rsidR="00D900FA" w:rsidRPr="00B13B9A" w:rsidRDefault="00445029" w:rsidP="00CA5C8D">
      <w:pPr>
        <w:pStyle w:val="a7"/>
        <w:numPr>
          <w:ilvl w:val="0"/>
          <w:numId w:val="8"/>
        </w:numPr>
        <w:tabs>
          <w:tab w:val="left" w:pos="709"/>
        </w:tabs>
        <w:spacing w:after="0" w:line="276" w:lineRule="auto"/>
        <w:ind w:left="0" w:firstLine="0"/>
        <w:jc w:val="both"/>
        <w:rPr>
          <w:rFonts w:asciiTheme="majorHAnsi" w:hAnsiTheme="majorHAnsi" w:cstheme="majorHAnsi"/>
          <w:lang w:val="ro-MD"/>
        </w:rPr>
      </w:pPr>
      <w:r w:rsidRPr="00B13B9A">
        <w:rPr>
          <w:rFonts w:asciiTheme="majorHAnsi" w:hAnsiTheme="majorHAnsi" w:cstheme="majorHAnsi"/>
          <w:i/>
          <w:sz w:val="24"/>
          <w:szCs w:val="24"/>
          <w:lang w:val="ro-MD"/>
        </w:rPr>
        <w:t>Să e</w:t>
      </w:r>
      <w:r w:rsidR="00D900FA" w:rsidRPr="00B13B9A">
        <w:rPr>
          <w:rFonts w:asciiTheme="majorHAnsi" w:hAnsiTheme="majorHAnsi" w:cstheme="majorHAnsi"/>
          <w:i/>
          <w:sz w:val="24"/>
          <w:szCs w:val="24"/>
          <w:lang w:val="ro-MD"/>
        </w:rPr>
        <w:t>labor</w:t>
      </w:r>
      <w:r w:rsidRPr="00B13B9A">
        <w:rPr>
          <w:rFonts w:asciiTheme="majorHAnsi" w:hAnsiTheme="majorHAnsi" w:cstheme="majorHAnsi"/>
          <w:i/>
          <w:sz w:val="24"/>
          <w:szCs w:val="24"/>
          <w:lang w:val="ro-MD"/>
        </w:rPr>
        <w:t>eze</w:t>
      </w:r>
      <w:r w:rsidR="00D900FA" w:rsidRPr="00B13B9A">
        <w:rPr>
          <w:rFonts w:asciiTheme="majorHAnsi" w:hAnsiTheme="majorHAnsi" w:cstheme="majorHAnsi"/>
          <w:i/>
          <w:sz w:val="24"/>
          <w:szCs w:val="24"/>
          <w:lang w:val="ro-MD"/>
        </w:rPr>
        <w:t xml:space="preserve"> planul alimentar </w:t>
      </w:r>
      <w:r w:rsidR="00B13B9A" w:rsidRPr="00B13B9A">
        <w:rPr>
          <w:rFonts w:asciiTheme="majorHAnsi" w:hAnsiTheme="majorHAnsi" w:cstheme="majorHAnsi"/>
          <w:i/>
          <w:sz w:val="24"/>
          <w:szCs w:val="24"/>
          <w:lang w:val="ro-MD"/>
        </w:rPr>
        <w:t>ș</w:t>
      </w:r>
      <w:r w:rsidR="00D900FA" w:rsidRPr="00B13B9A">
        <w:rPr>
          <w:rFonts w:asciiTheme="majorHAnsi" w:hAnsiTheme="majorHAnsi" w:cstheme="majorHAnsi"/>
          <w:i/>
          <w:sz w:val="24"/>
          <w:szCs w:val="24"/>
          <w:lang w:val="ro-MD"/>
        </w:rPr>
        <w:t>i totalizarea numărului de pacien</w:t>
      </w:r>
      <w:r w:rsidR="00B13B9A" w:rsidRPr="00B13B9A">
        <w:rPr>
          <w:rFonts w:asciiTheme="majorHAnsi" w:hAnsiTheme="majorHAnsi" w:cstheme="majorHAnsi"/>
          <w:i/>
          <w:sz w:val="24"/>
          <w:szCs w:val="24"/>
          <w:lang w:val="ro-MD"/>
        </w:rPr>
        <w:t>ț</w:t>
      </w:r>
      <w:r w:rsidR="00D900FA" w:rsidRPr="00B13B9A">
        <w:rPr>
          <w:rFonts w:asciiTheme="majorHAnsi" w:hAnsiTheme="majorHAnsi" w:cstheme="majorHAnsi"/>
          <w:i/>
          <w:sz w:val="24"/>
          <w:szCs w:val="24"/>
          <w:lang w:val="ro-MD"/>
        </w:rPr>
        <w:t xml:space="preserve">i </w:t>
      </w:r>
      <w:r w:rsidR="00B13B9A" w:rsidRPr="00B13B9A">
        <w:rPr>
          <w:rFonts w:asciiTheme="majorHAnsi" w:hAnsiTheme="majorHAnsi" w:cstheme="majorHAnsi"/>
          <w:i/>
          <w:sz w:val="24"/>
          <w:szCs w:val="24"/>
          <w:lang w:val="ro-MD"/>
        </w:rPr>
        <w:t>ț</w:t>
      </w:r>
      <w:r w:rsidR="00D900FA" w:rsidRPr="00B13B9A">
        <w:rPr>
          <w:rFonts w:asciiTheme="majorHAnsi" w:hAnsiTheme="majorHAnsi" w:cstheme="majorHAnsi"/>
          <w:i/>
          <w:sz w:val="24"/>
          <w:szCs w:val="24"/>
          <w:lang w:val="ro-MD"/>
        </w:rPr>
        <w:t xml:space="preserve">inând cont de internările </w:t>
      </w:r>
      <w:r w:rsidR="00B13B9A" w:rsidRPr="00B13B9A">
        <w:rPr>
          <w:rFonts w:asciiTheme="majorHAnsi" w:hAnsiTheme="majorHAnsi" w:cstheme="majorHAnsi"/>
          <w:i/>
          <w:sz w:val="24"/>
          <w:szCs w:val="24"/>
          <w:lang w:val="ro-MD"/>
        </w:rPr>
        <w:t>ș</w:t>
      </w:r>
      <w:r w:rsidR="00D900FA" w:rsidRPr="00B13B9A">
        <w:rPr>
          <w:rFonts w:asciiTheme="majorHAnsi" w:hAnsiTheme="majorHAnsi" w:cstheme="majorHAnsi"/>
          <w:i/>
          <w:sz w:val="24"/>
          <w:szCs w:val="24"/>
          <w:lang w:val="ro-MD"/>
        </w:rPr>
        <w:t>i externările efectuate, în conformitate cu prevederile Ordinului Ministerului Sănătă</w:t>
      </w:r>
      <w:r w:rsidR="00B13B9A" w:rsidRPr="00B13B9A">
        <w:rPr>
          <w:rFonts w:asciiTheme="majorHAnsi" w:hAnsiTheme="majorHAnsi" w:cstheme="majorHAnsi"/>
          <w:i/>
          <w:sz w:val="24"/>
          <w:szCs w:val="24"/>
          <w:lang w:val="ro-MD"/>
        </w:rPr>
        <w:t>ț</w:t>
      </w:r>
      <w:r w:rsidR="00D900FA" w:rsidRPr="00B13B9A">
        <w:rPr>
          <w:rFonts w:asciiTheme="majorHAnsi" w:hAnsiTheme="majorHAnsi" w:cstheme="majorHAnsi"/>
          <w:i/>
          <w:sz w:val="24"/>
          <w:szCs w:val="24"/>
          <w:lang w:val="ro-MD"/>
        </w:rPr>
        <w:t xml:space="preserve">ii </w:t>
      </w:r>
      <w:r w:rsidR="00B24768" w:rsidRPr="00B13B9A">
        <w:rPr>
          <w:rFonts w:asciiTheme="majorHAnsi" w:hAnsiTheme="majorHAnsi" w:cstheme="majorHAnsi"/>
          <w:i/>
          <w:sz w:val="24"/>
          <w:szCs w:val="24"/>
          <w:lang w:val="ro-MD"/>
        </w:rPr>
        <w:t>n</w:t>
      </w:r>
      <w:r w:rsidR="00D900FA" w:rsidRPr="00B13B9A">
        <w:rPr>
          <w:rFonts w:asciiTheme="majorHAnsi" w:hAnsiTheme="majorHAnsi" w:cstheme="majorHAnsi"/>
          <w:i/>
          <w:sz w:val="24"/>
          <w:szCs w:val="24"/>
          <w:lang w:val="ro-MD"/>
        </w:rPr>
        <w:t>r. 238/2009 privind ameliorarea alimenta</w:t>
      </w:r>
      <w:r w:rsidR="00B13B9A" w:rsidRPr="00B13B9A">
        <w:rPr>
          <w:rFonts w:asciiTheme="majorHAnsi" w:hAnsiTheme="majorHAnsi" w:cstheme="majorHAnsi"/>
          <w:i/>
          <w:sz w:val="24"/>
          <w:szCs w:val="24"/>
          <w:lang w:val="ro-MD"/>
        </w:rPr>
        <w:t>ț</w:t>
      </w:r>
      <w:r w:rsidR="00D900FA" w:rsidRPr="00B13B9A">
        <w:rPr>
          <w:rFonts w:asciiTheme="majorHAnsi" w:hAnsiTheme="majorHAnsi" w:cstheme="majorHAnsi"/>
          <w:i/>
          <w:sz w:val="24"/>
          <w:szCs w:val="24"/>
          <w:lang w:val="ro-MD"/>
        </w:rPr>
        <w:t>iei pacien</w:t>
      </w:r>
      <w:r w:rsidR="00B13B9A" w:rsidRPr="00B13B9A">
        <w:rPr>
          <w:rFonts w:asciiTheme="majorHAnsi" w:hAnsiTheme="majorHAnsi" w:cstheme="majorHAnsi"/>
          <w:i/>
          <w:sz w:val="24"/>
          <w:szCs w:val="24"/>
          <w:lang w:val="ro-MD"/>
        </w:rPr>
        <w:t>ț</w:t>
      </w:r>
      <w:r w:rsidR="00D900FA" w:rsidRPr="00B13B9A">
        <w:rPr>
          <w:rFonts w:asciiTheme="majorHAnsi" w:hAnsiTheme="majorHAnsi" w:cstheme="majorHAnsi"/>
          <w:i/>
          <w:sz w:val="24"/>
          <w:szCs w:val="24"/>
          <w:lang w:val="ro-MD"/>
        </w:rPr>
        <w:t>ilor în institu</w:t>
      </w:r>
      <w:r w:rsidR="00B13B9A" w:rsidRPr="00B13B9A">
        <w:rPr>
          <w:rFonts w:asciiTheme="majorHAnsi" w:hAnsiTheme="majorHAnsi" w:cstheme="majorHAnsi"/>
          <w:i/>
          <w:sz w:val="24"/>
          <w:szCs w:val="24"/>
          <w:lang w:val="ro-MD"/>
        </w:rPr>
        <w:t>ț</w:t>
      </w:r>
      <w:r w:rsidR="00D900FA" w:rsidRPr="00B13B9A">
        <w:rPr>
          <w:rFonts w:asciiTheme="majorHAnsi" w:hAnsiTheme="majorHAnsi" w:cstheme="majorHAnsi"/>
          <w:i/>
          <w:sz w:val="24"/>
          <w:szCs w:val="24"/>
          <w:lang w:val="ro-MD"/>
        </w:rPr>
        <w:t>iile medico-sanitare spitalice</w:t>
      </w:r>
      <w:r w:rsidR="00B13B9A" w:rsidRPr="00B13B9A">
        <w:rPr>
          <w:rFonts w:asciiTheme="majorHAnsi" w:hAnsiTheme="majorHAnsi" w:cstheme="majorHAnsi"/>
          <w:i/>
          <w:sz w:val="24"/>
          <w:szCs w:val="24"/>
          <w:lang w:val="ro-MD"/>
        </w:rPr>
        <w:t>ș</w:t>
      </w:r>
      <w:r w:rsidR="00D900FA" w:rsidRPr="00B13B9A">
        <w:rPr>
          <w:rFonts w:asciiTheme="majorHAnsi" w:hAnsiTheme="majorHAnsi" w:cstheme="majorHAnsi"/>
          <w:i/>
          <w:sz w:val="24"/>
          <w:szCs w:val="24"/>
          <w:lang w:val="ro-MD"/>
        </w:rPr>
        <w:t>ti</w:t>
      </w:r>
      <w:r w:rsidR="00B80D7E" w:rsidRPr="00B13B9A">
        <w:rPr>
          <w:rFonts w:asciiTheme="majorHAnsi" w:hAnsiTheme="majorHAnsi" w:cstheme="majorHAnsi"/>
          <w:i/>
          <w:sz w:val="24"/>
          <w:szCs w:val="24"/>
          <w:lang w:val="ro-MD"/>
        </w:rPr>
        <w:t xml:space="preserve"> (Observa</w:t>
      </w:r>
      <w:r w:rsidR="00B13B9A" w:rsidRPr="00B13B9A">
        <w:rPr>
          <w:rFonts w:asciiTheme="majorHAnsi" w:hAnsiTheme="majorHAnsi" w:cstheme="majorHAnsi"/>
          <w:i/>
          <w:sz w:val="24"/>
          <w:szCs w:val="24"/>
          <w:lang w:val="ro-MD"/>
        </w:rPr>
        <w:t>ț</w:t>
      </w:r>
      <w:r w:rsidR="00B80D7E" w:rsidRPr="00B13B9A">
        <w:rPr>
          <w:rFonts w:asciiTheme="majorHAnsi" w:hAnsiTheme="majorHAnsi" w:cstheme="majorHAnsi"/>
          <w:i/>
          <w:sz w:val="24"/>
          <w:szCs w:val="24"/>
          <w:lang w:val="ro-MD"/>
        </w:rPr>
        <w:t xml:space="preserve">ia </w:t>
      </w:r>
      <w:r w:rsidR="007E110A" w:rsidRPr="00B13B9A">
        <w:rPr>
          <w:rFonts w:asciiTheme="majorHAnsi" w:hAnsiTheme="majorHAnsi" w:cstheme="majorHAnsi"/>
          <w:i/>
          <w:sz w:val="24"/>
          <w:szCs w:val="24"/>
          <w:lang w:val="ro-MD"/>
        </w:rPr>
        <w:t>4.2.8</w:t>
      </w:r>
      <w:r w:rsidR="00B80D7E" w:rsidRPr="00B13B9A">
        <w:rPr>
          <w:rFonts w:asciiTheme="majorHAnsi" w:hAnsiTheme="majorHAnsi" w:cstheme="majorHAnsi"/>
          <w:i/>
          <w:sz w:val="24"/>
          <w:szCs w:val="24"/>
          <w:lang w:val="ro-MD"/>
        </w:rPr>
        <w:t>)</w:t>
      </w:r>
      <w:r w:rsidR="00D900FA" w:rsidRPr="00B13B9A">
        <w:rPr>
          <w:rFonts w:asciiTheme="majorHAnsi" w:hAnsiTheme="majorHAnsi" w:cstheme="majorHAnsi"/>
          <w:i/>
          <w:sz w:val="24"/>
          <w:szCs w:val="24"/>
          <w:lang w:val="ro-MD"/>
        </w:rPr>
        <w:t>;</w:t>
      </w:r>
    </w:p>
    <w:p w14:paraId="1DBAE580" w14:textId="7EE661C8" w:rsidR="00A44F95" w:rsidRPr="00B13B9A" w:rsidRDefault="00D900FA" w:rsidP="00CA5C8D">
      <w:pPr>
        <w:pStyle w:val="a7"/>
        <w:numPr>
          <w:ilvl w:val="0"/>
          <w:numId w:val="8"/>
        </w:numPr>
        <w:tabs>
          <w:tab w:val="left" w:pos="709"/>
        </w:tabs>
        <w:spacing w:after="0" w:line="276" w:lineRule="auto"/>
        <w:ind w:left="0" w:firstLine="0"/>
        <w:jc w:val="both"/>
        <w:rPr>
          <w:rFonts w:asciiTheme="majorHAnsi" w:eastAsia="Times New Roman" w:hAnsiTheme="majorHAnsi" w:cstheme="majorHAnsi"/>
          <w:bCs/>
          <w:i/>
          <w:iCs/>
          <w:sz w:val="24"/>
          <w:szCs w:val="24"/>
          <w:lang w:val="ro-MD"/>
        </w:rPr>
      </w:pPr>
      <w:r w:rsidRPr="00B13B9A">
        <w:rPr>
          <w:rFonts w:asciiTheme="majorHAnsi" w:eastAsia="Times New Roman" w:hAnsiTheme="majorHAnsi" w:cstheme="majorHAnsi"/>
          <w:bCs/>
          <w:i/>
          <w:iCs/>
          <w:sz w:val="24"/>
          <w:szCs w:val="24"/>
          <w:lang w:val="ro-MD"/>
        </w:rPr>
        <w:t xml:space="preserve">Să asigure </w:t>
      </w:r>
      <w:r w:rsidR="00B24768" w:rsidRPr="00B13B9A">
        <w:rPr>
          <w:rFonts w:asciiTheme="majorHAnsi" w:eastAsia="Times New Roman" w:hAnsiTheme="majorHAnsi" w:cstheme="majorHAnsi"/>
          <w:bCs/>
          <w:i/>
          <w:iCs/>
          <w:sz w:val="24"/>
          <w:szCs w:val="24"/>
          <w:lang w:val="ro-MD"/>
        </w:rPr>
        <w:t>includerea în planul de achizi</w:t>
      </w:r>
      <w:r w:rsidR="00B13B9A" w:rsidRPr="00B13B9A">
        <w:rPr>
          <w:rFonts w:asciiTheme="majorHAnsi" w:eastAsia="Times New Roman" w:hAnsiTheme="majorHAnsi" w:cstheme="majorHAnsi"/>
          <w:bCs/>
          <w:i/>
          <w:iCs/>
          <w:sz w:val="24"/>
          <w:szCs w:val="24"/>
          <w:lang w:val="ro-MD"/>
        </w:rPr>
        <w:t>ț</w:t>
      </w:r>
      <w:r w:rsidR="00B24768" w:rsidRPr="00B13B9A">
        <w:rPr>
          <w:rFonts w:asciiTheme="majorHAnsi" w:eastAsia="Times New Roman" w:hAnsiTheme="majorHAnsi" w:cstheme="majorHAnsi"/>
          <w:bCs/>
          <w:i/>
          <w:iCs/>
          <w:sz w:val="24"/>
          <w:szCs w:val="24"/>
          <w:lang w:val="ro-MD"/>
        </w:rPr>
        <w:t xml:space="preserve">ii a tuturor bunurilor </w:t>
      </w:r>
      <w:r w:rsidR="00B13B9A" w:rsidRPr="00B13B9A">
        <w:rPr>
          <w:rFonts w:asciiTheme="majorHAnsi" w:eastAsia="Times New Roman" w:hAnsiTheme="majorHAnsi" w:cstheme="majorHAnsi"/>
          <w:bCs/>
          <w:i/>
          <w:iCs/>
          <w:sz w:val="24"/>
          <w:szCs w:val="24"/>
          <w:lang w:val="ro-MD"/>
        </w:rPr>
        <w:t>ș</w:t>
      </w:r>
      <w:r w:rsidR="00B24768" w:rsidRPr="00B13B9A">
        <w:rPr>
          <w:rFonts w:asciiTheme="majorHAnsi" w:eastAsia="Times New Roman" w:hAnsiTheme="majorHAnsi" w:cstheme="majorHAnsi"/>
          <w:bCs/>
          <w:i/>
          <w:iCs/>
          <w:sz w:val="24"/>
          <w:szCs w:val="24"/>
          <w:lang w:val="ro-MD"/>
        </w:rPr>
        <w:t xml:space="preserve">i serviciilor </w:t>
      </w:r>
      <w:r w:rsidR="00D163A8" w:rsidRPr="00B13B9A">
        <w:rPr>
          <w:rFonts w:asciiTheme="majorHAnsi" w:eastAsia="Times New Roman" w:hAnsiTheme="majorHAnsi" w:cstheme="majorHAnsi"/>
          <w:bCs/>
          <w:i/>
          <w:iCs/>
          <w:sz w:val="24"/>
          <w:szCs w:val="24"/>
          <w:lang w:val="ro-MD"/>
        </w:rPr>
        <w:t>necesare a fi procurate, indiferent d</w:t>
      </w:r>
      <w:r w:rsidR="00B80D7E" w:rsidRPr="00B13B9A">
        <w:rPr>
          <w:rFonts w:asciiTheme="majorHAnsi" w:eastAsia="Times New Roman" w:hAnsiTheme="majorHAnsi" w:cstheme="majorHAnsi"/>
          <w:bCs/>
          <w:i/>
          <w:iCs/>
          <w:sz w:val="24"/>
          <w:szCs w:val="24"/>
          <w:lang w:val="ro-MD"/>
        </w:rPr>
        <w:t xml:space="preserve">e procedura ulterioară aplicată </w:t>
      </w:r>
      <w:r w:rsidR="00B80D7E" w:rsidRPr="00B13B9A">
        <w:rPr>
          <w:rFonts w:asciiTheme="majorHAnsi" w:hAnsiTheme="majorHAnsi" w:cstheme="majorHAnsi"/>
          <w:i/>
          <w:sz w:val="24"/>
          <w:szCs w:val="24"/>
          <w:lang w:val="ro-MD"/>
        </w:rPr>
        <w:t>(Observa</w:t>
      </w:r>
      <w:r w:rsidR="00B13B9A" w:rsidRPr="00B13B9A">
        <w:rPr>
          <w:rFonts w:asciiTheme="majorHAnsi" w:hAnsiTheme="majorHAnsi" w:cstheme="majorHAnsi"/>
          <w:i/>
          <w:sz w:val="24"/>
          <w:szCs w:val="24"/>
          <w:lang w:val="ro-MD"/>
        </w:rPr>
        <w:t>ț</w:t>
      </w:r>
      <w:r w:rsidR="00B80D7E" w:rsidRPr="00B13B9A">
        <w:rPr>
          <w:rFonts w:asciiTheme="majorHAnsi" w:hAnsiTheme="majorHAnsi" w:cstheme="majorHAnsi"/>
          <w:i/>
          <w:sz w:val="24"/>
          <w:szCs w:val="24"/>
          <w:lang w:val="ro-MD"/>
        </w:rPr>
        <w:t>ia 4.2.5, 4.2.6, 4.2.7);</w:t>
      </w:r>
      <w:r w:rsidR="00894FFE" w:rsidRPr="00B13B9A">
        <w:rPr>
          <w:rFonts w:asciiTheme="majorHAnsi" w:eastAsia="Times New Roman" w:hAnsiTheme="majorHAnsi" w:cstheme="majorHAnsi"/>
          <w:bCs/>
          <w:i/>
          <w:iCs/>
          <w:sz w:val="24"/>
          <w:szCs w:val="24"/>
          <w:lang w:val="ro-MD"/>
        </w:rPr>
        <w:t xml:space="preserve"> </w:t>
      </w:r>
    </w:p>
    <w:p w14:paraId="25CA1645" w14:textId="1186F854" w:rsidR="002733E9" w:rsidRPr="00B13B9A" w:rsidRDefault="00454129" w:rsidP="00CA5C8D">
      <w:pPr>
        <w:pStyle w:val="a7"/>
        <w:numPr>
          <w:ilvl w:val="0"/>
          <w:numId w:val="8"/>
        </w:numPr>
        <w:tabs>
          <w:tab w:val="left" w:pos="709"/>
        </w:tabs>
        <w:spacing w:after="0" w:line="276" w:lineRule="auto"/>
        <w:ind w:left="0" w:firstLine="0"/>
        <w:jc w:val="both"/>
        <w:rPr>
          <w:rFonts w:asciiTheme="majorHAnsi" w:eastAsia="Times New Roman" w:hAnsiTheme="majorHAnsi" w:cstheme="majorHAnsi"/>
          <w:bCs/>
          <w:i/>
          <w:iCs/>
          <w:sz w:val="24"/>
          <w:szCs w:val="24"/>
          <w:lang w:val="ro-MD"/>
        </w:rPr>
      </w:pPr>
      <w:r w:rsidRPr="00B13B9A">
        <w:rPr>
          <w:rFonts w:asciiTheme="majorHAnsi" w:eastAsia="Times New Roman" w:hAnsiTheme="majorHAnsi" w:cstheme="majorHAnsi"/>
          <w:i/>
          <w:color w:val="000000"/>
          <w:sz w:val="24"/>
          <w:szCs w:val="24"/>
          <w:lang w:val="ro-MD"/>
        </w:rPr>
        <w:t xml:space="preserve">Să asigure </w:t>
      </w:r>
      <w:r w:rsidR="00D900FA" w:rsidRPr="00B13B9A">
        <w:rPr>
          <w:rFonts w:asciiTheme="majorHAnsi" w:eastAsia="Times New Roman" w:hAnsiTheme="majorHAnsi" w:cstheme="majorHAnsi"/>
          <w:i/>
          <w:color w:val="000000"/>
          <w:sz w:val="24"/>
          <w:szCs w:val="24"/>
          <w:lang w:val="ro-MD"/>
        </w:rPr>
        <w:t>eviden</w:t>
      </w:r>
      <w:r w:rsidR="00B13B9A" w:rsidRPr="00B13B9A">
        <w:rPr>
          <w:rFonts w:asciiTheme="majorHAnsi" w:eastAsia="Times New Roman" w:hAnsiTheme="majorHAnsi" w:cstheme="majorHAnsi"/>
          <w:i/>
          <w:color w:val="000000"/>
          <w:sz w:val="24"/>
          <w:szCs w:val="24"/>
          <w:lang w:val="ro-MD"/>
        </w:rPr>
        <w:t>ț</w:t>
      </w:r>
      <w:r w:rsidR="00D900FA" w:rsidRPr="00B13B9A">
        <w:rPr>
          <w:rFonts w:asciiTheme="majorHAnsi" w:eastAsia="Times New Roman" w:hAnsiTheme="majorHAnsi" w:cstheme="majorHAnsi"/>
          <w:i/>
          <w:color w:val="000000"/>
          <w:sz w:val="24"/>
          <w:szCs w:val="24"/>
          <w:lang w:val="ro-MD"/>
        </w:rPr>
        <w:t>a termenului restant de valabilitate a medicamentelor la primirea acestora</w:t>
      </w:r>
      <w:r w:rsidRPr="00B13B9A">
        <w:rPr>
          <w:rFonts w:asciiTheme="majorHAnsi" w:eastAsia="Times New Roman" w:hAnsiTheme="majorHAnsi" w:cstheme="majorHAnsi"/>
          <w:i/>
          <w:color w:val="000000"/>
          <w:sz w:val="24"/>
          <w:szCs w:val="24"/>
          <w:lang w:val="ro-MD"/>
        </w:rPr>
        <w:t xml:space="preserve"> în depozitul farmaceutic al institu</w:t>
      </w:r>
      <w:r w:rsidR="00B13B9A" w:rsidRPr="00B13B9A">
        <w:rPr>
          <w:rFonts w:asciiTheme="majorHAnsi" w:eastAsia="Times New Roman" w:hAnsiTheme="majorHAnsi" w:cstheme="majorHAnsi"/>
          <w:i/>
          <w:color w:val="000000"/>
          <w:sz w:val="24"/>
          <w:szCs w:val="24"/>
          <w:lang w:val="ro-MD"/>
        </w:rPr>
        <w:t>ț</w:t>
      </w:r>
      <w:r w:rsidRPr="00B13B9A">
        <w:rPr>
          <w:rFonts w:asciiTheme="majorHAnsi" w:eastAsia="Times New Roman" w:hAnsiTheme="majorHAnsi" w:cstheme="majorHAnsi"/>
          <w:i/>
          <w:color w:val="000000"/>
          <w:sz w:val="24"/>
          <w:szCs w:val="24"/>
          <w:lang w:val="ro-MD"/>
        </w:rPr>
        <w:t>iei</w:t>
      </w:r>
      <w:r w:rsidR="00B80D7E" w:rsidRPr="00B13B9A">
        <w:rPr>
          <w:rFonts w:asciiTheme="majorHAnsi" w:eastAsia="Times New Roman" w:hAnsiTheme="majorHAnsi" w:cstheme="majorHAnsi"/>
          <w:i/>
          <w:color w:val="000000"/>
          <w:sz w:val="24"/>
          <w:szCs w:val="24"/>
          <w:lang w:val="ro-MD"/>
        </w:rPr>
        <w:t xml:space="preserve"> </w:t>
      </w:r>
      <w:r w:rsidR="00B80D7E" w:rsidRPr="00B13B9A">
        <w:rPr>
          <w:rFonts w:asciiTheme="majorHAnsi" w:hAnsiTheme="majorHAnsi" w:cstheme="majorHAnsi"/>
          <w:i/>
          <w:sz w:val="24"/>
          <w:szCs w:val="24"/>
          <w:lang w:val="ro-MD"/>
        </w:rPr>
        <w:t>(Observa</w:t>
      </w:r>
      <w:r w:rsidR="00B13B9A" w:rsidRPr="00B13B9A">
        <w:rPr>
          <w:rFonts w:asciiTheme="majorHAnsi" w:hAnsiTheme="majorHAnsi" w:cstheme="majorHAnsi"/>
          <w:i/>
          <w:sz w:val="24"/>
          <w:szCs w:val="24"/>
          <w:lang w:val="ro-MD"/>
        </w:rPr>
        <w:t>ț</w:t>
      </w:r>
      <w:r w:rsidR="00B80D7E" w:rsidRPr="00B13B9A">
        <w:rPr>
          <w:rFonts w:asciiTheme="majorHAnsi" w:hAnsiTheme="majorHAnsi" w:cstheme="majorHAnsi"/>
          <w:i/>
          <w:sz w:val="24"/>
          <w:szCs w:val="24"/>
          <w:lang w:val="ro-MD"/>
        </w:rPr>
        <w:t>ia 4.2.1</w:t>
      </w:r>
      <w:r w:rsidR="007E110A" w:rsidRPr="00B13B9A">
        <w:rPr>
          <w:rFonts w:asciiTheme="majorHAnsi" w:hAnsiTheme="majorHAnsi" w:cstheme="majorHAnsi"/>
          <w:i/>
          <w:sz w:val="24"/>
          <w:szCs w:val="24"/>
          <w:lang w:val="ro-MD"/>
        </w:rPr>
        <w:t>3</w:t>
      </w:r>
      <w:r w:rsidR="00B80D7E" w:rsidRPr="00B13B9A">
        <w:rPr>
          <w:rFonts w:asciiTheme="majorHAnsi" w:hAnsiTheme="majorHAnsi" w:cstheme="majorHAnsi"/>
          <w:i/>
          <w:sz w:val="24"/>
          <w:szCs w:val="24"/>
          <w:lang w:val="ro-MD"/>
        </w:rPr>
        <w:t>)</w:t>
      </w:r>
      <w:r w:rsidR="00911AEE" w:rsidRPr="00B13B9A">
        <w:rPr>
          <w:rFonts w:asciiTheme="majorHAnsi" w:hAnsiTheme="majorHAnsi" w:cstheme="majorHAnsi"/>
          <w:i/>
          <w:sz w:val="24"/>
          <w:szCs w:val="24"/>
          <w:lang w:val="ro-MD"/>
        </w:rPr>
        <w:t>.</w:t>
      </w:r>
    </w:p>
    <w:p w14:paraId="61D50C96" w14:textId="77777777" w:rsidR="00A73003" w:rsidRDefault="00A73003" w:rsidP="002733E9">
      <w:pPr>
        <w:spacing w:after="0" w:line="276" w:lineRule="auto"/>
        <w:rPr>
          <w:rFonts w:asciiTheme="majorHAnsi" w:hAnsiTheme="majorHAnsi" w:cstheme="majorHAnsi"/>
          <w:b/>
          <w:color w:val="000000" w:themeColor="text1"/>
          <w:sz w:val="24"/>
          <w:szCs w:val="24"/>
          <w:lang w:val="ro-MD"/>
        </w:rPr>
      </w:pPr>
    </w:p>
    <w:p w14:paraId="23A49D03" w14:textId="77DCD935" w:rsidR="00A73003" w:rsidRPr="00B13B9A" w:rsidRDefault="002733E9" w:rsidP="002733E9">
      <w:pPr>
        <w:spacing w:after="0" w:line="276" w:lineRule="auto"/>
        <w:rPr>
          <w:rFonts w:asciiTheme="majorHAnsi" w:hAnsiTheme="majorHAnsi" w:cstheme="majorHAnsi"/>
          <w:b/>
          <w:color w:val="000000" w:themeColor="text1"/>
          <w:sz w:val="24"/>
          <w:szCs w:val="24"/>
          <w:lang w:val="ro-MD"/>
        </w:rPr>
      </w:pPr>
      <w:r w:rsidRPr="00B13B9A">
        <w:rPr>
          <w:rFonts w:asciiTheme="majorHAnsi" w:hAnsiTheme="majorHAnsi" w:cstheme="majorHAnsi"/>
          <w:b/>
          <w:color w:val="000000" w:themeColor="text1"/>
          <w:sz w:val="24"/>
          <w:szCs w:val="24"/>
          <w:lang w:val="ro-MD"/>
        </w:rPr>
        <w:t>Semnătura auditorului</w:t>
      </w:r>
    </w:p>
    <w:p w14:paraId="609410B0" w14:textId="77777777" w:rsidR="002733E9" w:rsidRPr="00B13B9A" w:rsidRDefault="002733E9" w:rsidP="002733E9">
      <w:pPr>
        <w:spacing w:after="0" w:line="276" w:lineRule="auto"/>
        <w:jc w:val="both"/>
        <w:rPr>
          <w:rFonts w:asciiTheme="majorHAnsi" w:hAnsiTheme="majorHAnsi" w:cstheme="majorHAnsi"/>
          <w:b/>
          <w:bCs/>
          <w:iCs/>
          <w:sz w:val="24"/>
          <w:szCs w:val="24"/>
          <w:lang w:val="ro-MD"/>
        </w:rPr>
      </w:pPr>
      <w:r w:rsidRPr="00B13B9A">
        <w:rPr>
          <w:rFonts w:asciiTheme="majorHAnsi" w:hAnsiTheme="majorHAnsi" w:cstheme="majorHAnsi"/>
          <w:b/>
          <w:bCs/>
          <w:iCs/>
          <w:sz w:val="24"/>
          <w:szCs w:val="24"/>
          <w:lang w:val="ro-MD"/>
        </w:rPr>
        <w:t>Echipa de audit:</w:t>
      </w:r>
    </w:p>
    <w:p w14:paraId="2B5108E1" w14:textId="0B245DCF" w:rsidR="002733E9" w:rsidRPr="00B13B9A" w:rsidRDefault="00B13B9A" w:rsidP="002733E9">
      <w:pPr>
        <w:tabs>
          <w:tab w:val="left" w:pos="1080"/>
        </w:tabs>
        <w:spacing w:after="0" w:line="276" w:lineRule="auto"/>
        <w:contextualSpacing/>
        <w:jc w:val="both"/>
        <w:rPr>
          <w:rFonts w:asciiTheme="majorHAnsi" w:hAnsiTheme="majorHAnsi" w:cstheme="majorHAnsi"/>
          <w:bCs/>
          <w:iCs/>
          <w:sz w:val="24"/>
          <w:szCs w:val="24"/>
          <w:lang w:val="ro-MD"/>
        </w:rPr>
      </w:pPr>
      <w:r w:rsidRPr="00B13B9A">
        <w:rPr>
          <w:rFonts w:asciiTheme="majorHAnsi" w:hAnsiTheme="majorHAnsi" w:cstheme="majorHAnsi"/>
          <w:bCs/>
          <w:iCs/>
          <w:sz w:val="24"/>
          <w:szCs w:val="24"/>
          <w:lang w:val="ro-MD"/>
        </w:rPr>
        <w:t>Ș</w:t>
      </w:r>
      <w:r w:rsidR="002733E9" w:rsidRPr="00B13B9A">
        <w:rPr>
          <w:rFonts w:asciiTheme="majorHAnsi" w:hAnsiTheme="majorHAnsi" w:cstheme="majorHAnsi"/>
          <w:bCs/>
          <w:iCs/>
          <w:sz w:val="24"/>
          <w:szCs w:val="24"/>
          <w:lang w:val="ro-MD"/>
        </w:rPr>
        <w:t xml:space="preserve">efa echipei de audit, </w:t>
      </w:r>
    </w:p>
    <w:p w14:paraId="5ECE6A84" w14:textId="22E4AEFC" w:rsidR="002733E9" w:rsidRPr="00B13B9A" w:rsidRDefault="00B13B9A" w:rsidP="002733E9">
      <w:pPr>
        <w:tabs>
          <w:tab w:val="left" w:pos="1080"/>
        </w:tabs>
        <w:spacing w:after="0" w:line="276" w:lineRule="auto"/>
        <w:contextualSpacing/>
        <w:jc w:val="both"/>
        <w:rPr>
          <w:rFonts w:asciiTheme="majorHAnsi" w:hAnsiTheme="majorHAnsi" w:cstheme="majorHAnsi"/>
          <w:sz w:val="24"/>
          <w:szCs w:val="24"/>
          <w:lang w:val="ro-MD"/>
        </w:rPr>
      </w:pPr>
      <w:r w:rsidRPr="00B13B9A">
        <w:rPr>
          <w:rFonts w:asciiTheme="majorHAnsi" w:hAnsiTheme="majorHAnsi" w:cstheme="majorHAnsi"/>
          <w:sz w:val="24"/>
          <w:szCs w:val="24"/>
          <w:lang w:val="ro-MD"/>
        </w:rPr>
        <w:t>Ș</w:t>
      </w:r>
      <w:r w:rsidR="002733E9" w:rsidRPr="00B13B9A">
        <w:rPr>
          <w:rFonts w:asciiTheme="majorHAnsi" w:hAnsiTheme="majorHAnsi" w:cstheme="majorHAnsi"/>
          <w:sz w:val="24"/>
          <w:szCs w:val="24"/>
          <w:lang w:val="ro-MD"/>
        </w:rPr>
        <w:t>efa Direc</w:t>
      </w:r>
      <w:r w:rsidRPr="00B13B9A">
        <w:rPr>
          <w:rFonts w:asciiTheme="majorHAnsi" w:hAnsiTheme="majorHAnsi" w:cstheme="majorHAnsi"/>
          <w:sz w:val="24"/>
          <w:szCs w:val="24"/>
          <w:lang w:val="ro-MD"/>
        </w:rPr>
        <w:t>ț</w:t>
      </w:r>
      <w:r w:rsidR="002733E9" w:rsidRPr="00B13B9A">
        <w:rPr>
          <w:rFonts w:asciiTheme="majorHAnsi" w:hAnsiTheme="majorHAnsi" w:cstheme="majorHAnsi"/>
          <w:sz w:val="24"/>
          <w:szCs w:val="24"/>
          <w:lang w:val="ro-MD"/>
        </w:rPr>
        <w:t xml:space="preserve">iei de audit I </w:t>
      </w:r>
    </w:p>
    <w:p w14:paraId="446C886A" w14:textId="77777777" w:rsidR="00A73003" w:rsidRDefault="002733E9" w:rsidP="002733E9">
      <w:pPr>
        <w:tabs>
          <w:tab w:val="left" w:pos="1080"/>
        </w:tabs>
        <w:spacing w:after="0" w:line="276" w:lineRule="auto"/>
        <w:contextualSpacing/>
        <w:jc w:val="both"/>
        <w:rPr>
          <w:rFonts w:asciiTheme="majorHAnsi" w:hAnsiTheme="majorHAnsi" w:cstheme="majorHAnsi"/>
          <w:sz w:val="24"/>
          <w:szCs w:val="24"/>
          <w:lang w:val="ro-MD"/>
        </w:rPr>
      </w:pPr>
      <w:r w:rsidRPr="00B13B9A">
        <w:rPr>
          <w:rFonts w:asciiTheme="majorHAnsi" w:hAnsiTheme="majorHAnsi" w:cstheme="majorHAnsi"/>
          <w:sz w:val="24"/>
          <w:szCs w:val="24"/>
          <w:lang w:val="ro-MD"/>
        </w:rPr>
        <w:t>în cadrul Direc</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iei generale de audit II,</w:t>
      </w:r>
      <w:r w:rsidRPr="00B13B9A">
        <w:rPr>
          <w:rFonts w:asciiTheme="majorHAnsi" w:hAnsiTheme="majorHAnsi" w:cstheme="majorHAnsi"/>
          <w:sz w:val="24"/>
          <w:szCs w:val="24"/>
          <w:lang w:val="ro-MD"/>
        </w:rPr>
        <w:tab/>
      </w:r>
      <w:r w:rsidRPr="00B13B9A">
        <w:rPr>
          <w:rFonts w:asciiTheme="majorHAnsi" w:hAnsiTheme="majorHAnsi" w:cstheme="majorHAnsi"/>
          <w:sz w:val="24"/>
          <w:szCs w:val="24"/>
          <w:lang w:val="ro-MD"/>
        </w:rPr>
        <w:tab/>
      </w:r>
      <w:r w:rsidRPr="00B13B9A">
        <w:rPr>
          <w:rFonts w:asciiTheme="majorHAnsi" w:hAnsiTheme="majorHAnsi" w:cstheme="majorHAnsi"/>
          <w:sz w:val="24"/>
          <w:szCs w:val="24"/>
          <w:lang w:val="ro-MD"/>
        </w:rPr>
        <w:tab/>
      </w:r>
      <w:r w:rsidRPr="00B13B9A">
        <w:rPr>
          <w:rFonts w:asciiTheme="majorHAnsi" w:hAnsiTheme="majorHAnsi" w:cstheme="majorHAnsi"/>
          <w:sz w:val="24"/>
          <w:szCs w:val="24"/>
          <w:lang w:val="ro-MD"/>
        </w:rPr>
        <w:tab/>
      </w:r>
      <w:r w:rsidRPr="00B13B9A">
        <w:rPr>
          <w:rFonts w:asciiTheme="majorHAnsi" w:hAnsiTheme="majorHAnsi" w:cstheme="majorHAnsi"/>
          <w:sz w:val="24"/>
          <w:szCs w:val="24"/>
          <w:lang w:val="ro-MD"/>
        </w:rPr>
        <w:tab/>
        <w:t>Irina Rogaciov</w:t>
      </w:r>
    </w:p>
    <w:p w14:paraId="2FD92E6F" w14:textId="0DBA7022" w:rsidR="002733E9" w:rsidRPr="00B13B9A" w:rsidRDefault="002733E9" w:rsidP="002733E9">
      <w:pPr>
        <w:tabs>
          <w:tab w:val="left" w:pos="1080"/>
        </w:tabs>
        <w:spacing w:after="0" w:line="276" w:lineRule="auto"/>
        <w:contextualSpacing/>
        <w:jc w:val="both"/>
        <w:rPr>
          <w:rFonts w:asciiTheme="majorHAnsi" w:hAnsiTheme="majorHAnsi" w:cstheme="majorHAnsi"/>
          <w:sz w:val="24"/>
          <w:szCs w:val="24"/>
          <w:lang w:val="ro-MD"/>
        </w:rPr>
      </w:pPr>
      <w:r w:rsidRPr="00B13B9A">
        <w:rPr>
          <w:rFonts w:asciiTheme="majorHAnsi" w:hAnsiTheme="majorHAnsi" w:cstheme="majorHAnsi"/>
          <w:sz w:val="24"/>
          <w:szCs w:val="24"/>
          <w:lang w:val="ro-MD"/>
        </w:rPr>
        <w:tab/>
      </w:r>
    </w:p>
    <w:p w14:paraId="0D4242BD" w14:textId="01C18CAB" w:rsidR="002733E9" w:rsidRDefault="002733E9" w:rsidP="002733E9">
      <w:pPr>
        <w:tabs>
          <w:tab w:val="left" w:pos="1080"/>
        </w:tabs>
        <w:spacing w:after="0" w:line="276" w:lineRule="auto"/>
        <w:contextualSpacing/>
        <w:jc w:val="both"/>
        <w:rPr>
          <w:rFonts w:asciiTheme="majorHAnsi" w:hAnsiTheme="majorHAnsi" w:cstheme="majorHAnsi"/>
          <w:sz w:val="24"/>
          <w:szCs w:val="24"/>
          <w:lang w:val="ro-MD"/>
        </w:rPr>
      </w:pPr>
      <w:r w:rsidRPr="00B13B9A">
        <w:rPr>
          <w:rFonts w:asciiTheme="majorHAnsi" w:hAnsiTheme="majorHAnsi" w:cstheme="majorHAnsi"/>
          <w:sz w:val="24"/>
          <w:szCs w:val="24"/>
          <w:lang w:val="ro-MD"/>
        </w:rPr>
        <w:t>Auditoare publică principală,</w:t>
      </w:r>
      <w:r w:rsidRPr="00B13B9A">
        <w:rPr>
          <w:rFonts w:asciiTheme="majorHAnsi" w:hAnsiTheme="majorHAnsi" w:cstheme="majorHAnsi"/>
          <w:sz w:val="24"/>
          <w:szCs w:val="24"/>
          <w:lang w:val="ro-MD"/>
        </w:rPr>
        <w:tab/>
      </w:r>
      <w:r w:rsidRPr="00B13B9A">
        <w:rPr>
          <w:rFonts w:asciiTheme="majorHAnsi" w:hAnsiTheme="majorHAnsi" w:cstheme="majorHAnsi"/>
          <w:sz w:val="24"/>
          <w:szCs w:val="24"/>
          <w:lang w:val="ro-MD"/>
        </w:rPr>
        <w:tab/>
      </w:r>
      <w:r w:rsidRPr="00B13B9A">
        <w:rPr>
          <w:rFonts w:asciiTheme="majorHAnsi" w:hAnsiTheme="majorHAnsi" w:cstheme="majorHAnsi"/>
          <w:sz w:val="24"/>
          <w:szCs w:val="24"/>
          <w:lang w:val="ro-MD"/>
        </w:rPr>
        <w:tab/>
      </w:r>
      <w:r w:rsidRPr="00B13B9A">
        <w:rPr>
          <w:rFonts w:asciiTheme="majorHAnsi" w:hAnsiTheme="majorHAnsi" w:cstheme="majorHAnsi"/>
          <w:sz w:val="24"/>
          <w:szCs w:val="24"/>
          <w:lang w:val="ro-MD"/>
        </w:rPr>
        <w:tab/>
      </w:r>
      <w:r w:rsidRPr="00B13B9A">
        <w:rPr>
          <w:rFonts w:asciiTheme="majorHAnsi" w:hAnsiTheme="majorHAnsi" w:cstheme="majorHAnsi"/>
          <w:sz w:val="24"/>
          <w:szCs w:val="24"/>
          <w:lang w:val="ro-MD"/>
        </w:rPr>
        <w:tab/>
      </w:r>
      <w:r w:rsidRPr="00B13B9A">
        <w:rPr>
          <w:rFonts w:asciiTheme="majorHAnsi" w:hAnsiTheme="majorHAnsi" w:cstheme="majorHAnsi"/>
          <w:sz w:val="24"/>
          <w:szCs w:val="24"/>
          <w:lang w:val="ro-MD"/>
        </w:rPr>
        <w:tab/>
      </w:r>
      <w:r w:rsidRPr="00B13B9A">
        <w:rPr>
          <w:rFonts w:asciiTheme="majorHAnsi" w:hAnsiTheme="majorHAnsi" w:cstheme="majorHAnsi"/>
          <w:sz w:val="24"/>
          <w:szCs w:val="24"/>
          <w:lang w:val="ro-MD"/>
        </w:rPr>
        <w:tab/>
        <w:t>Viorica Ra</w:t>
      </w:r>
      <w:r w:rsidR="00B13B9A" w:rsidRPr="00B13B9A">
        <w:rPr>
          <w:rFonts w:asciiTheme="majorHAnsi" w:hAnsiTheme="majorHAnsi" w:cstheme="majorHAnsi"/>
          <w:sz w:val="24"/>
          <w:szCs w:val="24"/>
          <w:lang w:val="ro-MD"/>
        </w:rPr>
        <w:t>ț</w:t>
      </w:r>
      <w:r w:rsidRPr="00B13B9A">
        <w:rPr>
          <w:rFonts w:asciiTheme="majorHAnsi" w:hAnsiTheme="majorHAnsi" w:cstheme="majorHAnsi"/>
          <w:sz w:val="24"/>
          <w:szCs w:val="24"/>
          <w:lang w:val="ro-MD"/>
        </w:rPr>
        <w:t>oi</w:t>
      </w:r>
      <w:r w:rsidRPr="00B13B9A">
        <w:rPr>
          <w:rFonts w:asciiTheme="majorHAnsi" w:hAnsiTheme="majorHAnsi" w:cstheme="majorHAnsi"/>
          <w:sz w:val="24"/>
          <w:szCs w:val="24"/>
          <w:lang w:val="ro-MD"/>
        </w:rPr>
        <w:tab/>
        <w:t xml:space="preserve"> </w:t>
      </w:r>
    </w:p>
    <w:p w14:paraId="793E38BC" w14:textId="77777777" w:rsidR="00A73003" w:rsidRPr="00B13B9A" w:rsidRDefault="00A73003" w:rsidP="002733E9">
      <w:pPr>
        <w:tabs>
          <w:tab w:val="left" w:pos="1080"/>
        </w:tabs>
        <w:spacing w:after="0" w:line="276" w:lineRule="auto"/>
        <w:contextualSpacing/>
        <w:jc w:val="both"/>
        <w:rPr>
          <w:rFonts w:asciiTheme="majorHAnsi" w:hAnsiTheme="majorHAnsi" w:cstheme="majorHAnsi"/>
          <w:sz w:val="24"/>
          <w:szCs w:val="24"/>
          <w:lang w:val="ro-MD"/>
        </w:rPr>
      </w:pPr>
    </w:p>
    <w:p w14:paraId="4207035C" w14:textId="49125940" w:rsidR="002733E9" w:rsidRDefault="002733E9" w:rsidP="002733E9">
      <w:pPr>
        <w:tabs>
          <w:tab w:val="left" w:pos="1080"/>
        </w:tabs>
        <w:spacing w:after="0" w:line="276" w:lineRule="auto"/>
        <w:contextualSpacing/>
        <w:jc w:val="both"/>
        <w:rPr>
          <w:rFonts w:asciiTheme="majorHAnsi" w:hAnsiTheme="majorHAnsi" w:cstheme="majorHAnsi"/>
          <w:sz w:val="24"/>
          <w:szCs w:val="24"/>
          <w:lang w:val="ro-MD"/>
        </w:rPr>
      </w:pPr>
      <w:r w:rsidRPr="00B13B9A">
        <w:rPr>
          <w:rFonts w:asciiTheme="majorHAnsi" w:hAnsiTheme="majorHAnsi" w:cstheme="majorHAnsi"/>
          <w:sz w:val="24"/>
          <w:szCs w:val="24"/>
          <w:lang w:val="ro-MD"/>
        </w:rPr>
        <w:t>Auditoare publică principală,</w:t>
      </w:r>
      <w:r w:rsidRPr="00B13B9A">
        <w:rPr>
          <w:rFonts w:asciiTheme="majorHAnsi" w:hAnsiTheme="majorHAnsi" w:cstheme="majorHAnsi"/>
          <w:sz w:val="24"/>
          <w:szCs w:val="24"/>
          <w:lang w:val="ro-MD"/>
        </w:rPr>
        <w:tab/>
      </w:r>
      <w:r w:rsidRPr="00B13B9A">
        <w:rPr>
          <w:rFonts w:asciiTheme="majorHAnsi" w:hAnsiTheme="majorHAnsi" w:cstheme="majorHAnsi"/>
          <w:sz w:val="24"/>
          <w:szCs w:val="24"/>
          <w:lang w:val="ro-MD"/>
        </w:rPr>
        <w:tab/>
      </w:r>
      <w:r w:rsidRPr="00B13B9A">
        <w:rPr>
          <w:rFonts w:asciiTheme="majorHAnsi" w:hAnsiTheme="majorHAnsi" w:cstheme="majorHAnsi"/>
          <w:sz w:val="24"/>
          <w:szCs w:val="24"/>
          <w:lang w:val="ro-MD"/>
        </w:rPr>
        <w:tab/>
      </w:r>
      <w:r w:rsidRPr="00B13B9A">
        <w:rPr>
          <w:rFonts w:asciiTheme="majorHAnsi" w:hAnsiTheme="majorHAnsi" w:cstheme="majorHAnsi"/>
          <w:sz w:val="24"/>
          <w:szCs w:val="24"/>
          <w:lang w:val="ro-MD"/>
        </w:rPr>
        <w:tab/>
      </w:r>
      <w:r w:rsidRPr="00B13B9A">
        <w:rPr>
          <w:rFonts w:asciiTheme="majorHAnsi" w:hAnsiTheme="majorHAnsi" w:cstheme="majorHAnsi"/>
          <w:sz w:val="24"/>
          <w:szCs w:val="24"/>
          <w:lang w:val="ro-MD"/>
        </w:rPr>
        <w:tab/>
      </w:r>
      <w:r w:rsidRPr="00B13B9A">
        <w:rPr>
          <w:rFonts w:asciiTheme="majorHAnsi" w:hAnsiTheme="majorHAnsi" w:cstheme="majorHAnsi"/>
          <w:sz w:val="24"/>
          <w:szCs w:val="24"/>
          <w:lang w:val="ro-MD"/>
        </w:rPr>
        <w:tab/>
      </w:r>
      <w:r w:rsidRPr="00B13B9A">
        <w:rPr>
          <w:rFonts w:asciiTheme="majorHAnsi" w:hAnsiTheme="majorHAnsi" w:cstheme="majorHAnsi"/>
          <w:sz w:val="24"/>
          <w:szCs w:val="24"/>
          <w:lang w:val="ro-MD"/>
        </w:rPr>
        <w:tab/>
        <w:t>Ana Miron</w:t>
      </w:r>
    </w:p>
    <w:p w14:paraId="5FF6BF1F" w14:textId="77777777" w:rsidR="00A73003" w:rsidRPr="00B13B9A" w:rsidRDefault="00A73003" w:rsidP="002733E9">
      <w:pPr>
        <w:tabs>
          <w:tab w:val="left" w:pos="1080"/>
        </w:tabs>
        <w:spacing w:after="0" w:line="276" w:lineRule="auto"/>
        <w:contextualSpacing/>
        <w:jc w:val="both"/>
        <w:rPr>
          <w:rFonts w:asciiTheme="majorHAnsi" w:hAnsiTheme="majorHAnsi" w:cstheme="majorHAnsi"/>
          <w:sz w:val="24"/>
          <w:szCs w:val="24"/>
          <w:lang w:val="ro-MD"/>
        </w:rPr>
      </w:pPr>
    </w:p>
    <w:p w14:paraId="2218AAD4" w14:textId="4FF1C632" w:rsidR="002733E9" w:rsidRDefault="002733E9" w:rsidP="002733E9">
      <w:pPr>
        <w:tabs>
          <w:tab w:val="left" w:pos="1080"/>
        </w:tabs>
        <w:spacing w:after="0" w:line="276" w:lineRule="auto"/>
        <w:contextualSpacing/>
        <w:jc w:val="both"/>
        <w:rPr>
          <w:rFonts w:asciiTheme="majorHAnsi" w:hAnsiTheme="majorHAnsi" w:cstheme="majorHAnsi"/>
          <w:sz w:val="24"/>
          <w:szCs w:val="24"/>
          <w:lang w:val="ro-MD"/>
        </w:rPr>
      </w:pPr>
      <w:r w:rsidRPr="00B13B9A">
        <w:rPr>
          <w:rFonts w:asciiTheme="majorHAnsi" w:hAnsiTheme="majorHAnsi" w:cstheme="majorHAnsi"/>
          <w:sz w:val="24"/>
          <w:szCs w:val="24"/>
          <w:lang w:val="ro-MD"/>
        </w:rPr>
        <w:t>Auditoare publică principală,</w:t>
      </w:r>
      <w:r w:rsidRPr="00B13B9A">
        <w:rPr>
          <w:rFonts w:asciiTheme="majorHAnsi" w:hAnsiTheme="majorHAnsi" w:cstheme="majorHAnsi"/>
          <w:sz w:val="24"/>
          <w:szCs w:val="24"/>
          <w:lang w:val="ro-MD"/>
        </w:rPr>
        <w:tab/>
      </w:r>
      <w:r w:rsidRPr="00B13B9A">
        <w:rPr>
          <w:rFonts w:asciiTheme="majorHAnsi" w:hAnsiTheme="majorHAnsi" w:cstheme="majorHAnsi"/>
          <w:sz w:val="24"/>
          <w:szCs w:val="24"/>
          <w:lang w:val="ro-MD"/>
        </w:rPr>
        <w:tab/>
      </w:r>
      <w:r w:rsidRPr="00B13B9A">
        <w:rPr>
          <w:rFonts w:asciiTheme="majorHAnsi" w:hAnsiTheme="majorHAnsi" w:cstheme="majorHAnsi"/>
          <w:sz w:val="24"/>
          <w:szCs w:val="24"/>
          <w:lang w:val="ro-MD"/>
        </w:rPr>
        <w:tab/>
      </w:r>
      <w:r w:rsidRPr="00B13B9A">
        <w:rPr>
          <w:rFonts w:asciiTheme="majorHAnsi" w:hAnsiTheme="majorHAnsi" w:cstheme="majorHAnsi"/>
          <w:sz w:val="24"/>
          <w:szCs w:val="24"/>
          <w:lang w:val="ro-MD"/>
        </w:rPr>
        <w:tab/>
      </w:r>
      <w:r w:rsidRPr="00B13B9A">
        <w:rPr>
          <w:rFonts w:asciiTheme="majorHAnsi" w:hAnsiTheme="majorHAnsi" w:cstheme="majorHAnsi"/>
          <w:sz w:val="24"/>
          <w:szCs w:val="24"/>
          <w:lang w:val="ro-MD"/>
        </w:rPr>
        <w:tab/>
      </w:r>
      <w:r w:rsidRPr="00B13B9A">
        <w:rPr>
          <w:rFonts w:asciiTheme="majorHAnsi" w:hAnsiTheme="majorHAnsi" w:cstheme="majorHAnsi"/>
          <w:sz w:val="24"/>
          <w:szCs w:val="24"/>
          <w:lang w:val="ro-MD"/>
        </w:rPr>
        <w:tab/>
      </w:r>
      <w:r w:rsidRPr="00B13B9A">
        <w:rPr>
          <w:rFonts w:asciiTheme="majorHAnsi" w:hAnsiTheme="majorHAnsi" w:cstheme="majorHAnsi"/>
          <w:sz w:val="24"/>
          <w:szCs w:val="24"/>
          <w:lang w:val="ro-MD"/>
        </w:rPr>
        <w:tab/>
        <w:t>Ludmila Turea-Potînga</w:t>
      </w:r>
    </w:p>
    <w:p w14:paraId="094D50B9" w14:textId="77777777" w:rsidR="00A73003" w:rsidRPr="00B13B9A" w:rsidRDefault="00A73003" w:rsidP="002733E9">
      <w:pPr>
        <w:tabs>
          <w:tab w:val="left" w:pos="1080"/>
        </w:tabs>
        <w:spacing w:after="0" w:line="276" w:lineRule="auto"/>
        <w:contextualSpacing/>
        <w:jc w:val="both"/>
        <w:rPr>
          <w:rFonts w:asciiTheme="majorHAnsi" w:hAnsiTheme="majorHAnsi" w:cstheme="majorHAnsi"/>
          <w:sz w:val="24"/>
          <w:szCs w:val="24"/>
          <w:lang w:val="ro-MD"/>
        </w:rPr>
      </w:pPr>
    </w:p>
    <w:p w14:paraId="67160D00" w14:textId="77777777" w:rsidR="002733E9" w:rsidRPr="00B13B9A" w:rsidRDefault="002733E9" w:rsidP="002733E9">
      <w:pPr>
        <w:spacing w:after="0" w:line="276" w:lineRule="auto"/>
        <w:rPr>
          <w:rFonts w:asciiTheme="majorHAnsi" w:hAnsiTheme="majorHAnsi" w:cstheme="majorHAnsi"/>
          <w:b/>
          <w:bCs/>
          <w:iCs/>
          <w:sz w:val="24"/>
          <w:szCs w:val="24"/>
          <w:lang w:val="ro-MD"/>
        </w:rPr>
      </w:pPr>
      <w:r w:rsidRPr="00B13B9A">
        <w:rPr>
          <w:rFonts w:asciiTheme="majorHAnsi" w:hAnsiTheme="majorHAnsi" w:cstheme="majorHAnsi"/>
          <w:b/>
          <w:bCs/>
          <w:iCs/>
          <w:sz w:val="24"/>
          <w:szCs w:val="24"/>
          <w:lang w:val="ro-MD"/>
        </w:rPr>
        <w:t xml:space="preserve">Responsabilă de audit: </w:t>
      </w:r>
    </w:p>
    <w:p w14:paraId="45E80662" w14:textId="44451D0F" w:rsidR="002733E9" w:rsidRPr="00B13B9A" w:rsidRDefault="00B13B9A" w:rsidP="00620335">
      <w:pPr>
        <w:tabs>
          <w:tab w:val="left" w:pos="1080"/>
        </w:tabs>
        <w:spacing w:after="0" w:line="276" w:lineRule="auto"/>
        <w:contextualSpacing/>
        <w:jc w:val="both"/>
        <w:rPr>
          <w:rFonts w:asciiTheme="majorHAnsi" w:hAnsiTheme="majorHAnsi" w:cstheme="majorHAnsi"/>
          <w:sz w:val="24"/>
          <w:szCs w:val="24"/>
          <w:lang w:val="ro-MD"/>
        </w:rPr>
      </w:pPr>
      <w:r w:rsidRPr="00B13B9A">
        <w:rPr>
          <w:rFonts w:asciiTheme="majorHAnsi" w:hAnsiTheme="majorHAnsi" w:cstheme="majorHAnsi"/>
          <w:sz w:val="24"/>
          <w:szCs w:val="24"/>
          <w:lang w:val="ro-MD"/>
        </w:rPr>
        <w:t>Ș</w:t>
      </w:r>
      <w:r w:rsidR="002733E9" w:rsidRPr="00B13B9A">
        <w:rPr>
          <w:rFonts w:asciiTheme="majorHAnsi" w:hAnsiTheme="majorHAnsi" w:cstheme="majorHAnsi"/>
          <w:sz w:val="24"/>
          <w:szCs w:val="24"/>
          <w:lang w:val="ro-MD"/>
        </w:rPr>
        <w:t>efa Direc</w:t>
      </w:r>
      <w:r w:rsidRPr="00B13B9A">
        <w:rPr>
          <w:rFonts w:asciiTheme="majorHAnsi" w:hAnsiTheme="majorHAnsi" w:cstheme="majorHAnsi"/>
          <w:sz w:val="24"/>
          <w:szCs w:val="24"/>
          <w:lang w:val="ro-MD"/>
        </w:rPr>
        <w:t>ț</w:t>
      </w:r>
      <w:r w:rsidR="002733E9" w:rsidRPr="00B13B9A">
        <w:rPr>
          <w:rFonts w:asciiTheme="majorHAnsi" w:hAnsiTheme="majorHAnsi" w:cstheme="majorHAnsi"/>
          <w:sz w:val="24"/>
          <w:szCs w:val="24"/>
          <w:lang w:val="ro-MD"/>
        </w:rPr>
        <w:t>iei generale de audit II,</w:t>
      </w:r>
      <w:r w:rsidR="002733E9" w:rsidRPr="00B13B9A">
        <w:rPr>
          <w:rFonts w:asciiTheme="majorHAnsi" w:hAnsiTheme="majorHAnsi" w:cstheme="majorHAnsi"/>
          <w:sz w:val="24"/>
          <w:szCs w:val="24"/>
          <w:lang w:val="ro-MD"/>
        </w:rPr>
        <w:tab/>
      </w:r>
      <w:r w:rsidR="002733E9" w:rsidRPr="00B13B9A">
        <w:rPr>
          <w:rFonts w:asciiTheme="majorHAnsi" w:hAnsiTheme="majorHAnsi" w:cstheme="majorHAnsi"/>
          <w:sz w:val="24"/>
          <w:szCs w:val="24"/>
          <w:lang w:val="ro-MD"/>
        </w:rPr>
        <w:tab/>
      </w:r>
      <w:r w:rsidR="002733E9" w:rsidRPr="00B13B9A">
        <w:rPr>
          <w:rFonts w:asciiTheme="majorHAnsi" w:hAnsiTheme="majorHAnsi" w:cstheme="majorHAnsi"/>
          <w:sz w:val="24"/>
          <w:szCs w:val="24"/>
          <w:lang w:val="ro-MD"/>
        </w:rPr>
        <w:tab/>
      </w:r>
      <w:r w:rsidR="002733E9" w:rsidRPr="00B13B9A">
        <w:rPr>
          <w:rFonts w:asciiTheme="majorHAnsi" w:hAnsiTheme="majorHAnsi" w:cstheme="majorHAnsi"/>
          <w:sz w:val="24"/>
          <w:szCs w:val="24"/>
          <w:lang w:val="ro-MD"/>
        </w:rPr>
        <w:tab/>
      </w:r>
      <w:r w:rsidR="002733E9" w:rsidRPr="00B13B9A">
        <w:rPr>
          <w:rFonts w:asciiTheme="majorHAnsi" w:hAnsiTheme="majorHAnsi" w:cstheme="majorHAnsi"/>
          <w:sz w:val="24"/>
          <w:szCs w:val="24"/>
          <w:lang w:val="ro-MD"/>
        </w:rPr>
        <w:tab/>
      </w:r>
      <w:r w:rsidR="002733E9" w:rsidRPr="00B13B9A">
        <w:rPr>
          <w:rFonts w:asciiTheme="majorHAnsi" w:hAnsiTheme="majorHAnsi" w:cstheme="majorHAnsi"/>
          <w:sz w:val="24"/>
          <w:szCs w:val="24"/>
          <w:lang w:val="ro-MD"/>
        </w:rPr>
        <w:tab/>
        <w:t xml:space="preserve">Sofia Ciuvalschi </w:t>
      </w:r>
    </w:p>
    <w:p w14:paraId="23425740" w14:textId="77777777" w:rsidR="00DB333D" w:rsidRDefault="00DB333D" w:rsidP="00C5192A">
      <w:pPr>
        <w:pStyle w:val="cn"/>
        <w:spacing w:line="276" w:lineRule="auto"/>
        <w:ind w:right="71"/>
        <w:jc w:val="both"/>
        <w:outlineLvl w:val="0"/>
        <w:rPr>
          <w:rFonts w:asciiTheme="majorHAnsi" w:eastAsiaTheme="minorHAnsi" w:hAnsiTheme="majorHAnsi" w:cstheme="minorHAnsi"/>
          <w:b/>
          <w:lang w:val="ro-MD" w:eastAsia="en-US"/>
        </w:rPr>
        <w:sectPr w:rsidR="00DB333D" w:rsidSect="00DB333D">
          <w:footerReference w:type="default" r:id="rId22"/>
          <w:pgSz w:w="12240" w:h="15840"/>
          <w:pgMar w:top="851" w:right="758" w:bottom="1134" w:left="1701" w:header="708" w:footer="708" w:gutter="0"/>
          <w:cols w:space="708"/>
          <w:titlePg/>
          <w:docGrid w:linePitch="360"/>
        </w:sectPr>
      </w:pPr>
    </w:p>
    <w:p w14:paraId="35B008F9" w14:textId="3213236A" w:rsidR="00E276FD" w:rsidRPr="00B13B9A" w:rsidRDefault="001A0E43" w:rsidP="00C5192A">
      <w:pPr>
        <w:pStyle w:val="cn"/>
        <w:spacing w:line="276" w:lineRule="auto"/>
        <w:ind w:right="71"/>
        <w:jc w:val="both"/>
        <w:outlineLvl w:val="0"/>
        <w:rPr>
          <w:rFonts w:asciiTheme="majorHAnsi" w:eastAsiaTheme="minorHAnsi" w:hAnsiTheme="majorHAnsi" w:cstheme="minorHAnsi"/>
          <w:b/>
          <w:lang w:val="ro-MD" w:eastAsia="en-US"/>
        </w:rPr>
      </w:pPr>
      <w:bookmarkStart w:id="52" w:name="_Toc154562523"/>
      <w:r w:rsidRPr="00B13B9A">
        <w:rPr>
          <w:rFonts w:asciiTheme="majorHAnsi" w:eastAsiaTheme="minorHAnsi" w:hAnsiTheme="majorHAnsi" w:cstheme="minorHAnsi"/>
          <w:b/>
          <w:lang w:val="ro-MD" w:eastAsia="en-US"/>
        </w:rPr>
        <w:t>ANEXE</w:t>
      </w:r>
      <w:bookmarkEnd w:id="52"/>
    </w:p>
    <w:p w14:paraId="3D54FBD1" w14:textId="1378FB3E" w:rsidR="001A0E43" w:rsidRPr="00B13B9A" w:rsidRDefault="001A0E43" w:rsidP="00764FE8">
      <w:pPr>
        <w:pStyle w:val="3"/>
        <w:jc w:val="right"/>
        <w:rPr>
          <w:rFonts w:cstheme="majorHAnsi"/>
          <w:b/>
          <w:iCs/>
          <w:color w:val="auto"/>
        </w:rPr>
      </w:pPr>
      <w:bookmarkStart w:id="53" w:name="_Toc154562524"/>
      <w:r w:rsidRPr="00B13B9A">
        <w:rPr>
          <w:rFonts w:cstheme="majorHAnsi"/>
          <w:b/>
          <w:iCs/>
          <w:color w:val="auto"/>
        </w:rPr>
        <w:t xml:space="preserve">Anexa nr. </w:t>
      </w:r>
      <w:r w:rsidR="00C47D23" w:rsidRPr="00B13B9A">
        <w:rPr>
          <w:rFonts w:cstheme="majorHAnsi"/>
          <w:b/>
          <w:iCs/>
          <w:color w:val="auto"/>
        </w:rPr>
        <w:t>1</w:t>
      </w:r>
      <w:bookmarkEnd w:id="53"/>
    </w:p>
    <w:p w14:paraId="234B449B" w14:textId="70FF622A" w:rsidR="00555C8B" w:rsidRPr="00B13B9A" w:rsidRDefault="00555C8B" w:rsidP="00DA19D1">
      <w:pPr>
        <w:jc w:val="center"/>
        <w:rPr>
          <w:b/>
          <w:lang w:val="ro-MD"/>
        </w:rPr>
      </w:pPr>
      <w:r w:rsidRPr="00B13B9A">
        <w:rPr>
          <w:rFonts w:asciiTheme="majorHAnsi" w:hAnsiTheme="majorHAnsi" w:cstheme="majorHAnsi"/>
          <w:b/>
          <w:sz w:val="24"/>
          <w:szCs w:val="24"/>
          <w:lang w:val="ro-MD"/>
        </w:rPr>
        <w:t>Responsabilită</w:t>
      </w:r>
      <w:r w:rsidR="00B13B9A" w:rsidRPr="00B13B9A">
        <w:rPr>
          <w:rFonts w:asciiTheme="majorHAnsi" w:hAnsiTheme="majorHAnsi" w:cstheme="majorHAnsi"/>
          <w:b/>
          <w:sz w:val="24"/>
          <w:szCs w:val="24"/>
          <w:lang w:val="ro-MD"/>
        </w:rPr>
        <w:t>ț</w:t>
      </w:r>
      <w:r w:rsidRPr="00B13B9A">
        <w:rPr>
          <w:rFonts w:asciiTheme="majorHAnsi" w:hAnsiTheme="majorHAnsi" w:cstheme="majorHAnsi"/>
          <w:b/>
          <w:sz w:val="24"/>
          <w:szCs w:val="24"/>
          <w:lang w:val="ro-MD"/>
        </w:rPr>
        <w:t>ile organelor de conducere</w:t>
      </w:r>
    </w:p>
    <w:tbl>
      <w:tblPr>
        <w:tblStyle w:val="a3"/>
        <w:tblW w:w="0" w:type="auto"/>
        <w:tblLook w:val="04A0" w:firstRow="1" w:lastRow="0" w:firstColumn="1" w:lastColumn="0" w:noHBand="0" w:noVBand="1"/>
      </w:tblPr>
      <w:tblGrid>
        <w:gridCol w:w="2405"/>
        <w:gridCol w:w="7274"/>
      </w:tblGrid>
      <w:tr w:rsidR="00784827" w:rsidRPr="00B13B9A" w14:paraId="4657FA42" w14:textId="77777777" w:rsidTr="00E61DB8">
        <w:tc>
          <w:tcPr>
            <w:tcW w:w="2405" w:type="dxa"/>
          </w:tcPr>
          <w:p w14:paraId="004D6615" w14:textId="2E3527A8" w:rsidR="00784827" w:rsidRPr="00B13B9A" w:rsidRDefault="00784827" w:rsidP="00E61DB8">
            <w:pPr>
              <w:jc w:val="center"/>
              <w:rPr>
                <w:rFonts w:asciiTheme="majorHAnsi" w:hAnsiTheme="majorHAnsi" w:cstheme="majorHAnsi"/>
                <w:b/>
                <w:sz w:val="18"/>
                <w:szCs w:val="20"/>
                <w:lang w:val="ro-MD"/>
              </w:rPr>
            </w:pPr>
            <w:r w:rsidRPr="00B13B9A">
              <w:rPr>
                <w:rFonts w:asciiTheme="majorHAnsi" w:hAnsiTheme="majorHAnsi" w:cstheme="majorHAnsi"/>
                <w:b/>
                <w:sz w:val="18"/>
                <w:szCs w:val="20"/>
                <w:lang w:val="ro-MD"/>
              </w:rPr>
              <w:t>Păr</w:t>
            </w:r>
            <w:r w:rsidR="00B13B9A" w:rsidRPr="00B13B9A">
              <w:rPr>
                <w:rFonts w:asciiTheme="majorHAnsi" w:hAnsiTheme="majorHAnsi" w:cstheme="majorHAnsi"/>
                <w:b/>
                <w:sz w:val="18"/>
                <w:szCs w:val="20"/>
                <w:lang w:val="ro-MD"/>
              </w:rPr>
              <w:t>ț</w:t>
            </w:r>
            <w:r w:rsidRPr="00B13B9A">
              <w:rPr>
                <w:rFonts w:asciiTheme="majorHAnsi" w:hAnsiTheme="majorHAnsi" w:cstheme="majorHAnsi"/>
                <w:b/>
                <w:sz w:val="18"/>
                <w:szCs w:val="20"/>
                <w:lang w:val="ro-MD"/>
              </w:rPr>
              <w:t>ile implicate</w:t>
            </w:r>
          </w:p>
        </w:tc>
        <w:tc>
          <w:tcPr>
            <w:tcW w:w="7274" w:type="dxa"/>
          </w:tcPr>
          <w:p w14:paraId="3451EF59" w14:textId="70195A3E" w:rsidR="00784827" w:rsidRPr="00B13B9A" w:rsidRDefault="00784827" w:rsidP="00E61DB8">
            <w:pPr>
              <w:pStyle w:val="a7"/>
              <w:tabs>
                <w:tab w:val="left" w:pos="851"/>
                <w:tab w:val="left" w:pos="993"/>
              </w:tabs>
              <w:ind w:left="360"/>
              <w:jc w:val="center"/>
              <w:rPr>
                <w:rFonts w:asciiTheme="majorHAnsi" w:hAnsiTheme="majorHAnsi" w:cstheme="majorHAnsi"/>
                <w:b/>
                <w:color w:val="000000" w:themeColor="text1"/>
                <w:sz w:val="18"/>
                <w:szCs w:val="20"/>
                <w:lang w:val="ro-MD"/>
              </w:rPr>
            </w:pPr>
            <w:r w:rsidRPr="00B13B9A">
              <w:rPr>
                <w:rFonts w:asciiTheme="majorHAnsi" w:hAnsiTheme="majorHAnsi" w:cstheme="majorHAnsi"/>
                <w:b/>
                <w:color w:val="000000" w:themeColor="text1"/>
                <w:sz w:val="18"/>
                <w:szCs w:val="20"/>
                <w:lang w:val="ro-MD"/>
              </w:rPr>
              <w:t>Func</w:t>
            </w:r>
            <w:r w:rsidR="00B13B9A" w:rsidRPr="00B13B9A">
              <w:rPr>
                <w:rFonts w:asciiTheme="majorHAnsi" w:hAnsiTheme="majorHAnsi" w:cstheme="majorHAnsi"/>
                <w:b/>
                <w:color w:val="000000" w:themeColor="text1"/>
                <w:sz w:val="18"/>
                <w:szCs w:val="20"/>
                <w:lang w:val="ro-MD"/>
              </w:rPr>
              <w:t>ț</w:t>
            </w:r>
            <w:r w:rsidRPr="00B13B9A">
              <w:rPr>
                <w:rFonts w:asciiTheme="majorHAnsi" w:hAnsiTheme="majorHAnsi" w:cstheme="majorHAnsi"/>
                <w:b/>
                <w:color w:val="000000" w:themeColor="text1"/>
                <w:sz w:val="18"/>
                <w:szCs w:val="20"/>
                <w:lang w:val="ro-MD"/>
              </w:rPr>
              <w:t xml:space="preserve">ii </w:t>
            </w:r>
            <w:r w:rsidR="00B13B9A" w:rsidRPr="00B13B9A">
              <w:rPr>
                <w:rFonts w:asciiTheme="majorHAnsi" w:hAnsiTheme="majorHAnsi" w:cstheme="majorHAnsi"/>
                <w:b/>
                <w:color w:val="000000" w:themeColor="text1"/>
                <w:sz w:val="18"/>
                <w:szCs w:val="20"/>
                <w:lang w:val="ro-MD"/>
              </w:rPr>
              <w:t>ș</w:t>
            </w:r>
            <w:r w:rsidRPr="00B13B9A">
              <w:rPr>
                <w:rFonts w:asciiTheme="majorHAnsi" w:hAnsiTheme="majorHAnsi" w:cstheme="majorHAnsi"/>
                <w:b/>
                <w:color w:val="000000" w:themeColor="text1"/>
                <w:sz w:val="18"/>
                <w:szCs w:val="20"/>
                <w:lang w:val="ro-MD"/>
              </w:rPr>
              <w:t>i atribu</w:t>
            </w:r>
            <w:r w:rsidR="00B13B9A" w:rsidRPr="00B13B9A">
              <w:rPr>
                <w:rFonts w:asciiTheme="majorHAnsi" w:hAnsiTheme="majorHAnsi" w:cstheme="majorHAnsi"/>
                <w:b/>
                <w:color w:val="000000" w:themeColor="text1"/>
                <w:sz w:val="18"/>
                <w:szCs w:val="20"/>
                <w:lang w:val="ro-MD"/>
              </w:rPr>
              <w:t>ț</w:t>
            </w:r>
            <w:r w:rsidRPr="00B13B9A">
              <w:rPr>
                <w:rFonts w:asciiTheme="majorHAnsi" w:hAnsiTheme="majorHAnsi" w:cstheme="majorHAnsi"/>
                <w:b/>
                <w:color w:val="000000" w:themeColor="text1"/>
                <w:sz w:val="18"/>
                <w:szCs w:val="20"/>
                <w:lang w:val="ro-MD"/>
              </w:rPr>
              <w:t>ii</w:t>
            </w:r>
          </w:p>
        </w:tc>
      </w:tr>
      <w:tr w:rsidR="00784827" w:rsidRPr="00B13B9A" w14:paraId="36AA9DF9" w14:textId="77777777" w:rsidTr="00E61DB8">
        <w:tc>
          <w:tcPr>
            <w:tcW w:w="2405" w:type="dxa"/>
          </w:tcPr>
          <w:p w14:paraId="38287E6F" w14:textId="21A2E863" w:rsidR="00784827" w:rsidRPr="00B13B9A" w:rsidRDefault="00784827" w:rsidP="00E61DB8">
            <w:pPr>
              <w:jc w:val="center"/>
              <w:rPr>
                <w:rFonts w:asciiTheme="majorHAnsi" w:hAnsiTheme="majorHAnsi" w:cstheme="majorHAnsi"/>
                <w:sz w:val="18"/>
                <w:szCs w:val="20"/>
                <w:lang w:val="ro-MD"/>
              </w:rPr>
            </w:pPr>
            <w:r w:rsidRPr="00B13B9A">
              <w:rPr>
                <w:rFonts w:asciiTheme="majorHAnsi" w:hAnsiTheme="majorHAnsi" w:cstheme="majorHAnsi"/>
                <w:b/>
                <w:sz w:val="18"/>
                <w:szCs w:val="20"/>
                <w:lang w:val="ro-MD"/>
              </w:rPr>
              <w:t>Ministerul Sănătă</w:t>
            </w:r>
            <w:r w:rsidR="00B13B9A" w:rsidRPr="00B13B9A">
              <w:rPr>
                <w:rFonts w:asciiTheme="majorHAnsi" w:hAnsiTheme="majorHAnsi" w:cstheme="majorHAnsi"/>
                <w:b/>
                <w:sz w:val="18"/>
                <w:szCs w:val="20"/>
                <w:lang w:val="ro-MD"/>
              </w:rPr>
              <w:t>ț</w:t>
            </w:r>
            <w:r w:rsidRPr="00B13B9A">
              <w:rPr>
                <w:rFonts w:asciiTheme="majorHAnsi" w:hAnsiTheme="majorHAnsi" w:cstheme="majorHAnsi"/>
                <w:b/>
                <w:sz w:val="18"/>
                <w:szCs w:val="20"/>
                <w:lang w:val="ro-MD"/>
              </w:rPr>
              <w:t>ii</w:t>
            </w:r>
            <w:r w:rsidRPr="00B13B9A">
              <w:rPr>
                <w:rFonts w:asciiTheme="majorHAnsi" w:hAnsiTheme="majorHAnsi" w:cstheme="majorHAnsi"/>
                <w:sz w:val="18"/>
                <w:szCs w:val="20"/>
                <w:lang w:val="ro-MD"/>
              </w:rPr>
              <w:t xml:space="preserve"> – fondatorul </w:t>
            </w:r>
            <w:r w:rsidR="00F431A2" w:rsidRPr="00B13B9A">
              <w:rPr>
                <w:rFonts w:asciiTheme="majorHAnsi" w:hAnsiTheme="majorHAnsi" w:cstheme="majorHAnsi"/>
                <w:color w:val="000000" w:themeColor="text1"/>
                <w:sz w:val="18"/>
                <w:szCs w:val="18"/>
                <w:lang w:val="ro-MD"/>
              </w:rPr>
              <w:t xml:space="preserve">IMSP IFP </w:t>
            </w:r>
            <w:r w:rsidR="00F431A2" w:rsidRPr="00B13B9A">
              <w:rPr>
                <w:rFonts w:asciiTheme="majorHAnsi" w:hAnsiTheme="majorHAnsi" w:cstheme="majorHAnsi"/>
                <w:sz w:val="18"/>
                <w:szCs w:val="18"/>
                <w:lang w:val="ro-MD"/>
              </w:rPr>
              <w:t>„Chiril Draganiuc”</w:t>
            </w:r>
          </w:p>
        </w:tc>
        <w:tc>
          <w:tcPr>
            <w:tcW w:w="7274" w:type="dxa"/>
          </w:tcPr>
          <w:p w14:paraId="0487349B" w14:textId="536AADC7" w:rsidR="00784827" w:rsidRPr="00B13B9A" w:rsidRDefault="00784827" w:rsidP="00241AB3">
            <w:pPr>
              <w:pStyle w:val="a7"/>
              <w:numPr>
                <w:ilvl w:val="0"/>
                <w:numId w:val="3"/>
              </w:numPr>
              <w:tabs>
                <w:tab w:val="left" w:pos="851"/>
                <w:tab w:val="left" w:pos="993"/>
              </w:tabs>
              <w:jc w:val="both"/>
              <w:rPr>
                <w:rFonts w:asciiTheme="majorHAnsi" w:hAnsiTheme="majorHAnsi" w:cstheme="majorHAnsi"/>
                <w:color w:val="000000" w:themeColor="text1"/>
                <w:sz w:val="18"/>
                <w:szCs w:val="20"/>
                <w:lang w:val="ro-MD"/>
              </w:rPr>
            </w:pPr>
            <w:r w:rsidRPr="00B13B9A">
              <w:rPr>
                <w:rFonts w:asciiTheme="majorHAnsi" w:hAnsiTheme="majorHAnsi" w:cstheme="majorHAnsi"/>
                <w:color w:val="000000" w:themeColor="text1"/>
                <w:sz w:val="18"/>
                <w:szCs w:val="20"/>
                <w:lang w:val="ro-MD"/>
              </w:rPr>
              <w:t>propune pentru adoptare decizii de fondare, reorganizare sau lichidare a institu</w:t>
            </w:r>
            <w:r w:rsidR="00B13B9A" w:rsidRPr="00B13B9A">
              <w:rPr>
                <w:rFonts w:asciiTheme="majorHAnsi" w:hAnsiTheme="majorHAnsi" w:cstheme="majorHAnsi"/>
                <w:color w:val="000000" w:themeColor="text1"/>
                <w:sz w:val="18"/>
                <w:szCs w:val="20"/>
                <w:lang w:val="ro-MD"/>
              </w:rPr>
              <w:t>ț</w:t>
            </w:r>
            <w:r w:rsidRPr="00B13B9A">
              <w:rPr>
                <w:rFonts w:asciiTheme="majorHAnsi" w:hAnsiTheme="majorHAnsi" w:cstheme="majorHAnsi"/>
                <w:color w:val="000000" w:themeColor="text1"/>
                <w:sz w:val="18"/>
                <w:szCs w:val="20"/>
                <w:lang w:val="ro-MD"/>
              </w:rPr>
              <w:t>iei;</w:t>
            </w:r>
          </w:p>
          <w:p w14:paraId="51F9CE56" w14:textId="253313E5" w:rsidR="00784827" w:rsidRPr="00B13B9A" w:rsidRDefault="00784827" w:rsidP="00241AB3">
            <w:pPr>
              <w:pStyle w:val="a7"/>
              <w:numPr>
                <w:ilvl w:val="0"/>
                <w:numId w:val="3"/>
              </w:numPr>
              <w:tabs>
                <w:tab w:val="left" w:pos="851"/>
                <w:tab w:val="left" w:pos="993"/>
              </w:tabs>
              <w:jc w:val="both"/>
              <w:rPr>
                <w:rFonts w:asciiTheme="majorHAnsi" w:hAnsiTheme="majorHAnsi" w:cstheme="majorHAnsi"/>
                <w:color w:val="000000" w:themeColor="text1"/>
                <w:sz w:val="18"/>
                <w:szCs w:val="20"/>
                <w:lang w:val="ro-MD"/>
              </w:rPr>
            </w:pPr>
            <w:r w:rsidRPr="00B13B9A">
              <w:rPr>
                <w:rFonts w:asciiTheme="majorHAnsi" w:hAnsiTheme="majorHAnsi" w:cstheme="majorHAnsi"/>
                <w:color w:val="000000" w:themeColor="text1"/>
                <w:sz w:val="18"/>
                <w:szCs w:val="20"/>
                <w:lang w:val="ro-MD"/>
              </w:rPr>
              <w:t xml:space="preserve">aprobă organigrama </w:t>
            </w:r>
            <w:r w:rsidR="00B13B9A" w:rsidRPr="00B13B9A">
              <w:rPr>
                <w:rFonts w:asciiTheme="majorHAnsi" w:hAnsiTheme="majorHAnsi" w:cstheme="majorHAnsi"/>
                <w:color w:val="000000" w:themeColor="text1"/>
                <w:sz w:val="18"/>
                <w:szCs w:val="20"/>
                <w:lang w:val="ro-MD"/>
              </w:rPr>
              <w:t>ș</w:t>
            </w:r>
            <w:r w:rsidRPr="00B13B9A">
              <w:rPr>
                <w:rFonts w:asciiTheme="majorHAnsi" w:hAnsiTheme="majorHAnsi" w:cstheme="majorHAnsi"/>
                <w:color w:val="000000" w:themeColor="text1"/>
                <w:sz w:val="18"/>
                <w:szCs w:val="20"/>
                <w:lang w:val="ro-MD"/>
              </w:rPr>
              <w:t>i statele de personal ale Institu</w:t>
            </w:r>
            <w:r w:rsidR="00B13B9A" w:rsidRPr="00B13B9A">
              <w:rPr>
                <w:rFonts w:asciiTheme="majorHAnsi" w:hAnsiTheme="majorHAnsi" w:cstheme="majorHAnsi"/>
                <w:color w:val="000000" w:themeColor="text1"/>
                <w:sz w:val="18"/>
                <w:szCs w:val="20"/>
                <w:lang w:val="ro-MD"/>
              </w:rPr>
              <w:t>ț</w:t>
            </w:r>
            <w:r w:rsidRPr="00B13B9A">
              <w:rPr>
                <w:rFonts w:asciiTheme="majorHAnsi" w:hAnsiTheme="majorHAnsi" w:cstheme="majorHAnsi"/>
                <w:color w:val="000000" w:themeColor="text1"/>
                <w:sz w:val="18"/>
                <w:szCs w:val="20"/>
                <w:lang w:val="ro-MD"/>
              </w:rPr>
              <w:t>iei;</w:t>
            </w:r>
          </w:p>
          <w:p w14:paraId="776DA3A3" w14:textId="111B60F2" w:rsidR="00784827" w:rsidRPr="00B13B9A" w:rsidRDefault="00784827" w:rsidP="00241AB3">
            <w:pPr>
              <w:pStyle w:val="a7"/>
              <w:numPr>
                <w:ilvl w:val="0"/>
                <w:numId w:val="3"/>
              </w:numPr>
              <w:tabs>
                <w:tab w:val="left" w:pos="851"/>
                <w:tab w:val="left" w:pos="993"/>
              </w:tabs>
              <w:jc w:val="both"/>
              <w:rPr>
                <w:rFonts w:asciiTheme="majorHAnsi" w:hAnsiTheme="majorHAnsi" w:cstheme="majorHAnsi"/>
                <w:color w:val="000000" w:themeColor="text1"/>
                <w:sz w:val="18"/>
                <w:szCs w:val="20"/>
                <w:lang w:val="ro-MD"/>
              </w:rPr>
            </w:pPr>
            <w:r w:rsidRPr="00B13B9A">
              <w:rPr>
                <w:rFonts w:asciiTheme="majorHAnsi" w:hAnsiTheme="majorHAnsi" w:cstheme="majorHAnsi"/>
                <w:color w:val="000000" w:themeColor="text1"/>
                <w:sz w:val="18"/>
                <w:szCs w:val="20"/>
                <w:lang w:val="ro-MD"/>
              </w:rPr>
              <w:t>transmite bunuri din administrarea Fondatorului în gestiunea economică a institu</w:t>
            </w:r>
            <w:r w:rsidR="00B13B9A" w:rsidRPr="00B13B9A">
              <w:rPr>
                <w:rFonts w:asciiTheme="majorHAnsi" w:hAnsiTheme="majorHAnsi" w:cstheme="majorHAnsi"/>
                <w:color w:val="000000" w:themeColor="text1"/>
                <w:sz w:val="18"/>
                <w:szCs w:val="20"/>
                <w:lang w:val="ro-MD"/>
              </w:rPr>
              <w:t>ț</w:t>
            </w:r>
            <w:r w:rsidRPr="00B13B9A">
              <w:rPr>
                <w:rFonts w:asciiTheme="majorHAnsi" w:hAnsiTheme="majorHAnsi" w:cstheme="majorHAnsi"/>
                <w:color w:val="000000" w:themeColor="text1"/>
                <w:sz w:val="18"/>
                <w:szCs w:val="20"/>
                <w:lang w:val="ro-MD"/>
              </w:rPr>
              <w:t>iei, în baza contractului de comodat;</w:t>
            </w:r>
          </w:p>
          <w:p w14:paraId="442BA1B8" w14:textId="648B34FB" w:rsidR="00784827" w:rsidRPr="00B13B9A" w:rsidRDefault="00784827" w:rsidP="00241AB3">
            <w:pPr>
              <w:pStyle w:val="a7"/>
              <w:numPr>
                <w:ilvl w:val="0"/>
                <w:numId w:val="3"/>
              </w:numPr>
              <w:tabs>
                <w:tab w:val="left" w:pos="851"/>
                <w:tab w:val="left" w:pos="993"/>
              </w:tabs>
              <w:jc w:val="both"/>
              <w:rPr>
                <w:rFonts w:asciiTheme="majorHAnsi" w:hAnsiTheme="majorHAnsi" w:cstheme="majorHAnsi"/>
                <w:color w:val="000000" w:themeColor="text1"/>
                <w:sz w:val="18"/>
                <w:szCs w:val="20"/>
                <w:lang w:val="ro-MD"/>
              </w:rPr>
            </w:pPr>
            <w:r w:rsidRPr="00B13B9A">
              <w:rPr>
                <w:rFonts w:asciiTheme="majorHAnsi" w:hAnsiTheme="majorHAnsi" w:cstheme="majorHAnsi"/>
                <w:color w:val="000000" w:themeColor="text1"/>
                <w:sz w:val="18"/>
                <w:szCs w:val="20"/>
                <w:lang w:val="ro-MD"/>
              </w:rPr>
              <w:t>aprobă tranzac</w:t>
            </w:r>
            <w:r w:rsidR="00B13B9A" w:rsidRPr="00B13B9A">
              <w:rPr>
                <w:rFonts w:asciiTheme="majorHAnsi" w:hAnsiTheme="majorHAnsi" w:cstheme="majorHAnsi"/>
                <w:color w:val="000000" w:themeColor="text1"/>
                <w:sz w:val="18"/>
                <w:szCs w:val="20"/>
                <w:lang w:val="ro-MD"/>
              </w:rPr>
              <w:t>ț</w:t>
            </w:r>
            <w:r w:rsidRPr="00B13B9A">
              <w:rPr>
                <w:rFonts w:asciiTheme="majorHAnsi" w:hAnsiTheme="majorHAnsi" w:cstheme="majorHAnsi"/>
                <w:color w:val="000000" w:themeColor="text1"/>
                <w:sz w:val="18"/>
                <w:szCs w:val="20"/>
                <w:lang w:val="ro-MD"/>
              </w:rPr>
              <w:t>ii cu persoane ter</w:t>
            </w:r>
            <w:r w:rsidR="00B13B9A" w:rsidRPr="00B13B9A">
              <w:rPr>
                <w:rFonts w:asciiTheme="majorHAnsi" w:hAnsiTheme="majorHAnsi" w:cstheme="majorHAnsi"/>
                <w:color w:val="000000" w:themeColor="text1"/>
                <w:sz w:val="18"/>
                <w:szCs w:val="20"/>
                <w:lang w:val="ro-MD"/>
              </w:rPr>
              <w:t>ț</w:t>
            </w:r>
            <w:r w:rsidRPr="00B13B9A">
              <w:rPr>
                <w:rFonts w:asciiTheme="majorHAnsi" w:hAnsiTheme="majorHAnsi" w:cstheme="majorHAnsi"/>
                <w:color w:val="000000" w:themeColor="text1"/>
                <w:sz w:val="18"/>
                <w:szCs w:val="20"/>
                <w:lang w:val="ro-MD"/>
              </w:rPr>
              <w:t>e, a căror sumă depă</w:t>
            </w:r>
            <w:r w:rsidR="00B13B9A" w:rsidRPr="00B13B9A">
              <w:rPr>
                <w:rFonts w:asciiTheme="majorHAnsi" w:hAnsiTheme="majorHAnsi" w:cstheme="majorHAnsi"/>
                <w:color w:val="000000" w:themeColor="text1"/>
                <w:sz w:val="18"/>
                <w:szCs w:val="20"/>
                <w:lang w:val="ro-MD"/>
              </w:rPr>
              <w:t>ș</w:t>
            </w:r>
            <w:r w:rsidRPr="00B13B9A">
              <w:rPr>
                <w:rFonts w:asciiTheme="majorHAnsi" w:hAnsiTheme="majorHAnsi" w:cstheme="majorHAnsi"/>
                <w:color w:val="000000" w:themeColor="text1"/>
                <w:sz w:val="18"/>
                <w:szCs w:val="20"/>
                <w:lang w:val="ro-MD"/>
              </w:rPr>
              <w:t>e</w:t>
            </w:r>
            <w:r w:rsidR="00B13B9A" w:rsidRPr="00B13B9A">
              <w:rPr>
                <w:rFonts w:asciiTheme="majorHAnsi" w:hAnsiTheme="majorHAnsi" w:cstheme="majorHAnsi"/>
                <w:color w:val="000000" w:themeColor="text1"/>
                <w:sz w:val="18"/>
                <w:szCs w:val="20"/>
                <w:lang w:val="ro-MD"/>
              </w:rPr>
              <w:t>ș</w:t>
            </w:r>
            <w:r w:rsidRPr="00B13B9A">
              <w:rPr>
                <w:rFonts w:asciiTheme="majorHAnsi" w:hAnsiTheme="majorHAnsi" w:cstheme="majorHAnsi"/>
                <w:color w:val="000000" w:themeColor="text1"/>
                <w:sz w:val="18"/>
                <w:szCs w:val="20"/>
                <w:lang w:val="ro-MD"/>
              </w:rPr>
              <w:t>te 25% din suma mijloacelor financiare planificate pentru a fi acumulate de către institu</w:t>
            </w:r>
            <w:r w:rsidR="00B13B9A" w:rsidRPr="00B13B9A">
              <w:rPr>
                <w:rFonts w:asciiTheme="majorHAnsi" w:hAnsiTheme="majorHAnsi" w:cstheme="majorHAnsi"/>
                <w:color w:val="000000" w:themeColor="text1"/>
                <w:sz w:val="18"/>
                <w:szCs w:val="20"/>
                <w:lang w:val="ro-MD"/>
              </w:rPr>
              <w:t>ț</w:t>
            </w:r>
            <w:r w:rsidRPr="00B13B9A">
              <w:rPr>
                <w:rFonts w:asciiTheme="majorHAnsi" w:hAnsiTheme="majorHAnsi" w:cstheme="majorHAnsi"/>
                <w:color w:val="000000" w:themeColor="text1"/>
                <w:sz w:val="18"/>
                <w:szCs w:val="20"/>
                <w:lang w:val="ro-MD"/>
              </w:rPr>
              <w:t>ie pe parcursul anului curent de activitate;</w:t>
            </w:r>
          </w:p>
          <w:p w14:paraId="58E7F346" w14:textId="5DA08BEF" w:rsidR="00784827" w:rsidRPr="00B13B9A" w:rsidRDefault="00784827" w:rsidP="00241AB3">
            <w:pPr>
              <w:pStyle w:val="a7"/>
              <w:numPr>
                <w:ilvl w:val="0"/>
                <w:numId w:val="3"/>
              </w:numPr>
              <w:tabs>
                <w:tab w:val="left" w:pos="851"/>
                <w:tab w:val="left" w:pos="993"/>
              </w:tabs>
              <w:jc w:val="both"/>
              <w:rPr>
                <w:rFonts w:asciiTheme="majorHAnsi" w:hAnsiTheme="majorHAnsi" w:cstheme="majorHAnsi"/>
                <w:color w:val="000000" w:themeColor="text1"/>
                <w:sz w:val="18"/>
                <w:szCs w:val="20"/>
                <w:lang w:val="ro-MD"/>
              </w:rPr>
            </w:pPr>
            <w:r w:rsidRPr="00B13B9A">
              <w:rPr>
                <w:rFonts w:asciiTheme="majorHAnsi" w:hAnsiTheme="majorHAnsi" w:cstheme="majorHAnsi"/>
                <w:color w:val="000000" w:themeColor="text1"/>
                <w:sz w:val="18"/>
                <w:szCs w:val="20"/>
                <w:lang w:val="ro-MD"/>
              </w:rPr>
              <w:t>coordonează contractele de loca</w:t>
            </w:r>
            <w:r w:rsidR="00B13B9A" w:rsidRPr="00B13B9A">
              <w:rPr>
                <w:rFonts w:asciiTheme="majorHAnsi" w:hAnsiTheme="majorHAnsi" w:cstheme="majorHAnsi"/>
                <w:color w:val="000000" w:themeColor="text1"/>
                <w:sz w:val="18"/>
                <w:szCs w:val="20"/>
                <w:lang w:val="ro-MD"/>
              </w:rPr>
              <w:t>ț</w:t>
            </w:r>
            <w:r w:rsidRPr="00B13B9A">
              <w:rPr>
                <w:rFonts w:asciiTheme="majorHAnsi" w:hAnsiTheme="majorHAnsi" w:cstheme="majorHAnsi"/>
                <w:color w:val="000000" w:themeColor="text1"/>
                <w:sz w:val="18"/>
                <w:szCs w:val="20"/>
                <w:lang w:val="ro-MD"/>
              </w:rPr>
              <w:t xml:space="preserve">iune/comodat a bunurilor </w:t>
            </w:r>
            <w:r w:rsidR="00B13B9A" w:rsidRPr="00B13B9A">
              <w:rPr>
                <w:rFonts w:asciiTheme="majorHAnsi" w:hAnsiTheme="majorHAnsi" w:cstheme="majorHAnsi"/>
                <w:color w:val="000000" w:themeColor="text1"/>
                <w:sz w:val="18"/>
                <w:szCs w:val="20"/>
                <w:lang w:val="ro-MD"/>
              </w:rPr>
              <w:t>ș</w:t>
            </w:r>
            <w:r w:rsidRPr="00B13B9A">
              <w:rPr>
                <w:rFonts w:asciiTheme="majorHAnsi" w:hAnsiTheme="majorHAnsi" w:cstheme="majorHAnsi"/>
                <w:color w:val="000000" w:themeColor="text1"/>
                <w:sz w:val="18"/>
                <w:szCs w:val="20"/>
                <w:lang w:val="ro-MD"/>
              </w:rPr>
              <w:t xml:space="preserve">i încăperilor, a trecerii la cheltuieli a mijloacelor fixe </w:t>
            </w:r>
            <w:r w:rsidR="00B13B9A" w:rsidRPr="00B13B9A">
              <w:rPr>
                <w:rFonts w:asciiTheme="majorHAnsi" w:hAnsiTheme="majorHAnsi" w:cstheme="majorHAnsi"/>
                <w:color w:val="000000" w:themeColor="text1"/>
                <w:sz w:val="18"/>
                <w:szCs w:val="20"/>
                <w:lang w:val="ro-MD"/>
              </w:rPr>
              <w:t>ș</w:t>
            </w:r>
            <w:r w:rsidRPr="00B13B9A">
              <w:rPr>
                <w:rFonts w:asciiTheme="majorHAnsi" w:hAnsiTheme="majorHAnsi" w:cstheme="majorHAnsi"/>
                <w:color w:val="000000" w:themeColor="text1"/>
                <w:sz w:val="18"/>
                <w:szCs w:val="20"/>
                <w:lang w:val="ro-MD"/>
              </w:rPr>
              <w:t>i a vânzării mijloacelor fixe neutilizate în activitatea Institu</w:t>
            </w:r>
            <w:r w:rsidR="00B13B9A" w:rsidRPr="00B13B9A">
              <w:rPr>
                <w:rFonts w:asciiTheme="majorHAnsi" w:hAnsiTheme="majorHAnsi" w:cstheme="majorHAnsi"/>
                <w:color w:val="000000" w:themeColor="text1"/>
                <w:sz w:val="18"/>
                <w:szCs w:val="20"/>
                <w:lang w:val="ro-MD"/>
              </w:rPr>
              <w:t>ț</w:t>
            </w:r>
            <w:r w:rsidRPr="00B13B9A">
              <w:rPr>
                <w:rFonts w:asciiTheme="majorHAnsi" w:hAnsiTheme="majorHAnsi" w:cstheme="majorHAnsi"/>
                <w:color w:val="000000" w:themeColor="text1"/>
                <w:sz w:val="18"/>
                <w:szCs w:val="20"/>
                <w:lang w:val="ro-MD"/>
              </w:rPr>
              <w:t>iei;</w:t>
            </w:r>
          </w:p>
          <w:p w14:paraId="556C9FB1" w14:textId="6E6770A1" w:rsidR="00784827" w:rsidRPr="00B13B9A" w:rsidRDefault="00784827" w:rsidP="00241AB3">
            <w:pPr>
              <w:pStyle w:val="a7"/>
              <w:numPr>
                <w:ilvl w:val="0"/>
                <w:numId w:val="3"/>
              </w:numPr>
              <w:tabs>
                <w:tab w:val="left" w:pos="851"/>
                <w:tab w:val="left" w:pos="993"/>
              </w:tabs>
              <w:jc w:val="both"/>
              <w:rPr>
                <w:rFonts w:asciiTheme="majorHAnsi" w:hAnsiTheme="majorHAnsi" w:cstheme="majorHAnsi"/>
                <w:color w:val="000000" w:themeColor="text1"/>
                <w:sz w:val="18"/>
                <w:szCs w:val="20"/>
                <w:lang w:val="ro-MD"/>
              </w:rPr>
            </w:pPr>
            <w:r w:rsidRPr="00B13B9A">
              <w:rPr>
                <w:rFonts w:asciiTheme="majorHAnsi" w:hAnsiTheme="majorHAnsi" w:cstheme="majorHAnsi"/>
                <w:color w:val="000000" w:themeColor="text1"/>
                <w:sz w:val="18"/>
                <w:szCs w:val="20"/>
                <w:lang w:val="ro-MD"/>
              </w:rPr>
              <w:t>aprobă, alocă mijloace financiare bugetare pentru investi</w:t>
            </w:r>
            <w:r w:rsidR="00B13B9A" w:rsidRPr="00B13B9A">
              <w:rPr>
                <w:rFonts w:asciiTheme="majorHAnsi" w:hAnsiTheme="majorHAnsi" w:cstheme="majorHAnsi"/>
                <w:color w:val="000000" w:themeColor="text1"/>
                <w:sz w:val="18"/>
                <w:szCs w:val="20"/>
                <w:lang w:val="ro-MD"/>
              </w:rPr>
              <w:t>ț</w:t>
            </w:r>
            <w:r w:rsidRPr="00B13B9A">
              <w:rPr>
                <w:rFonts w:asciiTheme="majorHAnsi" w:hAnsiTheme="majorHAnsi" w:cstheme="majorHAnsi"/>
                <w:color w:val="000000" w:themeColor="text1"/>
                <w:sz w:val="18"/>
                <w:szCs w:val="20"/>
                <w:lang w:val="ro-MD"/>
              </w:rPr>
              <w:t>ii în infrastructură - construc</w:t>
            </w:r>
            <w:r w:rsidR="00B13B9A" w:rsidRPr="00B13B9A">
              <w:rPr>
                <w:rFonts w:asciiTheme="majorHAnsi" w:hAnsiTheme="majorHAnsi" w:cstheme="majorHAnsi"/>
                <w:color w:val="000000" w:themeColor="text1"/>
                <w:sz w:val="18"/>
                <w:szCs w:val="20"/>
                <w:lang w:val="ro-MD"/>
              </w:rPr>
              <w:t>ț</w:t>
            </w:r>
            <w:r w:rsidRPr="00B13B9A">
              <w:rPr>
                <w:rFonts w:asciiTheme="majorHAnsi" w:hAnsiTheme="majorHAnsi" w:cstheme="majorHAnsi"/>
                <w:color w:val="000000" w:themeColor="text1"/>
                <w:sz w:val="18"/>
                <w:szCs w:val="20"/>
                <w:lang w:val="ro-MD"/>
              </w:rPr>
              <w:t>ia, reconstruc</w:t>
            </w:r>
            <w:r w:rsidR="00B13B9A" w:rsidRPr="00B13B9A">
              <w:rPr>
                <w:rFonts w:asciiTheme="majorHAnsi" w:hAnsiTheme="majorHAnsi" w:cstheme="majorHAnsi"/>
                <w:color w:val="000000" w:themeColor="text1"/>
                <w:sz w:val="18"/>
                <w:szCs w:val="20"/>
                <w:lang w:val="ro-MD"/>
              </w:rPr>
              <w:t>ț</w:t>
            </w:r>
            <w:r w:rsidRPr="00B13B9A">
              <w:rPr>
                <w:rFonts w:asciiTheme="majorHAnsi" w:hAnsiTheme="majorHAnsi" w:cstheme="majorHAnsi"/>
                <w:color w:val="000000" w:themeColor="text1"/>
                <w:sz w:val="18"/>
                <w:szCs w:val="20"/>
                <w:lang w:val="ro-MD"/>
              </w:rPr>
              <w:t>ia, repara</w:t>
            </w:r>
            <w:r w:rsidR="00B13B9A" w:rsidRPr="00B13B9A">
              <w:rPr>
                <w:rFonts w:asciiTheme="majorHAnsi" w:hAnsiTheme="majorHAnsi" w:cstheme="majorHAnsi"/>
                <w:color w:val="000000" w:themeColor="text1"/>
                <w:sz w:val="18"/>
                <w:szCs w:val="20"/>
                <w:lang w:val="ro-MD"/>
              </w:rPr>
              <w:t>ț</w:t>
            </w:r>
            <w:r w:rsidRPr="00B13B9A">
              <w:rPr>
                <w:rFonts w:asciiTheme="majorHAnsi" w:hAnsiTheme="majorHAnsi" w:cstheme="majorHAnsi"/>
                <w:color w:val="000000" w:themeColor="text1"/>
                <w:sz w:val="18"/>
                <w:szCs w:val="20"/>
                <w:lang w:val="ro-MD"/>
              </w:rPr>
              <w:t xml:space="preserve">ia capitală a edificiilor, procurarea utilajului costisitor </w:t>
            </w:r>
            <w:r w:rsidR="00B13B9A" w:rsidRPr="00B13B9A">
              <w:rPr>
                <w:rFonts w:asciiTheme="majorHAnsi" w:hAnsiTheme="majorHAnsi" w:cstheme="majorHAnsi"/>
                <w:color w:val="000000" w:themeColor="text1"/>
                <w:sz w:val="18"/>
                <w:szCs w:val="20"/>
                <w:lang w:val="ro-MD"/>
              </w:rPr>
              <w:t>ș</w:t>
            </w:r>
            <w:r w:rsidRPr="00B13B9A">
              <w:rPr>
                <w:rFonts w:asciiTheme="majorHAnsi" w:hAnsiTheme="majorHAnsi" w:cstheme="majorHAnsi"/>
                <w:color w:val="000000" w:themeColor="text1"/>
                <w:sz w:val="18"/>
                <w:szCs w:val="20"/>
                <w:lang w:val="ro-MD"/>
              </w:rPr>
              <w:t>i transportului sanitar;</w:t>
            </w:r>
          </w:p>
          <w:p w14:paraId="43372C48" w14:textId="4E9E5ADE" w:rsidR="00784827" w:rsidRPr="00B13B9A" w:rsidRDefault="00784827" w:rsidP="00241AB3">
            <w:pPr>
              <w:pStyle w:val="a7"/>
              <w:numPr>
                <w:ilvl w:val="0"/>
                <w:numId w:val="3"/>
              </w:numPr>
              <w:tabs>
                <w:tab w:val="left" w:pos="851"/>
                <w:tab w:val="left" w:pos="993"/>
              </w:tabs>
              <w:jc w:val="both"/>
              <w:rPr>
                <w:rFonts w:asciiTheme="majorHAnsi" w:hAnsiTheme="majorHAnsi" w:cstheme="majorHAnsi"/>
                <w:color w:val="000000" w:themeColor="text1"/>
                <w:sz w:val="18"/>
                <w:szCs w:val="20"/>
                <w:lang w:val="ro-MD"/>
              </w:rPr>
            </w:pPr>
            <w:r w:rsidRPr="00B13B9A">
              <w:rPr>
                <w:rFonts w:asciiTheme="majorHAnsi" w:hAnsiTheme="majorHAnsi" w:cstheme="majorHAnsi"/>
                <w:color w:val="000000" w:themeColor="text1"/>
                <w:sz w:val="18"/>
                <w:szCs w:val="20"/>
                <w:lang w:val="ro-MD"/>
              </w:rPr>
              <w:t>supune controlului activită</w:t>
            </w:r>
            <w:r w:rsidR="00B13B9A" w:rsidRPr="00B13B9A">
              <w:rPr>
                <w:rFonts w:asciiTheme="majorHAnsi" w:hAnsiTheme="majorHAnsi" w:cstheme="majorHAnsi"/>
                <w:color w:val="000000" w:themeColor="text1"/>
                <w:sz w:val="18"/>
                <w:szCs w:val="20"/>
                <w:lang w:val="ro-MD"/>
              </w:rPr>
              <w:t>ț</w:t>
            </w:r>
            <w:r w:rsidRPr="00B13B9A">
              <w:rPr>
                <w:rFonts w:asciiTheme="majorHAnsi" w:hAnsiTheme="majorHAnsi" w:cstheme="majorHAnsi"/>
                <w:color w:val="000000" w:themeColor="text1"/>
                <w:sz w:val="18"/>
                <w:szCs w:val="20"/>
                <w:lang w:val="ro-MD"/>
              </w:rPr>
              <w:t>ile curente ale institu</w:t>
            </w:r>
            <w:r w:rsidR="00B13B9A" w:rsidRPr="00B13B9A">
              <w:rPr>
                <w:rFonts w:asciiTheme="majorHAnsi" w:hAnsiTheme="majorHAnsi" w:cstheme="majorHAnsi"/>
                <w:color w:val="000000" w:themeColor="text1"/>
                <w:sz w:val="18"/>
                <w:szCs w:val="20"/>
                <w:lang w:val="ro-MD"/>
              </w:rPr>
              <w:t>ț</w:t>
            </w:r>
            <w:r w:rsidRPr="00B13B9A">
              <w:rPr>
                <w:rFonts w:asciiTheme="majorHAnsi" w:hAnsiTheme="majorHAnsi" w:cstheme="majorHAnsi"/>
                <w:color w:val="000000" w:themeColor="text1"/>
                <w:sz w:val="18"/>
                <w:szCs w:val="20"/>
                <w:lang w:val="ro-MD"/>
              </w:rPr>
              <w:t>iei, în probleme</w:t>
            </w:r>
            <w:r w:rsidR="00911AEE" w:rsidRPr="00B13B9A">
              <w:rPr>
                <w:rFonts w:asciiTheme="majorHAnsi" w:hAnsiTheme="majorHAnsi" w:cstheme="majorHAnsi"/>
                <w:color w:val="000000" w:themeColor="text1"/>
                <w:sz w:val="18"/>
                <w:szCs w:val="20"/>
                <w:lang w:val="ro-MD"/>
              </w:rPr>
              <w:t>le</w:t>
            </w:r>
            <w:r w:rsidRPr="00B13B9A">
              <w:rPr>
                <w:rFonts w:asciiTheme="majorHAnsi" w:hAnsiTheme="majorHAnsi" w:cstheme="majorHAnsi"/>
                <w:color w:val="000000" w:themeColor="text1"/>
                <w:sz w:val="18"/>
                <w:szCs w:val="20"/>
                <w:lang w:val="ro-MD"/>
              </w:rPr>
              <w:t xml:space="preserve"> ce </w:t>
            </w:r>
            <w:r w:rsidR="00B13B9A" w:rsidRPr="00B13B9A">
              <w:rPr>
                <w:rFonts w:asciiTheme="majorHAnsi" w:hAnsiTheme="majorHAnsi" w:cstheme="majorHAnsi"/>
                <w:color w:val="000000" w:themeColor="text1"/>
                <w:sz w:val="18"/>
                <w:szCs w:val="20"/>
                <w:lang w:val="ro-MD"/>
              </w:rPr>
              <w:t>ț</w:t>
            </w:r>
            <w:r w:rsidRPr="00B13B9A">
              <w:rPr>
                <w:rFonts w:asciiTheme="majorHAnsi" w:hAnsiTheme="majorHAnsi" w:cstheme="majorHAnsi"/>
                <w:color w:val="000000" w:themeColor="text1"/>
                <w:sz w:val="18"/>
                <w:szCs w:val="20"/>
                <w:lang w:val="ro-MD"/>
              </w:rPr>
              <w:t>in de atribu</w:t>
            </w:r>
            <w:r w:rsidR="00B13B9A" w:rsidRPr="00B13B9A">
              <w:rPr>
                <w:rFonts w:asciiTheme="majorHAnsi" w:hAnsiTheme="majorHAnsi" w:cstheme="majorHAnsi"/>
                <w:color w:val="000000" w:themeColor="text1"/>
                <w:sz w:val="18"/>
                <w:szCs w:val="20"/>
                <w:lang w:val="ro-MD"/>
              </w:rPr>
              <w:t>ț</w:t>
            </w:r>
            <w:r w:rsidRPr="00B13B9A">
              <w:rPr>
                <w:rFonts w:asciiTheme="majorHAnsi" w:hAnsiTheme="majorHAnsi" w:cstheme="majorHAnsi"/>
                <w:color w:val="000000" w:themeColor="text1"/>
                <w:sz w:val="18"/>
                <w:szCs w:val="20"/>
                <w:lang w:val="ro-MD"/>
              </w:rPr>
              <w:t>iile acesteia, inclusiv prin solicitarea de informa</w:t>
            </w:r>
            <w:r w:rsidR="00B13B9A" w:rsidRPr="00B13B9A">
              <w:rPr>
                <w:rFonts w:asciiTheme="majorHAnsi" w:hAnsiTheme="majorHAnsi" w:cstheme="majorHAnsi"/>
                <w:color w:val="000000" w:themeColor="text1"/>
                <w:sz w:val="18"/>
                <w:szCs w:val="20"/>
                <w:lang w:val="ro-MD"/>
              </w:rPr>
              <w:t>ț</w:t>
            </w:r>
            <w:r w:rsidRPr="00B13B9A">
              <w:rPr>
                <w:rFonts w:asciiTheme="majorHAnsi" w:hAnsiTheme="majorHAnsi" w:cstheme="majorHAnsi"/>
                <w:color w:val="000000" w:themeColor="text1"/>
                <w:sz w:val="18"/>
                <w:szCs w:val="20"/>
                <w:lang w:val="ro-MD"/>
              </w:rPr>
              <w:t>ii, acte, explica</w:t>
            </w:r>
            <w:r w:rsidR="00B13B9A" w:rsidRPr="00B13B9A">
              <w:rPr>
                <w:rFonts w:asciiTheme="majorHAnsi" w:hAnsiTheme="majorHAnsi" w:cstheme="majorHAnsi"/>
                <w:color w:val="000000" w:themeColor="text1"/>
                <w:sz w:val="18"/>
                <w:szCs w:val="20"/>
                <w:lang w:val="ro-MD"/>
              </w:rPr>
              <w:t>ț</w:t>
            </w:r>
            <w:r w:rsidRPr="00B13B9A">
              <w:rPr>
                <w:rFonts w:asciiTheme="majorHAnsi" w:hAnsiTheme="majorHAnsi" w:cstheme="majorHAnsi"/>
                <w:color w:val="000000" w:themeColor="text1"/>
                <w:sz w:val="18"/>
                <w:szCs w:val="20"/>
                <w:lang w:val="ro-MD"/>
              </w:rPr>
              <w:t>ii, rapoarte de activitate etc.</w:t>
            </w:r>
          </w:p>
        </w:tc>
      </w:tr>
      <w:tr w:rsidR="00784827" w:rsidRPr="00B13B9A" w14:paraId="6B0CFDDE" w14:textId="77777777" w:rsidTr="00E61DB8">
        <w:tc>
          <w:tcPr>
            <w:tcW w:w="2405" w:type="dxa"/>
          </w:tcPr>
          <w:p w14:paraId="7ED76852" w14:textId="41EB40B1" w:rsidR="00911AEE" w:rsidRPr="00B13B9A" w:rsidRDefault="00784827" w:rsidP="00E61DB8">
            <w:pPr>
              <w:jc w:val="center"/>
              <w:rPr>
                <w:rFonts w:asciiTheme="majorHAnsi" w:hAnsiTheme="majorHAnsi" w:cstheme="majorHAnsi"/>
                <w:sz w:val="18"/>
                <w:szCs w:val="20"/>
                <w:lang w:val="ro-MD"/>
              </w:rPr>
            </w:pPr>
            <w:r w:rsidRPr="00B13B9A">
              <w:rPr>
                <w:rFonts w:asciiTheme="majorHAnsi" w:hAnsiTheme="majorHAnsi" w:cstheme="majorHAnsi"/>
                <w:b/>
                <w:sz w:val="18"/>
                <w:szCs w:val="20"/>
                <w:lang w:val="ro-MD"/>
              </w:rPr>
              <w:t>CNAM</w:t>
            </w:r>
            <w:r w:rsidRPr="00B13B9A">
              <w:rPr>
                <w:rFonts w:asciiTheme="majorHAnsi" w:hAnsiTheme="majorHAnsi" w:cstheme="majorHAnsi"/>
                <w:sz w:val="18"/>
                <w:szCs w:val="20"/>
                <w:lang w:val="ro-MD"/>
              </w:rPr>
              <w:t xml:space="preserve"> </w:t>
            </w:r>
            <w:r w:rsidR="00911AEE" w:rsidRPr="00B13B9A">
              <w:rPr>
                <w:rFonts w:asciiTheme="majorHAnsi" w:hAnsiTheme="majorHAnsi" w:cstheme="majorHAnsi"/>
                <w:sz w:val="18"/>
                <w:szCs w:val="20"/>
                <w:lang w:val="ro-MD"/>
              </w:rPr>
              <w:t>–</w:t>
            </w:r>
          </w:p>
          <w:p w14:paraId="4A7B2ECD" w14:textId="68DCEF5B" w:rsidR="00784827" w:rsidRPr="00B13B9A" w:rsidRDefault="00784827" w:rsidP="00E61DB8">
            <w:pPr>
              <w:jc w:val="center"/>
              <w:rPr>
                <w:rFonts w:asciiTheme="majorHAnsi" w:hAnsiTheme="majorHAnsi" w:cstheme="majorHAnsi"/>
                <w:sz w:val="18"/>
                <w:szCs w:val="20"/>
                <w:lang w:val="ro-MD"/>
              </w:rPr>
            </w:pPr>
            <w:r w:rsidRPr="00B13B9A">
              <w:rPr>
                <w:rFonts w:asciiTheme="majorHAnsi" w:hAnsiTheme="majorHAnsi" w:cstheme="majorHAnsi"/>
                <w:sz w:val="18"/>
                <w:szCs w:val="20"/>
                <w:lang w:val="ro-MD"/>
              </w:rPr>
              <w:t xml:space="preserve"> gestionar al mijloacelor FAOAM</w:t>
            </w:r>
          </w:p>
        </w:tc>
        <w:tc>
          <w:tcPr>
            <w:tcW w:w="7274" w:type="dxa"/>
          </w:tcPr>
          <w:p w14:paraId="72BF440A" w14:textId="1CF2B363" w:rsidR="00784827" w:rsidRPr="00B13B9A" w:rsidRDefault="00784827" w:rsidP="00241AB3">
            <w:pPr>
              <w:pStyle w:val="a7"/>
              <w:numPr>
                <w:ilvl w:val="0"/>
                <w:numId w:val="4"/>
              </w:numPr>
              <w:rPr>
                <w:rFonts w:asciiTheme="majorHAnsi" w:hAnsiTheme="majorHAnsi" w:cstheme="majorHAnsi"/>
                <w:sz w:val="18"/>
                <w:szCs w:val="20"/>
                <w:lang w:val="ro-MD"/>
              </w:rPr>
            </w:pPr>
            <w:r w:rsidRPr="00B13B9A">
              <w:rPr>
                <w:rFonts w:asciiTheme="majorHAnsi" w:hAnsiTheme="majorHAnsi" w:cstheme="majorHAnsi"/>
                <w:sz w:val="18"/>
                <w:szCs w:val="20"/>
                <w:lang w:val="ro-MD"/>
              </w:rPr>
              <w:t>asigură organizarea, desfă</w:t>
            </w:r>
            <w:r w:rsidR="00B13B9A" w:rsidRPr="00B13B9A">
              <w:rPr>
                <w:rFonts w:asciiTheme="majorHAnsi" w:hAnsiTheme="majorHAnsi" w:cstheme="majorHAnsi"/>
                <w:sz w:val="18"/>
                <w:szCs w:val="20"/>
                <w:lang w:val="ro-MD"/>
              </w:rPr>
              <w:t>ș</w:t>
            </w:r>
            <w:r w:rsidRPr="00B13B9A">
              <w:rPr>
                <w:rFonts w:asciiTheme="majorHAnsi" w:hAnsiTheme="majorHAnsi" w:cstheme="majorHAnsi"/>
                <w:sz w:val="18"/>
                <w:szCs w:val="20"/>
                <w:lang w:val="ro-MD"/>
              </w:rPr>
              <w:t xml:space="preserve">urarea </w:t>
            </w:r>
            <w:r w:rsidR="00B13B9A" w:rsidRPr="00B13B9A">
              <w:rPr>
                <w:rFonts w:asciiTheme="majorHAnsi" w:hAnsiTheme="majorHAnsi" w:cstheme="majorHAnsi"/>
                <w:sz w:val="18"/>
                <w:szCs w:val="20"/>
                <w:lang w:val="ro-MD"/>
              </w:rPr>
              <w:t>ș</w:t>
            </w:r>
            <w:r w:rsidRPr="00B13B9A">
              <w:rPr>
                <w:rFonts w:asciiTheme="majorHAnsi" w:hAnsiTheme="majorHAnsi" w:cstheme="majorHAnsi"/>
                <w:sz w:val="18"/>
                <w:szCs w:val="20"/>
                <w:lang w:val="ro-MD"/>
              </w:rPr>
              <w:t>i dirijarea procesului de asigurare obligatorie de asisten</w:t>
            </w:r>
            <w:r w:rsidR="00B13B9A" w:rsidRPr="00B13B9A">
              <w:rPr>
                <w:rFonts w:asciiTheme="majorHAnsi" w:hAnsiTheme="majorHAnsi" w:cstheme="majorHAnsi"/>
                <w:sz w:val="18"/>
                <w:szCs w:val="20"/>
                <w:lang w:val="ro-MD"/>
              </w:rPr>
              <w:t>ț</w:t>
            </w:r>
            <w:r w:rsidRPr="00B13B9A">
              <w:rPr>
                <w:rFonts w:asciiTheme="majorHAnsi" w:hAnsiTheme="majorHAnsi" w:cstheme="majorHAnsi"/>
                <w:sz w:val="18"/>
                <w:szCs w:val="20"/>
                <w:lang w:val="ro-MD"/>
              </w:rPr>
              <w:t xml:space="preserve">ă medicală; </w:t>
            </w:r>
          </w:p>
          <w:p w14:paraId="2EA21E1B" w14:textId="76C8721C" w:rsidR="00784827" w:rsidRPr="00B13B9A" w:rsidRDefault="008C6A31" w:rsidP="00241AB3">
            <w:pPr>
              <w:pStyle w:val="a7"/>
              <w:numPr>
                <w:ilvl w:val="0"/>
                <w:numId w:val="4"/>
              </w:numPr>
              <w:rPr>
                <w:rFonts w:asciiTheme="majorHAnsi" w:hAnsiTheme="majorHAnsi" w:cstheme="majorHAnsi"/>
                <w:sz w:val="18"/>
                <w:szCs w:val="20"/>
                <w:lang w:val="ro-MD"/>
              </w:rPr>
            </w:pPr>
            <w:r w:rsidRPr="00B13B9A">
              <w:rPr>
                <w:rFonts w:asciiTheme="majorHAnsi" w:hAnsiTheme="majorHAnsi" w:cstheme="majorHAnsi"/>
                <w:sz w:val="18"/>
                <w:szCs w:val="20"/>
                <w:lang w:val="ro-MD"/>
              </w:rPr>
              <w:t xml:space="preserve">asigură </w:t>
            </w:r>
            <w:r w:rsidR="00784827" w:rsidRPr="00B13B9A">
              <w:rPr>
                <w:rFonts w:asciiTheme="majorHAnsi" w:hAnsiTheme="majorHAnsi" w:cstheme="majorHAnsi"/>
                <w:sz w:val="18"/>
                <w:szCs w:val="20"/>
                <w:lang w:val="ro-MD"/>
              </w:rPr>
              <w:t>controlul calită</w:t>
            </w:r>
            <w:r w:rsidR="00B13B9A" w:rsidRPr="00B13B9A">
              <w:rPr>
                <w:rFonts w:asciiTheme="majorHAnsi" w:hAnsiTheme="majorHAnsi" w:cstheme="majorHAnsi"/>
                <w:sz w:val="18"/>
                <w:szCs w:val="20"/>
                <w:lang w:val="ro-MD"/>
              </w:rPr>
              <w:t>ț</w:t>
            </w:r>
            <w:r w:rsidR="00784827" w:rsidRPr="00B13B9A">
              <w:rPr>
                <w:rFonts w:asciiTheme="majorHAnsi" w:hAnsiTheme="majorHAnsi" w:cstheme="majorHAnsi"/>
                <w:sz w:val="18"/>
                <w:szCs w:val="20"/>
                <w:lang w:val="ro-MD"/>
              </w:rPr>
              <w:t>ii asisten</w:t>
            </w:r>
            <w:r w:rsidR="00B13B9A" w:rsidRPr="00B13B9A">
              <w:rPr>
                <w:rFonts w:asciiTheme="majorHAnsi" w:hAnsiTheme="majorHAnsi" w:cstheme="majorHAnsi"/>
                <w:sz w:val="18"/>
                <w:szCs w:val="20"/>
                <w:lang w:val="ro-MD"/>
              </w:rPr>
              <w:t>ț</w:t>
            </w:r>
            <w:r w:rsidR="00784827" w:rsidRPr="00B13B9A">
              <w:rPr>
                <w:rFonts w:asciiTheme="majorHAnsi" w:hAnsiTheme="majorHAnsi" w:cstheme="majorHAnsi"/>
                <w:sz w:val="18"/>
                <w:szCs w:val="20"/>
                <w:lang w:val="ro-MD"/>
              </w:rPr>
              <w:t xml:space="preserve">ei medicale acordate </w:t>
            </w:r>
            <w:r w:rsidR="00B13B9A" w:rsidRPr="00B13B9A">
              <w:rPr>
                <w:rFonts w:asciiTheme="majorHAnsi" w:hAnsiTheme="majorHAnsi" w:cstheme="majorHAnsi"/>
                <w:sz w:val="18"/>
                <w:szCs w:val="20"/>
                <w:lang w:val="ro-MD"/>
              </w:rPr>
              <w:t>ș</w:t>
            </w:r>
            <w:r w:rsidR="00784827" w:rsidRPr="00B13B9A">
              <w:rPr>
                <w:rFonts w:asciiTheme="majorHAnsi" w:hAnsiTheme="majorHAnsi" w:cstheme="majorHAnsi"/>
                <w:sz w:val="18"/>
                <w:szCs w:val="20"/>
                <w:lang w:val="ro-MD"/>
              </w:rPr>
              <w:t xml:space="preserve">i utilizării mijloacelor financiare provenite din FAOAM; </w:t>
            </w:r>
          </w:p>
          <w:p w14:paraId="1C69CFFF" w14:textId="488FF345" w:rsidR="00784827" w:rsidRPr="00B13B9A" w:rsidRDefault="008C6A31" w:rsidP="00241AB3">
            <w:pPr>
              <w:pStyle w:val="a7"/>
              <w:numPr>
                <w:ilvl w:val="0"/>
                <w:numId w:val="4"/>
              </w:numPr>
              <w:rPr>
                <w:rFonts w:asciiTheme="majorHAnsi" w:hAnsiTheme="majorHAnsi" w:cstheme="majorHAnsi"/>
                <w:sz w:val="18"/>
                <w:szCs w:val="20"/>
                <w:lang w:val="ro-MD"/>
              </w:rPr>
            </w:pPr>
            <w:r w:rsidRPr="00B13B9A">
              <w:rPr>
                <w:rFonts w:asciiTheme="majorHAnsi" w:hAnsiTheme="majorHAnsi" w:cstheme="majorHAnsi"/>
                <w:sz w:val="18"/>
                <w:szCs w:val="20"/>
                <w:lang w:val="ro-MD"/>
              </w:rPr>
              <w:t xml:space="preserve">asigură </w:t>
            </w:r>
            <w:r w:rsidR="00784827" w:rsidRPr="00B13B9A">
              <w:rPr>
                <w:rFonts w:asciiTheme="majorHAnsi" w:hAnsiTheme="majorHAnsi" w:cstheme="majorHAnsi"/>
                <w:sz w:val="18"/>
                <w:szCs w:val="20"/>
                <w:lang w:val="ro-MD"/>
              </w:rPr>
              <w:t xml:space="preserve">negocierea, încheierea contractelor </w:t>
            </w:r>
            <w:r w:rsidR="00B13B9A" w:rsidRPr="00B13B9A">
              <w:rPr>
                <w:rFonts w:asciiTheme="majorHAnsi" w:hAnsiTheme="majorHAnsi" w:cstheme="majorHAnsi"/>
                <w:sz w:val="18"/>
                <w:szCs w:val="20"/>
                <w:lang w:val="ro-MD"/>
              </w:rPr>
              <w:t>ș</w:t>
            </w:r>
            <w:r w:rsidR="00784827" w:rsidRPr="00B13B9A">
              <w:rPr>
                <w:rFonts w:asciiTheme="majorHAnsi" w:hAnsiTheme="majorHAnsi" w:cstheme="majorHAnsi"/>
                <w:sz w:val="18"/>
                <w:szCs w:val="20"/>
                <w:lang w:val="ro-MD"/>
              </w:rPr>
              <w:t>i finan</w:t>
            </w:r>
            <w:r w:rsidR="00B13B9A" w:rsidRPr="00B13B9A">
              <w:rPr>
                <w:rFonts w:asciiTheme="majorHAnsi" w:hAnsiTheme="majorHAnsi" w:cstheme="majorHAnsi"/>
                <w:sz w:val="18"/>
                <w:szCs w:val="20"/>
                <w:lang w:val="ro-MD"/>
              </w:rPr>
              <w:t>ț</w:t>
            </w:r>
            <w:r w:rsidR="00784827" w:rsidRPr="00B13B9A">
              <w:rPr>
                <w:rFonts w:asciiTheme="majorHAnsi" w:hAnsiTheme="majorHAnsi" w:cstheme="majorHAnsi"/>
                <w:sz w:val="18"/>
                <w:szCs w:val="20"/>
                <w:lang w:val="ro-MD"/>
              </w:rPr>
              <w:t>area serviciilor medicale;</w:t>
            </w:r>
          </w:p>
          <w:p w14:paraId="225D297A" w14:textId="04FF3495" w:rsidR="00784827" w:rsidRPr="00B13B9A" w:rsidRDefault="008C6A31" w:rsidP="00241AB3">
            <w:pPr>
              <w:pStyle w:val="a7"/>
              <w:numPr>
                <w:ilvl w:val="0"/>
                <w:numId w:val="4"/>
              </w:numPr>
              <w:rPr>
                <w:rFonts w:asciiTheme="majorHAnsi" w:hAnsiTheme="majorHAnsi" w:cstheme="majorHAnsi"/>
                <w:sz w:val="18"/>
                <w:szCs w:val="20"/>
                <w:lang w:val="ro-MD"/>
              </w:rPr>
            </w:pPr>
            <w:r w:rsidRPr="00B13B9A">
              <w:rPr>
                <w:rFonts w:asciiTheme="majorHAnsi" w:hAnsiTheme="majorHAnsi" w:cstheme="majorHAnsi"/>
                <w:sz w:val="18"/>
                <w:szCs w:val="20"/>
                <w:lang w:val="ro-MD"/>
              </w:rPr>
              <w:t xml:space="preserve">asigură </w:t>
            </w:r>
            <w:r w:rsidR="00784827" w:rsidRPr="00B13B9A">
              <w:rPr>
                <w:rFonts w:asciiTheme="majorHAnsi" w:hAnsiTheme="majorHAnsi" w:cstheme="majorHAnsi"/>
                <w:sz w:val="18"/>
                <w:szCs w:val="20"/>
                <w:lang w:val="ro-MD"/>
              </w:rPr>
              <w:t>verificarea îndeplinirii clauzelor contractuale</w:t>
            </w:r>
          </w:p>
        </w:tc>
      </w:tr>
      <w:tr w:rsidR="00784827" w:rsidRPr="00B13B9A" w14:paraId="33E253DC" w14:textId="77777777" w:rsidTr="00E61DB8">
        <w:tc>
          <w:tcPr>
            <w:tcW w:w="2405" w:type="dxa"/>
          </w:tcPr>
          <w:p w14:paraId="1743C21F" w14:textId="64E3F01A" w:rsidR="00911AEE" w:rsidRPr="00B13B9A" w:rsidRDefault="00784827" w:rsidP="00E61DB8">
            <w:pPr>
              <w:jc w:val="center"/>
              <w:rPr>
                <w:rFonts w:asciiTheme="majorHAnsi" w:hAnsiTheme="majorHAnsi" w:cstheme="majorHAnsi"/>
                <w:sz w:val="18"/>
                <w:szCs w:val="20"/>
                <w:lang w:val="ro-MD"/>
              </w:rPr>
            </w:pPr>
            <w:r w:rsidRPr="00B13B9A">
              <w:rPr>
                <w:rFonts w:asciiTheme="majorHAnsi" w:hAnsiTheme="majorHAnsi" w:cstheme="majorHAnsi"/>
                <w:b/>
                <w:sz w:val="18"/>
                <w:szCs w:val="20"/>
                <w:lang w:val="ro-MD"/>
              </w:rPr>
              <w:t>Consiliul de Administra</w:t>
            </w:r>
            <w:r w:rsidR="00B13B9A" w:rsidRPr="00B13B9A">
              <w:rPr>
                <w:rFonts w:asciiTheme="majorHAnsi" w:hAnsiTheme="majorHAnsi" w:cstheme="majorHAnsi"/>
                <w:b/>
                <w:sz w:val="18"/>
                <w:szCs w:val="20"/>
                <w:lang w:val="ro-MD"/>
              </w:rPr>
              <w:t>ț</w:t>
            </w:r>
            <w:r w:rsidRPr="00B13B9A">
              <w:rPr>
                <w:rFonts w:asciiTheme="majorHAnsi" w:hAnsiTheme="majorHAnsi" w:cstheme="majorHAnsi"/>
                <w:b/>
                <w:sz w:val="18"/>
                <w:szCs w:val="20"/>
                <w:lang w:val="ro-MD"/>
              </w:rPr>
              <w:t>ie</w:t>
            </w:r>
            <w:r w:rsidRPr="00B13B9A">
              <w:rPr>
                <w:rFonts w:asciiTheme="majorHAnsi" w:hAnsiTheme="majorHAnsi" w:cstheme="majorHAnsi"/>
                <w:sz w:val="18"/>
                <w:szCs w:val="20"/>
                <w:lang w:val="ro-MD"/>
              </w:rPr>
              <w:t xml:space="preserve"> </w:t>
            </w:r>
            <w:r w:rsidR="00911AEE" w:rsidRPr="00B13B9A">
              <w:rPr>
                <w:rFonts w:asciiTheme="majorHAnsi" w:hAnsiTheme="majorHAnsi" w:cstheme="majorHAnsi"/>
                <w:sz w:val="18"/>
                <w:szCs w:val="20"/>
                <w:lang w:val="ro-MD"/>
              </w:rPr>
              <w:t>–</w:t>
            </w:r>
            <w:r w:rsidRPr="00B13B9A">
              <w:rPr>
                <w:rFonts w:asciiTheme="majorHAnsi" w:hAnsiTheme="majorHAnsi" w:cstheme="majorHAnsi"/>
                <w:sz w:val="18"/>
                <w:szCs w:val="20"/>
                <w:lang w:val="ro-MD"/>
              </w:rPr>
              <w:t xml:space="preserve"> </w:t>
            </w:r>
          </w:p>
          <w:p w14:paraId="6C74119A" w14:textId="746C41A4" w:rsidR="00784827" w:rsidRPr="00B13B9A" w:rsidRDefault="00784827" w:rsidP="00E61DB8">
            <w:pPr>
              <w:jc w:val="center"/>
              <w:rPr>
                <w:rFonts w:asciiTheme="majorHAnsi" w:hAnsiTheme="majorHAnsi" w:cstheme="majorHAnsi"/>
                <w:sz w:val="18"/>
                <w:szCs w:val="20"/>
                <w:lang w:val="ro-MD"/>
              </w:rPr>
            </w:pPr>
            <w:r w:rsidRPr="00B13B9A">
              <w:rPr>
                <w:rFonts w:asciiTheme="majorHAnsi" w:hAnsiTheme="majorHAnsi" w:cstheme="majorHAnsi"/>
                <w:sz w:val="18"/>
                <w:szCs w:val="20"/>
                <w:lang w:val="ro-MD"/>
              </w:rPr>
              <w:t xml:space="preserve">organul colegial de administrare </w:t>
            </w:r>
            <w:r w:rsidR="00B13B9A" w:rsidRPr="00B13B9A">
              <w:rPr>
                <w:rFonts w:asciiTheme="majorHAnsi" w:hAnsiTheme="majorHAnsi" w:cstheme="majorHAnsi"/>
                <w:sz w:val="18"/>
                <w:szCs w:val="20"/>
                <w:lang w:val="ro-MD"/>
              </w:rPr>
              <w:t>ș</w:t>
            </w:r>
            <w:r w:rsidRPr="00B13B9A">
              <w:rPr>
                <w:rFonts w:asciiTheme="majorHAnsi" w:hAnsiTheme="majorHAnsi" w:cstheme="majorHAnsi"/>
                <w:sz w:val="18"/>
                <w:szCs w:val="20"/>
                <w:lang w:val="ro-MD"/>
              </w:rPr>
              <w:t>i supraveghere</w:t>
            </w:r>
          </w:p>
        </w:tc>
        <w:tc>
          <w:tcPr>
            <w:tcW w:w="7274" w:type="dxa"/>
          </w:tcPr>
          <w:p w14:paraId="3BD426C6" w14:textId="00577F86" w:rsidR="00784827" w:rsidRPr="00B13B9A" w:rsidRDefault="00784827" w:rsidP="00241AB3">
            <w:pPr>
              <w:pStyle w:val="a7"/>
              <w:numPr>
                <w:ilvl w:val="0"/>
                <w:numId w:val="4"/>
              </w:numPr>
              <w:rPr>
                <w:rFonts w:asciiTheme="majorHAnsi" w:hAnsiTheme="majorHAnsi" w:cstheme="majorHAnsi"/>
                <w:sz w:val="18"/>
                <w:szCs w:val="20"/>
                <w:lang w:val="ro-MD"/>
              </w:rPr>
            </w:pPr>
            <w:r w:rsidRPr="00B13B9A">
              <w:rPr>
                <w:rFonts w:asciiTheme="majorHAnsi" w:hAnsiTheme="majorHAnsi" w:cstheme="majorHAnsi"/>
                <w:sz w:val="18"/>
                <w:szCs w:val="20"/>
                <w:lang w:val="ro-MD"/>
              </w:rPr>
              <w:t xml:space="preserve">examinează </w:t>
            </w:r>
            <w:r w:rsidR="00B13B9A" w:rsidRPr="00B13B9A">
              <w:rPr>
                <w:rFonts w:asciiTheme="majorHAnsi" w:hAnsiTheme="majorHAnsi" w:cstheme="majorHAnsi"/>
                <w:sz w:val="18"/>
                <w:szCs w:val="20"/>
                <w:lang w:val="ro-MD"/>
              </w:rPr>
              <w:t>ș</w:t>
            </w:r>
            <w:r w:rsidRPr="00B13B9A">
              <w:rPr>
                <w:rFonts w:asciiTheme="majorHAnsi" w:hAnsiTheme="majorHAnsi" w:cstheme="majorHAnsi"/>
                <w:sz w:val="18"/>
                <w:szCs w:val="20"/>
                <w:lang w:val="ro-MD"/>
              </w:rPr>
              <w:t>i aprobă planul strategic de dezvoltare al institu</w:t>
            </w:r>
            <w:r w:rsidR="00B13B9A" w:rsidRPr="00B13B9A">
              <w:rPr>
                <w:rFonts w:asciiTheme="majorHAnsi" w:hAnsiTheme="majorHAnsi" w:cstheme="majorHAnsi"/>
                <w:sz w:val="18"/>
                <w:szCs w:val="20"/>
                <w:lang w:val="ro-MD"/>
              </w:rPr>
              <w:t>ț</w:t>
            </w:r>
            <w:r w:rsidRPr="00B13B9A">
              <w:rPr>
                <w:rFonts w:asciiTheme="majorHAnsi" w:hAnsiTheme="majorHAnsi" w:cstheme="majorHAnsi"/>
                <w:sz w:val="18"/>
                <w:szCs w:val="20"/>
                <w:lang w:val="ro-MD"/>
              </w:rPr>
              <w:t xml:space="preserve">iei </w:t>
            </w:r>
            <w:r w:rsidR="00B13B9A" w:rsidRPr="00B13B9A">
              <w:rPr>
                <w:rFonts w:asciiTheme="majorHAnsi" w:hAnsiTheme="majorHAnsi" w:cstheme="majorHAnsi"/>
                <w:sz w:val="18"/>
                <w:szCs w:val="20"/>
                <w:lang w:val="ro-MD"/>
              </w:rPr>
              <w:t>ș</w:t>
            </w:r>
            <w:r w:rsidRPr="00B13B9A">
              <w:rPr>
                <w:rFonts w:asciiTheme="majorHAnsi" w:hAnsiTheme="majorHAnsi" w:cstheme="majorHAnsi"/>
                <w:sz w:val="18"/>
                <w:szCs w:val="20"/>
                <w:lang w:val="ro-MD"/>
              </w:rPr>
              <w:t>i înaintează Fondatorului propuneri de dezvoltare a acesteia;</w:t>
            </w:r>
          </w:p>
          <w:p w14:paraId="54E04E13" w14:textId="7479F42C" w:rsidR="00784827" w:rsidRPr="00B13B9A" w:rsidRDefault="00784827" w:rsidP="00241AB3">
            <w:pPr>
              <w:pStyle w:val="a7"/>
              <w:numPr>
                <w:ilvl w:val="0"/>
                <w:numId w:val="4"/>
              </w:numPr>
              <w:rPr>
                <w:rFonts w:asciiTheme="majorHAnsi" w:hAnsiTheme="majorHAnsi" w:cstheme="majorHAnsi"/>
                <w:sz w:val="18"/>
                <w:szCs w:val="20"/>
                <w:lang w:val="ro-MD"/>
              </w:rPr>
            </w:pPr>
            <w:r w:rsidRPr="00B13B9A">
              <w:rPr>
                <w:rFonts w:asciiTheme="majorHAnsi" w:hAnsiTheme="majorHAnsi" w:cstheme="majorHAnsi"/>
                <w:sz w:val="18"/>
                <w:szCs w:val="20"/>
                <w:lang w:val="ro-MD"/>
              </w:rPr>
              <w:t xml:space="preserve">examinează </w:t>
            </w:r>
            <w:r w:rsidR="00B13B9A" w:rsidRPr="00B13B9A">
              <w:rPr>
                <w:rFonts w:asciiTheme="majorHAnsi" w:hAnsiTheme="majorHAnsi" w:cstheme="majorHAnsi"/>
                <w:sz w:val="18"/>
                <w:szCs w:val="20"/>
                <w:lang w:val="ro-MD"/>
              </w:rPr>
              <w:t>ș</w:t>
            </w:r>
            <w:r w:rsidRPr="00B13B9A">
              <w:rPr>
                <w:rFonts w:asciiTheme="majorHAnsi" w:hAnsiTheme="majorHAnsi" w:cstheme="majorHAnsi"/>
                <w:sz w:val="18"/>
                <w:szCs w:val="20"/>
                <w:lang w:val="ro-MD"/>
              </w:rPr>
              <w:t xml:space="preserve">i prezintă spre coordonare Fondatorului devizul de venituri </w:t>
            </w:r>
            <w:r w:rsidR="00B13B9A" w:rsidRPr="00B13B9A">
              <w:rPr>
                <w:rFonts w:asciiTheme="majorHAnsi" w:hAnsiTheme="majorHAnsi" w:cstheme="majorHAnsi"/>
                <w:sz w:val="18"/>
                <w:szCs w:val="20"/>
                <w:lang w:val="ro-MD"/>
              </w:rPr>
              <w:t>ș</w:t>
            </w:r>
            <w:r w:rsidRPr="00B13B9A">
              <w:rPr>
                <w:rFonts w:asciiTheme="majorHAnsi" w:hAnsiTheme="majorHAnsi" w:cstheme="majorHAnsi"/>
                <w:sz w:val="18"/>
                <w:szCs w:val="20"/>
                <w:lang w:val="ro-MD"/>
              </w:rPr>
              <w:t>i cheltuieli a</w:t>
            </w:r>
            <w:r w:rsidR="00911AEE" w:rsidRPr="00B13B9A">
              <w:rPr>
                <w:rFonts w:asciiTheme="majorHAnsi" w:hAnsiTheme="majorHAnsi" w:cstheme="majorHAnsi"/>
                <w:sz w:val="18"/>
                <w:szCs w:val="20"/>
                <w:lang w:val="ro-MD"/>
              </w:rPr>
              <w:t>l</w:t>
            </w:r>
            <w:r w:rsidRPr="00B13B9A">
              <w:rPr>
                <w:rFonts w:asciiTheme="majorHAnsi" w:hAnsiTheme="majorHAnsi" w:cstheme="majorHAnsi"/>
                <w:sz w:val="18"/>
                <w:szCs w:val="20"/>
                <w:lang w:val="ro-MD"/>
              </w:rPr>
              <w:t xml:space="preserve"> institu</w:t>
            </w:r>
            <w:r w:rsidR="00B13B9A" w:rsidRPr="00B13B9A">
              <w:rPr>
                <w:rFonts w:asciiTheme="majorHAnsi" w:hAnsiTheme="majorHAnsi" w:cstheme="majorHAnsi"/>
                <w:sz w:val="18"/>
                <w:szCs w:val="20"/>
                <w:lang w:val="ro-MD"/>
              </w:rPr>
              <w:t>ț</w:t>
            </w:r>
            <w:r w:rsidRPr="00B13B9A">
              <w:rPr>
                <w:rFonts w:asciiTheme="majorHAnsi" w:hAnsiTheme="majorHAnsi" w:cstheme="majorHAnsi"/>
                <w:sz w:val="18"/>
                <w:szCs w:val="20"/>
                <w:lang w:val="ro-MD"/>
              </w:rPr>
              <w:t>iei sau a modificărilor acestuia;</w:t>
            </w:r>
          </w:p>
          <w:p w14:paraId="3C200811" w14:textId="7BB360B2" w:rsidR="00784827" w:rsidRPr="00B13B9A" w:rsidRDefault="00784827" w:rsidP="00241AB3">
            <w:pPr>
              <w:pStyle w:val="a7"/>
              <w:numPr>
                <w:ilvl w:val="0"/>
                <w:numId w:val="4"/>
              </w:numPr>
              <w:rPr>
                <w:rFonts w:asciiTheme="majorHAnsi" w:hAnsiTheme="majorHAnsi" w:cstheme="majorHAnsi"/>
                <w:sz w:val="18"/>
                <w:szCs w:val="20"/>
                <w:lang w:val="ro-MD"/>
              </w:rPr>
            </w:pPr>
            <w:r w:rsidRPr="00B13B9A">
              <w:rPr>
                <w:rFonts w:asciiTheme="majorHAnsi" w:hAnsiTheme="majorHAnsi" w:cstheme="majorHAnsi"/>
                <w:sz w:val="18"/>
                <w:szCs w:val="20"/>
                <w:lang w:val="ro-MD"/>
              </w:rPr>
              <w:t xml:space="preserve">examinează </w:t>
            </w:r>
            <w:r w:rsidR="00B13B9A" w:rsidRPr="00B13B9A">
              <w:rPr>
                <w:rFonts w:asciiTheme="majorHAnsi" w:hAnsiTheme="majorHAnsi" w:cstheme="majorHAnsi"/>
                <w:sz w:val="18"/>
                <w:szCs w:val="20"/>
                <w:lang w:val="ro-MD"/>
              </w:rPr>
              <w:t>ș</w:t>
            </w:r>
            <w:r w:rsidRPr="00B13B9A">
              <w:rPr>
                <w:rFonts w:asciiTheme="majorHAnsi" w:hAnsiTheme="majorHAnsi" w:cstheme="majorHAnsi"/>
                <w:sz w:val="18"/>
                <w:szCs w:val="20"/>
                <w:lang w:val="ro-MD"/>
              </w:rPr>
              <w:t xml:space="preserve">i aprobă planurile anuale </w:t>
            </w:r>
            <w:r w:rsidR="00B13B9A" w:rsidRPr="00B13B9A">
              <w:rPr>
                <w:rFonts w:asciiTheme="majorHAnsi" w:hAnsiTheme="majorHAnsi" w:cstheme="majorHAnsi"/>
                <w:sz w:val="18"/>
                <w:szCs w:val="20"/>
                <w:lang w:val="ro-MD"/>
              </w:rPr>
              <w:t>ș</w:t>
            </w:r>
            <w:r w:rsidRPr="00B13B9A">
              <w:rPr>
                <w:rFonts w:asciiTheme="majorHAnsi" w:hAnsiTheme="majorHAnsi" w:cstheme="majorHAnsi"/>
                <w:sz w:val="18"/>
                <w:szCs w:val="20"/>
                <w:lang w:val="ro-MD"/>
              </w:rPr>
              <w:t xml:space="preserve">i rapoartele de activitate (trimestriale </w:t>
            </w:r>
            <w:r w:rsidR="00B13B9A" w:rsidRPr="00B13B9A">
              <w:rPr>
                <w:rFonts w:asciiTheme="majorHAnsi" w:hAnsiTheme="majorHAnsi" w:cstheme="majorHAnsi"/>
                <w:sz w:val="18"/>
                <w:szCs w:val="20"/>
                <w:lang w:val="ro-MD"/>
              </w:rPr>
              <w:t>ș</w:t>
            </w:r>
            <w:r w:rsidRPr="00B13B9A">
              <w:rPr>
                <w:rFonts w:asciiTheme="majorHAnsi" w:hAnsiTheme="majorHAnsi" w:cstheme="majorHAnsi"/>
                <w:sz w:val="18"/>
                <w:szCs w:val="20"/>
                <w:lang w:val="ro-MD"/>
              </w:rPr>
              <w:t>i anuale) a</w:t>
            </w:r>
            <w:r w:rsidR="00911AEE" w:rsidRPr="00B13B9A">
              <w:rPr>
                <w:rFonts w:asciiTheme="majorHAnsi" w:hAnsiTheme="majorHAnsi" w:cstheme="majorHAnsi"/>
                <w:sz w:val="18"/>
                <w:szCs w:val="20"/>
                <w:lang w:val="ro-MD"/>
              </w:rPr>
              <w:t>le</w:t>
            </w:r>
            <w:r w:rsidRPr="00B13B9A">
              <w:rPr>
                <w:rFonts w:asciiTheme="majorHAnsi" w:hAnsiTheme="majorHAnsi" w:cstheme="majorHAnsi"/>
                <w:sz w:val="18"/>
                <w:szCs w:val="20"/>
                <w:lang w:val="ro-MD"/>
              </w:rPr>
              <w:t xml:space="preserve"> institu</w:t>
            </w:r>
            <w:r w:rsidR="00B13B9A" w:rsidRPr="00B13B9A">
              <w:rPr>
                <w:rFonts w:asciiTheme="majorHAnsi" w:hAnsiTheme="majorHAnsi" w:cstheme="majorHAnsi"/>
                <w:sz w:val="18"/>
                <w:szCs w:val="20"/>
                <w:lang w:val="ro-MD"/>
              </w:rPr>
              <w:t>ț</w:t>
            </w:r>
            <w:r w:rsidRPr="00B13B9A">
              <w:rPr>
                <w:rFonts w:asciiTheme="majorHAnsi" w:hAnsiTheme="majorHAnsi" w:cstheme="majorHAnsi"/>
                <w:sz w:val="18"/>
                <w:szCs w:val="20"/>
                <w:lang w:val="ro-MD"/>
              </w:rPr>
              <w:t>iei</w:t>
            </w:r>
            <w:r w:rsidR="00785988">
              <w:rPr>
                <w:rFonts w:asciiTheme="majorHAnsi" w:hAnsiTheme="majorHAnsi" w:cstheme="majorHAnsi"/>
                <w:sz w:val="18"/>
                <w:szCs w:val="20"/>
                <w:lang w:val="ro-MD"/>
              </w:rPr>
              <w:t xml:space="preserve"> </w:t>
            </w:r>
          </w:p>
        </w:tc>
      </w:tr>
      <w:tr w:rsidR="00784827" w:rsidRPr="00B13B9A" w14:paraId="101519CA" w14:textId="77777777" w:rsidTr="00E61DB8">
        <w:tc>
          <w:tcPr>
            <w:tcW w:w="2405" w:type="dxa"/>
          </w:tcPr>
          <w:p w14:paraId="0CB7F70A" w14:textId="77777777" w:rsidR="00784827" w:rsidRPr="00B13B9A" w:rsidRDefault="00784827" w:rsidP="00E61DB8">
            <w:pPr>
              <w:jc w:val="center"/>
              <w:rPr>
                <w:rFonts w:asciiTheme="majorHAnsi" w:hAnsiTheme="majorHAnsi" w:cstheme="majorHAnsi"/>
                <w:b/>
                <w:sz w:val="18"/>
                <w:szCs w:val="20"/>
                <w:lang w:val="ro-MD"/>
              </w:rPr>
            </w:pPr>
            <w:r w:rsidRPr="00B13B9A">
              <w:rPr>
                <w:rFonts w:asciiTheme="majorHAnsi" w:hAnsiTheme="majorHAnsi" w:cstheme="majorHAnsi"/>
                <w:b/>
                <w:sz w:val="18"/>
                <w:szCs w:val="20"/>
                <w:lang w:val="ro-MD"/>
              </w:rPr>
              <w:t>Director</w:t>
            </w:r>
          </w:p>
        </w:tc>
        <w:tc>
          <w:tcPr>
            <w:tcW w:w="7274" w:type="dxa"/>
          </w:tcPr>
          <w:p w14:paraId="088D057D" w14:textId="0053D965" w:rsidR="00784827" w:rsidRPr="00B13B9A" w:rsidRDefault="00C22396" w:rsidP="00241AB3">
            <w:pPr>
              <w:pStyle w:val="a7"/>
              <w:numPr>
                <w:ilvl w:val="0"/>
                <w:numId w:val="5"/>
              </w:numPr>
              <w:rPr>
                <w:rFonts w:asciiTheme="majorHAnsi" w:hAnsiTheme="majorHAnsi" w:cstheme="majorHAnsi"/>
                <w:sz w:val="18"/>
                <w:szCs w:val="20"/>
                <w:lang w:val="ro-MD"/>
              </w:rPr>
            </w:pPr>
            <w:r w:rsidRPr="00B13B9A">
              <w:rPr>
                <w:rFonts w:asciiTheme="majorHAnsi" w:hAnsiTheme="majorHAnsi" w:cstheme="majorHAnsi"/>
                <w:sz w:val="18"/>
                <w:szCs w:val="20"/>
                <w:lang w:val="ro-MD"/>
              </w:rPr>
              <w:t>re</w:t>
            </w:r>
            <w:r w:rsidR="00784827" w:rsidRPr="00B13B9A">
              <w:rPr>
                <w:rFonts w:asciiTheme="majorHAnsi" w:hAnsiTheme="majorHAnsi" w:cstheme="majorHAnsi"/>
                <w:sz w:val="18"/>
                <w:szCs w:val="20"/>
                <w:lang w:val="ro-MD"/>
              </w:rPr>
              <w:t>prezintă interesele IMSP Institutul de Ftiziopneumologie „Chiril Draganiuc” în rela</w:t>
            </w:r>
            <w:r w:rsidR="00B13B9A" w:rsidRPr="00B13B9A">
              <w:rPr>
                <w:rFonts w:asciiTheme="majorHAnsi" w:hAnsiTheme="majorHAnsi" w:cstheme="majorHAnsi"/>
                <w:sz w:val="18"/>
                <w:szCs w:val="20"/>
                <w:lang w:val="ro-MD"/>
              </w:rPr>
              <w:t>ț</w:t>
            </w:r>
            <w:r w:rsidR="00784827" w:rsidRPr="00B13B9A">
              <w:rPr>
                <w:rFonts w:asciiTheme="majorHAnsi" w:hAnsiTheme="majorHAnsi" w:cstheme="majorHAnsi"/>
                <w:sz w:val="18"/>
                <w:szCs w:val="20"/>
                <w:lang w:val="ro-MD"/>
              </w:rPr>
              <w:t>iile cu persoane ter</w:t>
            </w:r>
            <w:r w:rsidR="00B13B9A" w:rsidRPr="00B13B9A">
              <w:rPr>
                <w:rFonts w:asciiTheme="majorHAnsi" w:hAnsiTheme="majorHAnsi" w:cstheme="majorHAnsi"/>
                <w:sz w:val="18"/>
                <w:szCs w:val="20"/>
                <w:lang w:val="ro-MD"/>
              </w:rPr>
              <w:t>ț</w:t>
            </w:r>
            <w:r w:rsidR="00784827" w:rsidRPr="00B13B9A">
              <w:rPr>
                <w:rFonts w:asciiTheme="majorHAnsi" w:hAnsiTheme="majorHAnsi" w:cstheme="majorHAnsi"/>
                <w:sz w:val="18"/>
                <w:szCs w:val="20"/>
                <w:lang w:val="ro-MD"/>
              </w:rPr>
              <w:t xml:space="preserve">e; </w:t>
            </w:r>
          </w:p>
          <w:p w14:paraId="2518517F" w14:textId="257D081E" w:rsidR="00784827" w:rsidRPr="00B13B9A" w:rsidRDefault="00784827" w:rsidP="00241AB3">
            <w:pPr>
              <w:pStyle w:val="a7"/>
              <w:numPr>
                <w:ilvl w:val="0"/>
                <w:numId w:val="5"/>
              </w:numPr>
              <w:rPr>
                <w:rFonts w:asciiTheme="majorHAnsi" w:hAnsiTheme="majorHAnsi" w:cstheme="majorHAnsi"/>
                <w:sz w:val="18"/>
                <w:szCs w:val="20"/>
                <w:lang w:val="ro-MD"/>
              </w:rPr>
            </w:pPr>
            <w:r w:rsidRPr="00B13B9A">
              <w:rPr>
                <w:rFonts w:asciiTheme="majorHAnsi" w:hAnsiTheme="majorHAnsi" w:cstheme="majorHAnsi"/>
                <w:sz w:val="18"/>
                <w:szCs w:val="20"/>
                <w:lang w:val="ro-MD"/>
              </w:rPr>
              <w:t xml:space="preserve">poartă responsabilitatea pentru organizarea </w:t>
            </w:r>
            <w:r w:rsidR="00B13B9A" w:rsidRPr="00B13B9A">
              <w:rPr>
                <w:rFonts w:asciiTheme="majorHAnsi" w:hAnsiTheme="majorHAnsi" w:cstheme="majorHAnsi"/>
                <w:sz w:val="18"/>
                <w:szCs w:val="20"/>
                <w:lang w:val="ro-MD"/>
              </w:rPr>
              <w:t>ș</w:t>
            </w:r>
            <w:r w:rsidRPr="00B13B9A">
              <w:rPr>
                <w:rFonts w:asciiTheme="majorHAnsi" w:hAnsiTheme="majorHAnsi" w:cstheme="majorHAnsi"/>
                <w:sz w:val="18"/>
                <w:szCs w:val="20"/>
                <w:lang w:val="ro-MD"/>
              </w:rPr>
              <w:t>i prestarea în condi</w:t>
            </w:r>
            <w:r w:rsidR="00B13B9A" w:rsidRPr="00B13B9A">
              <w:rPr>
                <w:rFonts w:asciiTheme="majorHAnsi" w:hAnsiTheme="majorHAnsi" w:cstheme="majorHAnsi"/>
                <w:sz w:val="18"/>
                <w:szCs w:val="20"/>
                <w:lang w:val="ro-MD"/>
              </w:rPr>
              <w:t>ț</w:t>
            </w:r>
            <w:r w:rsidRPr="00B13B9A">
              <w:rPr>
                <w:rFonts w:asciiTheme="majorHAnsi" w:hAnsiTheme="majorHAnsi" w:cstheme="majorHAnsi"/>
                <w:sz w:val="18"/>
                <w:szCs w:val="20"/>
                <w:lang w:val="ro-MD"/>
              </w:rPr>
              <w:t xml:space="preserve">ii sigure a întregului volum de servicii medicale </w:t>
            </w:r>
            <w:r w:rsidR="00B13B9A" w:rsidRPr="00B13B9A">
              <w:rPr>
                <w:rFonts w:asciiTheme="majorHAnsi" w:hAnsiTheme="majorHAnsi" w:cstheme="majorHAnsi"/>
                <w:sz w:val="18"/>
                <w:szCs w:val="20"/>
                <w:lang w:val="ro-MD"/>
              </w:rPr>
              <w:t>ș</w:t>
            </w:r>
            <w:r w:rsidRPr="00B13B9A">
              <w:rPr>
                <w:rFonts w:asciiTheme="majorHAnsi" w:hAnsiTheme="majorHAnsi" w:cstheme="majorHAnsi"/>
                <w:sz w:val="18"/>
                <w:szCs w:val="20"/>
                <w:lang w:val="ro-MD"/>
              </w:rPr>
              <w:t xml:space="preserve">i </w:t>
            </w:r>
            <w:r w:rsidR="00911AEE" w:rsidRPr="00B13B9A">
              <w:rPr>
                <w:rFonts w:asciiTheme="majorHAnsi" w:hAnsiTheme="majorHAnsi" w:cstheme="majorHAnsi"/>
                <w:sz w:val="18"/>
                <w:szCs w:val="20"/>
                <w:lang w:val="ro-MD"/>
              </w:rPr>
              <w:t xml:space="preserve">pentru </w:t>
            </w:r>
            <w:r w:rsidRPr="00B13B9A">
              <w:rPr>
                <w:rFonts w:asciiTheme="majorHAnsi" w:hAnsiTheme="majorHAnsi" w:cstheme="majorHAnsi"/>
                <w:sz w:val="18"/>
                <w:szCs w:val="20"/>
                <w:lang w:val="ro-MD"/>
              </w:rPr>
              <w:t>calitatea acestora;</w:t>
            </w:r>
          </w:p>
          <w:p w14:paraId="30FB3ABF" w14:textId="086563F5" w:rsidR="00784827" w:rsidRPr="00B13B9A" w:rsidRDefault="00784827" w:rsidP="00241AB3">
            <w:pPr>
              <w:pStyle w:val="a7"/>
              <w:numPr>
                <w:ilvl w:val="0"/>
                <w:numId w:val="5"/>
              </w:numPr>
              <w:rPr>
                <w:rFonts w:asciiTheme="majorHAnsi" w:hAnsiTheme="majorHAnsi" w:cstheme="majorHAnsi"/>
                <w:sz w:val="18"/>
                <w:szCs w:val="20"/>
                <w:lang w:val="ro-MD"/>
              </w:rPr>
            </w:pPr>
            <w:r w:rsidRPr="00B13B9A">
              <w:rPr>
                <w:rFonts w:asciiTheme="majorHAnsi" w:hAnsiTheme="majorHAnsi" w:cstheme="majorHAnsi"/>
                <w:sz w:val="18"/>
                <w:szCs w:val="20"/>
                <w:lang w:val="ro-MD"/>
              </w:rPr>
              <w:t xml:space="preserve">elaborează strategia de dezvoltare </w:t>
            </w:r>
            <w:r w:rsidR="00B13B9A" w:rsidRPr="00B13B9A">
              <w:rPr>
                <w:rFonts w:asciiTheme="majorHAnsi" w:hAnsiTheme="majorHAnsi" w:cstheme="majorHAnsi"/>
                <w:sz w:val="18"/>
                <w:szCs w:val="20"/>
                <w:lang w:val="ro-MD"/>
              </w:rPr>
              <w:t>ș</w:t>
            </w:r>
            <w:r w:rsidRPr="00B13B9A">
              <w:rPr>
                <w:rFonts w:asciiTheme="majorHAnsi" w:hAnsiTheme="majorHAnsi" w:cstheme="majorHAnsi"/>
                <w:sz w:val="18"/>
                <w:szCs w:val="20"/>
                <w:lang w:val="ro-MD"/>
              </w:rPr>
              <w:t>i planurile anuale de activitate ale institu</w:t>
            </w:r>
            <w:r w:rsidR="00B13B9A" w:rsidRPr="00B13B9A">
              <w:rPr>
                <w:rFonts w:asciiTheme="majorHAnsi" w:hAnsiTheme="majorHAnsi" w:cstheme="majorHAnsi"/>
                <w:sz w:val="18"/>
                <w:szCs w:val="20"/>
                <w:lang w:val="ro-MD"/>
              </w:rPr>
              <w:t>ț</w:t>
            </w:r>
            <w:r w:rsidRPr="00B13B9A">
              <w:rPr>
                <w:rFonts w:asciiTheme="majorHAnsi" w:hAnsiTheme="majorHAnsi" w:cstheme="majorHAnsi"/>
                <w:sz w:val="18"/>
                <w:szCs w:val="20"/>
                <w:lang w:val="ro-MD"/>
              </w:rPr>
              <w:t xml:space="preserve">iei </w:t>
            </w:r>
            <w:r w:rsidR="00B13B9A" w:rsidRPr="00B13B9A">
              <w:rPr>
                <w:rFonts w:asciiTheme="majorHAnsi" w:hAnsiTheme="majorHAnsi" w:cstheme="majorHAnsi"/>
                <w:sz w:val="18"/>
                <w:szCs w:val="20"/>
                <w:lang w:val="ro-MD"/>
              </w:rPr>
              <w:t>ș</w:t>
            </w:r>
            <w:r w:rsidRPr="00B13B9A">
              <w:rPr>
                <w:rFonts w:asciiTheme="majorHAnsi" w:hAnsiTheme="majorHAnsi" w:cstheme="majorHAnsi"/>
                <w:sz w:val="18"/>
                <w:szCs w:val="20"/>
                <w:lang w:val="ro-MD"/>
              </w:rPr>
              <w:t xml:space="preserve">i le prezintă spre examinare </w:t>
            </w:r>
            <w:r w:rsidR="00B13B9A" w:rsidRPr="00B13B9A">
              <w:rPr>
                <w:rFonts w:asciiTheme="majorHAnsi" w:hAnsiTheme="majorHAnsi" w:cstheme="majorHAnsi"/>
                <w:sz w:val="18"/>
                <w:szCs w:val="20"/>
                <w:lang w:val="ro-MD"/>
              </w:rPr>
              <w:t>ș</w:t>
            </w:r>
            <w:r w:rsidRPr="00B13B9A">
              <w:rPr>
                <w:rFonts w:asciiTheme="majorHAnsi" w:hAnsiTheme="majorHAnsi" w:cstheme="majorHAnsi"/>
                <w:sz w:val="18"/>
                <w:szCs w:val="20"/>
                <w:lang w:val="ro-MD"/>
              </w:rPr>
              <w:t>i aprobare Consiliului de Administra</w:t>
            </w:r>
            <w:r w:rsidR="00B13B9A" w:rsidRPr="00B13B9A">
              <w:rPr>
                <w:rFonts w:asciiTheme="majorHAnsi" w:hAnsiTheme="majorHAnsi" w:cstheme="majorHAnsi"/>
                <w:sz w:val="18"/>
                <w:szCs w:val="20"/>
                <w:lang w:val="ro-MD"/>
              </w:rPr>
              <w:t>ț</w:t>
            </w:r>
            <w:r w:rsidRPr="00B13B9A">
              <w:rPr>
                <w:rFonts w:asciiTheme="majorHAnsi" w:hAnsiTheme="majorHAnsi" w:cstheme="majorHAnsi"/>
                <w:sz w:val="18"/>
                <w:szCs w:val="20"/>
                <w:lang w:val="ro-MD"/>
              </w:rPr>
              <w:t xml:space="preserve">ie; </w:t>
            </w:r>
          </w:p>
          <w:p w14:paraId="31098169" w14:textId="68763083" w:rsidR="00784827" w:rsidRPr="00B13B9A" w:rsidRDefault="00784827" w:rsidP="00241AB3">
            <w:pPr>
              <w:pStyle w:val="a7"/>
              <w:numPr>
                <w:ilvl w:val="0"/>
                <w:numId w:val="5"/>
              </w:numPr>
              <w:rPr>
                <w:rFonts w:asciiTheme="majorHAnsi" w:hAnsiTheme="majorHAnsi" w:cstheme="majorHAnsi"/>
                <w:sz w:val="18"/>
                <w:szCs w:val="20"/>
                <w:lang w:val="ro-MD"/>
              </w:rPr>
            </w:pPr>
            <w:r w:rsidRPr="00B13B9A">
              <w:rPr>
                <w:rFonts w:asciiTheme="majorHAnsi" w:hAnsiTheme="majorHAnsi" w:cstheme="majorHAnsi"/>
                <w:sz w:val="18"/>
                <w:szCs w:val="20"/>
                <w:lang w:val="ro-MD"/>
              </w:rPr>
              <w:t xml:space="preserve">elaborează </w:t>
            </w:r>
            <w:r w:rsidR="00B13B9A" w:rsidRPr="00B13B9A">
              <w:rPr>
                <w:rFonts w:asciiTheme="majorHAnsi" w:hAnsiTheme="majorHAnsi" w:cstheme="majorHAnsi"/>
                <w:sz w:val="18"/>
                <w:szCs w:val="20"/>
                <w:lang w:val="ro-MD"/>
              </w:rPr>
              <w:t>ș</w:t>
            </w:r>
            <w:r w:rsidRPr="00B13B9A">
              <w:rPr>
                <w:rFonts w:asciiTheme="majorHAnsi" w:hAnsiTheme="majorHAnsi" w:cstheme="majorHAnsi"/>
                <w:sz w:val="18"/>
                <w:szCs w:val="20"/>
                <w:lang w:val="ro-MD"/>
              </w:rPr>
              <w:t xml:space="preserve">i prezintă spre aprobare Fondatorului organigrama </w:t>
            </w:r>
            <w:r w:rsidR="00B13B9A" w:rsidRPr="00B13B9A">
              <w:rPr>
                <w:rFonts w:asciiTheme="majorHAnsi" w:hAnsiTheme="majorHAnsi" w:cstheme="majorHAnsi"/>
                <w:sz w:val="18"/>
                <w:szCs w:val="20"/>
                <w:lang w:val="ro-MD"/>
              </w:rPr>
              <w:t>ș</w:t>
            </w:r>
            <w:r w:rsidRPr="00B13B9A">
              <w:rPr>
                <w:rFonts w:asciiTheme="majorHAnsi" w:hAnsiTheme="majorHAnsi" w:cstheme="majorHAnsi"/>
                <w:sz w:val="18"/>
                <w:szCs w:val="20"/>
                <w:lang w:val="ro-MD"/>
              </w:rPr>
              <w:t>i statele de personal ale institu</w:t>
            </w:r>
            <w:r w:rsidR="00B13B9A" w:rsidRPr="00B13B9A">
              <w:rPr>
                <w:rFonts w:asciiTheme="majorHAnsi" w:hAnsiTheme="majorHAnsi" w:cstheme="majorHAnsi"/>
                <w:sz w:val="18"/>
                <w:szCs w:val="20"/>
                <w:lang w:val="ro-MD"/>
              </w:rPr>
              <w:t>ț</w:t>
            </w:r>
            <w:r w:rsidRPr="00B13B9A">
              <w:rPr>
                <w:rFonts w:asciiTheme="majorHAnsi" w:hAnsiTheme="majorHAnsi" w:cstheme="majorHAnsi"/>
                <w:sz w:val="18"/>
                <w:szCs w:val="20"/>
                <w:lang w:val="ro-MD"/>
              </w:rPr>
              <w:t>iei, după coordonarea cu Consiliul de Administra</w:t>
            </w:r>
            <w:r w:rsidR="00B13B9A" w:rsidRPr="00B13B9A">
              <w:rPr>
                <w:rFonts w:asciiTheme="majorHAnsi" w:hAnsiTheme="majorHAnsi" w:cstheme="majorHAnsi"/>
                <w:sz w:val="18"/>
                <w:szCs w:val="20"/>
                <w:lang w:val="ro-MD"/>
              </w:rPr>
              <w:t>ț</w:t>
            </w:r>
            <w:r w:rsidRPr="00B13B9A">
              <w:rPr>
                <w:rFonts w:asciiTheme="majorHAnsi" w:hAnsiTheme="majorHAnsi" w:cstheme="majorHAnsi"/>
                <w:sz w:val="18"/>
                <w:szCs w:val="20"/>
                <w:lang w:val="ro-MD"/>
              </w:rPr>
              <w:t xml:space="preserve">ie; </w:t>
            </w:r>
          </w:p>
          <w:p w14:paraId="54B672AF" w14:textId="41F91845" w:rsidR="00784827" w:rsidRPr="00B13B9A" w:rsidRDefault="00784827" w:rsidP="00241AB3">
            <w:pPr>
              <w:pStyle w:val="a7"/>
              <w:numPr>
                <w:ilvl w:val="0"/>
                <w:numId w:val="5"/>
              </w:numPr>
              <w:rPr>
                <w:rFonts w:asciiTheme="majorHAnsi" w:hAnsiTheme="majorHAnsi" w:cstheme="majorHAnsi"/>
                <w:sz w:val="18"/>
                <w:szCs w:val="20"/>
                <w:lang w:val="ro-MD"/>
              </w:rPr>
            </w:pPr>
            <w:r w:rsidRPr="00B13B9A">
              <w:rPr>
                <w:rFonts w:asciiTheme="majorHAnsi" w:hAnsiTheme="majorHAnsi" w:cstheme="majorHAnsi"/>
                <w:sz w:val="18"/>
                <w:szCs w:val="20"/>
                <w:lang w:val="ro-MD"/>
              </w:rPr>
              <w:t xml:space="preserve">elaborează rapoartele trimestriale </w:t>
            </w:r>
            <w:r w:rsidR="00B13B9A" w:rsidRPr="00B13B9A">
              <w:rPr>
                <w:rFonts w:asciiTheme="majorHAnsi" w:hAnsiTheme="majorHAnsi" w:cstheme="majorHAnsi"/>
                <w:sz w:val="18"/>
                <w:szCs w:val="20"/>
                <w:lang w:val="ro-MD"/>
              </w:rPr>
              <w:t>ș</w:t>
            </w:r>
            <w:r w:rsidRPr="00B13B9A">
              <w:rPr>
                <w:rFonts w:asciiTheme="majorHAnsi" w:hAnsiTheme="majorHAnsi" w:cstheme="majorHAnsi"/>
                <w:sz w:val="18"/>
                <w:szCs w:val="20"/>
                <w:lang w:val="ro-MD"/>
              </w:rPr>
              <w:t>i anuale privind activitatea institu</w:t>
            </w:r>
            <w:r w:rsidR="00B13B9A" w:rsidRPr="00B13B9A">
              <w:rPr>
                <w:rFonts w:asciiTheme="majorHAnsi" w:hAnsiTheme="majorHAnsi" w:cstheme="majorHAnsi"/>
                <w:sz w:val="18"/>
                <w:szCs w:val="20"/>
                <w:lang w:val="ro-MD"/>
              </w:rPr>
              <w:t>ț</w:t>
            </w:r>
            <w:r w:rsidRPr="00B13B9A">
              <w:rPr>
                <w:rFonts w:asciiTheme="majorHAnsi" w:hAnsiTheme="majorHAnsi" w:cstheme="majorHAnsi"/>
                <w:sz w:val="18"/>
                <w:szCs w:val="20"/>
                <w:lang w:val="ro-MD"/>
              </w:rPr>
              <w:t xml:space="preserve">iei </w:t>
            </w:r>
            <w:r w:rsidR="00B13B9A" w:rsidRPr="00B13B9A">
              <w:rPr>
                <w:rFonts w:asciiTheme="majorHAnsi" w:hAnsiTheme="majorHAnsi" w:cstheme="majorHAnsi"/>
                <w:sz w:val="18"/>
                <w:szCs w:val="20"/>
                <w:lang w:val="ro-MD"/>
              </w:rPr>
              <w:t>ș</w:t>
            </w:r>
            <w:r w:rsidRPr="00B13B9A">
              <w:rPr>
                <w:rFonts w:asciiTheme="majorHAnsi" w:hAnsiTheme="majorHAnsi" w:cstheme="majorHAnsi"/>
                <w:sz w:val="18"/>
                <w:szCs w:val="20"/>
                <w:lang w:val="ro-MD"/>
              </w:rPr>
              <w:t xml:space="preserve">i le prezintă pentru examinare </w:t>
            </w:r>
            <w:r w:rsidR="00B13B9A" w:rsidRPr="00B13B9A">
              <w:rPr>
                <w:rFonts w:asciiTheme="majorHAnsi" w:hAnsiTheme="majorHAnsi" w:cstheme="majorHAnsi"/>
                <w:sz w:val="18"/>
                <w:szCs w:val="20"/>
                <w:lang w:val="ro-MD"/>
              </w:rPr>
              <w:t>ș</w:t>
            </w:r>
            <w:r w:rsidRPr="00B13B9A">
              <w:rPr>
                <w:rFonts w:asciiTheme="majorHAnsi" w:hAnsiTheme="majorHAnsi" w:cstheme="majorHAnsi"/>
                <w:sz w:val="18"/>
                <w:szCs w:val="20"/>
                <w:lang w:val="ro-MD"/>
              </w:rPr>
              <w:t>i aprobare Consiliului de Administra</w:t>
            </w:r>
            <w:r w:rsidR="00B13B9A" w:rsidRPr="00B13B9A">
              <w:rPr>
                <w:rFonts w:asciiTheme="majorHAnsi" w:hAnsiTheme="majorHAnsi" w:cstheme="majorHAnsi"/>
                <w:sz w:val="18"/>
                <w:szCs w:val="20"/>
                <w:lang w:val="ro-MD"/>
              </w:rPr>
              <w:t>ț</w:t>
            </w:r>
            <w:r w:rsidRPr="00B13B9A">
              <w:rPr>
                <w:rFonts w:asciiTheme="majorHAnsi" w:hAnsiTheme="majorHAnsi" w:cstheme="majorHAnsi"/>
                <w:sz w:val="18"/>
                <w:szCs w:val="20"/>
                <w:lang w:val="ro-MD"/>
              </w:rPr>
              <w:t xml:space="preserve">ie; </w:t>
            </w:r>
          </w:p>
          <w:p w14:paraId="765A7FBC" w14:textId="636AF1F0" w:rsidR="00784827" w:rsidRPr="00B13B9A" w:rsidRDefault="00784827" w:rsidP="00241AB3">
            <w:pPr>
              <w:pStyle w:val="a7"/>
              <w:numPr>
                <w:ilvl w:val="0"/>
                <w:numId w:val="5"/>
              </w:numPr>
              <w:rPr>
                <w:rFonts w:asciiTheme="majorHAnsi" w:hAnsiTheme="majorHAnsi" w:cstheme="majorHAnsi"/>
                <w:sz w:val="18"/>
                <w:szCs w:val="20"/>
                <w:lang w:val="ro-MD"/>
              </w:rPr>
            </w:pPr>
            <w:r w:rsidRPr="00B13B9A">
              <w:rPr>
                <w:rFonts w:asciiTheme="majorHAnsi" w:hAnsiTheme="majorHAnsi" w:cstheme="majorHAnsi"/>
                <w:sz w:val="18"/>
                <w:szCs w:val="20"/>
                <w:lang w:val="ro-MD"/>
              </w:rPr>
              <w:t xml:space="preserve">asigură gestionarea mijloacelor financiare </w:t>
            </w:r>
            <w:r w:rsidR="00B13B9A" w:rsidRPr="00B13B9A">
              <w:rPr>
                <w:rFonts w:asciiTheme="majorHAnsi" w:hAnsiTheme="majorHAnsi" w:cstheme="majorHAnsi"/>
                <w:sz w:val="18"/>
                <w:szCs w:val="20"/>
                <w:lang w:val="ro-MD"/>
              </w:rPr>
              <w:t>ș</w:t>
            </w:r>
            <w:r w:rsidRPr="00B13B9A">
              <w:rPr>
                <w:rFonts w:asciiTheme="majorHAnsi" w:hAnsiTheme="majorHAnsi" w:cstheme="majorHAnsi"/>
                <w:sz w:val="18"/>
                <w:szCs w:val="20"/>
                <w:lang w:val="ro-MD"/>
              </w:rPr>
              <w:t xml:space="preserve">i administrarea patrimoniului public în conformitate cu principiile bunei guvernări; </w:t>
            </w:r>
          </w:p>
          <w:p w14:paraId="08E3392D" w14:textId="02B89C6E" w:rsidR="00784827" w:rsidRPr="00B13B9A" w:rsidRDefault="00784827" w:rsidP="00241AB3">
            <w:pPr>
              <w:pStyle w:val="a7"/>
              <w:numPr>
                <w:ilvl w:val="0"/>
                <w:numId w:val="5"/>
              </w:numPr>
              <w:rPr>
                <w:rFonts w:asciiTheme="majorHAnsi" w:hAnsiTheme="majorHAnsi" w:cstheme="majorHAnsi"/>
                <w:sz w:val="18"/>
                <w:szCs w:val="20"/>
                <w:lang w:val="ro-MD"/>
              </w:rPr>
            </w:pPr>
            <w:r w:rsidRPr="00B13B9A">
              <w:rPr>
                <w:rFonts w:asciiTheme="majorHAnsi" w:hAnsiTheme="majorHAnsi" w:cstheme="majorHAnsi"/>
                <w:sz w:val="18"/>
                <w:szCs w:val="20"/>
                <w:lang w:val="ro-MD"/>
              </w:rPr>
              <w:t>asigură realizarea controlului intern managerial</w:t>
            </w:r>
          </w:p>
        </w:tc>
      </w:tr>
      <w:tr w:rsidR="00784827" w:rsidRPr="00B13B9A" w14:paraId="4EC583C1" w14:textId="77777777" w:rsidTr="00E61DB8">
        <w:tc>
          <w:tcPr>
            <w:tcW w:w="2405" w:type="dxa"/>
          </w:tcPr>
          <w:p w14:paraId="148B14D4" w14:textId="77777777" w:rsidR="00784827" w:rsidRPr="00B13B9A" w:rsidRDefault="00784827" w:rsidP="00E61DB8">
            <w:pPr>
              <w:jc w:val="center"/>
              <w:rPr>
                <w:rFonts w:asciiTheme="majorHAnsi" w:hAnsiTheme="majorHAnsi" w:cstheme="majorHAnsi"/>
                <w:b/>
                <w:sz w:val="18"/>
                <w:szCs w:val="20"/>
                <w:lang w:val="ro-MD"/>
              </w:rPr>
            </w:pPr>
            <w:r w:rsidRPr="00B13B9A">
              <w:rPr>
                <w:rFonts w:asciiTheme="majorHAnsi" w:hAnsiTheme="majorHAnsi" w:cstheme="majorHAnsi"/>
                <w:b/>
                <w:sz w:val="18"/>
                <w:szCs w:val="20"/>
                <w:lang w:val="ro-MD"/>
              </w:rPr>
              <w:t>Vicedirector medical</w:t>
            </w:r>
          </w:p>
        </w:tc>
        <w:tc>
          <w:tcPr>
            <w:tcW w:w="7274" w:type="dxa"/>
          </w:tcPr>
          <w:p w14:paraId="36AAD691" w14:textId="2CE95EF9" w:rsidR="00784827" w:rsidRPr="00B13B9A" w:rsidRDefault="00784827" w:rsidP="00241AB3">
            <w:pPr>
              <w:pStyle w:val="a7"/>
              <w:numPr>
                <w:ilvl w:val="0"/>
                <w:numId w:val="6"/>
              </w:numPr>
              <w:rPr>
                <w:rFonts w:asciiTheme="majorHAnsi" w:hAnsiTheme="majorHAnsi" w:cstheme="majorHAnsi"/>
                <w:sz w:val="18"/>
                <w:szCs w:val="20"/>
                <w:lang w:val="ro-MD"/>
              </w:rPr>
            </w:pPr>
            <w:r w:rsidRPr="00B13B9A">
              <w:rPr>
                <w:rFonts w:asciiTheme="majorHAnsi" w:hAnsiTheme="majorHAnsi" w:cstheme="majorHAnsi"/>
                <w:sz w:val="18"/>
                <w:szCs w:val="20"/>
                <w:lang w:val="ro-MD"/>
              </w:rPr>
              <w:t xml:space="preserve">asigură organizarea </w:t>
            </w:r>
            <w:r w:rsidR="00B13B9A" w:rsidRPr="00B13B9A">
              <w:rPr>
                <w:rFonts w:asciiTheme="majorHAnsi" w:hAnsiTheme="majorHAnsi" w:cstheme="majorHAnsi"/>
                <w:sz w:val="18"/>
                <w:szCs w:val="20"/>
                <w:lang w:val="ro-MD"/>
              </w:rPr>
              <w:t>ș</w:t>
            </w:r>
            <w:r w:rsidRPr="00B13B9A">
              <w:rPr>
                <w:rFonts w:asciiTheme="majorHAnsi" w:hAnsiTheme="majorHAnsi" w:cstheme="majorHAnsi"/>
                <w:sz w:val="18"/>
                <w:szCs w:val="20"/>
                <w:lang w:val="ro-MD"/>
              </w:rPr>
              <w:t>i coordonarea procesului diagnostic</w:t>
            </w:r>
            <w:r w:rsidR="00911AEE" w:rsidRPr="00B13B9A">
              <w:rPr>
                <w:rFonts w:asciiTheme="majorHAnsi" w:hAnsiTheme="majorHAnsi" w:cstheme="majorHAnsi"/>
                <w:sz w:val="18"/>
                <w:szCs w:val="20"/>
                <w:lang w:val="ro-MD"/>
              </w:rPr>
              <w:t>-</w:t>
            </w:r>
            <w:r w:rsidRPr="00B13B9A">
              <w:rPr>
                <w:rFonts w:asciiTheme="majorHAnsi" w:hAnsiTheme="majorHAnsi" w:cstheme="majorHAnsi"/>
                <w:sz w:val="18"/>
                <w:szCs w:val="20"/>
                <w:lang w:val="ro-MD"/>
              </w:rPr>
              <w:t xml:space="preserve">curativ conform standardelor, normativelor </w:t>
            </w:r>
            <w:r w:rsidR="00B13B9A" w:rsidRPr="00B13B9A">
              <w:rPr>
                <w:rFonts w:asciiTheme="majorHAnsi" w:hAnsiTheme="majorHAnsi" w:cstheme="majorHAnsi"/>
                <w:sz w:val="18"/>
                <w:szCs w:val="20"/>
                <w:lang w:val="ro-MD"/>
              </w:rPr>
              <w:t>ș</w:t>
            </w:r>
            <w:r w:rsidRPr="00B13B9A">
              <w:rPr>
                <w:rFonts w:asciiTheme="majorHAnsi" w:hAnsiTheme="majorHAnsi" w:cstheme="majorHAnsi"/>
                <w:sz w:val="18"/>
                <w:szCs w:val="20"/>
                <w:lang w:val="ro-MD"/>
              </w:rPr>
              <w:t>i instruc</w:t>
            </w:r>
            <w:r w:rsidR="00B13B9A" w:rsidRPr="00B13B9A">
              <w:rPr>
                <w:rFonts w:asciiTheme="majorHAnsi" w:hAnsiTheme="majorHAnsi" w:cstheme="majorHAnsi"/>
                <w:sz w:val="18"/>
                <w:szCs w:val="20"/>
                <w:lang w:val="ro-MD"/>
              </w:rPr>
              <w:t>ț</w:t>
            </w:r>
            <w:r w:rsidRPr="00B13B9A">
              <w:rPr>
                <w:rFonts w:asciiTheme="majorHAnsi" w:hAnsiTheme="majorHAnsi" w:cstheme="majorHAnsi"/>
                <w:sz w:val="18"/>
                <w:szCs w:val="20"/>
                <w:lang w:val="ro-MD"/>
              </w:rPr>
              <w:t>iunilor aprobate de Ministerul  Sănătă</w:t>
            </w:r>
            <w:r w:rsidR="00B13B9A" w:rsidRPr="00B13B9A">
              <w:rPr>
                <w:rFonts w:asciiTheme="majorHAnsi" w:hAnsiTheme="majorHAnsi" w:cstheme="majorHAnsi"/>
                <w:sz w:val="18"/>
                <w:szCs w:val="20"/>
                <w:lang w:val="ro-MD"/>
              </w:rPr>
              <w:t>ț</w:t>
            </w:r>
            <w:r w:rsidRPr="00B13B9A">
              <w:rPr>
                <w:rFonts w:asciiTheme="majorHAnsi" w:hAnsiTheme="majorHAnsi" w:cstheme="majorHAnsi"/>
                <w:sz w:val="18"/>
                <w:szCs w:val="20"/>
                <w:lang w:val="ro-MD"/>
              </w:rPr>
              <w:t>ii pentru activitatea clinică;</w:t>
            </w:r>
          </w:p>
          <w:p w14:paraId="52F65270" w14:textId="131DD9A4" w:rsidR="00784827" w:rsidRPr="00B13B9A" w:rsidRDefault="00784827" w:rsidP="00555C8B">
            <w:pPr>
              <w:pStyle w:val="a7"/>
              <w:numPr>
                <w:ilvl w:val="0"/>
                <w:numId w:val="6"/>
              </w:numPr>
              <w:rPr>
                <w:rFonts w:asciiTheme="majorHAnsi" w:hAnsiTheme="majorHAnsi" w:cstheme="majorHAnsi"/>
                <w:sz w:val="18"/>
                <w:szCs w:val="20"/>
                <w:lang w:val="ro-MD"/>
              </w:rPr>
            </w:pPr>
            <w:r w:rsidRPr="00B13B9A">
              <w:rPr>
                <w:rFonts w:asciiTheme="majorHAnsi" w:hAnsiTheme="majorHAnsi" w:cstheme="majorHAnsi"/>
                <w:sz w:val="18"/>
                <w:szCs w:val="20"/>
                <w:lang w:val="ro-MD"/>
              </w:rPr>
              <w:t>asigură organizarea prestării serviciilor medicale în volumul prevăzut de Programul Unic, protocoalele clinice na</w:t>
            </w:r>
            <w:r w:rsidR="00B13B9A" w:rsidRPr="00B13B9A">
              <w:rPr>
                <w:rFonts w:asciiTheme="majorHAnsi" w:hAnsiTheme="majorHAnsi" w:cstheme="majorHAnsi"/>
                <w:sz w:val="18"/>
                <w:szCs w:val="20"/>
                <w:lang w:val="ro-MD"/>
              </w:rPr>
              <w:t>ț</w:t>
            </w:r>
            <w:r w:rsidRPr="00B13B9A">
              <w:rPr>
                <w:rFonts w:asciiTheme="majorHAnsi" w:hAnsiTheme="majorHAnsi" w:cstheme="majorHAnsi"/>
                <w:sz w:val="18"/>
                <w:szCs w:val="20"/>
                <w:lang w:val="ro-MD"/>
              </w:rPr>
              <w:t xml:space="preserve">ionale </w:t>
            </w:r>
            <w:r w:rsidR="00B13B9A" w:rsidRPr="00B13B9A">
              <w:rPr>
                <w:rFonts w:asciiTheme="majorHAnsi" w:hAnsiTheme="majorHAnsi" w:cstheme="majorHAnsi"/>
                <w:sz w:val="18"/>
                <w:szCs w:val="20"/>
                <w:lang w:val="ro-MD"/>
              </w:rPr>
              <w:t>ș</w:t>
            </w:r>
            <w:r w:rsidRPr="00B13B9A">
              <w:rPr>
                <w:rFonts w:asciiTheme="majorHAnsi" w:hAnsiTheme="majorHAnsi" w:cstheme="majorHAnsi"/>
                <w:sz w:val="18"/>
                <w:szCs w:val="20"/>
                <w:lang w:val="ro-MD"/>
              </w:rPr>
              <w:t>i ghidurile de tratament, aprobate de Ministerul Sănătă</w:t>
            </w:r>
            <w:r w:rsidR="00B13B9A" w:rsidRPr="00B13B9A">
              <w:rPr>
                <w:rFonts w:asciiTheme="majorHAnsi" w:hAnsiTheme="majorHAnsi" w:cstheme="majorHAnsi"/>
                <w:sz w:val="18"/>
                <w:szCs w:val="20"/>
                <w:lang w:val="ro-MD"/>
              </w:rPr>
              <w:t>ț</w:t>
            </w:r>
            <w:r w:rsidRPr="00B13B9A">
              <w:rPr>
                <w:rFonts w:asciiTheme="majorHAnsi" w:hAnsiTheme="majorHAnsi" w:cstheme="majorHAnsi"/>
                <w:sz w:val="18"/>
                <w:szCs w:val="20"/>
                <w:lang w:val="ro-MD"/>
              </w:rPr>
              <w:t>ii</w:t>
            </w:r>
          </w:p>
        </w:tc>
      </w:tr>
      <w:tr w:rsidR="00784827" w:rsidRPr="00B13B9A" w14:paraId="6151064D" w14:textId="77777777" w:rsidTr="00E61DB8">
        <w:tc>
          <w:tcPr>
            <w:tcW w:w="2405" w:type="dxa"/>
          </w:tcPr>
          <w:p w14:paraId="0A5C60A1" w14:textId="77777777" w:rsidR="00784827" w:rsidRPr="00B13B9A" w:rsidRDefault="00784827" w:rsidP="00E61DB8">
            <w:pPr>
              <w:jc w:val="center"/>
              <w:rPr>
                <w:rFonts w:asciiTheme="majorHAnsi" w:hAnsiTheme="majorHAnsi" w:cstheme="majorHAnsi"/>
                <w:b/>
                <w:sz w:val="18"/>
                <w:szCs w:val="20"/>
                <w:lang w:val="ro-MD"/>
              </w:rPr>
            </w:pPr>
            <w:r w:rsidRPr="00B13B9A">
              <w:rPr>
                <w:rFonts w:asciiTheme="majorHAnsi" w:hAnsiTheme="majorHAnsi" w:cstheme="majorHAnsi"/>
                <w:b/>
                <w:sz w:val="18"/>
                <w:szCs w:val="20"/>
                <w:lang w:val="ro-MD"/>
              </w:rPr>
              <w:t>Consiliul medical</w:t>
            </w:r>
          </w:p>
        </w:tc>
        <w:tc>
          <w:tcPr>
            <w:tcW w:w="7274" w:type="dxa"/>
          </w:tcPr>
          <w:p w14:paraId="14F3A7FA" w14:textId="04E9CFCD" w:rsidR="00784827" w:rsidRPr="00B13B9A" w:rsidRDefault="00784827" w:rsidP="00241AB3">
            <w:pPr>
              <w:pStyle w:val="a7"/>
              <w:numPr>
                <w:ilvl w:val="0"/>
                <w:numId w:val="7"/>
              </w:numPr>
              <w:rPr>
                <w:rFonts w:asciiTheme="majorHAnsi" w:hAnsiTheme="majorHAnsi" w:cstheme="majorHAnsi"/>
                <w:sz w:val="18"/>
                <w:szCs w:val="20"/>
                <w:lang w:val="ro-MD"/>
              </w:rPr>
            </w:pPr>
            <w:r w:rsidRPr="00B13B9A">
              <w:rPr>
                <w:rFonts w:asciiTheme="majorHAnsi" w:hAnsiTheme="majorHAnsi" w:cstheme="majorHAnsi"/>
                <w:sz w:val="18"/>
                <w:szCs w:val="20"/>
                <w:lang w:val="ro-MD"/>
              </w:rPr>
              <w:t>îmbunătă</w:t>
            </w:r>
            <w:r w:rsidR="00B13B9A" w:rsidRPr="00B13B9A">
              <w:rPr>
                <w:rFonts w:asciiTheme="majorHAnsi" w:hAnsiTheme="majorHAnsi" w:cstheme="majorHAnsi"/>
                <w:sz w:val="18"/>
                <w:szCs w:val="20"/>
                <w:lang w:val="ro-MD"/>
              </w:rPr>
              <w:t>ț</w:t>
            </w:r>
            <w:r w:rsidRPr="00B13B9A">
              <w:rPr>
                <w:rFonts w:asciiTheme="majorHAnsi" w:hAnsiTheme="majorHAnsi" w:cstheme="majorHAnsi"/>
                <w:sz w:val="18"/>
                <w:szCs w:val="20"/>
                <w:lang w:val="ro-MD"/>
              </w:rPr>
              <w:t>e</w:t>
            </w:r>
            <w:r w:rsidR="00B13B9A" w:rsidRPr="00B13B9A">
              <w:rPr>
                <w:rFonts w:asciiTheme="majorHAnsi" w:hAnsiTheme="majorHAnsi" w:cstheme="majorHAnsi"/>
                <w:sz w:val="18"/>
                <w:szCs w:val="20"/>
                <w:lang w:val="ro-MD"/>
              </w:rPr>
              <w:t>ș</w:t>
            </w:r>
            <w:r w:rsidRPr="00B13B9A">
              <w:rPr>
                <w:rFonts w:asciiTheme="majorHAnsi" w:hAnsiTheme="majorHAnsi" w:cstheme="majorHAnsi"/>
                <w:sz w:val="18"/>
                <w:szCs w:val="20"/>
                <w:lang w:val="ro-MD"/>
              </w:rPr>
              <w:t>te standardele clinice în scopul cre</w:t>
            </w:r>
            <w:r w:rsidR="00B13B9A" w:rsidRPr="00B13B9A">
              <w:rPr>
                <w:rFonts w:asciiTheme="majorHAnsi" w:hAnsiTheme="majorHAnsi" w:cstheme="majorHAnsi"/>
                <w:sz w:val="18"/>
                <w:szCs w:val="20"/>
                <w:lang w:val="ro-MD"/>
              </w:rPr>
              <w:t>ș</w:t>
            </w:r>
            <w:r w:rsidRPr="00B13B9A">
              <w:rPr>
                <w:rFonts w:asciiTheme="majorHAnsi" w:hAnsiTheme="majorHAnsi" w:cstheme="majorHAnsi"/>
                <w:sz w:val="18"/>
                <w:szCs w:val="20"/>
                <w:lang w:val="ro-MD"/>
              </w:rPr>
              <w:t>terii gradului de satisfac</w:t>
            </w:r>
            <w:r w:rsidR="00B13B9A" w:rsidRPr="00B13B9A">
              <w:rPr>
                <w:rFonts w:asciiTheme="majorHAnsi" w:hAnsiTheme="majorHAnsi" w:cstheme="majorHAnsi"/>
                <w:sz w:val="18"/>
                <w:szCs w:val="20"/>
                <w:lang w:val="ro-MD"/>
              </w:rPr>
              <w:t>ț</w:t>
            </w:r>
            <w:r w:rsidRPr="00B13B9A">
              <w:rPr>
                <w:rFonts w:asciiTheme="majorHAnsi" w:hAnsiTheme="majorHAnsi" w:cstheme="majorHAnsi"/>
                <w:sz w:val="18"/>
                <w:szCs w:val="20"/>
                <w:lang w:val="ro-MD"/>
              </w:rPr>
              <w:t>ie a</w:t>
            </w:r>
            <w:r w:rsidR="00911AEE" w:rsidRPr="00B13B9A">
              <w:rPr>
                <w:rFonts w:asciiTheme="majorHAnsi" w:hAnsiTheme="majorHAnsi" w:cstheme="majorHAnsi"/>
                <w:sz w:val="18"/>
                <w:szCs w:val="20"/>
                <w:lang w:val="ro-MD"/>
              </w:rPr>
              <w:t>l</w:t>
            </w:r>
            <w:r w:rsidRPr="00B13B9A">
              <w:rPr>
                <w:rFonts w:asciiTheme="majorHAnsi" w:hAnsiTheme="majorHAnsi" w:cstheme="majorHAnsi"/>
                <w:sz w:val="18"/>
                <w:szCs w:val="20"/>
                <w:lang w:val="ro-MD"/>
              </w:rPr>
              <w:t xml:space="preserve"> pacien</w:t>
            </w:r>
            <w:r w:rsidR="00B13B9A" w:rsidRPr="00B13B9A">
              <w:rPr>
                <w:rFonts w:asciiTheme="majorHAnsi" w:hAnsiTheme="majorHAnsi" w:cstheme="majorHAnsi"/>
                <w:sz w:val="18"/>
                <w:szCs w:val="20"/>
                <w:lang w:val="ro-MD"/>
              </w:rPr>
              <w:t>ț</w:t>
            </w:r>
            <w:r w:rsidRPr="00B13B9A">
              <w:rPr>
                <w:rFonts w:asciiTheme="majorHAnsi" w:hAnsiTheme="majorHAnsi" w:cstheme="majorHAnsi"/>
                <w:sz w:val="18"/>
                <w:szCs w:val="20"/>
                <w:lang w:val="ro-MD"/>
              </w:rPr>
              <w:t>ilor;</w:t>
            </w:r>
          </w:p>
          <w:p w14:paraId="627FF118" w14:textId="22D5F00F" w:rsidR="00784827" w:rsidRPr="00B13B9A" w:rsidRDefault="00784827" w:rsidP="00555C8B">
            <w:pPr>
              <w:pStyle w:val="a7"/>
              <w:numPr>
                <w:ilvl w:val="0"/>
                <w:numId w:val="7"/>
              </w:numPr>
              <w:rPr>
                <w:rFonts w:asciiTheme="majorHAnsi" w:hAnsiTheme="majorHAnsi" w:cstheme="majorHAnsi"/>
                <w:sz w:val="18"/>
                <w:szCs w:val="20"/>
                <w:lang w:val="ro-MD"/>
              </w:rPr>
            </w:pPr>
            <w:r w:rsidRPr="00B13B9A">
              <w:rPr>
                <w:rFonts w:asciiTheme="majorHAnsi" w:hAnsiTheme="majorHAnsi" w:cstheme="majorHAnsi"/>
                <w:sz w:val="18"/>
                <w:szCs w:val="20"/>
                <w:lang w:val="ro-MD"/>
              </w:rPr>
              <w:t xml:space="preserve">propune spre revizuire politici </w:t>
            </w:r>
            <w:r w:rsidR="00B13B9A" w:rsidRPr="00B13B9A">
              <w:rPr>
                <w:rFonts w:asciiTheme="majorHAnsi" w:hAnsiTheme="majorHAnsi" w:cstheme="majorHAnsi"/>
                <w:sz w:val="18"/>
                <w:szCs w:val="20"/>
                <w:lang w:val="ro-MD"/>
              </w:rPr>
              <w:t>ș</w:t>
            </w:r>
            <w:r w:rsidRPr="00B13B9A">
              <w:rPr>
                <w:rFonts w:asciiTheme="majorHAnsi" w:hAnsiTheme="majorHAnsi" w:cstheme="majorHAnsi"/>
                <w:sz w:val="18"/>
                <w:szCs w:val="20"/>
                <w:lang w:val="ro-MD"/>
              </w:rPr>
              <w:t>i proceduri opera</w:t>
            </w:r>
            <w:r w:rsidR="00B13B9A" w:rsidRPr="00B13B9A">
              <w:rPr>
                <w:rFonts w:asciiTheme="majorHAnsi" w:hAnsiTheme="majorHAnsi" w:cstheme="majorHAnsi"/>
                <w:sz w:val="18"/>
                <w:szCs w:val="20"/>
                <w:lang w:val="ro-MD"/>
              </w:rPr>
              <w:t>ț</w:t>
            </w:r>
            <w:r w:rsidRPr="00B13B9A">
              <w:rPr>
                <w:rFonts w:asciiTheme="majorHAnsi" w:hAnsiTheme="majorHAnsi" w:cstheme="majorHAnsi"/>
                <w:sz w:val="18"/>
                <w:szCs w:val="20"/>
                <w:lang w:val="ro-MD"/>
              </w:rPr>
              <w:t>ionale din cadrul institu</w:t>
            </w:r>
            <w:r w:rsidR="00B13B9A" w:rsidRPr="00B13B9A">
              <w:rPr>
                <w:rFonts w:asciiTheme="majorHAnsi" w:hAnsiTheme="majorHAnsi" w:cstheme="majorHAnsi"/>
                <w:sz w:val="18"/>
                <w:szCs w:val="20"/>
                <w:lang w:val="ro-MD"/>
              </w:rPr>
              <w:t>ț</w:t>
            </w:r>
            <w:r w:rsidRPr="00B13B9A">
              <w:rPr>
                <w:rFonts w:asciiTheme="majorHAnsi" w:hAnsiTheme="majorHAnsi" w:cstheme="majorHAnsi"/>
                <w:sz w:val="18"/>
                <w:szCs w:val="20"/>
                <w:lang w:val="ro-MD"/>
              </w:rPr>
              <w:t xml:space="preserve">iei legate de îngrijirea </w:t>
            </w:r>
            <w:r w:rsidR="00B13B9A" w:rsidRPr="00B13B9A">
              <w:rPr>
                <w:rFonts w:asciiTheme="majorHAnsi" w:hAnsiTheme="majorHAnsi" w:cstheme="majorHAnsi"/>
                <w:sz w:val="18"/>
                <w:szCs w:val="20"/>
                <w:lang w:val="ro-MD"/>
              </w:rPr>
              <w:t>ș</w:t>
            </w:r>
            <w:r w:rsidRPr="00B13B9A">
              <w:rPr>
                <w:rFonts w:asciiTheme="majorHAnsi" w:hAnsiTheme="majorHAnsi" w:cstheme="majorHAnsi"/>
                <w:sz w:val="18"/>
                <w:szCs w:val="20"/>
                <w:lang w:val="ro-MD"/>
              </w:rPr>
              <w:t>i tratamentul medical, pentru a se asigura că acestea sunt în concordan</w:t>
            </w:r>
            <w:r w:rsidR="00B13B9A" w:rsidRPr="00B13B9A">
              <w:rPr>
                <w:rFonts w:asciiTheme="majorHAnsi" w:hAnsiTheme="majorHAnsi" w:cstheme="majorHAnsi"/>
                <w:sz w:val="18"/>
                <w:szCs w:val="20"/>
                <w:lang w:val="ro-MD"/>
              </w:rPr>
              <w:t>ț</w:t>
            </w:r>
            <w:r w:rsidRPr="00B13B9A">
              <w:rPr>
                <w:rFonts w:asciiTheme="majorHAnsi" w:hAnsiTheme="majorHAnsi" w:cstheme="majorHAnsi"/>
                <w:sz w:val="18"/>
                <w:szCs w:val="20"/>
                <w:lang w:val="ro-MD"/>
              </w:rPr>
              <w:t xml:space="preserve">ă cu cele mai bune practici </w:t>
            </w:r>
            <w:r w:rsidR="00B13B9A" w:rsidRPr="00B13B9A">
              <w:rPr>
                <w:rFonts w:asciiTheme="majorHAnsi" w:hAnsiTheme="majorHAnsi" w:cstheme="majorHAnsi"/>
                <w:sz w:val="18"/>
                <w:szCs w:val="20"/>
                <w:lang w:val="ro-MD"/>
              </w:rPr>
              <w:t>ș</w:t>
            </w:r>
            <w:r w:rsidRPr="00B13B9A">
              <w:rPr>
                <w:rFonts w:asciiTheme="majorHAnsi" w:hAnsiTheme="majorHAnsi" w:cstheme="majorHAnsi"/>
                <w:sz w:val="18"/>
                <w:szCs w:val="20"/>
                <w:lang w:val="ro-MD"/>
              </w:rPr>
              <w:t>i standarde</w:t>
            </w:r>
          </w:p>
        </w:tc>
      </w:tr>
    </w:tbl>
    <w:p w14:paraId="7C6B96FA" w14:textId="778DF36F" w:rsidR="0007264E" w:rsidRPr="00B13B9A" w:rsidRDefault="0007264E" w:rsidP="0007264E">
      <w:pPr>
        <w:pStyle w:val="cn"/>
        <w:spacing w:line="276" w:lineRule="auto"/>
        <w:ind w:right="71"/>
        <w:jc w:val="both"/>
        <w:rPr>
          <w:rFonts w:asciiTheme="majorHAnsi" w:eastAsiaTheme="minorHAnsi" w:hAnsiTheme="majorHAnsi" w:cstheme="majorHAnsi"/>
          <w:i/>
          <w:sz w:val="20"/>
          <w:szCs w:val="20"/>
          <w:lang w:val="ro-MD" w:eastAsia="en-US"/>
        </w:rPr>
      </w:pPr>
      <w:r w:rsidRPr="00B13B9A">
        <w:rPr>
          <w:rFonts w:asciiTheme="majorHAnsi" w:eastAsiaTheme="minorHAnsi" w:hAnsiTheme="majorHAnsi" w:cstheme="majorHAnsi"/>
          <w:b/>
          <w:i/>
          <w:sz w:val="20"/>
          <w:szCs w:val="20"/>
          <w:lang w:val="ro-MD" w:eastAsia="en-US"/>
        </w:rPr>
        <w:t>Sursa:</w:t>
      </w:r>
      <w:r w:rsidRPr="00B13B9A">
        <w:rPr>
          <w:rFonts w:asciiTheme="majorHAnsi" w:eastAsiaTheme="minorHAnsi" w:hAnsiTheme="majorHAnsi" w:cstheme="majorHAnsi"/>
          <w:i/>
          <w:sz w:val="20"/>
          <w:szCs w:val="20"/>
          <w:lang w:val="ro-MD" w:eastAsia="en-US"/>
        </w:rPr>
        <w:t xml:space="preserve"> </w:t>
      </w:r>
      <w:r w:rsidR="00911AEE" w:rsidRPr="00B13B9A">
        <w:rPr>
          <w:rFonts w:asciiTheme="majorHAnsi" w:eastAsiaTheme="minorHAnsi" w:hAnsiTheme="majorHAnsi" w:cstheme="majorHAnsi"/>
          <w:i/>
          <w:sz w:val="20"/>
          <w:szCs w:val="20"/>
          <w:lang w:val="ro-MD" w:eastAsia="en-US"/>
        </w:rPr>
        <w:t>Elaborat</w:t>
      </w:r>
      <w:r w:rsidRPr="00B13B9A">
        <w:rPr>
          <w:rFonts w:asciiTheme="majorHAnsi" w:eastAsiaTheme="minorHAnsi" w:hAnsiTheme="majorHAnsi" w:cstheme="majorHAnsi"/>
          <w:i/>
          <w:sz w:val="20"/>
          <w:szCs w:val="20"/>
          <w:lang w:val="ro-MD" w:eastAsia="en-US"/>
        </w:rPr>
        <w:t xml:space="preserve"> de audit în baza datelor prezentate de entitate</w:t>
      </w:r>
      <w:r w:rsidR="00911AEE" w:rsidRPr="00B13B9A">
        <w:rPr>
          <w:rFonts w:asciiTheme="majorHAnsi" w:eastAsiaTheme="minorHAnsi" w:hAnsiTheme="majorHAnsi" w:cstheme="majorHAnsi"/>
          <w:i/>
          <w:sz w:val="20"/>
          <w:szCs w:val="20"/>
          <w:lang w:val="ro-MD" w:eastAsia="en-US"/>
        </w:rPr>
        <w:t>.</w:t>
      </w:r>
    </w:p>
    <w:p w14:paraId="468C0150" w14:textId="77777777" w:rsidR="00C47D23" w:rsidRPr="00B13B9A" w:rsidRDefault="00C47D23" w:rsidP="001A0E43">
      <w:pPr>
        <w:spacing w:after="0" w:line="240" w:lineRule="auto"/>
        <w:jc w:val="right"/>
        <w:rPr>
          <w:rFonts w:asciiTheme="majorHAnsi" w:hAnsiTheme="majorHAnsi" w:cstheme="majorHAnsi"/>
          <w:b/>
          <w:iCs/>
          <w:sz w:val="24"/>
          <w:szCs w:val="24"/>
          <w:lang w:val="ro-MD"/>
        </w:rPr>
      </w:pPr>
    </w:p>
    <w:p w14:paraId="5F8CB9A4" w14:textId="77777777" w:rsidR="00DB333D" w:rsidRDefault="00DB333D" w:rsidP="001A0E43">
      <w:pPr>
        <w:spacing w:after="0" w:line="240" w:lineRule="auto"/>
        <w:jc w:val="right"/>
        <w:rPr>
          <w:rFonts w:asciiTheme="majorHAnsi" w:hAnsiTheme="majorHAnsi" w:cstheme="majorHAnsi"/>
          <w:b/>
          <w:iCs/>
          <w:sz w:val="24"/>
          <w:szCs w:val="24"/>
          <w:lang w:val="ro-MD"/>
        </w:rPr>
        <w:sectPr w:rsidR="00DB333D" w:rsidSect="00DB333D">
          <w:pgSz w:w="12240" w:h="15840"/>
          <w:pgMar w:top="851" w:right="758" w:bottom="1134" w:left="1701" w:header="708" w:footer="708" w:gutter="0"/>
          <w:cols w:space="708"/>
          <w:titlePg/>
          <w:docGrid w:linePitch="360"/>
        </w:sectPr>
      </w:pPr>
    </w:p>
    <w:p w14:paraId="2F344A81" w14:textId="642E78EA" w:rsidR="006A58F1" w:rsidRPr="00B13B9A" w:rsidRDefault="00782BD2" w:rsidP="0007264E">
      <w:pPr>
        <w:pStyle w:val="3"/>
        <w:jc w:val="right"/>
        <w:rPr>
          <w:rFonts w:cstheme="majorHAnsi"/>
          <w:b/>
          <w:iCs/>
          <w:color w:val="auto"/>
        </w:rPr>
      </w:pPr>
      <w:bookmarkStart w:id="54" w:name="_Toc154562525"/>
      <w:r w:rsidRPr="00B13B9A">
        <w:rPr>
          <w:rFonts w:cstheme="majorHAnsi"/>
          <w:b/>
          <w:iCs/>
          <w:color w:val="auto"/>
        </w:rPr>
        <w:t xml:space="preserve">Anexa nr. </w:t>
      </w:r>
      <w:r w:rsidR="00DB333D">
        <w:rPr>
          <w:rFonts w:cstheme="majorHAnsi"/>
          <w:b/>
          <w:iCs/>
          <w:color w:val="auto"/>
        </w:rPr>
        <w:t>2</w:t>
      </w:r>
      <w:bookmarkEnd w:id="54"/>
    </w:p>
    <w:p w14:paraId="041AF1FC" w14:textId="2B28DDA4" w:rsidR="00981ADA" w:rsidRPr="00B13B9A" w:rsidRDefault="00981ADA" w:rsidP="00EA2080">
      <w:pPr>
        <w:spacing w:after="0" w:line="240" w:lineRule="auto"/>
        <w:jc w:val="center"/>
        <w:rPr>
          <w:rFonts w:asciiTheme="majorHAnsi" w:hAnsiTheme="majorHAnsi" w:cstheme="majorHAnsi"/>
          <w:b/>
          <w:iCs/>
          <w:sz w:val="24"/>
          <w:szCs w:val="24"/>
          <w:lang w:val="ro-MD"/>
        </w:rPr>
      </w:pPr>
      <w:r w:rsidRPr="00B13B9A">
        <w:rPr>
          <w:rFonts w:asciiTheme="majorHAnsi" w:hAnsiTheme="majorHAnsi" w:cstheme="majorHAnsi"/>
          <w:b/>
          <w:iCs/>
          <w:sz w:val="24"/>
          <w:szCs w:val="24"/>
          <w:lang w:val="ro-MD"/>
        </w:rPr>
        <w:t>Activitat</w:t>
      </w:r>
      <w:r w:rsidR="00EA2080" w:rsidRPr="00B13B9A">
        <w:rPr>
          <w:rFonts w:asciiTheme="majorHAnsi" w:hAnsiTheme="majorHAnsi" w:cstheme="majorHAnsi"/>
          <w:b/>
          <w:iCs/>
          <w:sz w:val="24"/>
          <w:szCs w:val="24"/>
          <w:lang w:val="ro-MD"/>
        </w:rPr>
        <w:t>ea Consiliului de Administra</w:t>
      </w:r>
      <w:r w:rsidR="00B13B9A" w:rsidRPr="00B13B9A">
        <w:rPr>
          <w:rFonts w:asciiTheme="majorHAnsi" w:hAnsiTheme="majorHAnsi" w:cstheme="majorHAnsi"/>
          <w:b/>
          <w:iCs/>
          <w:sz w:val="24"/>
          <w:szCs w:val="24"/>
          <w:lang w:val="ro-MD"/>
        </w:rPr>
        <w:t>ț</w:t>
      </w:r>
      <w:r w:rsidR="00EA2080" w:rsidRPr="00B13B9A">
        <w:rPr>
          <w:rFonts w:asciiTheme="majorHAnsi" w:hAnsiTheme="majorHAnsi" w:cstheme="majorHAnsi"/>
          <w:b/>
          <w:iCs/>
          <w:sz w:val="24"/>
          <w:szCs w:val="24"/>
          <w:lang w:val="ro-MD"/>
        </w:rPr>
        <w:t>ie</w:t>
      </w:r>
    </w:p>
    <w:tbl>
      <w:tblPr>
        <w:tblStyle w:val="a3"/>
        <w:tblW w:w="10072" w:type="dxa"/>
        <w:tblLook w:val="04A0" w:firstRow="1" w:lastRow="0" w:firstColumn="1" w:lastColumn="0" w:noHBand="0" w:noVBand="1"/>
      </w:tblPr>
      <w:tblGrid>
        <w:gridCol w:w="4106"/>
        <w:gridCol w:w="1134"/>
        <w:gridCol w:w="4820"/>
        <w:gridCol w:w="12"/>
      </w:tblGrid>
      <w:tr w:rsidR="00981ADA" w:rsidRPr="00B13B9A" w14:paraId="110C705E" w14:textId="77777777" w:rsidTr="002101A1">
        <w:trPr>
          <w:gridAfter w:val="1"/>
          <w:wAfter w:w="12" w:type="dxa"/>
          <w:trHeight w:val="493"/>
        </w:trPr>
        <w:tc>
          <w:tcPr>
            <w:tcW w:w="4106" w:type="dxa"/>
            <w:shd w:val="clear" w:color="auto" w:fill="auto"/>
            <w:vAlign w:val="center"/>
          </w:tcPr>
          <w:p w14:paraId="18C21017" w14:textId="759DEA00" w:rsidR="00981ADA" w:rsidRPr="00B13B9A" w:rsidRDefault="00981ADA" w:rsidP="00981ADA">
            <w:pPr>
              <w:jc w:val="center"/>
              <w:rPr>
                <w:rFonts w:asciiTheme="majorHAnsi" w:hAnsiTheme="majorHAnsi" w:cstheme="majorHAnsi"/>
                <w:b/>
                <w:sz w:val="20"/>
                <w:szCs w:val="20"/>
                <w:lang w:val="ro-MD"/>
              </w:rPr>
            </w:pPr>
            <w:r w:rsidRPr="00B13B9A">
              <w:rPr>
                <w:rFonts w:asciiTheme="majorHAnsi" w:hAnsiTheme="majorHAnsi" w:cstheme="majorHAnsi"/>
                <w:b/>
                <w:sz w:val="20"/>
                <w:szCs w:val="20"/>
                <w:lang w:val="ro-MD"/>
              </w:rPr>
              <w:t>Membrii Consiliului de Administra</w:t>
            </w:r>
            <w:r w:rsidR="00B13B9A" w:rsidRPr="00B13B9A">
              <w:rPr>
                <w:rFonts w:asciiTheme="majorHAnsi" w:hAnsiTheme="majorHAnsi" w:cstheme="majorHAnsi"/>
                <w:b/>
                <w:sz w:val="20"/>
                <w:szCs w:val="20"/>
                <w:lang w:val="ro-MD"/>
              </w:rPr>
              <w:t>ț</w:t>
            </w:r>
            <w:r w:rsidRPr="00B13B9A">
              <w:rPr>
                <w:rFonts w:asciiTheme="majorHAnsi" w:hAnsiTheme="majorHAnsi" w:cstheme="majorHAnsi"/>
                <w:b/>
                <w:sz w:val="20"/>
                <w:szCs w:val="20"/>
                <w:lang w:val="ro-MD"/>
              </w:rPr>
              <w:t>ie</w:t>
            </w:r>
          </w:p>
        </w:tc>
        <w:tc>
          <w:tcPr>
            <w:tcW w:w="1134" w:type="dxa"/>
            <w:shd w:val="clear" w:color="auto" w:fill="auto"/>
            <w:vAlign w:val="center"/>
          </w:tcPr>
          <w:p w14:paraId="67EFF707" w14:textId="5E9E1877" w:rsidR="00981ADA" w:rsidRPr="00B13B9A" w:rsidRDefault="00B13B9A" w:rsidP="00981ADA">
            <w:pPr>
              <w:jc w:val="center"/>
              <w:rPr>
                <w:rFonts w:asciiTheme="majorHAnsi" w:hAnsiTheme="majorHAnsi" w:cstheme="majorHAnsi"/>
                <w:b/>
                <w:sz w:val="20"/>
                <w:szCs w:val="20"/>
                <w:lang w:val="ro-MD"/>
              </w:rPr>
            </w:pPr>
            <w:r w:rsidRPr="00B13B9A">
              <w:rPr>
                <w:rFonts w:asciiTheme="majorHAnsi" w:hAnsiTheme="majorHAnsi" w:cstheme="majorHAnsi"/>
                <w:b/>
                <w:sz w:val="20"/>
                <w:szCs w:val="20"/>
                <w:lang w:val="ro-MD"/>
              </w:rPr>
              <w:t>Ș</w:t>
            </w:r>
            <w:r w:rsidR="00981ADA" w:rsidRPr="00B13B9A">
              <w:rPr>
                <w:rFonts w:asciiTheme="majorHAnsi" w:hAnsiTheme="majorHAnsi" w:cstheme="majorHAnsi"/>
                <w:b/>
                <w:sz w:val="20"/>
                <w:szCs w:val="20"/>
                <w:lang w:val="ro-MD"/>
              </w:rPr>
              <w:t>edin</w:t>
            </w:r>
            <w:r w:rsidRPr="00B13B9A">
              <w:rPr>
                <w:rFonts w:asciiTheme="majorHAnsi" w:hAnsiTheme="majorHAnsi" w:cstheme="majorHAnsi"/>
                <w:b/>
                <w:sz w:val="20"/>
                <w:szCs w:val="20"/>
                <w:lang w:val="ro-MD"/>
              </w:rPr>
              <w:t>ț</w:t>
            </w:r>
            <w:r w:rsidR="00981ADA" w:rsidRPr="00B13B9A">
              <w:rPr>
                <w:rFonts w:asciiTheme="majorHAnsi" w:hAnsiTheme="majorHAnsi" w:cstheme="majorHAnsi"/>
                <w:b/>
                <w:sz w:val="20"/>
                <w:szCs w:val="20"/>
                <w:lang w:val="ro-MD"/>
              </w:rPr>
              <w:t>e</w:t>
            </w:r>
          </w:p>
        </w:tc>
        <w:tc>
          <w:tcPr>
            <w:tcW w:w="4820" w:type="dxa"/>
            <w:shd w:val="clear" w:color="auto" w:fill="auto"/>
            <w:vAlign w:val="center"/>
          </w:tcPr>
          <w:p w14:paraId="7BE4BBFA" w14:textId="77777777" w:rsidR="00981ADA" w:rsidRPr="00B13B9A" w:rsidRDefault="00981ADA" w:rsidP="00981ADA">
            <w:pPr>
              <w:jc w:val="center"/>
              <w:rPr>
                <w:rFonts w:asciiTheme="majorHAnsi" w:hAnsiTheme="majorHAnsi" w:cstheme="majorHAnsi"/>
                <w:b/>
                <w:sz w:val="20"/>
                <w:szCs w:val="20"/>
                <w:lang w:val="ro-MD"/>
              </w:rPr>
            </w:pPr>
            <w:r w:rsidRPr="00B13B9A">
              <w:rPr>
                <w:rFonts w:asciiTheme="majorHAnsi" w:hAnsiTheme="majorHAnsi" w:cstheme="majorHAnsi"/>
                <w:b/>
                <w:sz w:val="20"/>
                <w:szCs w:val="20"/>
                <w:lang w:val="ro-MD"/>
              </w:rPr>
              <w:t>Subiecte abordate</w:t>
            </w:r>
          </w:p>
        </w:tc>
      </w:tr>
      <w:tr w:rsidR="00981ADA" w:rsidRPr="00B13B9A" w14:paraId="0E550A5F" w14:textId="77777777" w:rsidTr="002101A1">
        <w:tc>
          <w:tcPr>
            <w:tcW w:w="10072" w:type="dxa"/>
            <w:gridSpan w:val="4"/>
            <w:shd w:val="clear" w:color="auto" w:fill="auto"/>
          </w:tcPr>
          <w:p w14:paraId="253F7415" w14:textId="77777777" w:rsidR="00981ADA" w:rsidRPr="00B13B9A" w:rsidRDefault="00981ADA" w:rsidP="0026741B">
            <w:pPr>
              <w:jc w:val="center"/>
              <w:rPr>
                <w:rFonts w:asciiTheme="majorHAnsi" w:hAnsiTheme="majorHAnsi" w:cstheme="majorHAnsi"/>
                <w:b/>
                <w:sz w:val="20"/>
                <w:szCs w:val="20"/>
                <w:lang w:val="ro-MD"/>
              </w:rPr>
            </w:pPr>
            <w:r w:rsidRPr="00B13B9A">
              <w:rPr>
                <w:rFonts w:asciiTheme="majorHAnsi" w:hAnsiTheme="majorHAnsi" w:cstheme="majorHAnsi"/>
                <w:b/>
                <w:sz w:val="20"/>
                <w:szCs w:val="20"/>
                <w:lang w:val="ro-MD"/>
              </w:rPr>
              <w:t>2021</w:t>
            </w:r>
          </w:p>
        </w:tc>
      </w:tr>
      <w:tr w:rsidR="00981ADA" w:rsidRPr="00B13B9A" w14:paraId="23593884" w14:textId="77777777" w:rsidTr="002101A1">
        <w:trPr>
          <w:gridAfter w:val="1"/>
          <w:wAfter w:w="12" w:type="dxa"/>
        </w:trPr>
        <w:tc>
          <w:tcPr>
            <w:tcW w:w="4106" w:type="dxa"/>
            <w:shd w:val="clear" w:color="auto" w:fill="auto"/>
          </w:tcPr>
          <w:p w14:paraId="6F7B8F96" w14:textId="764A2380" w:rsidR="00981ADA" w:rsidRPr="00B13B9A" w:rsidRDefault="00981ADA" w:rsidP="0026741B">
            <w:pPr>
              <w:rPr>
                <w:rFonts w:asciiTheme="majorHAnsi" w:hAnsiTheme="majorHAnsi" w:cstheme="majorHAnsi"/>
                <w:sz w:val="20"/>
                <w:szCs w:val="20"/>
                <w:lang w:val="ro-MD"/>
              </w:rPr>
            </w:pPr>
            <w:r w:rsidRPr="00B13B9A">
              <w:rPr>
                <w:rFonts w:asciiTheme="majorHAnsi" w:hAnsiTheme="majorHAnsi" w:cstheme="majorHAnsi"/>
                <w:sz w:val="20"/>
                <w:szCs w:val="20"/>
                <w:lang w:val="ro-MD"/>
              </w:rPr>
              <w:t>Tatiana Zatîc – Secretar</w:t>
            </w:r>
            <w:r w:rsidR="00555C8B" w:rsidRPr="00B13B9A">
              <w:rPr>
                <w:rFonts w:asciiTheme="majorHAnsi" w:hAnsiTheme="majorHAnsi" w:cstheme="majorHAnsi"/>
                <w:sz w:val="20"/>
                <w:szCs w:val="20"/>
                <w:lang w:val="ro-MD"/>
              </w:rPr>
              <w:t>ă</w:t>
            </w:r>
            <w:r w:rsidRPr="00B13B9A">
              <w:rPr>
                <w:rFonts w:asciiTheme="majorHAnsi" w:hAnsiTheme="majorHAnsi" w:cstheme="majorHAnsi"/>
                <w:sz w:val="20"/>
                <w:szCs w:val="20"/>
                <w:lang w:val="ro-MD"/>
              </w:rPr>
              <w:t xml:space="preserve"> de Stat, MS</w:t>
            </w:r>
            <w:r w:rsidR="0007264E" w:rsidRPr="00B13B9A">
              <w:rPr>
                <w:rFonts w:asciiTheme="majorHAnsi" w:hAnsiTheme="majorHAnsi" w:cstheme="majorHAnsi"/>
                <w:sz w:val="20"/>
                <w:szCs w:val="20"/>
                <w:lang w:val="ro-MD"/>
              </w:rPr>
              <w:t>MPS</w:t>
            </w:r>
            <w:r w:rsidRPr="00B13B9A">
              <w:rPr>
                <w:rFonts w:asciiTheme="majorHAnsi" w:hAnsiTheme="majorHAnsi" w:cstheme="majorHAnsi"/>
                <w:sz w:val="20"/>
                <w:szCs w:val="20"/>
                <w:lang w:val="ro-MD"/>
              </w:rPr>
              <w:t>;</w:t>
            </w:r>
          </w:p>
          <w:p w14:paraId="72406CB8" w14:textId="6F43F579" w:rsidR="00981ADA" w:rsidRPr="00B13B9A" w:rsidRDefault="00981ADA" w:rsidP="0026741B">
            <w:pPr>
              <w:rPr>
                <w:rFonts w:asciiTheme="majorHAnsi" w:hAnsiTheme="majorHAnsi" w:cstheme="majorHAnsi"/>
                <w:sz w:val="20"/>
                <w:szCs w:val="20"/>
                <w:lang w:val="ro-MD"/>
              </w:rPr>
            </w:pPr>
            <w:r w:rsidRPr="00B13B9A">
              <w:rPr>
                <w:rFonts w:asciiTheme="majorHAnsi" w:hAnsiTheme="majorHAnsi" w:cstheme="majorHAnsi"/>
                <w:sz w:val="20"/>
                <w:szCs w:val="20"/>
                <w:lang w:val="ro-MD"/>
              </w:rPr>
              <w:t>Daniela Demi</w:t>
            </w:r>
            <w:r w:rsidR="00B13B9A" w:rsidRPr="00B13B9A">
              <w:rPr>
                <w:rFonts w:asciiTheme="majorHAnsi" w:hAnsiTheme="majorHAnsi" w:cstheme="majorHAnsi"/>
                <w:sz w:val="20"/>
                <w:szCs w:val="20"/>
                <w:lang w:val="ro-MD"/>
              </w:rPr>
              <w:t>ș</w:t>
            </w:r>
            <w:r w:rsidRPr="00B13B9A">
              <w:rPr>
                <w:rFonts w:asciiTheme="majorHAnsi" w:hAnsiTheme="majorHAnsi" w:cstheme="majorHAnsi"/>
                <w:sz w:val="20"/>
                <w:szCs w:val="20"/>
                <w:lang w:val="ro-MD"/>
              </w:rPr>
              <w:t xml:space="preserve">can – </w:t>
            </w:r>
            <w:r w:rsidR="00B13B9A" w:rsidRPr="00B13B9A">
              <w:rPr>
                <w:rFonts w:asciiTheme="majorHAnsi" w:hAnsiTheme="majorHAnsi" w:cstheme="majorHAnsi"/>
                <w:sz w:val="20"/>
                <w:szCs w:val="20"/>
                <w:lang w:val="ro-MD"/>
              </w:rPr>
              <w:t>Ș</w:t>
            </w:r>
            <w:r w:rsidRPr="00B13B9A">
              <w:rPr>
                <w:rFonts w:asciiTheme="majorHAnsi" w:hAnsiTheme="majorHAnsi" w:cstheme="majorHAnsi"/>
                <w:sz w:val="20"/>
                <w:szCs w:val="20"/>
                <w:lang w:val="ro-MD"/>
              </w:rPr>
              <w:t>ef</w:t>
            </w:r>
            <w:r w:rsidR="00555C8B" w:rsidRPr="00B13B9A">
              <w:rPr>
                <w:rFonts w:asciiTheme="majorHAnsi" w:hAnsiTheme="majorHAnsi" w:cstheme="majorHAnsi"/>
                <w:sz w:val="20"/>
                <w:szCs w:val="20"/>
                <w:lang w:val="ro-MD"/>
              </w:rPr>
              <w:t>ă</w:t>
            </w:r>
            <w:r w:rsidRPr="00B13B9A">
              <w:rPr>
                <w:rFonts w:asciiTheme="majorHAnsi" w:hAnsiTheme="majorHAnsi" w:cstheme="majorHAnsi"/>
                <w:sz w:val="20"/>
                <w:szCs w:val="20"/>
                <w:lang w:val="ro-MD"/>
              </w:rPr>
              <w:t xml:space="preserve"> </w:t>
            </w:r>
            <w:r w:rsidR="00555C8B" w:rsidRPr="00B13B9A">
              <w:rPr>
                <w:rFonts w:asciiTheme="majorHAnsi" w:hAnsiTheme="majorHAnsi" w:cstheme="majorHAnsi"/>
                <w:sz w:val="20"/>
                <w:szCs w:val="20"/>
                <w:lang w:val="ro-MD"/>
              </w:rPr>
              <w:t>D</w:t>
            </w:r>
            <w:r w:rsidRPr="00B13B9A">
              <w:rPr>
                <w:rFonts w:asciiTheme="majorHAnsi" w:hAnsiTheme="majorHAnsi" w:cstheme="majorHAnsi"/>
                <w:sz w:val="20"/>
                <w:szCs w:val="20"/>
                <w:lang w:val="ro-MD"/>
              </w:rPr>
              <w:t>irec</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ie politici în sănătate publică, MSMPS;</w:t>
            </w:r>
          </w:p>
          <w:p w14:paraId="2C97B92B" w14:textId="696791B2" w:rsidR="00981ADA" w:rsidRPr="00B13B9A" w:rsidRDefault="00981ADA" w:rsidP="0026741B">
            <w:pPr>
              <w:rPr>
                <w:rFonts w:asciiTheme="majorHAnsi" w:hAnsiTheme="majorHAnsi" w:cstheme="majorHAnsi"/>
                <w:sz w:val="20"/>
                <w:szCs w:val="20"/>
                <w:lang w:val="ro-MD"/>
              </w:rPr>
            </w:pPr>
            <w:r w:rsidRPr="00B13B9A">
              <w:rPr>
                <w:rFonts w:asciiTheme="majorHAnsi" w:hAnsiTheme="majorHAnsi" w:cstheme="majorHAnsi"/>
                <w:sz w:val="20"/>
                <w:szCs w:val="20"/>
                <w:lang w:val="ro-MD"/>
              </w:rPr>
              <w:t>Anna Donica – reprezentant</w:t>
            </w:r>
            <w:r w:rsidR="00555C8B" w:rsidRPr="00B13B9A">
              <w:rPr>
                <w:rFonts w:asciiTheme="majorHAnsi" w:hAnsiTheme="majorHAnsi" w:cstheme="majorHAnsi"/>
                <w:sz w:val="20"/>
                <w:szCs w:val="20"/>
                <w:lang w:val="ro-MD"/>
              </w:rPr>
              <w:t>a</w:t>
            </w:r>
            <w:r w:rsidRPr="00B13B9A">
              <w:rPr>
                <w:rFonts w:asciiTheme="majorHAnsi" w:hAnsiTheme="majorHAnsi" w:cstheme="majorHAnsi"/>
                <w:sz w:val="20"/>
                <w:szCs w:val="20"/>
                <w:lang w:val="ro-MD"/>
              </w:rPr>
              <w:t xml:space="preserve"> colectivului de muncă;</w:t>
            </w:r>
          </w:p>
          <w:p w14:paraId="53A776DE" w14:textId="3744F5A2" w:rsidR="00981ADA" w:rsidRPr="00B13B9A" w:rsidRDefault="00981ADA" w:rsidP="0026741B">
            <w:pPr>
              <w:rPr>
                <w:rFonts w:asciiTheme="majorHAnsi" w:hAnsiTheme="majorHAnsi" w:cstheme="majorHAnsi"/>
                <w:sz w:val="20"/>
                <w:szCs w:val="20"/>
                <w:lang w:val="ro-MD"/>
              </w:rPr>
            </w:pPr>
            <w:r w:rsidRPr="00B13B9A">
              <w:rPr>
                <w:rFonts w:asciiTheme="majorHAnsi" w:hAnsiTheme="majorHAnsi" w:cstheme="majorHAnsi"/>
                <w:sz w:val="20"/>
                <w:szCs w:val="20"/>
                <w:lang w:val="ro-MD"/>
              </w:rPr>
              <w:t>Aliona Turovschi – reprezentant</w:t>
            </w:r>
            <w:r w:rsidR="00555C8B" w:rsidRPr="00B13B9A">
              <w:rPr>
                <w:rFonts w:asciiTheme="majorHAnsi" w:hAnsiTheme="majorHAnsi" w:cstheme="majorHAnsi"/>
                <w:sz w:val="20"/>
                <w:szCs w:val="20"/>
                <w:lang w:val="ro-MD"/>
              </w:rPr>
              <w:t>a</w:t>
            </w:r>
            <w:r w:rsidRPr="00B13B9A">
              <w:rPr>
                <w:rFonts w:asciiTheme="majorHAnsi" w:hAnsiTheme="majorHAnsi" w:cstheme="majorHAnsi"/>
                <w:sz w:val="20"/>
                <w:szCs w:val="20"/>
                <w:lang w:val="ro-MD"/>
              </w:rPr>
              <w:t xml:space="preserve"> colectivului de muncă;</w:t>
            </w:r>
          </w:p>
          <w:p w14:paraId="5A881117" w14:textId="06933537" w:rsidR="00981ADA" w:rsidRPr="00B13B9A" w:rsidRDefault="00981ADA" w:rsidP="0026741B">
            <w:pPr>
              <w:rPr>
                <w:rFonts w:asciiTheme="majorHAnsi" w:hAnsiTheme="majorHAnsi" w:cstheme="majorHAnsi"/>
                <w:sz w:val="20"/>
                <w:szCs w:val="20"/>
                <w:lang w:val="ro-MD"/>
              </w:rPr>
            </w:pPr>
            <w:r w:rsidRPr="00B13B9A">
              <w:rPr>
                <w:rFonts w:asciiTheme="majorHAnsi" w:hAnsiTheme="majorHAnsi" w:cstheme="majorHAnsi"/>
                <w:sz w:val="20"/>
                <w:szCs w:val="20"/>
                <w:lang w:val="ro-MD"/>
              </w:rPr>
              <w:t>Rita Seica</w:t>
            </w:r>
            <w:r w:rsidR="00B13B9A" w:rsidRPr="00B13B9A">
              <w:rPr>
                <w:rFonts w:asciiTheme="majorHAnsi" w:hAnsiTheme="majorHAnsi" w:cstheme="majorHAnsi"/>
                <w:sz w:val="20"/>
                <w:szCs w:val="20"/>
                <w:lang w:val="ro-MD"/>
              </w:rPr>
              <w:t>ș</w:t>
            </w:r>
            <w:r w:rsidRPr="00B13B9A">
              <w:rPr>
                <w:rFonts w:asciiTheme="majorHAnsi" w:hAnsiTheme="majorHAnsi" w:cstheme="majorHAnsi"/>
                <w:sz w:val="20"/>
                <w:szCs w:val="20"/>
                <w:lang w:val="ro-MD"/>
              </w:rPr>
              <w:t xml:space="preserve"> – reprezentant</w:t>
            </w:r>
            <w:r w:rsidR="00555C8B" w:rsidRPr="00B13B9A">
              <w:rPr>
                <w:rFonts w:asciiTheme="majorHAnsi" w:hAnsiTheme="majorHAnsi" w:cstheme="majorHAnsi"/>
                <w:sz w:val="20"/>
                <w:szCs w:val="20"/>
                <w:lang w:val="ro-MD"/>
              </w:rPr>
              <w:t>a</w:t>
            </w:r>
            <w:r w:rsidRPr="00B13B9A">
              <w:rPr>
                <w:rFonts w:asciiTheme="majorHAnsi" w:hAnsiTheme="majorHAnsi" w:cstheme="majorHAnsi"/>
                <w:sz w:val="20"/>
                <w:szCs w:val="20"/>
                <w:lang w:val="ro-MD"/>
              </w:rPr>
              <w:t xml:space="preserve"> ONG</w:t>
            </w:r>
          </w:p>
        </w:tc>
        <w:tc>
          <w:tcPr>
            <w:tcW w:w="1134" w:type="dxa"/>
            <w:shd w:val="clear" w:color="auto" w:fill="auto"/>
          </w:tcPr>
          <w:p w14:paraId="31049585" w14:textId="77777777" w:rsidR="00981ADA" w:rsidRPr="00B13B9A" w:rsidRDefault="00981ADA" w:rsidP="0026741B">
            <w:pPr>
              <w:rPr>
                <w:rFonts w:asciiTheme="majorHAnsi" w:hAnsiTheme="majorHAnsi" w:cstheme="majorHAnsi"/>
                <w:sz w:val="20"/>
                <w:szCs w:val="20"/>
                <w:lang w:val="ro-MD"/>
              </w:rPr>
            </w:pPr>
            <w:r w:rsidRPr="00B13B9A">
              <w:rPr>
                <w:rFonts w:asciiTheme="majorHAnsi" w:hAnsiTheme="majorHAnsi" w:cstheme="majorHAnsi"/>
                <w:sz w:val="20"/>
                <w:szCs w:val="20"/>
                <w:lang w:val="ro-MD"/>
              </w:rPr>
              <w:t>Proces-verbal nr.9 din 25.02.2021</w:t>
            </w:r>
          </w:p>
        </w:tc>
        <w:tc>
          <w:tcPr>
            <w:tcW w:w="4820" w:type="dxa"/>
            <w:shd w:val="clear" w:color="auto" w:fill="auto"/>
          </w:tcPr>
          <w:p w14:paraId="17E8D3F4" w14:textId="73925524" w:rsidR="00981ADA" w:rsidRPr="00B13B9A" w:rsidRDefault="00981ADA" w:rsidP="0026741B">
            <w:pPr>
              <w:rPr>
                <w:rFonts w:asciiTheme="majorHAnsi" w:hAnsiTheme="majorHAnsi" w:cstheme="majorHAnsi"/>
                <w:sz w:val="20"/>
                <w:szCs w:val="20"/>
                <w:lang w:val="ro-MD"/>
              </w:rPr>
            </w:pPr>
            <w:r w:rsidRPr="00B13B9A">
              <w:rPr>
                <w:rFonts w:asciiTheme="majorHAnsi" w:hAnsiTheme="majorHAnsi" w:cstheme="majorHAnsi"/>
                <w:sz w:val="20"/>
                <w:szCs w:val="20"/>
                <w:lang w:val="ro-MD"/>
              </w:rPr>
              <w:t>Raportul privind rezultatele activită</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 xml:space="preserve">ii </w:t>
            </w:r>
            <w:r w:rsidR="009F5CFF" w:rsidRPr="00B13B9A">
              <w:rPr>
                <w:rFonts w:asciiTheme="majorHAnsi" w:hAnsiTheme="majorHAnsi" w:cstheme="majorHAnsi"/>
                <w:sz w:val="20"/>
                <w:szCs w:val="20"/>
                <w:lang w:val="ro-MD"/>
              </w:rPr>
              <w:t>institu</w:t>
            </w:r>
            <w:r w:rsidR="00B13B9A" w:rsidRPr="00B13B9A">
              <w:rPr>
                <w:rFonts w:asciiTheme="majorHAnsi" w:hAnsiTheme="majorHAnsi" w:cstheme="majorHAnsi"/>
                <w:sz w:val="20"/>
                <w:szCs w:val="20"/>
                <w:lang w:val="ro-MD"/>
              </w:rPr>
              <w:t>ț</w:t>
            </w:r>
            <w:r w:rsidR="009F5CFF" w:rsidRPr="00B13B9A">
              <w:rPr>
                <w:rFonts w:asciiTheme="majorHAnsi" w:hAnsiTheme="majorHAnsi" w:cstheme="majorHAnsi"/>
                <w:sz w:val="20"/>
                <w:szCs w:val="20"/>
                <w:lang w:val="ro-MD"/>
              </w:rPr>
              <w:t>iei</w:t>
            </w:r>
            <w:r w:rsidRPr="00B13B9A">
              <w:rPr>
                <w:rFonts w:asciiTheme="majorHAnsi" w:hAnsiTheme="majorHAnsi" w:cstheme="majorHAnsi"/>
                <w:sz w:val="20"/>
                <w:szCs w:val="20"/>
                <w:lang w:val="ro-MD"/>
              </w:rPr>
              <w:t xml:space="preserve"> pentru anul 2020;</w:t>
            </w:r>
          </w:p>
          <w:p w14:paraId="5A17F9CD" w14:textId="5C5EB601" w:rsidR="00981ADA" w:rsidRPr="00B13B9A" w:rsidRDefault="00981ADA" w:rsidP="0026741B">
            <w:pPr>
              <w:rPr>
                <w:rFonts w:asciiTheme="majorHAnsi" w:hAnsiTheme="majorHAnsi" w:cstheme="majorHAnsi"/>
                <w:sz w:val="20"/>
                <w:szCs w:val="20"/>
                <w:lang w:val="ro-MD"/>
              </w:rPr>
            </w:pPr>
            <w:r w:rsidRPr="00B13B9A">
              <w:rPr>
                <w:rFonts w:asciiTheme="majorHAnsi" w:hAnsiTheme="majorHAnsi" w:cstheme="majorHAnsi"/>
                <w:sz w:val="20"/>
                <w:szCs w:val="20"/>
                <w:lang w:val="ro-MD"/>
              </w:rPr>
              <w:t>Aprobarea Planului de activitate al institu</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iei pentru anul 2021;</w:t>
            </w:r>
          </w:p>
          <w:p w14:paraId="64D71638" w14:textId="77777777" w:rsidR="00981ADA" w:rsidRPr="00B13B9A" w:rsidRDefault="00981ADA" w:rsidP="0026741B">
            <w:pPr>
              <w:rPr>
                <w:rFonts w:asciiTheme="majorHAnsi" w:hAnsiTheme="majorHAnsi" w:cstheme="majorHAnsi"/>
                <w:sz w:val="20"/>
                <w:szCs w:val="20"/>
                <w:lang w:val="ro-MD"/>
              </w:rPr>
            </w:pPr>
            <w:r w:rsidRPr="00B13B9A">
              <w:rPr>
                <w:rFonts w:asciiTheme="majorHAnsi" w:hAnsiTheme="majorHAnsi" w:cstheme="majorHAnsi"/>
                <w:sz w:val="20"/>
                <w:szCs w:val="20"/>
                <w:lang w:val="ro-MD"/>
              </w:rPr>
              <w:t>Aprobarea Statelor de personal pentru anul 2021;</w:t>
            </w:r>
          </w:p>
          <w:p w14:paraId="2A7C6000" w14:textId="70217C12" w:rsidR="00981ADA" w:rsidRPr="00B13B9A" w:rsidRDefault="00981ADA" w:rsidP="0026741B">
            <w:pPr>
              <w:rPr>
                <w:rFonts w:asciiTheme="majorHAnsi" w:hAnsiTheme="majorHAnsi" w:cstheme="majorHAnsi"/>
                <w:sz w:val="20"/>
                <w:szCs w:val="20"/>
                <w:lang w:val="ro-MD"/>
              </w:rPr>
            </w:pPr>
            <w:r w:rsidRPr="00B13B9A">
              <w:rPr>
                <w:rFonts w:asciiTheme="majorHAnsi" w:hAnsiTheme="majorHAnsi" w:cstheme="majorHAnsi"/>
                <w:sz w:val="20"/>
                <w:szCs w:val="20"/>
                <w:lang w:val="ro-MD"/>
              </w:rPr>
              <w:t xml:space="preserve">Aprobarea devizului de venituri </w:t>
            </w:r>
            <w:r w:rsidR="00B13B9A" w:rsidRPr="00B13B9A">
              <w:rPr>
                <w:rFonts w:asciiTheme="majorHAnsi" w:hAnsiTheme="majorHAnsi" w:cstheme="majorHAnsi"/>
                <w:sz w:val="20"/>
                <w:szCs w:val="20"/>
                <w:lang w:val="ro-MD"/>
              </w:rPr>
              <w:t>ș</w:t>
            </w:r>
            <w:r w:rsidRPr="00B13B9A">
              <w:rPr>
                <w:rFonts w:asciiTheme="majorHAnsi" w:hAnsiTheme="majorHAnsi" w:cstheme="majorHAnsi"/>
                <w:sz w:val="20"/>
                <w:szCs w:val="20"/>
                <w:lang w:val="ro-MD"/>
              </w:rPr>
              <w:t>i cheltuieli pentru anul 2021;</w:t>
            </w:r>
          </w:p>
          <w:p w14:paraId="007BAAEF" w14:textId="1B7F8BEF" w:rsidR="00981ADA" w:rsidRPr="00B13B9A" w:rsidRDefault="00981ADA" w:rsidP="0026741B">
            <w:pPr>
              <w:rPr>
                <w:rFonts w:asciiTheme="majorHAnsi" w:hAnsiTheme="majorHAnsi" w:cstheme="majorHAnsi"/>
                <w:sz w:val="20"/>
                <w:szCs w:val="20"/>
                <w:lang w:val="ro-MD"/>
              </w:rPr>
            </w:pPr>
            <w:r w:rsidRPr="00B13B9A">
              <w:rPr>
                <w:rFonts w:asciiTheme="majorHAnsi" w:hAnsiTheme="majorHAnsi" w:cstheme="majorHAnsi"/>
                <w:sz w:val="20"/>
                <w:szCs w:val="20"/>
                <w:lang w:val="ro-MD"/>
              </w:rPr>
              <w:t>Aprobarea Planului de achizi</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ii publice pentru anul 2021</w:t>
            </w:r>
          </w:p>
        </w:tc>
      </w:tr>
      <w:tr w:rsidR="00981ADA" w:rsidRPr="00B13B9A" w14:paraId="38CEEF37" w14:textId="77777777" w:rsidTr="002101A1">
        <w:trPr>
          <w:gridAfter w:val="1"/>
          <w:wAfter w:w="12" w:type="dxa"/>
        </w:trPr>
        <w:tc>
          <w:tcPr>
            <w:tcW w:w="4106" w:type="dxa"/>
            <w:shd w:val="clear" w:color="auto" w:fill="auto"/>
          </w:tcPr>
          <w:p w14:paraId="30D9E171" w14:textId="77777777" w:rsidR="00981ADA" w:rsidRPr="00B13B9A" w:rsidRDefault="00981ADA" w:rsidP="0026741B">
            <w:pPr>
              <w:rPr>
                <w:rFonts w:asciiTheme="majorHAnsi" w:hAnsiTheme="majorHAnsi" w:cstheme="majorHAnsi"/>
                <w:sz w:val="20"/>
                <w:szCs w:val="20"/>
                <w:lang w:val="ro-MD"/>
              </w:rPr>
            </w:pPr>
            <w:r w:rsidRPr="00B13B9A">
              <w:rPr>
                <w:rFonts w:asciiTheme="majorHAnsi" w:hAnsiTheme="majorHAnsi" w:cstheme="majorHAnsi"/>
                <w:sz w:val="20"/>
                <w:szCs w:val="20"/>
                <w:lang w:val="ro-MD"/>
              </w:rPr>
              <w:t>Igor Curov – Secretar de Stat, MS</w:t>
            </w:r>
            <w:r w:rsidR="0007264E" w:rsidRPr="00B13B9A">
              <w:rPr>
                <w:rFonts w:asciiTheme="majorHAnsi" w:hAnsiTheme="majorHAnsi" w:cstheme="majorHAnsi"/>
                <w:sz w:val="20"/>
                <w:szCs w:val="20"/>
                <w:lang w:val="ro-MD"/>
              </w:rPr>
              <w:t>MPS</w:t>
            </w:r>
            <w:r w:rsidRPr="00B13B9A">
              <w:rPr>
                <w:rFonts w:asciiTheme="majorHAnsi" w:hAnsiTheme="majorHAnsi" w:cstheme="majorHAnsi"/>
                <w:sz w:val="20"/>
                <w:szCs w:val="20"/>
                <w:lang w:val="ro-MD"/>
              </w:rPr>
              <w:t>;</w:t>
            </w:r>
          </w:p>
          <w:p w14:paraId="31AA87F4" w14:textId="262A461A" w:rsidR="00981ADA" w:rsidRPr="00B13B9A" w:rsidRDefault="00981ADA" w:rsidP="0026741B">
            <w:pPr>
              <w:rPr>
                <w:rFonts w:asciiTheme="majorHAnsi" w:hAnsiTheme="majorHAnsi" w:cstheme="majorHAnsi"/>
                <w:sz w:val="20"/>
                <w:szCs w:val="20"/>
                <w:lang w:val="ro-MD"/>
              </w:rPr>
            </w:pPr>
            <w:r w:rsidRPr="00B13B9A">
              <w:rPr>
                <w:rFonts w:asciiTheme="majorHAnsi" w:hAnsiTheme="majorHAnsi" w:cstheme="majorHAnsi"/>
                <w:sz w:val="20"/>
                <w:szCs w:val="20"/>
                <w:lang w:val="ro-MD"/>
              </w:rPr>
              <w:t>Daniela Demi</w:t>
            </w:r>
            <w:r w:rsidR="00B13B9A" w:rsidRPr="00B13B9A">
              <w:rPr>
                <w:rFonts w:asciiTheme="majorHAnsi" w:hAnsiTheme="majorHAnsi" w:cstheme="majorHAnsi"/>
                <w:sz w:val="20"/>
                <w:szCs w:val="20"/>
                <w:lang w:val="ro-MD"/>
              </w:rPr>
              <w:t>ș</w:t>
            </w:r>
            <w:r w:rsidRPr="00B13B9A">
              <w:rPr>
                <w:rFonts w:asciiTheme="majorHAnsi" w:hAnsiTheme="majorHAnsi" w:cstheme="majorHAnsi"/>
                <w:sz w:val="20"/>
                <w:szCs w:val="20"/>
                <w:lang w:val="ro-MD"/>
              </w:rPr>
              <w:t xml:space="preserve">can – </w:t>
            </w:r>
            <w:r w:rsidR="00B13B9A" w:rsidRPr="00B13B9A">
              <w:rPr>
                <w:rFonts w:asciiTheme="majorHAnsi" w:hAnsiTheme="majorHAnsi" w:cstheme="majorHAnsi"/>
                <w:sz w:val="20"/>
                <w:szCs w:val="20"/>
                <w:lang w:val="ro-MD"/>
              </w:rPr>
              <w:t>Ș</w:t>
            </w:r>
            <w:r w:rsidRPr="00B13B9A">
              <w:rPr>
                <w:rFonts w:asciiTheme="majorHAnsi" w:hAnsiTheme="majorHAnsi" w:cstheme="majorHAnsi"/>
                <w:sz w:val="20"/>
                <w:szCs w:val="20"/>
                <w:lang w:val="ro-MD"/>
              </w:rPr>
              <w:t>ef</w:t>
            </w:r>
            <w:r w:rsidR="00555C8B" w:rsidRPr="00B13B9A">
              <w:rPr>
                <w:rFonts w:asciiTheme="majorHAnsi" w:hAnsiTheme="majorHAnsi" w:cstheme="majorHAnsi"/>
                <w:sz w:val="20"/>
                <w:szCs w:val="20"/>
                <w:lang w:val="ro-MD"/>
              </w:rPr>
              <w:t>ă</w:t>
            </w:r>
            <w:r w:rsidRPr="00B13B9A">
              <w:rPr>
                <w:rFonts w:asciiTheme="majorHAnsi" w:hAnsiTheme="majorHAnsi" w:cstheme="majorHAnsi"/>
                <w:sz w:val="20"/>
                <w:szCs w:val="20"/>
                <w:lang w:val="ro-MD"/>
              </w:rPr>
              <w:t xml:space="preserve"> </w:t>
            </w:r>
            <w:r w:rsidR="00555C8B" w:rsidRPr="00B13B9A">
              <w:rPr>
                <w:rFonts w:asciiTheme="majorHAnsi" w:hAnsiTheme="majorHAnsi" w:cstheme="majorHAnsi"/>
                <w:sz w:val="20"/>
                <w:szCs w:val="20"/>
                <w:lang w:val="ro-MD"/>
              </w:rPr>
              <w:t>D</w:t>
            </w:r>
            <w:r w:rsidRPr="00B13B9A">
              <w:rPr>
                <w:rFonts w:asciiTheme="majorHAnsi" w:hAnsiTheme="majorHAnsi" w:cstheme="majorHAnsi"/>
                <w:sz w:val="20"/>
                <w:szCs w:val="20"/>
                <w:lang w:val="ro-MD"/>
              </w:rPr>
              <w:t>irec</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ie politici în sănătate publică, MSMPS;</w:t>
            </w:r>
          </w:p>
          <w:p w14:paraId="762E59F1" w14:textId="77E44AE8" w:rsidR="00981ADA" w:rsidRPr="00B13B9A" w:rsidRDefault="00981ADA" w:rsidP="0026741B">
            <w:pPr>
              <w:rPr>
                <w:rFonts w:asciiTheme="majorHAnsi" w:hAnsiTheme="majorHAnsi" w:cstheme="majorHAnsi"/>
                <w:sz w:val="20"/>
                <w:szCs w:val="20"/>
                <w:lang w:val="ro-MD"/>
              </w:rPr>
            </w:pPr>
            <w:r w:rsidRPr="00B13B9A">
              <w:rPr>
                <w:rFonts w:asciiTheme="majorHAnsi" w:hAnsiTheme="majorHAnsi" w:cstheme="majorHAnsi"/>
                <w:sz w:val="20"/>
                <w:szCs w:val="20"/>
                <w:lang w:val="ro-MD"/>
              </w:rPr>
              <w:t>Anna Donica – reprezentant</w:t>
            </w:r>
            <w:r w:rsidR="00555C8B" w:rsidRPr="00B13B9A">
              <w:rPr>
                <w:rFonts w:asciiTheme="majorHAnsi" w:hAnsiTheme="majorHAnsi" w:cstheme="majorHAnsi"/>
                <w:sz w:val="20"/>
                <w:szCs w:val="20"/>
                <w:lang w:val="ro-MD"/>
              </w:rPr>
              <w:t>a</w:t>
            </w:r>
            <w:r w:rsidRPr="00B13B9A">
              <w:rPr>
                <w:rFonts w:asciiTheme="majorHAnsi" w:hAnsiTheme="majorHAnsi" w:cstheme="majorHAnsi"/>
                <w:sz w:val="20"/>
                <w:szCs w:val="20"/>
                <w:lang w:val="ro-MD"/>
              </w:rPr>
              <w:t xml:space="preserve"> colectivului de muncă;</w:t>
            </w:r>
          </w:p>
          <w:p w14:paraId="6B3D60E1" w14:textId="4C3F7252" w:rsidR="00981ADA" w:rsidRPr="00B13B9A" w:rsidRDefault="00981ADA" w:rsidP="0026741B">
            <w:pPr>
              <w:rPr>
                <w:rFonts w:asciiTheme="majorHAnsi" w:hAnsiTheme="majorHAnsi" w:cstheme="majorHAnsi"/>
                <w:sz w:val="20"/>
                <w:szCs w:val="20"/>
                <w:lang w:val="ro-MD"/>
              </w:rPr>
            </w:pPr>
            <w:r w:rsidRPr="00B13B9A">
              <w:rPr>
                <w:rFonts w:asciiTheme="majorHAnsi" w:hAnsiTheme="majorHAnsi" w:cstheme="majorHAnsi"/>
                <w:sz w:val="20"/>
                <w:szCs w:val="20"/>
                <w:lang w:val="ro-MD"/>
              </w:rPr>
              <w:t>Aliona Turovschi – reprezentant</w:t>
            </w:r>
            <w:r w:rsidR="00555C8B" w:rsidRPr="00B13B9A">
              <w:rPr>
                <w:rFonts w:asciiTheme="majorHAnsi" w:hAnsiTheme="majorHAnsi" w:cstheme="majorHAnsi"/>
                <w:sz w:val="20"/>
                <w:szCs w:val="20"/>
                <w:lang w:val="ro-MD"/>
              </w:rPr>
              <w:t>a</w:t>
            </w:r>
            <w:r w:rsidRPr="00B13B9A">
              <w:rPr>
                <w:rFonts w:asciiTheme="majorHAnsi" w:hAnsiTheme="majorHAnsi" w:cstheme="majorHAnsi"/>
                <w:sz w:val="20"/>
                <w:szCs w:val="20"/>
                <w:lang w:val="ro-MD"/>
              </w:rPr>
              <w:t xml:space="preserve"> colectivului de muncă;</w:t>
            </w:r>
          </w:p>
          <w:p w14:paraId="2CBA96BE" w14:textId="50EAD7C6" w:rsidR="00981ADA" w:rsidRPr="00B13B9A" w:rsidRDefault="00981ADA" w:rsidP="0026741B">
            <w:pPr>
              <w:rPr>
                <w:rFonts w:asciiTheme="majorHAnsi" w:hAnsiTheme="majorHAnsi" w:cstheme="majorHAnsi"/>
                <w:sz w:val="20"/>
                <w:szCs w:val="20"/>
                <w:lang w:val="ro-MD"/>
              </w:rPr>
            </w:pPr>
            <w:r w:rsidRPr="00B13B9A">
              <w:rPr>
                <w:rFonts w:asciiTheme="majorHAnsi" w:hAnsiTheme="majorHAnsi" w:cstheme="majorHAnsi"/>
                <w:sz w:val="20"/>
                <w:szCs w:val="20"/>
                <w:lang w:val="ro-MD"/>
              </w:rPr>
              <w:t>Lucia Pîr</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ina – reprezentant</w:t>
            </w:r>
            <w:r w:rsidR="00555C8B" w:rsidRPr="00B13B9A">
              <w:rPr>
                <w:rFonts w:asciiTheme="majorHAnsi" w:hAnsiTheme="majorHAnsi" w:cstheme="majorHAnsi"/>
                <w:sz w:val="20"/>
                <w:szCs w:val="20"/>
                <w:lang w:val="ro-MD"/>
              </w:rPr>
              <w:t>a</w:t>
            </w:r>
            <w:r w:rsidRPr="00B13B9A">
              <w:rPr>
                <w:rFonts w:asciiTheme="majorHAnsi" w:hAnsiTheme="majorHAnsi" w:cstheme="majorHAnsi"/>
                <w:sz w:val="20"/>
                <w:szCs w:val="20"/>
                <w:lang w:val="ro-MD"/>
              </w:rPr>
              <w:t xml:space="preserve"> ONG</w:t>
            </w:r>
          </w:p>
        </w:tc>
        <w:tc>
          <w:tcPr>
            <w:tcW w:w="1134" w:type="dxa"/>
            <w:shd w:val="clear" w:color="auto" w:fill="auto"/>
          </w:tcPr>
          <w:p w14:paraId="0D35CC5F" w14:textId="77777777" w:rsidR="00981ADA" w:rsidRPr="00B13B9A" w:rsidRDefault="00981ADA" w:rsidP="0026741B">
            <w:pPr>
              <w:rPr>
                <w:rFonts w:asciiTheme="majorHAnsi" w:hAnsiTheme="majorHAnsi" w:cstheme="majorHAnsi"/>
                <w:sz w:val="20"/>
                <w:szCs w:val="20"/>
                <w:lang w:val="ro-MD"/>
              </w:rPr>
            </w:pPr>
            <w:r w:rsidRPr="00B13B9A">
              <w:rPr>
                <w:rFonts w:asciiTheme="majorHAnsi" w:hAnsiTheme="majorHAnsi" w:cstheme="majorHAnsi"/>
                <w:sz w:val="20"/>
                <w:szCs w:val="20"/>
                <w:lang w:val="ro-MD"/>
              </w:rPr>
              <w:t>Proces-verbal nr. 22 din 06.07.2021</w:t>
            </w:r>
          </w:p>
        </w:tc>
        <w:tc>
          <w:tcPr>
            <w:tcW w:w="4820" w:type="dxa"/>
            <w:shd w:val="clear" w:color="auto" w:fill="auto"/>
          </w:tcPr>
          <w:p w14:paraId="63EE07B7" w14:textId="35ADBB44" w:rsidR="00981ADA" w:rsidRPr="00B13B9A" w:rsidRDefault="00981ADA" w:rsidP="0026741B">
            <w:pPr>
              <w:rPr>
                <w:rFonts w:asciiTheme="majorHAnsi" w:hAnsiTheme="majorHAnsi" w:cstheme="majorHAnsi"/>
                <w:sz w:val="20"/>
                <w:szCs w:val="20"/>
                <w:lang w:val="ro-MD"/>
              </w:rPr>
            </w:pPr>
            <w:r w:rsidRPr="00B13B9A">
              <w:rPr>
                <w:rFonts w:asciiTheme="majorHAnsi" w:hAnsiTheme="majorHAnsi" w:cstheme="majorHAnsi"/>
                <w:sz w:val="20"/>
                <w:szCs w:val="20"/>
                <w:lang w:val="ro-MD"/>
              </w:rPr>
              <w:t xml:space="preserve">Rezultatele </w:t>
            </w:r>
            <w:r w:rsidR="009F5CFF" w:rsidRPr="00B13B9A">
              <w:rPr>
                <w:rFonts w:asciiTheme="majorHAnsi" w:hAnsiTheme="majorHAnsi" w:cstheme="majorHAnsi"/>
                <w:sz w:val="20"/>
                <w:szCs w:val="20"/>
                <w:lang w:val="ro-MD"/>
              </w:rPr>
              <w:t>activită</w:t>
            </w:r>
            <w:r w:rsidR="00B13B9A" w:rsidRPr="00B13B9A">
              <w:rPr>
                <w:rFonts w:asciiTheme="majorHAnsi" w:hAnsiTheme="majorHAnsi" w:cstheme="majorHAnsi"/>
                <w:sz w:val="20"/>
                <w:szCs w:val="20"/>
                <w:lang w:val="ro-MD"/>
              </w:rPr>
              <w:t>ț</w:t>
            </w:r>
            <w:r w:rsidR="009F5CFF" w:rsidRPr="00B13B9A">
              <w:rPr>
                <w:rFonts w:asciiTheme="majorHAnsi" w:hAnsiTheme="majorHAnsi" w:cstheme="majorHAnsi"/>
                <w:sz w:val="20"/>
                <w:szCs w:val="20"/>
                <w:lang w:val="ro-MD"/>
              </w:rPr>
              <w:t>ii</w:t>
            </w:r>
            <w:r w:rsidRPr="00B13B9A">
              <w:rPr>
                <w:rFonts w:asciiTheme="majorHAnsi" w:hAnsiTheme="majorHAnsi" w:cstheme="majorHAnsi"/>
                <w:sz w:val="20"/>
                <w:szCs w:val="20"/>
                <w:lang w:val="ro-MD"/>
              </w:rPr>
              <w:t xml:space="preserve"> medicale </w:t>
            </w:r>
            <w:r w:rsidR="00B13B9A" w:rsidRPr="00B13B9A">
              <w:rPr>
                <w:rFonts w:asciiTheme="majorHAnsi" w:hAnsiTheme="majorHAnsi" w:cstheme="majorHAnsi"/>
                <w:sz w:val="20"/>
                <w:szCs w:val="20"/>
                <w:lang w:val="ro-MD"/>
              </w:rPr>
              <w:t>ș</w:t>
            </w:r>
            <w:r w:rsidRPr="00B13B9A">
              <w:rPr>
                <w:rFonts w:asciiTheme="majorHAnsi" w:hAnsiTheme="majorHAnsi" w:cstheme="majorHAnsi"/>
                <w:sz w:val="20"/>
                <w:szCs w:val="20"/>
                <w:lang w:val="ro-MD"/>
              </w:rPr>
              <w:t>i economico-financiare a institu</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iei pentru 6 luni</w:t>
            </w:r>
            <w:r w:rsidR="00555C8B" w:rsidRPr="00B13B9A">
              <w:rPr>
                <w:rFonts w:asciiTheme="majorHAnsi" w:hAnsiTheme="majorHAnsi" w:cstheme="majorHAnsi"/>
                <w:sz w:val="20"/>
                <w:szCs w:val="20"/>
                <w:lang w:val="ro-MD"/>
              </w:rPr>
              <w:t>,</w:t>
            </w:r>
            <w:r w:rsidRPr="00B13B9A">
              <w:rPr>
                <w:rFonts w:asciiTheme="majorHAnsi" w:hAnsiTheme="majorHAnsi" w:cstheme="majorHAnsi"/>
                <w:sz w:val="20"/>
                <w:szCs w:val="20"/>
                <w:lang w:val="ro-MD"/>
              </w:rPr>
              <w:t xml:space="preserve"> anul 2O21;</w:t>
            </w:r>
          </w:p>
          <w:p w14:paraId="3DAAE1F4" w14:textId="47F52363" w:rsidR="00981ADA" w:rsidRPr="00B13B9A" w:rsidRDefault="00981ADA" w:rsidP="0026741B">
            <w:pPr>
              <w:rPr>
                <w:rFonts w:asciiTheme="majorHAnsi" w:hAnsiTheme="majorHAnsi" w:cstheme="majorHAnsi"/>
                <w:sz w:val="20"/>
                <w:szCs w:val="20"/>
                <w:lang w:val="ro-MD"/>
              </w:rPr>
            </w:pPr>
            <w:r w:rsidRPr="00B13B9A">
              <w:rPr>
                <w:rFonts w:asciiTheme="majorHAnsi" w:hAnsiTheme="majorHAnsi" w:cstheme="majorHAnsi"/>
                <w:sz w:val="20"/>
                <w:szCs w:val="20"/>
                <w:lang w:val="ro-MD"/>
              </w:rPr>
              <w:t>Discu</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ii cu posibile decizii pe marginea Raportului de expertiză tehnică a blocului curativ nr. 2. Clinica Vorniceni din 29.05.2021;</w:t>
            </w:r>
          </w:p>
          <w:p w14:paraId="5FAB2BC0" w14:textId="29CB4442" w:rsidR="00981ADA" w:rsidRPr="00B13B9A" w:rsidRDefault="00981ADA" w:rsidP="0026741B">
            <w:pPr>
              <w:rPr>
                <w:rFonts w:asciiTheme="majorHAnsi" w:hAnsiTheme="majorHAnsi" w:cstheme="majorHAnsi"/>
                <w:sz w:val="20"/>
                <w:szCs w:val="20"/>
                <w:lang w:val="ro-MD"/>
              </w:rPr>
            </w:pPr>
            <w:r w:rsidRPr="00B13B9A">
              <w:rPr>
                <w:rFonts w:asciiTheme="majorHAnsi" w:hAnsiTheme="majorHAnsi" w:cstheme="majorHAnsi"/>
                <w:sz w:val="20"/>
                <w:szCs w:val="20"/>
                <w:lang w:val="ro-MD"/>
              </w:rPr>
              <w:t xml:space="preserve">Provocări </w:t>
            </w:r>
            <w:r w:rsidR="00B13B9A" w:rsidRPr="00B13B9A">
              <w:rPr>
                <w:rFonts w:asciiTheme="majorHAnsi" w:hAnsiTheme="majorHAnsi" w:cstheme="majorHAnsi"/>
                <w:sz w:val="20"/>
                <w:szCs w:val="20"/>
                <w:lang w:val="ro-MD"/>
              </w:rPr>
              <w:t>ș</w:t>
            </w:r>
            <w:r w:rsidRPr="00B13B9A">
              <w:rPr>
                <w:rFonts w:asciiTheme="majorHAnsi" w:hAnsiTheme="majorHAnsi" w:cstheme="majorHAnsi"/>
                <w:sz w:val="20"/>
                <w:szCs w:val="20"/>
                <w:lang w:val="ro-MD"/>
              </w:rPr>
              <w:t>i solu</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ii în depistarea activă a tuberculozei</w:t>
            </w:r>
          </w:p>
          <w:p w14:paraId="44BA43FC" w14:textId="77777777" w:rsidR="00981ADA" w:rsidRPr="00B13B9A" w:rsidRDefault="00981ADA" w:rsidP="0026741B">
            <w:pPr>
              <w:rPr>
                <w:rFonts w:asciiTheme="majorHAnsi" w:hAnsiTheme="majorHAnsi" w:cstheme="majorHAnsi"/>
                <w:sz w:val="20"/>
                <w:szCs w:val="20"/>
                <w:lang w:val="ro-MD"/>
              </w:rPr>
            </w:pPr>
          </w:p>
        </w:tc>
      </w:tr>
      <w:tr w:rsidR="00981ADA" w:rsidRPr="00B13B9A" w14:paraId="46A1FB26" w14:textId="77777777" w:rsidTr="002101A1">
        <w:tc>
          <w:tcPr>
            <w:tcW w:w="10072" w:type="dxa"/>
            <w:gridSpan w:val="4"/>
            <w:shd w:val="clear" w:color="auto" w:fill="auto"/>
          </w:tcPr>
          <w:p w14:paraId="75BBF48F" w14:textId="77777777" w:rsidR="00981ADA" w:rsidRPr="00B13B9A" w:rsidRDefault="00981ADA" w:rsidP="0026741B">
            <w:pPr>
              <w:jc w:val="center"/>
              <w:rPr>
                <w:rFonts w:asciiTheme="majorHAnsi" w:hAnsiTheme="majorHAnsi" w:cstheme="majorHAnsi"/>
                <w:b/>
                <w:sz w:val="20"/>
                <w:szCs w:val="20"/>
                <w:lang w:val="ro-MD"/>
              </w:rPr>
            </w:pPr>
            <w:r w:rsidRPr="00B13B9A">
              <w:rPr>
                <w:rFonts w:asciiTheme="majorHAnsi" w:hAnsiTheme="majorHAnsi" w:cstheme="majorHAnsi"/>
                <w:b/>
                <w:sz w:val="20"/>
                <w:szCs w:val="20"/>
                <w:lang w:val="ro-MD"/>
              </w:rPr>
              <w:t>2022</w:t>
            </w:r>
          </w:p>
        </w:tc>
      </w:tr>
      <w:tr w:rsidR="00981ADA" w:rsidRPr="00B13B9A" w14:paraId="00691315" w14:textId="77777777" w:rsidTr="002101A1">
        <w:trPr>
          <w:gridAfter w:val="1"/>
          <w:wAfter w:w="12" w:type="dxa"/>
        </w:trPr>
        <w:tc>
          <w:tcPr>
            <w:tcW w:w="4106" w:type="dxa"/>
            <w:vMerge w:val="restart"/>
            <w:shd w:val="clear" w:color="auto" w:fill="auto"/>
          </w:tcPr>
          <w:p w14:paraId="4F2CBB8B" w14:textId="04BBE1A5" w:rsidR="00981ADA" w:rsidRPr="00B13B9A" w:rsidRDefault="00981ADA" w:rsidP="0026741B">
            <w:pPr>
              <w:rPr>
                <w:rFonts w:asciiTheme="majorHAnsi" w:hAnsiTheme="majorHAnsi" w:cstheme="majorHAnsi"/>
                <w:sz w:val="20"/>
                <w:szCs w:val="20"/>
                <w:lang w:val="ro-MD"/>
              </w:rPr>
            </w:pPr>
            <w:r w:rsidRPr="00B13B9A">
              <w:rPr>
                <w:rFonts w:asciiTheme="majorHAnsi" w:hAnsiTheme="majorHAnsi" w:cstheme="majorHAnsi"/>
                <w:sz w:val="20"/>
                <w:szCs w:val="20"/>
                <w:lang w:val="ro-MD"/>
              </w:rPr>
              <w:t>Svetlana Nicolaescu – Secretar</w:t>
            </w:r>
            <w:r w:rsidR="00555C8B" w:rsidRPr="00B13B9A">
              <w:rPr>
                <w:rFonts w:asciiTheme="majorHAnsi" w:hAnsiTheme="majorHAnsi" w:cstheme="majorHAnsi"/>
                <w:sz w:val="20"/>
                <w:szCs w:val="20"/>
                <w:lang w:val="ro-MD"/>
              </w:rPr>
              <w:t>ă</w:t>
            </w:r>
            <w:r w:rsidRPr="00B13B9A">
              <w:rPr>
                <w:rFonts w:asciiTheme="majorHAnsi" w:hAnsiTheme="majorHAnsi" w:cstheme="majorHAnsi"/>
                <w:sz w:val="20"/>
                <w:szCs w:val="20"/>
                <w:lang w:val="ro-MD"/>
              </w:rPr>
              <w:t xml:space="preserve"> de Stat, MS;</w:t>
            </w:r>
          </w:p>
          <w:p w14:paraId="02239C11" w14:textId="6B94C6C8" w:rsidR="00981ADA" w:rsidRPr="00B13B9A" w:rsidRDefault="00981ADA" w:rsidP="0026741B">
            <w:pPr>
              <w:rPr>
                <w:rFonts w:asciiTheme="majorHAnsi" w:hAnsiTheme="majorHAnsi" w:cstheme="majorHAnsi"/>
                <w:sz w:val="20"/>
                <w:szCs w:val="20"/>
                <w:lang w:val="ro-MD"/>
              </w:rPr>
            </w:pPr>
            <w:r w:rsidRPr="00B13B9A">
              <w:rPr>
                <w:rFonts w:asciiTheme="majorHAnsi" w:hAnsiTheme="majorHAnsi" w:cstheme="majorHAnsi"/>
                <w:sz w:val="20"/>
                <w:szCs w:val="20"/>
                <w:lang w:val="ro-MD"/>
              </w:rPr>
              <w:t>Daniela Demi</w:t>
            </w:r>
            <w:r w:rsidR="00B13B9A" w:rsidRPr="00B13B9A">
              <w:rPr>
                <w:rFonts w:asciiTheme="majorHAnsi" w:hAnsiTheme="majorHAnsi" w:cstheme="majorHAnsi"/>
                <w:sz w:val="20"/>
                <w:szCs w:val="20"/>
                <w:lang w:val="ro-MD"/>
              </w:rPr>
              <w:t>ș</w:t>
            </w:r>
            <w:r w:rsidRPr="00B13B9A">
              <w:rPr>
                <w:rFonts w:asciiTheme="majorHAnsi" w:hAnsiTheme="majorHAnsi" w:cstheme="majorHAnsi"/>
                <w:sz w:val="20"/>
                <w:szCs w:val="20"/>
                <w:lang w:val="ro-MD"/>
              </w:rPr>
              <w:t xml:space="preserve">can – </w:t>
            </w:r>
            <w:r w:rsidR="00B13B9A" w:rsidRPr="00B13B9A">
              <w:rPr>
                <w:rFonts w:asciiTheme="majorHAnsi" w:hAnsiTheme="majorHAnsi" w:cstheme="majorHAnsi"/>
                <w:sz w:val="20"/>
                <w:szCs w:val="20"/>
                <w:lang w:val="ro-MD"/>
              </w:rPr>
              <w:t>Ș</w:t>
            </w:r>
            <w:r w:rsidRPr="00B13B9A">
              <w:rPr>
                <w:rFonts w:asciiTheme="majorHAnsi" w:hAnsiTheme="majorHAnsi" w:cstheme="majorHAnsi"/>
                <w:sz w:val="20"/>
                <w:szCs w:val="20"/>
                <w:lang w:val="ro-MD"/>
              </w:rPr>
              <w:t>ef</w:t>
            </w:r>
            <w:r w:rsidR="00555C8B" w:rsidRPr="00B13B9A">
              <w:rPr>
                <w:rFonts w:asciiTheme="majorHAnsi" w:hAnsiTheme="majorHAnsi" w:cstheme="majorHAnsi"/>
                <w:sz w:val="20"/>
                <w:szCs w:val="20"/>
                <w:lang w:val="ro-MD"/>
              </w:rPr>
              <w:t>ă</w:t>
            </w:r>
            <w:r w:rsidRPr="00B13B9A">
              <w:rPr>
                <w:rFonts w:asciiTheme="majorHAnsi" w:hAnsiTheme="majorHAnsi" w:cstheme="majorHAnsi"/>
                <w:sz w:val="20"/>
                <w:szCs w:val="20"/>
                <w:lang w:val="ro-MD"/>
              </w:rPr>
              <w:t xml:space="preserve"> </w:t>
            </w:r>
            <w:r w:rsidR="00555C8B" w:rsidRPr="00B13B9A">
              <w:rPr>
                <w:rFonts w:asciiTheme="majorHAnsi" w:hAnsiTheme="majorHAnsi" w:cstheme="majorHAnsi"/>
                <w:sz w:val="20"/>
                <w:szCs w:val="20"/>
                <w:lang w:val="ro-MD"/>
              </w:rPr>
              <w:t>D</w:t>
            </w:r>
            <w:r w:rsidRPr="00B13B9A">
              <w:rPr>
                <w:rFonts w:asciiTheme="majorHAnsi" w:hAnsiTheme="majorHAnsi" w:cstheme="majorHAnsi"/>
                <w:sz w:val="20"/>
                <w:szCs w:val="20"/>
                <w:lang w:val="ro-MD"/>
              </w:rPr>
              <w:t>irec</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ie politici în sănătate publică, MS;</w:t>
            </w:r>
          </w:p>
          <w:p w14:paraId="2B26E01D" w14:textId="6F7B6108" w:rsidR="00981ADA" w:rsidRPr="00B13B9A" w:rsidRDefault="00981ADA" w:rsidP="0026741B">
            <w:pPr>
              <w:rPr>
                <w:rFonts w:asciiTheme="majorHAnsi" w:hAnsiTheme="majorHAnsi" w:cstheme="majorHAnsi"/>
                <w:sz w:val="20"/>
                <w:szCs w:val="20"/>
                <w:lang w:val="ro-MD"/>
              </w:rPr>
            </w:pPr>
            <w:r w:rsidRPr="00B13B9A">
              <w:rPr>
                <w:rFonts w:asciiTheme="majorHAnsi" w:hAnsiTheme="majorHAnsi" w:cstheme="majorHAnsi"/>
                <w:sz w:val="20"/>
                <w:szCs w:val="20"/>
                <w:lang w:val="ro-MD"/>
              </w:rPr>
              <w:t>Anna Donica – reprezentant</w:t>
            </w:r>
            <w:r w:rsidR="00555C8B" w:rsidRPr="00B13B9A">
              <w:rPr>
                <w:rFonts w:asciiTheme="majorHAnsi" w:hAnsiTheme="majorHAnsi" w:cstheme="majorHAnsi"/>
                <w:sz w:val="20"/>
                <w:szCs w:val="20"/>
                <w:lang w:val="ro-MD"/>
              </w:rPr>
              <w:t>a</w:t>
            </w:r>
            <w:r w:rsidRPr="00B13B9A">
              <w:rPr>
                <w:rFonts w:asciiTheme="majorHAnsi" w:hAnsiTheme="majorHAnsi" w:cstheme="majorHAnsi"/>
                <w:sz w:val="20"/>
                <w:szCs w:val="20"/>
                <w:lang w:val="ro-MD"/>
              </w:rPr>
              <w:t xml:space="preserve"> colectivului de muncă;</w:t>
            </w:r>
          </w:p>
          <w:p w14:paraId="0D708B43" w14:textId="39C8E947" w:rsidR="00981ADA" w:rsidRPr="00B13B9A" w:rsidRDefault="00981ADA" w:rsidP="0026741B">
            <w:pPr>
              <w:rPr>
                <w:rFonts w:asciiTheme="majorHAnsi" w:hAnsiTheme="majorHAnsi" w:cstheme="majorHAnsi"/>
                <w:sz w:val="20"/>
                <w:szCs w:val="20"/>
                <w:lang w:val="ro-MD"/>
              </w:rPr>
            </w:pPr>
            <w:r w:rsidRPr="00B13B9A">
              <w:rPr>
                <w:rFonts w:asciiTheme="majorHAnsi" w:hAnsiTheme="majorHAnsi" w:cstheme="majorHAnsi"/>
                <w:sz w:val="20"/>
                <w:szCs w:val="20"/>
                <w:lang w:val="ro-MD"/>
              </w:rPr>
              <w:t>Aliona Turovschi – reprezentant</w:t>
            </w:r>
            <w:r w:rsidR="00555C8B" w:rsidRPr="00B13B9A">
              <w:rPr>
                <w:rFonts w:asciiTheme="majorHAnsi" w:hAnsiTheme="majorHAnsi" w:cstheme="majorHAnsi"/>
                <w:sz w:val="20"/>
                <w:szCs w:val="20"/>
                <w:lang w:val="ro-MD"/>
              </w:rPr>
              <w:t>a</w:t>
            </w:r>
            <w:r w:rsidRPr="00B13B9A">
              <w:rPr>
                <w:rFonts w:asciiTheme="majorHAnsi" w:hAnsiTheme="majorHAnsi" w:cstheme="majorHAnsi"/>
                <w:sz w:val="20"/>
                <w:szCs w:val="20"/>
                <w:lang w:val="ro-MD"/>
              </w:rPr>
              <w:t xml:space="preserve"> colectivului de muncă;</w:t>
            </w:r>
          </w:p>
          <w:p w14:paraId="319B41D6" w14:textId="629757AB" w:rsidR="00981ADA" w:rsidRPr="00B13B9A" w:rsidRDefault="00981ADA" w:rsidP="0026741B">
            <w:pPr>
              <w:rPr>
                <w:rFonts w:asciiTheme="majorHAnsi" w:hAnsiTheme="majorHAnsi" w:cstheme="majorHAnsi"/>
                <w:sz w:val="20"/>
                <w:szCs w:val="20"/>
                <w:lang w:val="ro-MD"/>
              </w:rPr>
            </w:pPr>
            <w:r w:rsidRPr="00B13B9A">
              <w:rPr>
                <w:rFonts w:asciiTheme="majorHAnsi" w:hAnsiTheme="majorHAnsi" w:cstheme="majorHAnsi"/>
                <w:sz w:val="20"/>
                <w:szCs w:val="20"/>
                <w:lang w:val="ro-MD"/>
              </w:rPr>
              <w:t>Lucia Pîr</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ina – reprezentant</w:t>
            </w:r>
            <w:r w:rsidR="00555C8B" w:rsidRPr="00B13B9A">
              <w:rPr>
                <w:rFonts w:asciiTheme="majorHAnsi" w:hAnsiTheme="majorHAnsi" w:cstheme="majorHAnsi"/>
                <w:sz w:val="20"/>
                <w:szCs w:val="20"/>
                <w:lang w:val="ro-MD"/>
              </w:rPr>
              <w:t>a</w:t>
            </w:r>
            <w:r w:rsidRPr="00B13B9A">
              <w:rPr>
                <w:rFonts w:asciiTheme="majorHAnsi" w:hAnsiTheme="majorHAnsi" w:cstheme="majorHAnsi"/>
                <w:sz w:val="20"/>
                <w:szCs w:val="20"/>
                <w:lang w:val="ro-MD"/>
              </w:rPr>
              <w:t xml:space="preserve"> ONG</w:t>
            </w:r>
          </w:p>
        </w:tc>
        <w:tc>
          <w:tcPr>
            <w:tcW w:w="1134" w:type="dxa"/>
            <w:shd w:val="clear" w:color="auto" w:fill="auto"/>
          </w:tcPr>
          <w:p w14:paraId="2C3986EF" w14:textId="77777777" w:rsidR="00981ADA" w:rsidRPr="00B13B9A" w:rsidRDefault="00981ADA" w:rsidP="0026741B">
            <w:pPr>
              <w:rPr>
                <w:rFonts w:asciiTheme="majorHAnsi" w:hAnsiTheme="majorHAnsi" w:cstheme="majorHAnsi"/>
                <w:sz w:val="20"/>
                <w:szCs w:val="20"/>
                <w:lang w:val="ro-MD"/>
              </w:rPr>
            </w:pPr>
            <w:r w:rsidRPr="00B13B9A">
              <w:rPr>
                <w:rFonts w:asciiTheme="majorHAnsi" w:hAnsiTheme="majorHAnsi" w:cstheme="majorHAnsi"/>
                <w:sz w:val="20"/>
                <w:szCs w:val="20"/>
                <w:lang w:val="ro-MD"/>
              </w:rPr>
              <w:t>Proces-verbal nr. 10 din 17.02.2022</w:t>
            </w:r>
          </w:p>
        </w:tc>
        <w:tc>
          <w:tcPr>
            <w:tcW w:w="4820" w:type="dxa"/>
            <w:shd w:val="clear" w:color="auto" w:fill="auto"/>
          </w:tcPr>
          <w:p w14:paraId="35FA50A6" w14:textId="5B76160B" w:rsidR="00981ADA" w:rsidRPr="00B13B9A" w:rsidRDefault="00981ADA" w:rsidP="0026741B">
            <w:pPr>
              <w:rPr>
                <w:rFonts w:asciiTheme="majorHAnsi" w:hAnsiTheme="majorHAnsi" w:cstheme="majorHAnsi"/>
                <w:sz w:val="20"/>
                <w:szCs w:val="20"/>
                <w:lang w:val="ro-MD"/>
              </w:rPr>
            </w:pPr>
            <w:r w:rsidRPr="00B13B9A">
              <w:rPr>
                <w:rFonts w:asciiTheme="majorHAnsi" w:hAnsiTheme="majorHAnsi" w:cstheme="majorHAnsi"/>
                <w:sz w:val="20"/>
                <w:szCs w:val="20"/>
                <w:lang w:val="ro-MD"/>
              </w:rPr>
              <w:t>Raport privind rezultatele activită</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 xml:space="preserve">ii economico-financiare a </w:t>
            </w:r>
            <w:r w:rsidR="009F5CFF" w:rsidRPr="00B13B9A">
              <w:rPr>
                <w:rFonts w:asciiTheme="majorHAnsi" w:hAnsiTheme="majorHAnsi" w:cstheme="majorHAnsi"/>
                <w:sz w:val="20"/>
                <w:szCs w:val="20"/>
                <w:lang w:val="ro-MD"/>
              </w:rPr>
              <w:t>institu</w:t>
            </w:r>
            <w:r w:rsidR="00B13B9A" w:rsidRPr="00B13B9A">
              <w:rPr>
                <w:rFonts w:asciiTheme="majorHAnsi" w:hAnsiTheme="majorHAnsi" w:cstheme="majorHAnsi"/>
                <w:sz w:val="20"/>
                <w:szCs w:val="20"/>
                <w:lang w:val="ro-MD"/>
              </w:rPr>
              <w:t>ț</w:t>
            </w:r>
            <w:r w:rsidR="009F5CFF" w:rsidRPr="00B13B9A">
              <w:rPr>
                <w:rFonts w:asciiTheme="majorHAnsi" w:hAnsiTheme="majorHAnsi" w:cstheme="majorHAnsi"/>
                <w:sz w:val="20"/>
                <w:szCs w:val="20"/>
                <w:lang w:val="ro-MD"/>
              </w:rPr>
              <w:t>iei</w:t>
            </w:r>
            <w:r w:rsidRPr="00B13B9A">
              <w:rPr>
                <w:rFonts w:asciiTheme="majorHAnsi" w:hAnsiTheme="majorHAnsi" w:cstheme="majorHAnsi"/>
                <w:sz w:val="20"/>
                <w:szCs w:val="20"/>
                <w:lang w:val="ro-MD"/>
              </w:rPr>
              <w:t xml:space="preserve"> pentru anul 2021;</w:t>
            </w:r>
          </w:p>
          <w:p w14:paraId="5EF4B144" w14:textId="01F7C19C" w:rsidR="00981ADA" w:rsidRPr="00B13B9A" w:rsidRDefault="00981ADA" w:rsidP="0026741B">
            <w:pPr>
              <w:rPr>
                <w:rFonts w:asciiTheme="majorHAnsi" w:hAnsiTheme="majorHAnsi" w:cstheme="majorHAnsi"/>
                <w:sz w:val="20"/>
                <w:szCs w:val="20"/>
                <w:lang w:val="ro-MD"/>
              </w:rPr>
            </w:pPr>
            <w:r w:rsidRPr="00B13B9A">
              <w:rPr>
                <w:rFonts w:asciiTheme="majorHAnsi" w:hAnsiTheme="majorHAnsi" w:cstheme="majorHAnsi"/>
                <w:sz w:val="20"/>
                <w:szCs w:val="20"/>
                <w:lang w:val="ro-MD"/>
              </w:rPr>
              <w:t>Aprobarea Planului de activitate al institu</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iei pentru anul 2022;</w:t>
            </w:r>
          </w:p>
          <w:p w14:paraId="6C416A0C" w14:textId="77777777" w:rsidR="00981ADA" w:rsidRPr="00B13B9A" w:rsidRDefault="00981ADA" w:rsidP="0026741B">
            <w:pPr>
              <w:rPr>
                <w:rFonts w:asciiTheme="majorHAnsi" w:hAnsiTheme="majorHAnsi" w:cstheme="majorHAnsi"/>
                <w:sz w:val="20"/>
                <w:szCs w:val="20"/>
                <w:lang w:val="ro-MD"/>
              </w:rPr>
            </w:pPr>
            <w:r w:rsidRPr="00B13B9A">
              <w:rPr>
                <w:rFonts w:asciiTheme="majorHAnsi" w:hAnsiTheme="majorHAnsi" w:cstheme="majorHAnsi"/>
                <w:sz w:val="20"/>
                <w:szCs w:val="20"/>
                <w:lang w:val="ro-MD"/>
              </w:rPr>
              <w:t>Aprobarea Statelor de personal pentru anul 2022;</w:t>
            </w:r>
          </w:p>
          <w:p w14:paraId="248E413A" w14:textId="48A493E6" w:rsidR="00981ADA" w:rsidRPr="00B13B9A" w:rsidRDefault="00981ADA" w:rsidP="0026741B">
            <w:pPr>
              <w:rPr>
                <w:rFonts w:asciiTheme="majorHAnsi" w:hAnsiTheme="majorHAnsi" w:cstheme="majorHAnsi"/>
                <w:sz w:val="20"/>
                <w:szCs w:val="20"/>
                <w:lang w:val="ro-MD"/>
              </w:rPr>
            </w:pPr>
            <w:r w:rsidRPr="00B13B9A">
              <w:rPr>
                <w:rFonts w:asciiTheme="majorHAnsi" w:hAnsiTheme="majorHAnsi" w:cstheme="majorHAnsi"/>
                <w:sz w:val="20"/>
                <w:szCs w:val="20"/>
                <w:lang w:val="ro-MD"/>
              </w:rPr>
              <w:t>Aprobarea Planului de achizi</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ii publice pentru anul 2022</w:t>
            </w:r>
          </w:p>
        </w:tc>
      </w:tr>
      <w:tr w:rsidR="00981ADA" w:rsidRPr="00B13B9A" w14:paraId="5F45B9FD" w14:textId="77777777" w:rsidTr="002101A1">
        <w:trPr>
          <w:gridAfter w:val="1"/>
          <w:wAfter w:w="12" w:type="dxa"/>
        </w:trPr>
        <w:tc>
          <w:tcPr>
            <w:tcW w:w="4106" w:type="dxa"/>
            <w:vMerge/>
            <w:shd w:val="clear" w:color="auto" w:fill="auto"/>
          </w:tcPr>
          <w:p w14:paraId="5A0DCB45" w14:textId="77777777" w:rsidR="00981ADA" w:rsidRPr="00B13B9A" w:rsidRDefault="00981ADA" w:rsidP="0026741B">
            <w:pPr>
              <w:rPr>
                <w:rFonts w:asciiTheme="majorHAnsi" w:hAnsiTheme="majorHAnsi" w:cstheme="majorHAnsi"/>
                <w:sz w:val="20"/>
                <w:szCs w:val="20"/>
                <w:lang w:val="ro-MD"/>
              </w:rPr>
            </w:pPr>
          </w:p>
        </w:tc>
        <w:tc>
          <w:tcPr>
            <w:tcW w:w="1134" w:type="dxa"/>
            <w:shd w:val="clear" w:color="auto" w:fill="auto"/>
          </w:tcPr>
          <w:p w14:paraId="5E3BEA36" w14:textId="77777777" w:rsidR="00981ADA" w:rsidRPr="00B13B9A" w:rsidRDefault="00981ADA" w:rsidP="0026741B">
            <w:pPr>
              <w:rPr>
                <w:rFonts w:asciiTheme="majorHAnsi" w:hAnsiTheme="majorHAnsi" w:cstheme="majorHAnsi"/>
                <w:sz w:val="20"/>
                <w:szCs w:val="20"/>
                <w:lang w:val="ro-MD"/>
              </w:rPr>
            </w:pPr>
            <w:r w:rsidRPr="00B13B9A">
              <w:rPr>
                <w:rFonts w:asciiTheme="majorHAnsi" w:hAnsiTheme="majorHAnsi" w:cstheme="majorHAnsi"/>
                <w:sz w:val="20"/>
                <w:szCs w:val="20"/>
                <w:lang w:val="ro-MD"/>
              </w:rPr>
              <w:t>Proces-verbal nr. 38 din 14.07.2022</w:t>
            </w:r>
          </w:p>
        </w:tc>
        <w:tc>
          <w:tcPr>
            <w:tcW w:w="4820" w:type="dxa"/>
            <w:shd w:val="clear" w:color="auto" w:fill="auto"/>
          </w:tcPr>
          <w:p w14:paraId="3B95012B" w14:textId="0C304DC3" w:rsidR="00981ADA" w:rsidRPr="00B13B9A" w:rsidRDefault="00981ADA" w:rsidP="0026741B">
            <w:pPr>
              <w:rPr>
                <w:rFonts w:asciiTheme="majorHAnsi" w:hAnsiTheme="majorHAnsi" w:cstheme="majorHAnsi"/>
                <w:sz w:val="20"/>
                <w:szCs w:val="20"/>
                <w:lang w:val="ro-MD"/>
              </w:rPr>
            </w:pPr>
            <w:r w:rsidRPr="00B13B9A">
              <w:rPr>
                <w:rFonts w:asciiTheme="majorHAnsi" w:hAnsiTheme="majorHAnsi" w:cstheme="majorHAnsi"/>
                <w:sz w:val="20"/>
                <w:szCs w:val="20"/>
                <w:lang w:val="ro-MD"/>
              </w:rPr>
              <w:t>Rezultatele activită</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 xml:space="preserve">ii medicale </w:t>
            </w:r>
            <w:r w:rsidR="00B13B9A" w:rsidRPr="00B13B9A">
              <w:rPr>
                <w:rFonts w:asciiTheme="majorHAnsi" w:hAnsiTheme="majorHAnsi" w:cstheme="majorHAnsi"/>
                <w:sz w:val="20"/>
                <w:szCs w:val="20"/>
                <w:lang w:val="ro-MD"/>
              </w:rPr>
              <w:t>ș</w:t>
            </w:r>
            <w:r w:rsidRPr="00B13B9A">
              <w:rPr>
                <w:rFonts w:asciiTheme="majorHAnsi" w:hAnsiTheme="majorHAnsi" w:cstheme="majorHAnsi"/>
                <w:sz w:val="20"/>
                <w:szCs w:val="20"/>
                <w:lang w:val="ro-MD"/>
              </w:rPr>
              <w:t>i economico-financiare a institu</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 xml:space="preserve">iei pentru 6 luni </w:t>
            </w:r>
            <w:r w:rsidR="00555C8B" w:rsidRPr="00B13B9A">
              <w:rPr>
                <w:rFonts w:asciiTheme="majorHAnsi" w:hAnsiTheme="majorHAnsi" w:cstheme="majorHAnsi"/>
                <w:sz w:val="20"/>
                <w:szCs w:val="20"/>
                <w:lang w:val="ro-MD"/>
              </w:rPr>
              <w:t xml:space="preserve">ale </w:t>
            </w:r>
            <w:r w:rsidRPr="00B13B9A">
              <w:rPr>
                <w:rFonts w:asciiTheme="majorHAnsi" w:hAnsiTheme="majorHAnsi" w:cstheme="majorHAnsi"/>
                <w:sz w:val="20"/>
                <w:szCs w:val="20"/>
                <w:lang w:val="ro-MD"/>
              </w:rPr>
              <w:t>anului 2022;</w:t>
            </w:r>
          </w:p>
          <w:p w14:paraId="5E5AA982" w14:textId="5631C8B0" w:rsidR="00981ADA" w:rsidRPr="00B13B9A" w:rsidRDefault="00981ADA" w:rsidP="0026741B">
            <w:pPr>
              <w:rPr>
                <w:rFonts w:asciiTheme="majorHAnsi" w:hAnsiTheme="majorHAnsi" w:cstheme="majorHAnsi"/>
                <w:sz w:val="20"/>
                <w:szCs w:val="20"/>
                <w:lang w:val="ro-MD"/>
              </w:rPr>
            </w:pPr>
            <w:r w:rsidRPr="00B13B9A">
              <w:rPr>
                <w:rFonts w:asciiTheme="majorHAnsi" w:hAnsiTheme="majorHAnsi" w:cstheme="majorHAnsi"/>
                <w:sz w:val="20"/>
                <w:szCs w:val="20"/>
                <w:lang w:val="ro-MD"/>
              </w:rPr>
              <w:t xml:space="preserve">Raport </w:t>
            </w:r>
            <w:r w:rsidR="00555C8B" w:rsidRPr="00B13B9A">
              <w:rPr>
                <w:rFonts w:asciiTheme="majorHAnsi" w:hAnsiTheme="majorHAnsi" w:cstheme="majorHAnsi"/>
                <w:sz w:val="20"/>
                <w:szCs w:val="20"/>
                <w:lang w:val="ro-MD"/>
              </w:rPr>
              <w:t xml:space="preserve">privind </w:t>
            </w:r>
            <w:r w:rsidRPr="00B13B9A">
              <w:rPr>
                <w:rFonts w:asciiTheme="majorHAnsi" w:hAnsiTheme="majorHAnsi" w:cstheme="majorHAnsi"/>
                <w:sz w:val="20"/>
                <w:szCs w:val="20"/>
                <w:lang w:val="ro-MD"/>
              </w:rPr>
              <w:t>executarea contractelor de achizi</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ii publice în perioada ianuarie - iunie 2022, modificări la planul de achizi</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ii publice pentru anul 2022;</w:t>
            </w:r>
          </w:p>
          <w:p w14:paraId="5725C6BA" w14:textId="694C24B9" w:rsidR="00981ADA" w:rsidRPr="00B13B9A" w:rsidRDefault="00981ADA" w:rsidP="00555C8B">
            <w:pPr>
              <w:rPr>
                <w:rFonts w:asciiTheme="majorHAnsi" w:hAnsiTheme="majorHAnsi" w:cstheme="majorHAnsi"/>
                <w:sz w:val="20"/>
                <w:szCs w:val="20"/>
                <w:lang w:val="ro-MD"/>
              </w:rPr>
            </w:pPr>
            <w:r w:rsidRPr="00B13B9A">
              <w:rPr>
                <w:rFonts w:asciiTheme="majorHAnsi" w:hAnsiTheme="majorHAnsi" w:cstheme="majorHAnsi"/>
                <w:sz w:val="20"/>
                <w:szCs w:val="20"/>
                <w:lang w:val="ro-MD"/>
              </w:rPr>
              <w:t>Reactivarea sec</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 xml:space="preserve">iilor clinice cu profil </w:t>
            </w:r>
            <w:r w:rsidR="00555C8B" w:rsidRPr="00B13B9A">
              <w:rPr>
                <w:rFonts w:asciiTheme="majorHAnsi" w:hAnsiTheme="majorHAnsi" w:cstheme="majorHAnsi"/>
                <w:sz w:val="20"/>
                <w:szCs w:val="20"/>
                <w:lang w:val="ro-MD"/>
              </w:rPr>
              <w:t>C</w:t>
            </w:r>
            <w:r w:rsidRPr="00B13B9A">
              <w:rPr>
                <w:rFonts w:asciiTheme="majorHAnsi" w:hAnsiTheme="majorHAnsi" w:cstheme="majorHAnsi"/>
                <w:sz w:val="20"/>
                <w:szCs w:val="20"/>
                <w:lang w:val="ro-MD"/>
              </w:rPr>
              <w:t>ovid din cadrul institu</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iei în contextul cre</w:t>
            </w:r>
            <w:r w:rsidR="00B13B9A" w:rsidRPr="00B13B9A">
              <w:rPr>
                <w:rFonts w:asciiTheme="majorHAnsi" w:hAnsiTheme="majorHAnsi" w:cstheme="majorHAnsi"/>
                <w:sz w:val="20"/>
                <w:szCs w:val="20"/>
                <w:lang w:val="ro-MD"/>
              </w:rPr>
              <w:t>ș</w:t>
            </w:r>
            <w:r w:rsidRPr="00B13B9A">
              <w:rPr>
                <w:rFonts w:asciiTheme="majorHAnsi" w:hAnsiTheme="majorHAnsi" w:cstheme="majorHAnsi"/>
                <w:sz w:val="20"/>
                <w:szCs w:val="20"/>
                <w:lang w:val="ro-MD"/>
              </w:rPr>
              <w:t>terii numărului cazurilor de infec</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ie cu SARS-CoV-2'</w:t>
            </w:r>
          </w:p>
        </w:tc>
      </w:tr>
      <w:tr w:rsidR="00981ADA" w:rsidRPr="00B13B9A" w14:paraId="734CD7CD" w14:textId="77777777" w:rsidTr="002101A1">
        <w:trPr>
          <w:gridAfter w:val="1"/>
          <w:wAfter w:w="12" w:type="dxa"/>
        </w:trPr>
        <w:tc>
          <w:tcPr>
            <w:tcW w:w="4106" w:type="dxa"/>
            <w:vMerge/>
            <w:shd w:val="clear" w:color="auto" w:fill="auto"/>
          </w:tcPr>
          <w:p w14:paraId="10FD18BF" w14:textId="77777777" w:rsidR="00981ADA" w:rsidRPr="00B13B9A" w:rsidRDefault="00981ADA" w:rsidP="0026741B">
            <w:pPr>
              <w:rPr>
                <w:rFonts w:asciiTheme="majorHAnsi" w:hAnsiTheme="majorHAnsi" w:cstheme="majorHAnsi"/>
                <w:sz w:val="20"/>
                <w:szCs w:val="20"/>
                <w:lang w:val="ro-MD"/>
              </w:rPr>
            </w:pPr>
          </w:p>
        </w:tc>
        <w:tc>
          <w:tcPr>
            <w:tcW w:w="1134" w:type="dxa"/>
            <w:shd w:val="clear" w:color="auto" w:fill="auto"/>
          </w:tcPr>
          <w:p w14:paraId="58AB1833" w14:textId="77777777" w:rsidR="00981ADA" w:rsidRPr="00B13B9A" w:rsidRDefault="00981ADA" w:rsidP="0026741B">
            <w:pPr>
              <w:rPr>
                <w:rFonts w:asciiTheme="majorHAnsi" w:hAnsiTheme="majorHAnsi" w:cstheme="majorHAnsi"/>
                <w:sz w:val="20"/>
                <w:szCs w:val="20"/>
                <w:lang w:val="ro-MD"/>
              </w:rPr>
            </w:pPr>
            <w:r w:rsidRPr="00B13B9A">
              <w:rPr>
                <w:rFonts w:asciiTheme="majorHAnsi" w:hAnsiTheme="majorHAnsi" w:cstheme="majorHAnsi"/>
                <w:sz w:val="20"/>
                <w:szCs w:val="20"/>
                <w:lang w:val="ro-MD"/>
              </w:rPr>
              <w:t>Proces-verbal nr. 43 din 25.08.2022</w:t>
            </w:r>
          </w:p>
        </w:tc>
        <w:tc>
          <w:tcPr>
            <w:tcW w:w="4820" w:type="dxa"/>
            <w:shd w:val="clear" w:color="auto" w:fill="auto"/>
          </w:tcPr>
          <w:p w14:paraId="36CC3AF0" w14:textId="41B75BA1" w:rsidR="00981ADA" w:rsidRPr="00B13B9A" w:rsidRDefault="00981ADA" w:rsidP="0026741B">
            <w:pPr>
              <w:rPr>
                <w:rFonts w:asciiTheme="majorHAnsi" w:hAnsiTheme="majorHAnsi" w:cstheme="majorHAnsi"/>
                <w:sz w:val="20"/>
                <w:szCs w:val="20"/>
                <w:lang w:val="ro-MD"/>
              </w:rPr>
            </w:pPr>
            <w:r w:rsidRPr="00B13B9A">
              <w:rPr>
                <w:rFonts w:asciiTheme="majorHAnsi" w:hAnsiTheme="majorHAnsi" w:cstheme="majorHAnsi"/>
                <w:sz w:val="20"/>
                <w:szCs w:val="20"/>
                <w:lang w:val="ro-MD"/>
              </w:rPr>
              <w:t>Desemnarea unui reprezentant din cadrul Consiliului de administra</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ie al institu</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iei pentru</w:t>
            </w:r>
          </w:p>
          <w:p w14:paraId="53FDDDEE" w14:textId="799CE652" w:rsidR="00981ADA" w:rsidRPr="00B13B9A" w:rsidRDefault="00981ADA" w:rsidP="0026741B">
            <w:pPr>
              <w:rPr>
                <w:rFonts w:asciiTheme="majorHAnsi" w:hAnsiTheme="majorHAnsi" w:cstheme="majorHAnsi"/>
                <w:sz w:val="20"/>
                <w:szCs w:val="20"/>
                <w:lang w:val="ro-MD"/>
              </w:rPr>
            </w:pPr>
            <w:r w:rsidRPr="00B13B9A">
              <w:rPr>
                <w:rFonts w:asciiTheme="majorHAnsi" w:hAnsiTheme="majorHAnsi" w:cstheme="majorHAnsi"/>
                <w:sz w:val="20"/>
                <w:szCs w:val="20"/>
                <w:lang w:val="ro-MD"/>
              </w:rPr>
              <w:t xml:space="preserve">participare în cadrul Comisiei pentru organizarea </w:t>
            </w:r>
            <w:r w:rsidR="00B13B9A" w:rsidRPr="00B13B9A">
              <w:rPr>
                <w:rFonts w:asciiTheme="majorHAnsi" w:hAnsiTheme="majorHAnsi" w:cstheme="majorHAnsi"/>
                <w:sz w:val="20"/>
                <w:szCs w:val="20"/>
                <w:lang w:val="ro-MD"/>
              </w:rPr>
              <w:t>ș</w:t>
            </w:r>
            <w:r w:rsidRPr="00B13B9A">
              <w:rPr>
                <w:rFonts w:asciiTheme="majorHAnsi" w:hAnsiTheme="majorHAnsi" w:cstheme="majorHAnsi"/>
                <w:sz w:val="20"/>
                <w:szCs w:val="20"/>
                <w:lang w:val="ro-MD"/>
              </w:rPr>
              <w:t>i desfă</w:t>
            </w:r>
            <w:r w:rsidR="00B13B9A" w:rsidRPr="00B13B9A">
              <w:rPr>
                <w:rFonts w:asciiTheme="majorHAnsi" w:hAnsiTheme="majorHAnsi" w:cstheme="majorHAnsi"/>
                <w:sz w:val="20"/>
                <w:szCs w:val="20"/>
                <w:lang w:val="ro-MD"/>
              </w:rPr>
              <w:t>ș</w:t>
            </w:r>
            <w:r w:rsidRPr="00B13B9A">
              <w:rPr>
                <w:rFonts w:asciiTheme="majorHAnsi" w:hAnsiTheme="majorHAnsi" w:cstheme="majorHAnsi"/>
                <w:sz w:val="20"/>
                <w:szCs w:val="20"/>
                <w:lang w:val="ro-MD"/>
              </w:rPr>
              <w:t>urarea concursului pentru ocuparea</w:t>
            </w:r>
          </w:p>
          <w:p w14:paraId="4D37DE02" w14:textId="4E7F4792" w:rsidR="00981ADA" w:rsidRPr="00B13B9A" w:rsidRDefault="00981ADA" w:rsidP="00555C8B">
            <w:pPr>
              <w:rPr>
                <w:rFonts w:asciiTheme="majorHAnsi" w:hAnsiTheme="majorHAnsi" w:cstheme="majorHAnsi"/>
                <w:sz w:val="20"/>
                <w:szCs w:val="20"/>
                <w:lang w:val="ro-MD"/>
              </w:rPr>
            </w:pPr>
            <w:r w:rsidRPr="00B13B9A">
              <w:rPr>
                <w:rFonts w:asciiTheme="majorHAnsi" w:hAnsiTheme="majorHAnsi" w:cstheme="majorHAnsi"/>
                <w:sz w:val="20"/>
                <w:szCs w:val="20"/>
                <w:lang w:val="ro-MD"/>
              </w:rPr>
              <w:t>func</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iei de director al IMSP Institutul de Ftiziopneumologie "Chiril Draganiuc"</w:t>
            </w:r>
          </w:p>
        </w:tc>
      </w:tr>
      <w:tr w:rsidR="00981ADA" w:rsidRPr="00B13B9A" w14:paraId="22994353" w14:textId="77777777" w:rsidTr="002101A1">
        <w:tc>
          <w:tcPr>
            <w:tcW w:w="10072" w:type="dxa"/>
            <w:gridSpan w:val="4"/>
            <w:shd w:val="clear" w:color="auto" w:fill="auto"/>
          </w:tcPr>
          <w:p w14:paraId="65FFD4F2" w14:textId="77777777" w:rsidR="00981ADA" w:rsidRPr="00B13B9A" w:rsidRDefault="00981ADA" w:rsidP="0026741B">
            <w:pPr>
              <w:jc w:val="center"/>
              <w:rPr>
                <w:rFonts w:asciiTheme="majorHAnsi" w:hAnsiTheme="majorHAnsi" w:cstheme="majorHAnsi"/>
                <w:b/>
                <w:sz w:val="20"/>
                <w:szCs w:val="20"/>
                <w:lang w:val="ro-MD"/>
              </w:rPr>
            </w:pPr>
            <w:r w:rsidRPr="00B13B9A">
              <w:rPr>
                <w:rFonts w:asciiTheme="majorHAnsi" w:hAnsiTheme="majorHAnsi" w:cstheme="majorHAnsi"/>
                <w:b/>
                <w:sz w:val="20"/>
                <w:szCs w:val="20"/>
                <w:lang w:val="ro-MD"/>
              </w:rPr>
              <w:t>2023</w:t>
            </w:r>
          </w:p>
        </w:tc>
      </w:tr>
      <w:tr w:rsidR="00981ADA" w:rsidRPr="00B13B9A" w14:paraId="17028F58" w14:textId="77777777" w:rsidTr="002101A1">
        <w:trPr>
          <w:gridAfter w:val="1"/>
          <w:wAfter w:w="12" w:type="dxa"/>
        </w:trPr>
        <w:tc>
          <w:tcPr>
            <w:tcW w:w="4106" w:type="dxa"/>
            <w:shd w:val="clear" w:color="auto" w:fill="auto"/>
          </w:tcPr>
          <w:p w14:paraId="6CB880D8" w14:textId="26519437" w:rsidR="00981ADA" w:rsidRPr="00B13B9A" w:rsidRDefault="00981ADA" w:rsidP="0026741B">
            <w:pPr>
              <w:rPr>
                <w:rFonts w:asciiTheme="majorHAnsi" w:hAnsiTheme="majorHAnsi" w:cstheme="majorHAnsi"/>
                <w:sz w:val="20"/>
                <w:szCs w:val="20"/>
                <w:lang w:val="ro-MD"/>
              </w:rPr>
            </w:pPr>
            <w:r w:rsidRPr="00B13B9A">
              <w:rPr>
                <w:rFonts w:asciiTheme="majorHAnsi" w:hAnsiTheme="majorHAnsi" w:cstheme="majorHAnsi"/>
                <w:sz w:val="20"/>
                <w:szCs w:val="20"/>
                <w:lang w:val="ro-MD"/>
              </w:rPr>
              <w:t>Svetlana Nicolaescu – Secretar</w:t>
            </w:r>
            <w:r w:rsidR="00555C8B" w:rsidRPr="00B13B9A">
              <w:rPr>
                <w:rFonts w:asciiTheme="majorHAnsi" w:hAnsiTheme="majorHAnsi" w:cstheme="majorHAnsi"/>
                <w:sz w:val="20"/>
                <w:szCs w:val="20"/>
                <w:lang w:val="ro-MD"/>
              </w:rPr>
              <w:t>ă</w:t>
            </w:r>
            <w:r w:rsidRPr="00B13B9A">
              <w:rPr>
                <w:rFonts w:asciiTheme="majorHAnsi" w:hAnsiTheme="majorHAnsi" w:cstheme="majorHAnsi"/>
                <w:sz w:val="20"/>
                <w:szCs w:val="20"/>
                <w:lang w:val="ro-MD"/>
              </w:rPr>
              <w:t xml:space="preserve"> de Stat, MS;</w:t>
            </w:r>
          </w:p>
          <w:p w14:paraId="7D33D96C" w14:textId="4B734018" w:rsidR="00981ADA" w:rsidRPr="00B13B9A" w:rsidRDefault="00981ADA" w:rsidP="0026741B">
            <w:pPr>
              <w:rPr>
                <w:rFonts w:asciiTheme="majorHAnsi" w:hAnsiTheme="majorHAnsi" w:cstheme="majorHAnsi"/>
                <w:sz w:val="20"/>
                <w:szCs w:val="20"/>
                <w:lang w:val="ro-MD"/>
              </w:rPr>
            </w:pPr>
            <w:r w:rsidRPr="00B13B9A">
              <w:rPr>
                <w:rFonts w:asciiTheme="majorHAnsi" w:hAnsiTheme="majorHAnsi" w:cstheme="majorHAnsi"/>
                <w:sz w:val="20"/>
                <w:szCs w:val="20"/>
                <w:lang w:val="ro-MD"/>
              </w:rPr>
              <w:t>Anna Donica – reprezentant</w:t>
            </w:r>
            <w:r w:rsidR="00555C8B" w:rsidRPr="00B13B9A">
              <w:rPr>
                <w:rFonts w:asciiTheme="majorHAnsi" w:hAnsiTheme="majorHAnsi" w:cstheme="majorHAnsi"/>
                <w:sz w:val="20"/>
                <w:szCs w:val="20"/>
                <w:lang w:val="ro-MD"/>
              </w:rPr>
              <w:t>a</w:t>
            </w:r>
            <w:r w:rsidRPr="00B13B9A">
              <w:rPr>
                <w:rFonts w:asciiTheme="majorHAnsi" w:hAnsiTheme="majorHAnsi" w:cstheme="majorHAnsi"/>
                <w:sz w:val="20"/>
                <w:szCs w:val="20"/>
                <w:lang w:val="ro-MD"/>
              </w:rPr>
              <w:t xml:space="preserve"> colectivului de muncă;</w:t>
            </w:r>
          </w:p>
          <w:p w14:paraId="49290749" w14:textId="6E6FAA30" w:rsidR="00981ADA" w:rsidRPr="00B13B9A" w:rsidRDefault="00981ADA" w:rsidP="0026741B">
            <w:pPr>
              <w:rPr>
                <w:rFonts w:asciiTheme="majorHAnsi" w:hAnsiTheme="majorHAnsi" w:cstheme="majorHAnsi"/>
                <w:sz w:val="20"/>
                <w:szCs w:val="20"/>
                <w:lang w:val="ro-MD"/>
              </w:rPr>
            </w:pPr>
            <w:r w:rsidRPr="00B13B9A">
              <w:rPr>
                <w:rFonts w:asciiTheme="majorHAnsi" w:hAnsiTheme="majorHAnsi" w:cstheme="majorHAnsi"/>
                <w:sz w:val="20"/>
                <w:szCs w:val="20"/>
                <w:lang w:val="ro-MD"/>
              </w:rPr>
              <w:t>Aliona Turovschi – reprezentant</w:t>
            </w:r>
            <w:r w:rsidR="00555C8B" w:rsidRPr="00B13B9A">
              <w:rPr>
                <w:rFonts w:asciiTheme="majorHAnsi" w:hAnsiTheme="majorHAnsi" w:cstheme="majorHAnsi"/>
                <w:sz w:val="20"/>
                <w:szCs w:val="20"/>
                <w:lang w:val="ro-MD"/>
              </w:rPr>
              <w:t>a</w:t>
            </w:r>
            <w:r w:rsidRPr="00B13B9A">
              <w:rPr>
                <w:rFonts w:asciiTheme="majorHAnsi" w:hAnsiTheme="majorHAnsi" w:cstheme="majorHAnsi"/>
                <w:sz w:val="20"/>
                <w:szCs w:val="20"/>
                <w:lang w:val="ro-MD"/>
              </w:rPr>
              <w:t xml:space="preserve"> colectivului de muncă;</w:t>
            </w:r>
          </w:p>
          <w:p w14:paraId="46094985" w14:textId="303220E1" w:rsidR="00981ADA" w:rsidRPr="00B13B9A" w:rsidRDefault="00981ADA" w:rsidP="0026741B">
            <w:pPr>
              <w:rPr>
                <w:rFonts w:asciiTheme="majorHAnsi" w:hAnsiTheme="majorHAnsi" w:cstheme="majorHAnsi"/>
                <w:sz w:val="20"/>
                <w:szCs w:val="20"/>
                <w:lang w:val="ro-MD"/>
              </w:rPr>
            </w:pPr>
            <w:r w:rsidRPr="00B13B9A">
              <w:rPr>
                <w:rFonts w:asciiTheme="majorHAnsi" w:hAnsiTheme="majorHAnsi" w:cstheme="majorHAnsi"/>
                <w:sz w:val="20"/>
                <w:szCs w:val="20"/>
                <w:lang w:val="ro-MD"/>
              </w:rPr>
              <w:t>Lucia Pîr</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ina – reprezentant</w:t>
            </w:r>
            <w:r w:rsidR="00555C8B" w:rsidRPr="00B13B9A">
              <w:rPr>
                <w:rFonts w:asciiTheme="majorHAnsi" w:hAnsiTheme="majorHAnsi" w:cstheme="majorHAnsi"/>
                <w:sz w:val="20"/>
                <w:szCs w:val="20"/>
                <w:lang w:val="ro-MD"/>
              </w:rPr>
              <w:t>a</w:t>
            </w:r>
            <w:r w:rsidRPr="00B13B9A">
              <w:rPr>
                <w:rFonts w:asciiTheme="majorHAnsi" w:hAnsiTheme="majorHAnsi" w:cstheme="majorHAnsi"/>
                <w:sz w:val="20"/>
                <w:szCs w:val="20"/>
                <w:lang w:val="ro-MD"/>
              </w:rPr>
              <w:t xml:space="preserve"> ONG</w:t>
            </w:r>
          </w:p>
        </w:tc>
        <w:tc>
          <w:tcPr>
            <w:tcW w:w="1134" w:type="dxa"/>
            <w:shd w:val="clear" w:color="auto" w:fill="auto"/>
          </w:tcPr>
          <w:p w14:paraId="6D565086" w14:textId="77777777" w:rsidR="00981ADA" w:rsidRPr="00B13B9A" w:rsidRDefault="00981ADA" w:rsidP="0026741B">
            <w:pPr>
              <w:rPr>
                <w:rFonts w:asciiTheme="majorHAnsi" w:hAnsiTheme="majorHAnsi" w:cstheme="majorHAnsi"/>
                <w:sz w:val="20"/>
                <w:szCs w:val="20"/>
                <w:lang w:val="ro-MD"/>
              </w:rPr>
            </w:pPr>
            <w:r w:rsidRPr="00B13B9A">
              <w:rPr>
                <w:rFonts w:asciiTheme="majorHAnsi" w:hAnsiTheme="majorHAnsi" w:cstheme="majorHAnsi"/>
                <w:sz w:val="20"/>
                <w:szCs w:val="20"/>
                <w:lang w:val="ro-MD"/>
              </w:rPr>
              <w:t>Proces-verbal nr. 16 din 30.03.2023</w:t>
            </w:r>
          </w:p>
        </w:tc>
        <w:tc>
          <w:tcPr>
            <w:tcW w:w="4820" w:type="dxa"/>
            <w:shd w:val="clear" w:color="auto" w:fill="auto"/>
          </w:tcPr>
          <w:p w14:paraId="235C2363" w14:textId="76D310FB" w:rsidR="00981ADA" w:rsidRPr="00B13B9A" w:rsidRDefault="00981ADA" w:rsidP="0026741B">
            <w:pPr>
              <w:rPr>
                <w:rFonts w:asciiTheme="majorHAnsi" w:hAnsiTheme="majorHAnsi" w:cstheme="majorHAnsi"/>
                <w:sz w:val="20"/>
                <w:szCs w:val="20"/>
                <w:lang w:val="ro-MD"/>
              </w:rPr>
            </w:pPr>
            <w:r w:rsidRPr="00B13B9A">
              <w:rPr>
                <w:rFonts w:asciiTheme="majorHAnsi" w:hAnsiTheme="majorHAnsi" w:cstheme="majorHAnsi"/>
                <w:sz w:val="20"/>
                <w:szCs w:val="20"/>
                <w:lang w:val="ro-MD"/>
              </w:rPr>
              <w:t xml:space="preserve">Raport privind rezultatele </w:t>
            </w:r>
            <w:r w:rsidR="009F5CFF" w:rsidRPr="00B13B9A">
              <w:rPr>
                <w:rFonts w:asciiTheme="majorHAnsi" w:hAnsiTheme="majorHAnsi" w:cstheme="majorHAnsi"/>
                <w:sz w:val="20"/>
                <w:szCs w:val="20"/>
                <w:lang w:val="ro-MD"/>
              </w:rPr>
              <w:t>activită</w:t>
            </w:r>
            <w:r w:rsidR="00B13B9A" w:rsidRPr="00B13B9A">
              <w:rPr>
                <w:rFonts w:asciiTheme="majorHAnsi" w:hAnsiTheme="majorHAnsi" w:cstheme="majorHAnsi"/>
                <w:sz w:val="20"/>
                <w:szCs w:val="20"/>
                <w:lang w:val="ro-MD"/>
              </w:rPr>
              <w:t>ț</w:t>
            </w:r>
            <w:r w:rsidR="009F5CFF" w:rsidRPr="00B13B9A">
              <w:rPr>
                <w:rFonts w:asciiTheme="majorHAnsi" w:hAnsiTheme="majorHAnsi" w:cstheme="majorHAnsi"/>
                <w:sz w:val="20"/>
                <w:szCs w:val="20"/>
                <w:lang w:val="ro-MD"/>
              </w:rPr>
              <w:t>ii</w:t>
            </w:r>
            <w:r w:rsidRPr="00B13B9A">
              <w:rPr>
                <w:rFonts w:asciiTheme="majorHAnsi" w:hAnsiTheme="majorHAnsi" w:cstheme="majorHAnsi"/>
                <w:sz w:val="20"/>
                <w:szCs w:val="20"/>
                <w:lang w:val="ro-MD"/>
              </w:rPr>
              <w:t xml:space="preserve"> clinice, economico-financiare a </w:t>
            </w:r>
            <w:r w:rsidR="009F5CFF" w:rsidRPr="00B13B9A">
              <w:rPr>
                <w:rFonts w:asciiTheme="majorHAnsi" w:hAnsiTheme="majorHAnsi" w:cstheme="majorHAnsi"/>
                <w:sz w:val="20"/>
                <w:szCs w:val="20"/>
                <w:lang w:val="ro-MD"/>
              </w:rPr>
              <w:t>institu</w:t>
            </w:r>
            <w:r w:rsidR="00B13B9A" w:rsidRPr="00B13B9A">
              <w:rPr>
                <w:rFonts w:asciiTheme="majorHAnsi" w:hAnsiTheme="majorHAnsi" w:cstheme="majorHAnsi"/>
                <w:sz w:val="20"/>
                <w:szCs w:val="20"/>
                <w:lang w:val="ro-MD"/>
              </w:rPr>
              <w:t>ț</w:t>
            </w:r>
            <w:r w:rsidR="009F5CFF" w:rsidRPr="00B13B9A">
              <w:rPr>
                <w:rFonts w:asciiTheme="majorHAnsi" w:hAnsiTheme="majorHAnsi" w:cstheme="majorHAnsi"/>
                <w:sz w:val="20"/>
                <w:szCs w:val="20"/>
                <w:lang w:val="ro-MD"/>
              </w:rPr>
              <w:t>iei</w:t>
            </w:r>
            <w:r w:rsidRPr="00B13B9A">
              <w:rPr>
                <w:rFonts w:asciiTheme="majorHAnsi" w:hAnsiTheme="majorHAnsi" w:cstheme="majorHAnsi"/>
                <w:sz w:val="20"/>
                <w:szCs w:val="20"/>
                <w:lang w:val="ro-MD"/>
              </w:rPr>
              <w:t xml:space="preserve"> pentru</w:t>
            </w:r>
          </w:p>
          <w:p w14:paraId="20C64670" w14:textId="77777777" w:rsidR="00981ADA" w:rsidRPr="00B13B9A" w:rsidRDefault="00981ADA" w:rsidP="0026741B">
            <w:pPr>
              <w:rPr>
                <w:rFonts w:asciiTheme="majorHAnsi" w:hAnsiTheme="majorHAnsi" w:cstheme="majorHAnsi"/>
                <w:sz w:val="20"/>
                <w:szCs w:val="20"/>
                <w:lang w:val="ro-MD"/>
              </w:rPr>
            </w:pPr>
            <w:r w:rsidRPr="00B13B9A">
              <w:rPr>
                <w:rFonts w:asciiTheme="majorHAnsi" w:hAnsiTheme="majorHAnsi" w:cstheme="majorHAnsi"/>
                <w:sz w:val="20"/>
                <w:szCs w:val="20"/>
                <w:lang w:val="ro-MD"/>
              </w:rPr>
              <w:t>anul 2022;</w:t>
            </w:r>
          </w:p>
          <w:p w14:paraId="7188F660" w14:textId="0CD8D1C9" w:rsidR="00981ADA" w:rsidRPr="00B13B9A" w:rsidRDefault="00981ADA" w:rsidP="0026741B">
            <w:pPr>
              <w:rPr>
                <w:rFonts w:asciiTheme="majorHAnsi" w:hAnsiTheme="majorHAnsi" w:cstheme="majorHAnsi"/>
                <w:sz w:val="20"/>
                <w:szCs w:val="20"/>
                <w:lang w:val="ro-MD"/>
              </w:rPr>
            </w:pPr>
            <w:r w:rsidRPr="00B13B9A">
              <w:rPr>
                <w:rFonts w:asciiTheme="majorHAnsi" w:hAnsiTheme="majorHAnsi" w:cstheme="majorHAnsi"/>
                <w:sz w:val="20"/>
                <w:szCs w:val="20"/>
                <w:lang w:val="ro-MD"/>
              </w:rPr>
              <w:t>Aprobarea Planului de activitate al institu</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iei pentru anul 2023;</w:t>
            </w:r>
          </w:p>
          <w:p w14:paraId="2E60A9DA" w14:textId="77777777" w:rsidR="00981ADA" w:rsidRPr="00B13B9A" w:rsidRDefault="00981ADA" w:rsidP="0026741B">
            <w:pPr>
              <w:rPr>
                <w:rFonts w:asciiTheme="majorHAnsi" w:hAnsiTheme="majorHAnsi" w:cstheme="majorHAnsi"/>
                <w:sz w:val="20"/>
                <w:szCs w:val="20"/>
                <w:lang w:val="ro-MD"/>
              </w:rPr>
            </w:pPr>
            <w:r w:rsidRPr="00B13B9A">
              <w:rPr>
                <w:rFonts w:asciiTheme="majorHAnsi" w:hAnsiTheme="majorHAnsi" w:cstheme="majorHAnsi"/>
                <w:sz w:val="20"/>
                <w:szCs w:val="20"/>
                <w:lang w:val="ro-MD"/>
              </w:rPr>
              <w:t>Aprobarea Statelor de personal pentru anul 2023;</w:t>
            </w:r>
          </w:p>
          <w:p w14:paraId="4D60D61A" w14:textId="6E65C5A8" w:rsidR="00981ADA" w:rsidRPr="00B13B9A" w:rsidRDefault="00981ADA" w:rsidP="00555C8B">
            <w:pPr>
              <w:rPr>
                <w:rFonts w:asciiTheme="majorHAnsi" w:hAnsiTheme="majorHAnsi" w:cstheme="majorHAnsi"/>
                <w:sz w:val="20"/>
                <w:szCs w:val="20"/>
                <w:lang w:val="ro-MD"/>
              </w:rPr>
            </w:pPr>
            <w:r w:rsidRPr="00B13B9A">
              <w:rPr>
                <w:rFonts w:asciiTheme="majorHAnsi" w:hAnsiTheme="majorHAnsi" w:cstheme="majorHAnsi"/>
                <w:sz w:val="20"/>
                <w:szCs w:val="20"/>
                <w:lang w:val="ro-MD"/>
              </w:rPr>
              <w:t xml:space="preserve">Aprobarea Planului de </w:t>
            </w:r>
            <w:r w:rsidR="009F5CFF" w:rsidRPr="00B13B9A">
              <w:rPr>
                <w:rFonts w:asciiTheme="majorHAnsi" w:hAnsiTheme="majorHAnsi" w:cstheme="majorHAnsi"/>
                <w:sz w:val="20"/>
                <w:szCs w:val="20"/>
                <w:lang w:val="ro-MD"/>
              </w:rPr>
              <w:t>achizi</w:t>
            </w:r>
            <w:r w:rsidR="00B13B9A" w:rsidRPr="00B13B9A">
              <w:rPr>
                <w:rFonts w:asciiTheme="majorHAnsi" w:hAnsiTheme="majorHAnsi" w:cstheme="majorHAnsi"/>
                <w:sz w:val="20"/>
                <w:szCs w:val="20"/>
                <w:lang w:val="ro-MD"/>
              </w:rPr>
              <w:t>ț</w:t>
            </w:r>
            <w:r w:rsidR="009F5CFF" w:rsidRPr="00B13B9A">
              <w:rPr>
                <w:rFonts w:asciiTheme="majorHAnsi" w:hAnsiTheme="majorHAnsi" w:cstheme="majorHAnsi"/>
                <w:sz w:val="20"/>
                <w:szCs w:val="20"/>
                <w:lang w:val="ro-MD"/>
              </w:rPr>
              <w:t>ii</w:t>
            </w:r>
            <w:r w:rsidRPr="00B13B9A">
              <w:rPr>
                <w:rFonts w:asciiTheme="majorHAnsi" w:hAnsiTheme="majorHAnsi" w:cstheme="majorHAnsi"/>
                <w:sz w:val="20"/>
                <w:szCs w:val="20"/>
                <w:lang w:val="ro-MD"/>
              </w:rPr>
              <w:t xml:space="preserve"> publice pentru anul 2023</w:t>
            </w:r>
          </w:p>
        </w:tc>
      </w:tr>
      <w:tr w:rsidR="00981ADA" w:rsidRPr="00B13B9A" w14:paraId="08EDA64D" w14:textId="77777777" w:rsidTr="002101A1">
        <w:trPr>
          <w:gridAfter w:val="1"/>
          <w:wAfter w:w="12" w:type="dxa"/>
        </w:trPr>
        <w:tc>
          <w:tcPr>
            <w:tcW w:w="4106" w:type="dxa"/>
            <w:shd w:val="clear" w:color="auto" w:fill="auto"/>
          </w:tcPr>
          <w:p w14:paraId="5841EC06" w14:textId="2E2921CA" w:rsidR="00981ADA" w:rsidRPr="00B13B9A" w:rsidRDefault="00981ADA" w:rsidP="0026741B">
            <w:pPr>
              <w:rPr>
                <w:rFonts w:asciiTheme="majorHAnsi" w:hAnsiTheme="majorHAnsi" w:cstheme="majorHAnsi"/>
                <w:sz w:val="20"/>
                <w:szCs w:val="20"/>
                <w:lang w:val="ro-MD"/>
              </w:rPr>
            </w:pPr>
            <w:r w:rsidRPr="00B13B9A">
              <w:rPr>
                <w:rFonts w:asciiTheme="majorHAnsi" w:hAnsiTheme="majorHAnsi" w:cstheme="majorHAnsi"/>
                <w:sz w:val="20"/>
                <w:szCs w:val="20"/>
                <w:lang w:val="ro-MD"/>
              </w:rPr>
              <w:t>Svetlana Nicolaescu - secretar</w:t>
            </w:r>
            <w:r w:rsidR="00555C8B" w:rsidRPr="00B13B9A">
              <w:rPr>
                <w:rFonts w:asciiTheme="majorHAnsi" w:hAnsiTheme="majorHAnsi" w:cstheme="majorHAnsi"/>
                <w:sz w:val="20"/>
                <w:szCs w:val="20"/>
                <w:lang w:val="ro-MD"/>
              </w:rPr>
              <w:t>ă</w:t>
            </w:r>
            <w:r w:rsidRPr="00B13B9A">
              <w:rPr>
                <w:rFonts w:asciiTheme="majorHAnsi" w:hAnsiTheme="majorHAnsi" w:cstheme="majorHAnsi"/>
                <w:sz w:val="20"/>
                <w:szCs w:val="20"/>
                <w:lang w:val="ro-MD"/>
              </w:rPr>
              <w:t xml:space="preserve"> de stat, MS;</w:t>
            </w:r>
          </w:p>
          <w:p w14:paraId="74087FD6" w14:textId="5A991755" w:rsidR="00981ADA" w:rsidRPr="00B13B9A" w:rsidRDefault="00981ADA" w:rsidP="0026741B">
            <w:pPr>
              <w:rPr>
                <w:rFonts w:asciiTheme="majorHAnsi" w:hAnsiTheme="majorHAnsi" w:cstheme="majorHAnsi"/>
                <w:sz w:val="20"/>
                <w:szCs w:val="20"/>
                <w:lang w:val="ro-MD"/>
              </w:rPr>
            </w:pPr>
            <w:r w:rsidRPr="00B13B9A">
              <w:rPr>
                <w:rFonts w:asciiTheme="majorHAnsi" w:hAnsiTheme="majorHAnsi" w:cstheme="majorHAnsi"/>
                <w:sz w:val="20"/>
                <w:szCs w:val="20"/>
                <w:lang w:val="ro-MD"/>
              </w:rPr>
              <w:t xml:space="preserve">Mariana Gîncu - </w:t>
            </w:r>
            <w:r w:rsidR="00B13B9A" w:rsidRPr="00B13B9A">
              <w:rPr>
                <w:rFonts w:asciiTheme="majorHAnsi" w:hAnsiTheme="majorHAnsi" w:cstheme="majorHAnsi"/>
                <w:sz w:val="20"/>
                <w:szCs w:val="20"/>
                <w:lang w:val="ro-MD"/>
              </w:rPr>
              <w:t>ș</w:t>
            </w:r>
            <w:r w:rsidRPr="00B13B9A">
              <w:rPr>
                <w:rFonts w:asciiTheme="majorHAnsi" w:hAnsiTheme="majorHAnsi" w:cstheme="majorHAnsi"/>
                <w:sz w:val="20"/>
                <w:szCs w:val="20"/>
                <w:lang w:val="ro-MD"/>
              </w:rPr>
              <w:t>ef</w:t>
            </w:r>
            <w:r w:rsidR="00555C8B" w:rsidRPr="00B13B9A">
              <w:rPr>
                <w:rFonts w:asciiTheme="majorHAnsi" w:hAnsiTheme="majorHAnsi" w:cstheme="majorHAnsi"/>
                <w:sz w:val="20"/>
                <w:szCs w:val="20"/>
                <w:lang w:val="ro-MD"/>
              </w:rPr>
              <w:t>ă</w:t>
            </w:r>
            <w:r w:rsidRPr="00B13B9A">
              <w:rPr>
                <w:rFonts w:asciiTheme="majorHAnsi" w:hAnsiTheme="majorHAnsi" w:cstheme="majorHAnsi"/>
                <w:sz w:val="20"/>
                <w:szCs w:val="20"/>
                <w:lang w:val="ro-MD"/>
              </w:rPr>
              <w:t xml:space="preserve"> Direc</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ia politici în domeniul sănătă</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 xml:space="preserve">ii publice </w:t>
            </w:r>
            <w:r w:rsidR="00B13B9A" w:rsidRPr="00B13B9A">
              <w:rPr>
                <w:rFonts w:asciiTheme="majorHAnsi" w:hAnsiTheme="majorHAnsi" w:cstheme="majorHAnsi"/>
                <w:sz w:val="20"/>
                <w:szCs w:val="20"/>
                <w:lang w:val="ro-MD"/>
              </w:rPr>
              <w:t>ș</w:t>
            </w:r>
            <w:r w:rsidRPr="00B13B9A">
              <w:rPr>
                <w:rFonts w:asciiTheme="majorHAnsi" w:hAnsiTheme="majorHAnsi" w:cstheme="majorHAnsi"/>
                <w:sz w:val="20"/>
                <w:szCs w:val="20"/>
                <w:lang w:val="ro-MD"/>
              </w:rPr>
              <w:t>i urgen</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e în Sănătate Publică;</w:t>
            </w:r>
          </w:p>
          <w:p w14:paraId="051D36E6" w14:textId="1F3A9592" w:rsidR="00981ADA" w:rsidRPr="00B13B9A" w:rsidRDefault="00981ADA" w:rsidP="00555C8B">
            <w:pPr>
              <w:rPr>
                <w:rFonts w:asciiTheme="majorHAnsi" w:hAnsiTheme="majorHAnsi" w:cstheme="majorHAnsi"/>
                <w:sz w:val="20"/>
                <w:szCs w:val="20"/>
                <w:lang w:val="ro-MD"/>
              </w:rPr>
            </w:pPr>
            <w:r w:rsidRPr="00B13B9A">
              <w:rPr>
                <w:rFonts w:asciiTheme="majorHAnsi" w:hAnsiTheme="majorHAnsi" w:cstheme="majorHAnsi"/>
                <w:sz w:val="20"/>
                <w:szCs w:val="20"/>
                <w:lang w:val="ro-MD"/>
              </w:rPr>
              <w:t>Aliona David - reprezentanta colectivului de muncă</w:t>
            </w:r>
          </w:p>
        </w:tc>
        <w:tc>
          <w:tcPr>
            <w:tcW w:w="1134" w:type="dxa"/>
            <w:shd w:val="clear" w:color="auto" w:fill="auto"/>
          </w:tcPr>
          <w:p w14:paraId="4CCFB64C" w14:textId="77777777" w:rsidR="00981ADA" w:rsidRPr="00B13B9A" w:rsidRDefault="00981ADA" w:rsidP="0026741B">
            <w:pPr>
              <w:rPr>
                <w:rFonts w:asciiTheme="majorHAnsi" w:hAnsiTheme="majorHAnsi" w:cstheme="majorHAnsi"/>
                <w:sz w:val="20"/>
                <w:szCs w:val="20"/>
                <w:lang w:val="ro-MD"/>
              </w:rPr>
            </w:pPr>
            <w:r w:rsidRPr="00B13B9A">
              <w:rPr>
                <w:rFonts w:asciiTheme="majorHAnsi" w:hAnsiTheme="majorHAnsi" w:cstheme="majorHAnsi"/>
                <w:sz w:val="20"/>
                <w:szCs w:val="20"/>
                <w:lang w:val="ro-MD"/>
              </w:rPr>
              <w:t>Proces-verbal nr. 32 din 13.07.2023</w:t>
            </w:r>
          </w:p>
        </w:tc>
        <w:tc>
          <w:tcPr>
            <w:tcW w:w="4820" w:type="dxa"/>
            <w:shd w:val="clear" w:color="auto" w:fill="auto"/>
          </w:tcPr>
          <w:p w14:paraId="579169E9" w14:textId="308C4BC6" w:rsidR="00981ADA" w:rsidRPr="00B13B9A" w:rsidRDefault="00981ADA" w:rsidP="0026741B">
            <w:pPr>
              <w:rPr>
                <w:rFonts w:asciiTheme="majorHAnsi" w:hAnsiTheme="majorHAnsi" w:cstheme="majorHAnsi"/>
                <w:sz w:val="20"/>
                <w:szCs w:val="20"/>
                <w:lang w:val="ro-MD"/>
              </w:rPr>
            </w:pPr>
            <w:r w:rsidRPr="00B13B9A">
              <w:rPr>
                <w:rFonts w:asciiTheme="majorHAnsi" w:hAnsiTheme="majorHAnsi" w:cstheme="majorHAnsi"/>
                <w:sz w:val="20"/>
                <w:szCs w:val="20"/>
                <w:lang w:val="ro-MD"/>
              </w:rPr>
              <w:t xml:space="preserve">Rezultatele </w:t>
            </w:r>
            <w:r w:rsidR="009F5CFF" w:rsidRPr="00B13B9A">
              <w:rPr>
                <w:rFonts w:asciiTheme="majorHAnsi" w:hAnsiTheme="majorHAnsi" w:cstheme="majorHAnsi"/>
                <w:sz w:val="20"/>
                <w:szCs w:val="20"/>
                <w:lang w:val="ro-MD"/>
              </w:rPr>
              <w:t>activită</w:t>
            </w:r>
            <w:r w:rsidR="00B13B9A" w:rsidRPr="00B13B9A">
              <w:rPr>
                <w:rFonts w:asciiTheme="majorHAnsi" w:hAnsiTheme="majorHAnsi" w:cstheme="majorHAnsi"/>
                <w:sz w:val="20"/>
                <w:szCs w:val="20"/>
                <w:lang w:val="ro-MD"/>
              </w:rPr>
              <w:t>ț</w:t>
            </w:r>
            <w:r w:rsidR="009F5CFF" w:rsidRPr="00B13B9A">
              <w:rPr>
                <w:rFonts w:asciiTheme="majorHAnsi" w:hAnsiTheme="majorHAnsi" w:cstheme="majorHAnsi"/>
                <w:sz w:val="20"/>
                <w:szCs w:val="20"/>
                <w:lang w:val="ro-MD"/>
              </w:rPr>
              <w:t>ii</w:t>
            </w:r>
            <w:r w:rsidRPr="00B13B9A">
              <w:rPr>
                <w:rFonts w:asciiTheme="majorHAnsi" w:hAnsiTheme="majorHAnsi" w:cstheme="majorHAnsi"/>
                <w:sz w:val="20"/>
                <w:szCs w:val="20"/>
                <w:lang w:val="ro-MD"/>
              </w:rPr>
              <w:t xml:space="preserve"> medicale </w:t>
            </w:r>
            <w:r w:rsidR="00B13B9A" w:rsidRPr="00B13B9A">
              <w:rPr>
                <w:rFonts w:asciiTheme="majorHAnsi" w:hAnsiTheme="majorHAnsi" w:cstheme="majorHAnsi"/>
                <w:sz w:val="20"/>
                <w:szCs w:val="20"/>
                <w:lang w:val="ro-MD"/>
              </w:rPr>
              <w:t>ș</w:t>
            </w:r>
            <w:r w:rsidRPr="00B13B9A">
              <w:rPr>
                <w:rFonts w:asciiTheme="majorHAnsi" w:hAnsiTheme="majorHAnsi" w:cstheme="majorHAnsi"/>
                <w:sz w:val="20"/>
                <w:szCs w:val="20"/>
                <w:lang w:val="ro-MD"/>
              </w:rPr>
              <w:t>i economico-financiare a institu</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iei pentru semestrul I anul 2023;</w:t>
            </w:r>
          </w:p>
          <w:p w14:paraId="0098E37E" w14:textId="6B73FE31" w:rsidR="00981ADA" w:rsidRPr="00B13B9A" w:rsidRDefault="00981ADA" w:rsidP="0026741B">
            <w:pPr>
              <w:rPr>
                <w:rFonts w:asciiTheme="majorHAnsi" w:hAnsiTheme="majorHAnsi" w:cstheme="majorHAnsi"/>
                <w:sz w:val="20"/>
                <w:szCs w:val="20"/>
                <w:lang w:val="ro-MD"/>
              </w:rPr>
            </w:pPr>
            <w:r w:rsidRPr="00B13B9A">
              <w:rPr>
                <w:rFonts w:asciiTheme="majorHAnsi" w:hAnsiTheme="majorHAnsi" w:cstheme="majorHAnsi"/>
                <w:sz w:val="20"/>
                <w:szCs w:val="20"/>
                <w:lang w:val="ro-MD"/>
              </w:rPr>
              <w:t xml:space="preserve">Examinarea </w:t>
            </w:r>
            <w:r w:rsidR="00B13B9A" w:rsidRPr="00B13B9A">
              <w:rPr>
                <w:rFonts w:asciiTheme="majorHAnsi" w:hAnsiTheme="majorHAnsi" w:cstheme="majorHAnsi"/>
                <w:sz w:val="20"/>
                <w:szCs w:val="20"/>
                <w:lang w:val="ro-MD"/>
              </w:rPr>
              <w:t>ș</w:t>
            </w:r>
            <w:r w:rsidRPr="00B13B9A">
              <w:rPr>
                <w:rFonts w:asciiTheme="majorHAnsi" w:hAnsiTheme="majorHAnsi" w:cstheme="majorHAnsi"/>
                <w:sz w:val="20"/>
                <w:szCs w:val="20"/>
                <w:lang w:val="ro-MD"/>
              </w:rPr>
              <w:t>i aprobarea Planului strategic de dezvoltare a institu</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iei pentru anii 2023-2027;</w:t>
            </w:r>
          </w:p>
          <w:p w14:paraId="045C1612" w14:textId="50F65D96" w:rsidR="00981ADA" w:rsidRPr="00B13B9A" w:rsidRDefault="00981ADA" w:rsidP="0026741B">
            <w:pPr>
              <w:rPr>
                <w:rFonts w:asciiTheme="majorHAnsi" w:hAnsiTheme="majorHAnsi" w:cstheme="majorHAnsi"/>
                <w:sz w:val="20"/>
                <w:szCs w:val="20"/>
                <w:lang w:val="ro-MD"/>
              </w:rPr>
            </w:pPr>
            <w:r w:rsidRPr="00B13B9A">
              <w:rPr>
                <w:rFonts w:asciiTheme="majorHAnsi" w:hAnsiTheme="majorHAnsi" w:cstheme="majorHAnsi"/>
                <w:sz w:val="20"/>
                <w:szCs w:val="20"/>
                <w:lang w:val="ro-MD"/>
              </w:rPr>
              <w:t xml:space="preserve">Examinarea </w:t>
            </w:r>
            <w:r w:rsidR="00B13B9A" w:rsidRPr="00B13B9A">
              <w:rPr>
                <w:rFonts w:asciiTheme="majorHAnsi" w:hAnsiTheme="majorHAnsi" w:cstheme="majorHAnsi"/>
                <w:sz w:val="20"/>
                <w:szCs w:val="20"/>
                <w:lang w:val="ro-MD"/>
              </w:rPr>
              <w:t>ș</w:t>
            </w:r>
            <w:r w:rsidRPr="00B13B9A">
              <w:rPr>
                <w:rFonts w:asciiTheme="majorHAnsi" w:hAnsiTheme="majorHAnsi" w:cstheme="majorHAnsi"/>
                <w:sz w:val="20"/>
                <w:szCs w:val="20"/>
                <w:lang w:val="ro-MD"/>
              </w:rPr>
              <w:t xml:space="preserve">i coordonarea Organigramei </w:t>
            </w:r>
            <w:r w:rsidR="00B13B9A" w:rsidRPr="00B13B9A">
              <w:rPr>
                <w:rFonts w:asciiTheme="majorHAnsi" w:hAnsiTheme="majorHAnsi" w:cstheme="majorHAnsi"/>
                <w:sz w:val="20"/>
                <w:szCs w:val="20"/>
                <w:lang w:val="ro-MD"/>
              </w:rPr>
              <w:t>ș</w:t>
            </w:r>
            <w:r w:rsidRPr="00B13B9A">
              <w:rPr>
                <w:rFonts w:asciiTheme="majorHAnsi" w:hAnsiTheme="majorHAnsi" w:cstheme="majorHAnsi"/>
                <w:sz w:val="20"/>
                <w:szCs w:val="20"/>
                <w:lang w:val="ro-MD"/>
              </w:rPr>
              <w:t>i a schemei Statelor de personal;</w:t>
            </w:r>
          </w:p>
          <w:p w14:paraId="5BC753FB" w14:textId="75258BA1" w:rsidR="00981ADA" w:rsidRPr="00B13B9A" w:rsidRDefault="00981ADA" w:rsidP="00555C8B">
            <w:pPr>
              <w:rPr>
                <w:rFonts w:asciiTheme="majorHAnsi" w:hAnsiTheme="majorHAnsi" w:cstheme="majorHAnsi"/>
                <w:sz w:val="20"/>
                <w:szCs w:val="20"/>
                <w:lang w:val="ro-MD"/>
              </w:rPr>
            </w:pPr>
            <w:r w:rsidRPr="00B13B9A">
              <w:rPr>
                <w:rFonts w:asciiTheme="majorHAnsi" w:hAnsiTheme="majorHAnsi" w:cstheme="majorHAnsi"/>
                <w:sz w:val="20"/>
                <w:szCs w:val="20"/>
                <w:lang w:val="ro-MD"/>
              </w:rPr>
              <w:t xml:space="preserve">Examinarea </w:t>
            </w:r>
            <w:r w:rsidR="00B13B9A" w:rsidRPr="00B13B9A">
              <w:rPr>
                <w:rFonts w:asciiTheme="majorHAnsi" w:hAnsiTheme="majorHAnsi" w:cstheme="majorHAnsi"/>
                <w:sz w:val="20"/>
                <w:szCs w:val="20"/>
                <w:lang w:val="ro-MD"/>
              </w:rPr>
              <w:t>ș</w:t>
            </w:r>
            <w:r w:rsidRPr="00B13B9A">
              <w:rPr>
                <w:rFonts w:asciiTheme="majorHAnsi" w:hAnsiTheme="majorHAnsi" w:cstheme="majorHAnsi"/>
                <w:sz w:val="20"/>
                <w:szCs w:val="20"/>
                <w:lang w:val="ro-MD"/>
              </w:rPr>
              <w:t>i aprobarea modificărilor în Planul de achizi</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ii publice pentru anul 2023</w:t>
            </w:r>
          </w:p>
        </w:tc>
      </w:tr>
      <w:tr w:rsidR="00981ADA" w:rsidRPr="00B13B9A" w14:paraId="123BA325" w14:textId="77777777" w:rsidTr="002101A1">
        <w:trPr>
          <w:gridAfter w:val="1"/>
          <w:wAfter w:w="12" w:type="dxa"/>
        </w:trPr>
        <w:tc>
          <w:tcPr>
            <w:tcW w:w="4106" w:type="dxa"/>
            <w:shd w:val="clear" w:color="auto" w:fill="auto"/>
          </w:tcPr>
          <w:p w14:paraId="20119198" w14:textId="4329730E" w:rsidR="00981ADA" w:rsidRPr="00B13B9A" w:rsidRDefault="00981ADA" w:rsidP="0026741B">
            <w:pPr>
              <w:rPr>
                <w:rFonts w:asciiTheme="majorHAnsi" w:hAnsiTheme="majorHAnsi" w:cstheme="majorHAnsi"/>
                <w:sz w:val="20"/>
                <w:szCs w:val="20"/>
                <w:lang w:val="ro-MD"/>
              </w:rPr>
            </w:pPr>
            <w:r w:rsidRPr="00B13B9A">
              <w:rPr>
                <w:rFonts w:asciiTheme="majorHAnsi" w:hAnsiTheme="majorHAnsi" w:cstheme="majorHAnsi"/>
                <w:sz w:val="20"/>
                <w:szCs w:val="20"/>
                <w:lang w:val="ro-MD"/>
              </w:rPr>
              <w:t>Svetlana Nicolaescu - secretar</w:t>
            </w:r>
            <w:r w:rsidR="00555C8B" w:rsidRPr="00B13B9A">
              <w:rPr>
                <w:rFonts w:asciiTheme="majorHAnsi" w:hAnsiTheme="majorHAnsi" w:cstheme="majorHAnsi"/>
                <w:sz w:val="20"/>
                <w:szCs w:val="20"/>
                <w:lang w:val="ro-MD"/>
              </w:rPr>
              <w:t>ă</w:t>
            </w:r>
            <w:r w:rsidRPr="00B13B9A">
              <w:rPr>
                <w:rFonts w:asciiTheme="majorHAnsi" w:hAnsiTheme="majorHAnsi" w:cstheme="majorHAnsi"/>
                <w:sz w:val="20"/>
                <w:szCs w:val="20"/>
                <w:lang w:val="ro-MD"/>
              </w:rPr>
              <w:t xml:space="preserve"> de stat, MS;</w:t>
            </w:r>
          </w:p>
          <w:p w14:paraId="5D0B41D8" w14:textId="164F1C73" w:rsidR="00981ADA" w:rsidRPr="00B13B9A" w:rsidRDefault="00981ADA" w:rsidP="0026741B">
            <w:pPr>
              <w:rPr>
                <w:rFonts w:asciiTheme="majorHAnsi" w:hAnsiTheme="majorHAnsi" w:cstheme="majorHAnsi"/>
                <w:sz w:val="20"/>
                <w:szCs w:val="20"/>
                <w:lang w:val="ro-MD"/>
              </w:rPr>
            </w:pPr>
            <w:r w:rsidRPr="00B13B9A">
              <w:rPr>
                <w:rFonts w:asciiTheme="majorHAnsi" w:hAnsiTheme="majorHAnsi" w:cstheme="majorHAnsi"/>
                <w:sz w:val="20"/>
                <w:szCs w:val="20"/>
                <w:lang w:val="ro-MD"/>
              </w:rPr>
              <w:t xml:space="preserve">Mariana Gîncu - </w:t>
            </w:r>
            <w:r w:rsidR="00B13B9A" w:rsidRPr="00B13B9A">
              <w:rPr>
                <w:rFonts w:asciiTheme="majorHAnsi" w:hAnsiTheme="majorHAnsi" w:cstheme="majorHAnsi"/>
                <w:sz w:val="20"/>
                <w:szCs w:val="20"/>
                <w:lang w:val="ro-MD"/>
              </w:rPr>
              <w:t>ș</w:t>
            </w:r>
            <w:r w:rsidRPr="00B13B9A">
              <w:rPr>
                <w:rFonts w:asciiTheme="majorHAnsi" w:hAnsiTheme="majorHAnsi" w:cstheme="majorHAnsi"/>
                <w:sz w:val="20"/>
                <w:szCs w:val="20"/>
                <w:lang w:val="ro-MD"/>
              </w:rPr>
              <w:t>ef</w:t>
            </w:r>
            <w:r w:rsidR="00555C8B" w:rsidRPr="00B13B9A">
              <w:rPr>
                <w:rFonts w:asciiTheme="majorHAnsi" w:hAnsiTheme="majorHAnsi" w:cstheme="majorHAnsi"/>
                <w:sz w:val="20"/>
                <w:szCs w:val="20"/>
                <w:lang w:val="ro-MD"/>
              </w:rPr>
              <w:t>ă</w:t>
            </w:r>
            <w:r w:rsidRPr="00B13B9A">
              <w:rPr>
                <w:rFonts w:asciiTheme="majorHAnsi" w:hAnsiTheme="majorHAnsi" w:cstheme="majorHAnsi"/>
                <w:sz w:val="20"/>
                <w:szCs w:val="20"/>
                <w:lang w:val="ro-MD"/>
              </w:rPr>
              <w:t xml:space="preserve"> Direc</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ia politici în domeniul sănătă</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 xml:space="preserve">ii publice </w:t>
            </w:r>
            <w:r w:rsidR="00B13B9A" w:rsidRPr="00B13B9A">
              <w:rPr>
                <w:rFonts w:asciiTheme="majorHAnsi" w:hAnsiTheme="majorHAnsi" w:cstheme="majorHAnsi"/>
                <w:sz w:val="20"/>
                <w:szCs w:val="20"/>
                <w:lang w:val="ro-MD"/>
              </w:rPr>
              <w:t>ș</w:t>
            </w:r>
            <w:r w:rsidRPr="00B13B9A">
              <w:rPr>
                <w:rFonts w:asciiTheme="majorHAnsi" w:hAnsiTheme="majorHAnsi" w:cstheme="majorHAnsi"/>
                <w:sz w:val="20"/>
                <w:szCs w:val="20"/>
                <w:lang w:val="ro-MD"/>
              </w:rPr>
              <w:t>i urgen</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e în Sănătate Publică;</w:t>
            </w:r>
          </w:p>
          <w:p w14:paraId="13E9DC34" w14:textId="237A9367" w:rsidR="00981ADA" w:rsidRPr="00B13B9A" w:rsidRDefault="00981ADA" w:rsidP="00555C8B">
            <w:pPr>
              <w:rPr>
                <w:rFonts w:asciiTheme="majorHAnsi" w:hAnsiTheme="majorHAnsi" w:cstheme="majorHAnsi"/>
                <w:sz w:val="20"/>
                <w:szCs w:val="20"/>
                <w:lang w:val="ro-MD"/>
              </w:rPr>
            </w:pPr>
            <w:r w:rsidRPr="00B13B9A">
              <w:rPr>
                <w:rFonts w:asciiTheme="majorHAnsi" w:hAnsiTheme="majorHAnsi" w:cstheme="majorHAnsi"/>
                <w:sz w:val="20"/>
                <w:szCs w:val="20"/>
                <w:lang w:val="ro-MD"/>
              </w:rPr>
              <w:t>Aliona David - reprezentant</w:t>
            </w:r>
            <w:r w:rsidR="00555C8B" w:rsidRPr="00B13B9A">
              <w:rPr>
                <w:rFonts w:asciiTheme="majorHAnsi" w:hAnsiTheme="majorHAnsi" w:cstheme="majorHAnsi"/>
                <w:sz w:val="20"/>
                <w:szCs w:val="20"/>
                <w:lang w:val="ro-MD"/>
              </w:rPr>
              <w:t>ă</w:t>
            </w:r>
            <w:r w:rsidRPr="00B13B9A">
              <w:rPr>
                <w:rFonts w:asciiTheme="majorHAnsi" w:hAnsiTheme="majorHAnsi" w:cstheme="majorHAnsi"/>
                <w:sz w:val="20"/>
                <w:szCs w:val="20"/>
                <w:lang w:val="ro-MD"/>
              </w:rPr>
              <w:t xml:space="preserve"> colectivului de muncă</w:t>
            </w:r>
          </w:p>
        </w:tc>
        <w:tc>
          <w:tcPr>
            <w:tcW w:w="1134" w:type="dxa"/>
            <w:shd w:val="clear" w:color="auto" w:fill="auto"/>
          </w:tcPr>
          <w:p w14:paraId="0DB17D7A" w14:textId="77777777" w:rsidR="00981ADA" w:rsidRPr="00B13B9A" w:rsidRDefault="00981ADA" w:rsidP="0026741B">
            <w:pPr>
              <w:rPr>
                <w:rFonts w:asciiTheme="majorHAnsi" w:hAnsiTheme="majorHAnsi" w:cstheme="majorHAnsi"/>
                <w:sz w:val="20"/>
                <w:szCs w:val="20"/>
                <w:lang w:val="ro-MD"/>
              </w:rPr>
            </w:pPr>
            <w:r w:rsidRPr="00B13B9A">
              <w:rPr>
                <w:rFonts w:asciiTheme="majorHAnsi" w:hAnsiTheme="majorHAnsi" w:cstheme="majorHAnsi"/>
                <w:sz w:val="20"/>
                <w:szCs w:val="20"/>
                <w:lang w:val="ro-MD"/>
              </w:rPr>
              <w:t>Proces- verbal nr. 33 din 04.08.2023</w:t>
            </w:r>
          </w:p>
        </w:tc>
        <w:tc>
          <w:tcPr>
            <w:tcW w:w="4820" w:type="dxa"/>
            <w:shd w:val="clear" w:color="auto" w:fill="auto"/>
          </w:tcPr>
          <w:p w14:paraId="6D2768D7" w14:textId="755CE149" w:rsidR="00981ADA" w:rsidRPr="00B13B9A" w:rsidRDefault="00981ADA" w:rsidP="0026741B">
            <w:pPr>
              <w:rPr>
                <w:rFonts w:asciiTheme="majorHAnsi" w:hAnsiTheme="majorHAnsi" w:cstheme="majorHAnsi"/>
                <w:sz w:val="20"/>
                <w:szCs w:val="20"/>
                <w:lang w:val="ro-MD"/>
              </w:rPr>
            </w:pPr>
            <w:r w:rsidRPr="00B13B9A">
              <w:rPr>
                <w:rFonts w:asciiTheme="majorHAnsi" w:hAnsiTheme="majorHAnsi" w:cstheme="majorHAnsi"/>
                <w:sz w:val="20"/>
                <w:szCs w:val="20"/>
                <w:lang w:val="ro-MD"/>
              </w:rPr>
              <w:t>Examinarea solicitării Autorită</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ii Na</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ional</w:t>
            </w:r>
            <w:r w:rsidR="00555C8B" w:rsidRPr="00B13B9A">
              <w:rPr>
                <w:rFonts w:asciiTheme="majorHAnsi" w:hAnsiTheme="majorHAnsi" w:cstheme="majorHAnsi"/>
                <w:sz w:val="20"/>
                <w:szCs w:val="20"/>
                <w:lang w:val="ro-MD"/>
              </w:rPr>
              <w:t>e</w:t>
            </w:r>
            <w:r w:rsidRPr="00B13B9A">
              <w:rPr>
                <w:rFonts w:asciiTheme="majorHAnsi" w:hAnsiTheme="majorHAnsi" w:cstheme="majorHAnsi"/>
                <w:sz w:val="20"/>
                <w:szCs w:val="20"/>
                <w:lang w:val="ro-MD"/>
              </w:rPr>
              <w:t xml:space="preserve"> a Penitenciarelor privind transmiterea în comodat</w:t>
            </w:r>
          </w:p>
          <w:p w14:paraId="1BEDF0CD" w14:textId="2C7F1697" w:rsidR="00981ADA" w:rsidRPr="00B13B9A" w:rsidRDefault="00981ADA" w:rsidP="00AF4631">
            <w:pPr>
              <w:rPr>
                <w:rFonts w:asciiTheme="majorHAnsi" w:hAnsiTheme="majorHAnsi" w:cstheme="majorHAnsi"/>
                <w:sz w:val="20"/>
                <w:szCs w:val="20"/>
                <w:lang w:val="ro-MD"/>
              </w:rPr>
            </w:pPr>
            <w:r w:rsidRPr="00B13B9A">
              <w:rPr>
                <w:rFonts w:asciiTheme="majorHAnsi" w:hAnsiTheme="majorHAnsi" w:cstheme="majorHAnsi"/>
                <w:sz w:val="20"/>
                <w:szCs w:val="20"/>
                <w:lang w:val="ro-MD"/>
              </w:rPr>
              <w:t xml:space="preserve">a Cabinetului </w:t>
            </w:r>
            <w:r w:rsidR="009F5CFF" w:rsidRPr="00B13B9A">
              <w:rPr>
                <w:rFonts w:asciiTheme="majorHAnsi" w:hAnsiTheme="majorHAnsi" w:cstheme="majorHAnsi"/>
                <w:sz w:val="20"/>
                <w:szCs w:val="20"/>
                <w:lang w:val="ro-MD"/>
              </w:rPr>
              <w:t>fluorografic</w:t>
            </w:r>
            <w:r w:rsidRPr="00B13B9A">
              <w:rPr>
                <w:rFonts w:asciiTheme="majorHAnsi" w:hAnsiTheme="majorHAnsi" w:cstheme="majorHAnsi"/>
                <w:sz w:val="20"/>
                <w:szCs w:val="20"/>
                <w:lang w:val="ro-MD"/>
              </w:rPr>
              <w:t xml:space="preserve"> mobil cu flu</w:t>
            </w:r>
            <w:r w:rsidR="00555C8B" w:rsidRPr="00B13B9A">
              <w:rPr>
                <w:rFonts w:asciiTheme="majorHAnsi" w:hAnsiTheme="majorHAnsi" w:cstheme="majorHAnsi"/>
                <w:sz w:val="20"/>
                <w:szCs w:val="20"/>
                <w:lang w:val="ro-MD"/>
              </w:rPr>
              <w:t>o</w:t>
            </w:r>
            <w:r w:rsidRPr="00B13B9A">
              <w:rPr>
                <w:rFonts w:asciiTheme="majorHAnsi" w:hAnsiTheme="majorHAnsi" w:cstheme="majorHAnsi"/>
                <w:sz w:val="20"/>
                <w:szCs w:val="20"/>
                <w:lang w:val="ro-MD"/>
              </w:rPr>
              <w:t>rograf digital</w:t>
            </w:r>
          </w:p>
        </w:tc>
      </w:tr>
    </w:tbl>
    <w:p w14:paraId="14EE7E89" w14:textId="22927B05" w:rsidR="0007264E" w:rsidRPr="00B13B9A" w:rsidRDefault="0007264E" w:rsidP="0007264E">
      <w:pPr>
        <w:pStyle w:val="cn"/>
        <w:spacing w:line="276" w:lineRule="auto"/>
        <w:ind w:right="71"/>
        <w:jc w:val="both"/>
        <w:rPr>
          <w:rFonts w:asciiTheme="majorHAnsi" w:eastAsiaTheme="minorHAnsi" w:hAnsiTheme="majorHAnsi" w:cstheme="majorHAnsi"/>
          <w:i/>
          <w:sz w:val="20"/>
          <w:szCs w:val="20"/>
          <w:lang w:val="ro-MD" w:eastAsia="en-US"/>
        </w:rPr>
      </w:pPr>
      <w:r w:rsidRPr="00B13B9A">
        <w:rPr>
          <w:rFonts w:asciiTheme="majorHAnsi" w:eastAsiaTheme="minorHAnsi" w:hAnsiTheme="majorHAnsi" w:cstheme="majorHAnsi"/>
          <w:b/>
          <w:i/>
          <w:sz w:val="20"/>
          <w:szCs w:val="20"/>
          <w:lang w:val="ro-MD" w:eastAsia="en-US"/>
        </w:rPr>
        <w:t>Sursa:</w:t>
      </w:r>
      <w:r w:rsidRPr="00B13B9A">
        <w:rPr>
          <w:rFonts w:asciiTheme="majorHAnsi" w:eastAsiaTheme="minorHAnsi" w:hAnsiTheme="majorHAnsi" w:cstheme="majorHAnsi"/>
          <w:i/>
          <w:sz w:val="20"/>
          <w:szCs w:val="20"/>
          <w:lang w:val="ro-MD" w:eastAsia="en-US"/>
        </w:rPr>
        <w:t xml:space="preserve"> </w:t>
      </w:r>
      <w:r w:rsidR="00AF4631" w:rsidRPr="00B13B9A">
        <w:rPr>
          <w:rFonts w:asciiTheme="majorHAnsi" w:eastAsiaTheme="minorHAnsi" w:hAnsiTheme="majorHAnsi" w:cstheme="majorHAnsi"/>
          <w:i/>
          <w:sz w:val="20"/>
          <w:szCs w:val="20"/>
          <w:lang w:val="ro-MD" w:eastAsia="en-US"/>
        </w:rPr>
        <w:t xml:space="preserve">Elaborat </w:t>
      </w:r>
      <w:r w:rsidRPr="00B13B9A">
        <w:rPr>
          <w:rFonts w:asciiTheme="majorHAnsi" w:eastAsiaTheme="minorHAnsi" w:hAnsiTheme="majorHAnsi" w:cstheme="majorHAnsi"/>
          <w:i/>
          <w:sz w:val="20"/>
          <w:szCs w:val="20"/>
          <w:lang w:val="ro-MD" w:eastAsia="en-US"/>
        </w:rPr>
        <w:t>de audit în baza datelor prezentate de entitate</w:t>
      </w:r>
      <w:r w:rsidR="00AF4631" w:rsidRPr="00B13B9A">
        <w:rPr>
          <w:rFonts w:asciiTheme="majorHAnsi" w:eastAsiaTheme="minorHAnsi" w:hAnsiTheme="majorHAnsi" w:cstheme="majorHAnsi"/>
          <w:i/>
          <w:sz w:val="20"/>
          <w:szCs w:val="20"/>
          <w:lang w:val="ro-MD" w:eastAsia="en-US"/>
        </w:rPr>
        <w:t>.</w:t>
      </w:r>
    </w:p>
    <w:p w14:paraId="1C791B2C" w14:textId="77777777" w:rsidR="00EF1983" w:rsidRPr="00B13B9A" w:rsidRDefault="00EF1983" w:rsidP="00EF1983">
      <w:pPr>
        <w:pStyle w:val="a7"/>
        <w:spacing w:after="0"/>
        <w:ind w:left="0"/>
        <w:jc w:val="right"/>
        <w:rPr>
          <w:rFonts w:asciiTheme="majorHAnsi" w:hAnsiTheme="majorHAnsi" w:cstheme="majorHAnsi"/>
          <w:b/>
          <w:i/>
          <w:sz w:val="24"/>
          <w:szCs w:val="24"/>
          <w:lang w:val="ro-MD"/>
        </w:rPr>
      </w:pPr>
    </w:p>
    <w:p w14:paraId="6D1432CF" w14:textId="6495608D" w:rsidR="00EF1983" w:rsidRPr="00934A6F" w:rsidRDefault="00782BD2" w:rsidP="00F169F5">
      <w:pPr>
        <w:pStyle w:val="3"/>
        <w:jc w:val="right"/>
        <w:rPr>
          <w:rFonts w:cstheme="majorHAnsi"/>
          <w:b/>
          <w:iCs/>
          <w:color w:val="auto"/>
        </w:rPr>
      </w:pPr>
      <w:bookmarkStart w:id="55" w:name="_Toc154562526"/>
      <w:r w:rsidRPr="00934A6F">
        <w:rPr>
          <w:rFonts w:cstheme="majorHAnsi"/>
          <w:b/>
          <w:iCs/>
          <w:color w:val="auto"/>
        </w:rPr>
        <w:t xml:space="preserve">Anexa nr. </w:t>
      </w:r>
      <w:r w:rsidR="00A51C46" w:rsidRPr="00934A6F">
        <w:rPr>
          <w:rFonts w:cstheme="majorHAnsi"/>
          <w:b/>
          <w:iCs/>
          <w:color w:val="auto"/>
        </w:rPr>
        <w:t>3</w:t>
      </w:r>
      <w:bookmarkEnd w:id="55"/>
    </w:p>
    <w:p w14:paraId="5D94E010" w14:textId="17BDE15F" w:rsidR="00EF1983" w:rsidRPr="00934A6F" w:rsidRDefault="00EF1983" w:rsidP="00C93D2B">
      <w:pPr>
        <w:spacing w:after="0" w:line="240" w:lineRule="auto"/>
        <w:jc w:val="center"/>
        <w:rPr>
          <w:rFonts w:asciiTheme="majorHAnsi" w:eastAsia="Times New Roman" w:hAnsiTheme="majorHAnsi" w:cstheme="majorHAnsi"/>
          <w:b/>
          <w:bCs/>
          <w:color w:val="000000"/>
          <w:sz w:val="24"/>
          <w:lang w:val="ro-MD"/>
        </w:rPr>
      </w:pPr>
      <w:r w:rsidRPr="00934A6F">
        <w:rPr>
          <w:rFonts w:asciiTheme="majorHAnsi" w:eastAsia="Times New Roman" w:hAnsiTheme="majorHAnsi" w:cstheme="majorHAnsi"/>
          <w:b/>
          <w:bCs/>
          <w:color w:val="000000"/>
          <w:sz w:val="24"/>
          <w:lang w:val="ro-MD"/>
        </w:rPr>
        <w:t>Situa</w:t>
      </w:r>
      <w:r w:rsidR="00B13B9A" w:rsidRPr="00934A6F">
        <w:rPr>
          <w:rFonts w:asciiTheme="majorHAnsi" w:eastAsia="Times New Roman" w:hAnsiTheme="majorHAnsi" w:cstheme="majorHAnsi"/>
          <w:b/>
          <w:bCs/>
          <w:color w:val="000000"/>
          <w:sz w:val="24"/>
          <w:lang w:val="ro-MD"/>
        </w:rPr>
        <w:t>ț</w:t>
      </w:r>
      <w:r w:rsidRPr="00934A6F">
        <w:rPr>
          <w:rFonts w:asciiTheme="majorHAnsi" w:eastAsia="Times New Roman" w:hAnsiTheme="majorHAnsi" w:cstheme="majorHAnsi"/>
          <w:b/>
          <w:bCs/>
          <w:color w:val="000000"/>
          <w:sz w:val="24"/>
          <w:lang w:val="ro-MD"/>
        </w:rPr>
        <w:t xml:space="preserve">ia economico-financiară a </w:t>
      </w:r>
      <w:r w:rsidR="00F431A2" w:rsidRPr="00934A6F">
        <w:rPr>
          <w:rFonts w:asciiTheme="majorHAnsi" w:hAnsiTheme="majorHAnsi" w:cstheme="majorHAnsi"/>
          <w:b/>
          <w:color w:val="000000" w:themeColor="text1"/>
          <w:sz w:val="24"/>
          <w:szCs w:val="24"/>
          <w:lang w:val="ro-MD"/>
        </w:rPr>
        <w:t xml:space="preserve">IMSP IFP </w:t>
      </w:r>
      <w:r w:rsidR="00F431A2" w:rsidRPr="00934A6F">
        <w:rPr>
          <w:rFonts w:asciiTheme="majorHAnsi" w:hAnsiTheme="majorHAnsi" w:cstheme="majorHAnsi"/>
          <w:b/>
          <w:sz w:val="24"/>
          <w:szCs w:val="24"/>
          <w:lang w:val="ro-MD"/>
        </w:rPr>
        <w:t>„Chiril Draganiuc”</w:t>
      </w:r>
      <w:r w:rsidR="00C93D2B" w:rsidRPr="00934A6F">
        <w:rPr>
          <w:rFonts w:asciiTheme="majorHAnsi" w:hAnsiTheme="majorHAnsi" w:cstheme="majorHAnsi"/>
          <w:b/>
          <w:sz w:val="24"/>
          <w:szCs w:val="24"/>
          <w:lang w:val="ro-MD"/>
        </w:rPr>
        <w:t xml:space="preserve"> pe parcursul perioadei auditate</w:t>
      </w:r>
    </w:p>
    <w:tbl>
      <w:tblPr>
        <w:tblStyle w:val="12"/>
        <w:tblW w:w="10206" w:type="dxa"/>
        <w:tblLook w:val="04A0" w:firstRow="1" w:lastRow="0" w:firstColumn="1" w:lastColumn="0" w:noHBand="0" w:noVBand="1"/>
      </w:tblPr>
      <w:tblGrid>
        <w:gridCol w:w="3119"/>
        <w:gridCol w:w="1276"/>
        <w:gridCol w:w="1276"/>
        <w:gridCol w:w="1276"/>
        <w:gridCol w:w="1134"/>
        <w:gridCol w:w="992"/>
        <w:gridCol w:w="1133"/>
      </w:tblGrid>
      <w:tr w:rsidR="00C93D2B" w:rsidRPr="00934A6F" w14:paraId="151309ED" w14:textId="77777777" w:rsidTr="00C93D2B">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19" w:type="dxa"/>
            <w:noWrap/>
            <w:hideMark/>
          </w:tcPr>
          <w:p w14:paraId="02683050" w14:textId="77777777" w:rsidR="00C93D2B" w:rsidRPr="00934A6F" w:rsidRDefault="00C93D2B" w:rsidP="00C93D2B">
            <w:pPr>
              <w:jc w:val="center"/>
              <w:rPr>
                <w:rFonts w:asciiTheme="majorHAnsi" w:eastAsia="Times New Roman" w:hAnsiTheme="majorHAnsi" w:cstheme="majorHAnsi"/>
                <w:b w:val="0"/>
                <w:i/>
                <w:iCs/>
                <w:color w:val="000000"/>
                <w:sz w:val="20"/>
                <w:szCs w:val="20"/>
                <w:lang w:val="ro-MD"/>
              </w:rPr>
            </w:pPr>
            <w:r w:rsidRPr="00934A6F">
              <w:rPr>
                <w:rFonts w:asciiTheme="majorHAnsi" w:eastAsia="Times New Roman" w:hAnsiTheme="majorHAnsi" w:cstheme="majorHAnsi"/>
                <w:b w:val="0"/>
                <w:i/>
                <w:iCs/>
                <w:color w:val="000000"/>
                <w:sz w:val="20"/>
                <w:szCs w:val="20"/>
                <w:lang w:val="ro-MD"/>
              </w:rPr>
              <w:t>Indicatorii</w:t>
            </w:r>
          </w:p>
        </w:tc>
        <w:tc>
          <w:tcPr>
            <w:tcW w:w="1276" w:type="dxa"/>
            <w:hideMark/>
          </w:tcPr>
          <w:p w14:paraId="72122B7A" w14:textId="77777777" w:rsidR="00C93D2B" w:rsidRPr="00934A6F" w:rsidRDefault="00C93D2B" w:rsidP="00C93D2B">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i/>
                <w:iCs/>
                <w:color w:val="000000"/>
                <w:sz w:val="20"/>
                <w:szCs w:val="20"/>
                <w:lang w:val="ro-MD"/>
              </w:rPr>
            </w:pPr>
            <w:r w:rsidRPr="00934A6F">
              <w:rPr>
                <w:rFonts w:asciiTheme="majorHAnsi" w:eastAsia="Times New Roman" w:hAnsiTheme="majorHAnsi" w:cstheme="majorHAnsi"/>
                <w:b w:val="0"/>
                <w:i/>
                <w:iCs/>
                <w:color w:val="000000"/>
                <w:sz w:val="20"/>
                <w:szCs w:val="20"/>
                <w:lang w:val="ro-MD"/>
              </w:rPr>
              <w:t>Anul 2021, mii lei</w:t>
            </w:r>
          </w:p>
        </w:tc>
        <w:tc>
          <w:tcPr>
            <w:tcW w:w="1276" w:type="dxa"/>
            <w:hideMark/>
          </w:tcPr>
          <w:p w14:paraId="3E1ACCED" w14:textId="77777777" w:rsidR="00C93D2B" w:rsidRPr="00934A6F" w:rsidRDefault="00C93D2B" w:rsidP="00C93D2B">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i/>
                <w:iCs/>
                <w:color w:val="000000"/>
                <w:sz w:val="20"/>
                <w:szCs w:val="20"/>
                <w:lang w:val="ro-MD"/>
              </w:rPr>
            </w:pPr>
            <w:r w:rsidRPr="00934A6F">
              <w:rPr>
                <w:rFonts w:asciiTheme="majorHAnsi" w:eastAsia="Times New Roman" w:hAnsiTheme="majorHAnsi" w:cstheme="majorHAnsi"/>
                <w:b w:val="0"/>
                <w:i/>
                <w:iCs/>
                <w:color w:val="000000"/>
                <w:sz w:val="20"/>
                <w:szCs w:val="20"/>
                <w:lang w:val="ro-MD"/>
              </w:rPr>
              <w:t>Ponderea în total, 2021, %</w:t>
            </w:r>
          </w:p>
        </w:tc>
        <w:tc>
          <w:tcPr>
            <w:tcW w:w="1276" w:type="dxa"/>
            <w:hideMark/>
          </w:tcPr>
          <w:p w14:paraId="25347658" w14:textId="77777777" w:rsidR="00C93D2B" w:rsidRPr="00934A6F" w:rsidRDefault="00C93D2B" w:rsidP="00C93D2B">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i/>
                <w:iCs/>
                <w:color w:val="000000"/>
                <w:sz w:val="20"/>
                <w:szCs w:val="20"/>
                <w:lang w:val="ro-MD"/>
              </w:rPr>
            </w:pPr>
            <w:r w:rsidRPr="00934A6F">
              <w:rPr>
                <w:rFonts w:asciiTheme="majorHAnsi" w:eastAsia="Times New Roman" w:hAnsiTheme="majorHAnsi" w:cstheme="majorHAnsi"/>
                <w:b w:val="0"/>
                <w:i/>
                <w:iCs/>
                <w:color w:val="000000"/>
                <w:sz w:val="20"/>
                <w:szCs w:val="20"/>
                <w:lang w:val="ro-MD"/>
              </w:rPr>
              <w:t>Anul 2022, mii lei</w:t>
            </w:r>
          </w:p>
        </w:tc>
        <w:tc>
          <w:tcPr>
            <w:tcW w:w="1134" w:type="dxa"/>
            <w:hideMark/>
          </w:tcPr>
          <w:p w14:paraId="68ACC411" w14:textId="77777777" w:rsidR="00C93D2B" w:rsidRPr="00934A6F" w:rsidRDefault="00C93D2B" w:rsidP="00C93D2B">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i/>
                <w:iCs/>
                <w:color w:val="000000"/>
                <w:sz w:val="20"/>
                <w:szCs w:val="20"/>
                <w:lang w:val="ro-MD"/>
              </w:rPr>
            </w:pPr>
            <w:r w:rsidRPr="00934A6F">
              <w:rPr>
                <w:rFonts w:asciiTheme="majorHAnsi" w:eastAsia="Times New Roman" w:hAnsiTheme="majorHAnsi" w:cstheme="majorHAnsi"/>
                <w:b w:val="0"/>
                <w:i/>
                <w:iCs/>
                <w:color w:val="000000"/>
                <w:sz w:val="20"/>
                <w:szCs w:val="20"/>
                <w:lang w:val="ro-MD"/>
              </w:rPr>
              <w:t>Ponderea în total, 2022, %</w:t>
            </w:r>
          </w:p>
        </w:tc>
        <w:tc>
          <w:tcPr>
            <w:tcW w:w="992" w:type="dxa"/>
            <w:hideMark/>
          </w:tcPr>
          <w:p w14:paraId="46EA9F8F" w14:textId="77777777" w:rsidR="00C93D2B" w:rsidRPr="00934A6F" w:rsidRDefault="00C93D2B" w:rsidP="00C93D2B">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i/>
                <w:iCs/>
                <w:color w:val="000000"/>
                <w:sz w:val="20"/>
                <w:szCs w:val="20"/>
                <w:lang w:val="ro-MD"/>
              </w:rPr>
            </w:pPr>
            <w:r w:rsidRPr="00934A6F">
              <w:rPr>
                <w:rFonts w:asciiTheme="majorHAnsi" w:eastAsia="Times New Roman" w:hAnsiTheme="majorHAnsi" w:cstheme="majorHAnsi"/>
                <w:b w:val="0"/>
                <w:i/>
                <w:iCs/>
                <w:color w:val="000000"/>
                <w:sz w:val="20"/>
                <w:szCs w:val="20"/>
                <w:lang w:val="ro-MD"/>
              </w:rPr>
              <w:t>Anul 2023, 6 luni, mii lei</w:t>
            </w:r>
          </w:p>
        </w:tc>
        <w:tc>
          <w:tcPr>
            <w:tcW w:w="1133" w:type="dxa"/>
            <w:hideMark/>
          </w:tcPr>
          <w:p w14:paraId="31F8138E" w14:textId="77777777" w:rsidR="00C93D2B" w:rsidRPr="00934A6F" w:rsidRDefault="00C93D2B" w:rsidP="00C93D2B">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i/>
                <w:color w:val="000000"/>
                <w:sz w:val="20"/>
                <w:szCs w:val="20"/>
                <w:lang w:val="ro-MD"/>
              </w:rPr>
            </w:pPr>
            <w:r w:rsidRPr="00934A6F">
              <w:rPr>
                <w:rFonts w:asciiTheme="majorHAnsi" w:eastAsia="Times New Roman" w:hAnsiTheme="majorHAnsi" w:cstheme="majorHAnsi"/>
                <w:b w:val="0"/>
                <w:i/>
                <w:color w:val="000000"/>
                <w:sz w:val="20"/>
                <w:szCs w:val="20"/>
                <w:lang w:val="ro-MD"/>
              </w:rPr>
              <w:t>Ponderea în total, 2023 6 luni, %</w:t>
            </w:r>
          </w:p>
        </w:tc>
      </w:tr>
      <w:tr w:rsidR="00C93D2B" w:rsidRPr="00934A6F" w14:paraId="37D8B707" w14:textId="77777777" w:rsidTr="00C93D2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19" w:type="dxa"/>
            <w:hideMark/>
          </w:tcPr>
          <w:p w14:paraId="16708CB0" w14:textId="77777777" w:rsidR="00C93D2B" w:rsidRPr="00934A6F" w:rsidRDefault="00C93D2B" w:rsidP="00C93D2B">
            <w:pPr>
              <w:jc w:val="right"/>
              <w:rPr>
                <w:rFonts w:asciiTheme="majorHAnsi" w:eastAsia="Times New Roman" w:hAnsiTheme="majorHAnsi" w:cstheme="majorHAnsi"/>
                <w:i/>
                <w:iCs/>
                <w:color w:val="000000"/>
                <w:sz w:val="20"/>
                <w:szCs w:val="20"/>
                <w:lang w:val="ro-MD"/>
              </w:rPr>
            </w:pPr>
            <w:r w:rsidRPr="00934A6F">
              <w:rPr>
                <w:rFonts w:asciiTheme="majorHAnsi" w:eastAsia="Times New Roman" w:hAnsiTheme="majorHAnsi" w:cstheme="majorHAnsi"/>
                <w:i/>
                <w:iCs/>
                <w:color w:val="000000"/>
                <w:sz w:val="20"/>
                <w:szCs w:val="20"/>
                <w:lang w:val="ro-MD"/>
              </w:rPr>
              <w:t>Venituri totale, Inclusiv:</w:t>
            </w:r>
          </w:p>
        </w:tc>
        <w:tc>
          <w:tcPr>
            <w:tcW w:w="1276" w:type="dxa"/>
            <w:noWrap/>
            <w:hideMark/>
          </w:tcPr>
          <w:p w14:paraId="76D1E944"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934A6F">
              <w:rPr>
                <w:rFonts w:asciiTheme="majorHAnsi" w:eastAsia="Times New Roman" w:hAnsiTheme="majorHAnsi" w:cstheme="majorHAnsi"/>
                <w:b/>
                <w:bCs/>
                <w:color w:val="000000"/>
                <w:sz w:val="20"/>
                <w:szCs w:val="20"/>
                <w:lang w:val="ro-MD"/>
              </w:rPr>
              <w:t>157401</w:t>
            </w:r>
          </w:p>
        </w:tc>
        <w:tc>
          <w:tcPr>
            <w:tcW w:w="1276" w:type="dxa"/>
            <w:noWrap/>
            <w:hideMark/>
          </w:tcPr>
          <w:p w14:paraId="6DEED1C8"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934A6F">
              <w:rPr>
                <w:rFonts w:asciiTheme="majorHAnsi" w:eastAsia="Times New Roman" w:hAnsiTheme="majorHAnsi" w:cstheme="majorHAnsi"/>
                <w:b/>
                <w:bCs/>
                <w:color w:val="000000"/>
                <w:sz w:val="20"/>
                <w:szCs w:val="20"/>
                <w:lang w:val="ro-MD"/>
              </w:rPr>
              <w:t>100,00%</w:t>
            </w:r>
          </w:p>
        </w:tc>
        <w:tc>
          <w:tcPr>
            <w:tcW w:w="1276" w:type="dxa"/>
            <w:noWrap/>
            <w:hideMark/>
          </w:tcPr>
          <w:p w14:paraId="7DF2DE10"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934A6F">
              <w:rPr>
                <w:rFonts w:asciiTheme="majorHAnsi" w:eastAsia="Times New Roman" w:hAnsiTheme="majorHAnsi" w:cstheme="majorHAnsi"/>
                <w:b/>
                <w:bCs/>
                <w:color w:val="000000"/>
                <w:sz w:val="20"/>
                <w:szCs w:val="20"/>
                <w:lang w:val="ro-MD"/>
              </w:rPr>
              <w:t>160600,4</w:t>
            </w:r>
          </w:p>
        </w:tc>
        <w:tc>
          <w:tcPr>
            <w:tcW w:w="1134" w:type="dxa"/>
            <w:noWrap/>
            <w:hideMark/>
          </w:tcPr>
          <w:p w14:paraId="693E081E"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934A6F">
              <w:rPr>
                <w:rFonts w:asciiTheme="majorHAnsi" w:eastAsia="Times New Roman" w:hAnsiTheme="majorHAnsi" w:cstheme="majorHAnsi"/>
                <w:b/>
                <w:bCs/>
                <w:color w:val="000000"/>
                <w:sz w:val="20"/>
                <w:szCs w:val="20"/>
                <w:lang w:val="ro-MD"/>
              </w:rPr>
              <w:t>100,00%</w:t>
            </w:r>
          </w:p>
        </w:tc>
        <w:tc>
          <w:tcPr>
            <w:tcW w:w="992" w:type="dxa"/>
            <w:noWrap/>
            <w:hideMark/>
          </w:tcPr>
          <w:p w14:paraId="0BCA4DEE"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color w:val="000000"/>
                <w:sz w:val="20"/>
                <w:szCs w:val="20"/>
                <w:lang w:val="ro-MD"/>
              </w:rPr>
            </w:pPr>
            <w:r w:rsidRPr="00934A6F">
              <w:rPr>
                <w:rFonts w:asciiTheme="majorHAnsi" w:eastAsia="Times New Roman" w:hAnsiTheme="majorHAnsi" w:cstheme="majorHAnsi"/>
                <w:b/>
                <w:color w:val="000000"/>
                <w:sz w:val="20"/>
                <w:szCs w:val="20"/>
                <w:lang w:val="ro-MD"/>
              </w:rPr>
              <w:t>84990,8</w:t>
            </w:r>
          </w:p>
        </w:tc>
        <w:tc>
          <w:tcPr>
            <w:tcW w:w="1133" w:type="dxa"/>
            <w:noWrap/>
            <w:hideMark/>
          </w:tcPr>
          <w:p w14:paraId="6B1C4D91"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934A6F">
              <w:rPr>
                <w:rFonts w:asciiTheme="majorHAnsi" w:eastAsia="Times New Roman" w:hAnsiTheme="majorHAnsi" w:cstheme="majorHAnsi"/>
                <w:b/>
                <w:bCs/>
                <w:color w:val="000000"/>
                <w:sz w:val="20"/>
                <w:szCs w:val="20"/>
                <w:lang w:val="ro-MD"/>
              </w:rPr>
              <w:t>100,00%</w:t>
            </w:r>
          </w:p>
        </w:tc>
      </w:tr>
      <w:tr w:rsidR="00C93D2B" w:rsidRPr="00934A6F" w14:paraId="16D8AA14" w14:textId="77777777" w:rsidTr="00C93D2B">
        <w:trPr>
          <w:trHeight w:val="20"/>
        </w:trPr>
        <w:tc>
          <w:tcPr>
            <w:cnfStyle w:val="001000000000" w:firstRow="0" w:lastRow="0" w:firstColumn="1" w:lastColumn="0" w:oddVBand="0" w:evenVBand="0" w:oddHBand="0" w:evenHBand="0" w:firstRowFirstColumn="0" w:firstRowLastColumn="0" w:lastRowFirstColumn="0" w:lastRowLastColumn="0"/>
            <w:tcW w:w="3119" w:type="dxa"/>
            <w:noWrap/>
            <w:hideMark/>
          </w:tcPr>
          <w:p w14:paraId="0FF24B0E" w14:textId="25C7D629" w:rsidR="00C93D2B" w:rsidRPr="00934A6F" w:rsidRDefault="00C93D2B" w:rsidP="00C93D2B">
            <w:pPr>
              <w:jc w:val="right"/>
              <w:rPr>
                <w:rFonts w:asciiTheme="majorHAnsi" w:eastAsia="Times New Roman" w:hAnsiTheme="majorHAnsi" w:cstheme="majorHAnsi"/>
                <w:b w:val="0"/>
                <w:i/>
                <w:iCs/>
                <w:color w:val="000000"/>
                <w:sz w:val="20"/>
                <w:szCs w:val="20"/>
                <w:lang w:val="ro-MD"/>
              </w:rPr>
            </w:pPr>
            <w:r w:rsidRPr="00934A6F">
              <w:rPr>
                <w:rFonts w:asciiTheme="majorHAnsi" w:eastAsia="Times New Roman" w:hAnsiTheme="majorHAnsi" w:cstheme="majorHAnsi"/>
                <w:b w:val="0"/>
                <w:i/>
                <w:iCs/>
                <w:color w:val="000000"/>
                <w:sz w:val="20"/>
                <w:szCs w:val="20"/>
                <w:lang w:val="ro-MD"/>
              </w:rPr>
              <w:t>aloca</w:t>
            </w:r>
            <w:r w:rsidR="00B13B9A" w:rsidRPr="00934A6F">
              <w:rPr>
                <w:rFonts w:asciiTheme="majorHAnsi" w:eastAsia="Times New Roman" w:hAnsiTheme="majorHAnsi" w:cstheme="majorHAnsi"/>
                <w:b w:val="0"/>
                <w:i/>
                <w:iCs/>
                <w:color w:val="000000"/>
                <w:sz w:val="20"/>
                <w:szCs w:val="20"/>
                <w:lang w:val="ro-MD"/>
              </w:rPr>
              <w:t>ț</w:t>
            </w:r>
            <w:r w:rsidRPr="00934A6F">
              <w:rPr>
                <w:rFonts w:asciiTheme="majorHAnsi" w:eastAsia="Times New Roman" w:hAnsiTheme="majorHAnsi" w:cstheme="majorHAnsi"/>
                <w:b w:val="0"/>
                <w:i/>
                <w:iCs/>
                <w:color w:val="000000"/>
                <w:sz w:val="20"/>
                <w:szCs w:val="20"/>
                <w:lang w:val="ro-MD"/>
              </w:rPr>
              <w:t>ii CNAM</w:t>
            </w:r>
          </w:p>
        </w:tc>
        <w:tc>
          <w:tcPr>
            <w:tcW w:w="1276" w:type="dxa"/>
            <w:noWrap/>
            <w:hideMark/>
          </w:tcPr>
          <w:p w14:paraId="5D3624D0"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115657,7</w:t>
            </w:r>
          </w:p>
        </w:tc>
        <w:tc>
          <w:tcPr>
            <w:tcW w:w="1276" w:type="dxa"/>
            <w:noWrap/>
            <w:hideMark/>
          </w:tcPr>
          <w:p w14:paraId="012F1968"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73,48%</w:t>
            </w:r>
          </w:p>
        </w:tc>
        <w:tc>
          <w:tcPr>
            <w:tcW w:w="1276" w:type="dxa"/>
            <w:noWrap/>
            <w:hideMark/>
          </w:tcPr>
          <w:p w14:paraId="06EE5618"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117890,4</w:t>
            </w:r>
          </w:p>
        </w:tc>
        <w:tc>
          <w:tcPr>
            <w:tcW w:w="1134" w:type="dxa"/>
            <w:noWrap/>
            <w:hideMark/>
          </w:tcPr>
          <w:p w14:paraId="006989C0"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73,41%</w:t>
            </w:r>
          </w:p>
        </w:tc>
        <w:tc>
          <w:tcPr>
            <w:tcW w:w="992" w:type="dxa"/>
            <w:noWrap/>
            <w:hideMark/>
          </w:tcPr>
          <w:p w14:paraId="6BD63E1C"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66803,5</w:t>
            </w:r>
          </w:p>
        </w:tc>
        <w:tc>
          <w:tcPr>
            <w:tcW w:w="1133" w:type="dxa"/>
            <w:noWrap/>
            <w:hideMark/>
          </w:tcPr>
          <w:p w14:paraId="1519B8F1"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20"/>
                <w:szCs w:val="20"/>
                <w:lang w:val="ro-MD"/>
              </w:rPr>
            </w:pPr>
            <w:r w:rsidRPr="00934A6F">
              <w:rPr>
                <w:rFonts w:asciiTheme="majorHAnsi" w:eastAsia="Times New Roman" w:hAnsiTheme="majorHAnsi" w:cstheme="majorHAnsi"/>
                <w:bCs/>
                <w:color w:val="000000"/>
                <w:sz w:val="20"/>
                <w:szCs w:val="20"/>
                <w:lang w:val="ro-MD"/>
              </w:rPr>
              <w:t>78,60%</w:t>
            </w:r>
          </w:p>
        </w:tc>
      </w:tr>
      <w:tr w:rsidR="00C93D2B" w:rsidRPr="00934A6F" w14:paraId="00F2B940" w14:textId="77777777" w:rsidTr="00C93D2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19" w:type="dxa"/>
            <w:noWrap/>
            <w:hideMark/>
          </w:tcPr>
          <w:p w14:paraId="11018168" w14:textId="3242A712" w:rsidR="00C93D2B" w:rsidRPr="00934A6F" w:rsidRDefault="00C93D2B" w:rsidP="00C93D2B">
            <w:pPr>
              <w:jc w:val="right"/>
              <w:rPr>
                <w:rFonts w:asciiTheme="majorHAnsi" w:eastAsia="Times New Roman" w:hAnsiTheme="majorHAnsi" w:cstheme="majorHAnsi"/>
                <w:b w:val="0"/>
                <w:i/>
                <w:iCs/>
                <w:color w:val="000000"/>
                <w:sz w:val="20"/>
                <w:szCs w:val="20"/>
                <w:lang w:val="ro-MD"/>
              </w:rPr>
            </w:pPr>
            <w:r w:rsidRPr="00934A6F">
              <w:rPr>
                <w:rFonts w:asciiTheme="majorHAnsi" w:eastAsia="Times New Roman" w:hAnsiTheme="majorHAnsi" w:cstheme="majorHAnsi"/>
                <w:b w:val="0"/>
                <w:i/>
                <w:iCs/>
                <w:color w:val="000000"/>
                <w:sz w:val="20"/>
                <w:szCs w:val="20"/>
                <w:lang w:val="ro-MD"/>
              </w:rPr>
              <w:t>aloca</w:t>
            </w:r>
            <w:r w:rsidR="00B13B9A" w:rsidRPr="00934A6F">
              <w:rPr>
                <w:rFonts w:asciiTheme="majorHAnsi" w:eastAsia="Times New Roman" w:hAnsiTheme="majorHAnsi" w:cstheme="majorHAnsi"/>
                <w:b w:val="0"/>
                <w:i/>
                <w:iCs/>
                <w:color w:val="000000"/>
                <w:sz w:val="20"/>
                <w:szCs w:val="20"/>
                <w:lang w:val="ro-MD"/>
              </w:rPr>
              <w:t>ț</w:t>
            </w:r>
            <w:r w:rsidRPr="00934A6F">
              <w:rPr>
                <w:rFonts w:asciiTheme="majorHAnsi" w:eastAsia="Times New Roman" w:hAnsiTheme="majorHAnsi" w:cstheme="majorHAnsi"/>
                <w:b w:val="0"/>
                <w:i/>
                <w:iCs/>
                <w:color w:val="000000"/>
                <w:sz w:val="20"/>
                <w:szCs w:val="20"/>
                <w:lang w:val="ro-MD"/>
              </w:rPr>
              <w:t xml:space="preserve">ii </w:t>
            </w:r>
            <w:r w:rsidR="00B13B9A" w:rsidRPr="00934A6F">
              <w:rPr>
                <w:rFonts w:asciiTheme="majorHAnsi" w:eastAsia="Times New Roman" w:hAnsiTheme="majorHAnsi" w:cstheme="majorHAnsi"/>
                <w:b w:val="0"/>
                <w:i/>
                <w:iCs/>
                <w:color w:val="000000"/>
                <w:sz w:val="20"/>
                <w:szCs w:val="20"/>
                <w:lang w:val="ro-MD"/>
              </w:rPr>
              <w:t>Ș</w:t>
            </w:r>
            <w:r w:rsidRPr="00934A6F">
              <w:rPr>
                <w:rFonts w:asciiTheme="majorHAnsi" w:eastAsia="Times New Roman" w:hAnsiTheme="majorHAnsi" w:cstheme="majorHAnsi"/>
                <w:b w:val="0"/>
                <w:i/>
                <w:iCs/>
                <w:color w:val="000000"/>
                <w:sz w:val="20"/>
                <w:szCs w:val="20"/>
                <w:lang w:val="ro-MD"/>
              </w:rPr>
              <w:t>tiin</w:t>
            </w:r>
            <w:r w:rsidR="00B13B9A" w:rsidRPr="00934A6F">
              <w:rPr>
                <w:rFonts w:asciiTheme="majorHAnsi" w:eastAsia="Times New Roman" w:hAnsiTheme="majorHAnsi" w:cstheme="majorHAnsi"/>
                <w:b w:val="0"/>
                <w:i/>
                <w:iCs/>
                <w:color w:val="000000"/>
                <w:sz w:val="20"/>
                <w:szCs w:val="20"/>
                <w:lang w:val="ro-MD"/>
              </w:rPr>
              <w:t>ț</w:t>
            </w:r>
            <w:r w:rsidRPr="00934A6F">
              <w:rPr>
                <w:rFonts w:asciiTheme="majorHAnsi" w:eastAsia="Times New Roman" w:hAnsiTheme="majorHAnsi" w:cstheme="majorHAnsi"/>
                <w:b w:val="0"/>
                <w:i/>
                <w:iCs/>
                <w:color w:val="000000"/>
                <w:sz w:val="20"/>
                <w:szCs w:val="20"/>
                <w:lang w:val="ro-MD"/>
              </w:rPr>
              <w:t>ă</w:t>
            </w:r>
          </w:p>
        </w:tc>
        <w:tc>
          <w:tcPr>
            <w:tcW w:w="1276" w:type="dxa"/>
            <w:noWrap/>
            <w:hideMark/>
          </w:tcPr>
          <w:p w14:paraId="01CE38D8"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3083,3</w:t>
            </w:r>
          </w:p>
        </w:tc>
        <w:tc>
          <w:tcPr>
            <w:tcW w:w="1276" w:type="dxa"/>
            <w:noWrap/>
            <w:hideMark/>
          </w:tcPr>
          <w:p w14:paraId="5F676393"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1,96%</w:t>
            </w:r>
          </w:p>
        </w:tc>
        <w:tc>
          <w:tcPr>
            <w:tcW w:w="1276" w:type="dxa"/>
            <w:noWrap/>
            <w:hideMark/>
          </w:tcPr>
          <w:p w14:paraId="1C63E595"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1729</w:t>
            </w:r>
          </w:p>
        </w:tc>
        <w:tc>
          <w:tcPr>
            <w:tcW w:w="1134" w:type="dxa"/>
            <w:noWrap/>
            <w:hideMark/>
          </w:tcPr>
          <w:p w14:paraId="3F6B542E"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1,08%</w:t>
            </w:r>
          </w:p>
        </w:tc>
        <w:tc>
          <w:tcPr>
            <w:tcW w:w="992" w:type="dxa"/>
            <w:noWrap/>
            <w:hideMark/>
          </w:tcPr>
          <w:p w14:paraId="13893464"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797,4</w:t>
            </w:r>
          </w:p>
        </w:tc>
        <w:tc>
          <w:tcPr>
            <w:tcW w:w="1133" w:type="dxa"/>
            <w:noWrap/>
            <w:hideMark/>
          </w:tcPr>
          <w:p w14:paraId="11ABA557"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color w:val="000000"/>
                <w:sz w:val="20"/>
                <w:szCs w:val="20"/>
                <w:lang w:val="ro-MD"/>
              </w:rPr>
            </w:pPr>
            <w:r w:rsidRPr="00934A6F">
              <w:rPr>
                <w:rFonts w:asciiTheme="majorHAnsi" w:eastAsia="Times New Roman" w:hAnsiTheme="majorHAnsi" w:cstheme="majorHAnsi"/>
                <w:bCs/>
                <w:color w:val="000000"/>
                <w:sz w:val="20"/>
                <w:szCs w:val="20"/>
                <w:lang w:val="ro-MD"/>
              </w:rPr>
              <w:t>0,94%</w:t>
            </w:r>
          </w:p>
        </w:tc>
      </w:tr>
      <w:tr w:rsidR="00C93D2B" w:rsidRPr="00934A6F" w14:paraId="156EF71A" w14:textId="77777777" w:rsidTr="00C93D2B">
        <w:trPr>
          <w:trHeight w:val="20"/>
        </w:trPr>
        <w:tc>
          <w:tcPr>
            <w:cnfStyle w:val="001000000000" w:firstRow="0" w:lastRow="0" w:firstColumn="1" w:lastColumn="0" w:oddVBand="0" w:evenVBand="0" w:oddHBand="0" w:evenHBand="0" w:firstRowFirstColumn="0" w:firstRowLastColumn="0" w:lastRowFirstColumn="0" w:lastRowLastColumn="0"/>
            <w:tcW w:w="3119" w:type="dxa"/>
            <w:noWrap/>
            <w:hideMark/>
          </w:tcPr>
          <w:p w14:paraId="7AB97A07" w14:textId="77777777" w:rsidR="00C93D2B" w:rsidRPr="00934A6F" w:rsidRDefault="00C93D2B" w:rsidP="00C93D2B">
            <w:pPr>
              <w:jc w:val="right"/>
              <w:rPr>
                <w:rFonts w:asciiTheme="majorHAnsi" w:eastAsia="Times New Roman" w:hAnsiTheme="majorHAnsi" w:cstheme="majorHAnsi"/>
                <w:b w:val="0"/>
                <w:i/>
                <w:iCs/>
                <w:color w:val="000000"/>
                <w:sz w:val="20"/>
                <w:szCs w:val="20"/>
                <w:lang w:val="ro-MD"/>
              </w:rPr>
            </w:pPr>
            <w:r w:rsidRPr="00934A6F">
              <w:rPr>
                <w:rFonts w:asciiTheme="majorHAnsi" w:eastAsia="Times New Roman" w:hAnsiTheme="majorHAnsi" w:cstheme="majorHAnsi"/>
                <w:b w:val="0"/>
                <w:i/>
                <w:iCs/>
                <w:color w:val="000000"/>
                <w:sz w:val="20"/>
                <w:szCs w:val="20"/>
                <w:lang w:val="ro-MD"/>
              </w:rPr>
              <w:t>servicii cu plată</w:t>
            </w:r>
          </w:p>
        </w:tc>
        <w:tc>
          <w:tcPr>
            <w:tcW w:w="1276" w:type="dxa"/>
            <w:noWrap/>
            <w:hideMark/>
          </w:tcPr>
          <w:p w14:paraId="388B5E13"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1346,7</w:t>
            </w:r>
          </w:p>
        </w:tc>
        <w:tc>
          <w:tcPr>
            <w:tcW w:w="1276" w:type="dxa"/>
            <w:noWrap/>
            <w:hideMark/>
          </w:tcPr>
          <w:p w14:paraId="55A4C3C3"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0,86%</w:t>
            </w:r>
          </w:p>
        </w:tc>
        <w:tc>
          <w:tcPr>
            <w:tcW w:w="1276" w:type="dxa"/>
            <w:noWrap/>
            <w:hideMark/>
          </w:tcPr>
          <w:p w14:paraId="2CF6E6E8"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2088,6</w:t>
            </w:r>
          </w:p>
        </w:tc>
        <w:tc>
          <w:tcPr>
            <w:tcW w:w="1134" w:type="dxa"/>
            <w:noWrap/>
            <w:hideMark/>
          </w:tcPr>
          <w:p w14:paraId="17052EAC"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1,30%</w:t>
            </w:r>
          </w:p>
        </w:tc>
        <w:tc>
          <w:tcPr>
            <w:tcW w:w="992" w:type="dxa"/>
            <w:noWrap/>
            <w:hideMark/>
          </w:tcPr>
          <w:p w14:paraId="3CDC2E89"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912,7</w:t>
            </w:r>
          </w:p>
        </w:tc>
        <w:tc>
          <w:tcPr>
            <w:tcW w:w="1133" w:type="dxa"/>
            <w:noWrap/>
            <w:hideMark/>
          </w:tcPr>
          <w:p w14:paraId="65F2247F"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20"/>
                <w:szCs w:val="20"/>
                <w:lang w:val="ro-MD"/>
              </w:rPr>
            </w:pPr>
            <w:r w:rsidRPr="00934A6F">
              <w:rPr>
                <w:rFonts w:asciiTheme="majorHAnsi" w:eastAsia="Times New Roman" w:hAnsiTheme="majorHAnsi" w:cstheme="majorHAnsi"/>
                <w:bCs/>
                <w:color w:val="000000"/>
                <w:sz w:val="20"/>
                <w:szCs w:val="20"/>
                <w:lang w:val="ro-MD"/>
              </w:rPr>
              <w:t>1,07%</w:t>
            </w:r>
          </w:p>
        </w:tc>
      </w:tr>
      <w:tr w:rsidR="00C93D2B" w:rsidRPr="00934A6F" w14:paraId="465AB4FD" w14:textId="77777777" w:rsidTr="00C93D2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19" w:type="dxa"/>
            <w:noWrap/>
            <w:hideMark/>
          </w:tcPr>
          <w:p w14:paraId="5D0A678D" w14:textId="00F5EF43" w:rsidR="00C93D2B" w:rsidRPr="00934A6F" w:rsidRDefault="00C93D2B" w:rsidP="00C93D2B">
            <w:pPr>
              <w:jc w:val="right"/>
              <w:rPr>
                <w:rFonts w:asciiTheme="majorHAnsi" w:eastAsia="Times New Roman" w:hAnsiTheme="majorHAnsi" w:cstheme="majorHAnsi"/>
                <w:b w:val="0"/>
                <w:i/>
                <w:iCs/>
                <w:color w:val="000000"/>
                <w:sz w:val="20"/>
                <w:szCs w:val="20"/>
                <w:lang w:val="ro-MD"/>
              </w:rPr>
            </w:pPr>
            <w:r w:rsidRPr="00934A6F">
              <w:rPr>
                <w:rFonts w:asciiTheme="majorHAnsi" w:eastAsia="Times New Roman" w:hAnsiTheme="majorHAnsi" w:cstheme="majorHAnsi"/>
                <w:b w:val="0"/>
                <w:i/>
                <w:iCs/>
                <w:color w:val="000000"/>
                <w:sz w:val="20"/>
                <w:szCs w:val="20"/>
                <w:lang w:val="ro-MD"/>
              </w:rPr>
              <w:t>aloca</w:t>
            </w:r>
            <w:r w:rsidR="00B13B9A" w:rsidRPr="00934A6F">
              <w:rPr>
                <w:rFonts w:asciiTheme="majorHAnsi" w:eastAsia="Times New Roman" w:hAnsiTheme="majorHAnsi" w:cstheme="majorHAnsi"/>
                <w:b w:val="0"/>
                <w:i/>
                <w:iCs/>
                <w:color w:val="000000"/>
                <w:sz w:val="20"/>
                <w:szCs w:val="20"/>
                <w:lang w:val="ro-MD"/>
              </w:rPr>
              <w:t>ț</w:t>
            </w:r>
            <w:r w:rsidRPr="00934A6F">
              <w:rPr>
                <w:rFonts w:asciiTheme="majorHAnsi" w:eastAsia="Times New Roman" w:hAnsiTheme="majorHAnsi" w:cstheme="majorHAnsi"/>
                <w:b w:val="0"/>
                <w:i/>
                <w:iCs/>
                <w:color w:val="000000"/>
                <w:sz w:val="20"/>
                <w:szCs w:val="20"/>
                <w:lang w:val="ro-MD"/>
              </w:rPr>
              <w:t>ii proiecte</w:t>
            </w:r>
          </w:p>
        </w:tc>
        <w:tc>
          <w:tcPr>
            <w:tcW w:w="1276" w:type="dxa"/>
            <w:noWrap/>
            <w:hideMark/>
          </w:tcPr>
          <w:p w14:paraId="73337485"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11212,4</w:t>
            </w:r>
          </w:p>
        </w:tc>
        <w:tc>
          <w:tcPr>
            <w:tcW w:w="1276" w:type="dxa"/>
            <w:noWrap/>
            <w:hideMark/>
          </w:tcPr>
          <w:p w14:paraId="180A0C87"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7,12%</w:t>
            </w:r>
          </w:p>
        </w:tc>
        <w:tc>
          <w:tcPr>
            <w:tcW w:w="1276" w:type="dxa"/>
            <w:noWrap/>
            <w:hideMark/>
          </w:tcPr>
          <w:p w14:paraId="548F5469"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9558,3</w:t>
            </w:r>
          </w:p>
        </w:tc>
        <w:tc>
          <w:tcPr>
            <w:tcW w:w="1134" w:type="dxa"/>
            <w:noWrap/>
            <w:hideMark/>
          </w:tcPr>
          <w:p w14:paraId="19A610EB"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5,95%</w:t>
            </w:r>
          </w:p>
        </w:tc>
        <w:tc>
          <w:tcPr>
            <w:tcW w:w="992" w:type="dxa"/>
            <w:noWrap/>
            <w:hideMark/>
          </w:tcPr>
          <w:p w14:paraId="12E3D9DF"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3177,3</w:t>
            </w:r>
          </w:p>
        </w:tc>
        <w:tc>
          <w:tcPr>
            <w:tcW w:w="1133" w:type="dxa"/>
            <w:noWrap/>
            <w:hideMark/>
          </w:tcPr>
          <w:p w14:paraId="4A29F2F6"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color w:val="000000"/>
                <w:sz w:val="20"/>
                <w:szCs w:val="20"/>
                <w:lang w:val="ro-MD"/>
              </w:rPr>
            </w:pPr>
            <w:r w:rsidRPr="00934A6F">
              <w:rPr>
                <w:rFonts w:asciiTheme="majorHAnsi" w:eastAsia="Times New Roman" w:hAnsiTheme="majorHAnsi" w:cstheme="majorHAnsi"/>
                <w:bCs/>
                <w:color w:val="000000"/>
                <w:sz w:val="20"/>
                <w:szCs w:val="20"/>
                <w:lang w:val="ro-MD"/>
              </w:rPr>
              <w:t>3,74%</w:t>
            </w:r>
          </w:p>
        </w:tc>
      </w:tr>
      <w:tr w:rsidR="00C93D2B" w:rsidRPr="00934A6F" w14:paraId="3B48D962" w14:textId="77777777" w:rsidTr="00C93D2B">
        <w:trPr>
          <w:trHeight w:val="20"/>
        </w:trPr>
        <w:tc>
          <w:tcPr>
            <w:cnfStyle w:val="001000000000" w:firstRow="0" w:lastRow="0" w:firstColumn="1" w:lastColumn="0" w:oddVBand="0" w:evenVBand="0" w:oddHBand="0" w:evenHBand="0" w:firstRowFirstColumn="0" w:firstRowLastColumn="0" w:lastRowFirstColumn="0" w:lastRowLastColumn="0"/>
            <w:tcW w:w="3119" w:type="dxa"/>
            <w:hideMark/>
          </w:tcPr>
          <w:p w14:paraId="20DE1DC9" w14:textId="77777777" w:rsidR="00C93D2B" w:rsidRPr="00934A6F" w:rsidRDefault="00C93D2B" w:rsidP="00C93D2B">
            <w:pPr>
              <w:jc w:val="right"/>
              <w:rPr>
                <w:rFonts w:asciiTheme="majorHAnsi" w:eastAsia="Times New Roman" w:hAnsiTheme="majorHAnsi" w:cstheme="majorHAnsi"/>
                <w:b w:val="0"/>
                <w:i/>
                <w:iCs/>
                <w:color w:val="000000"/>
                <w:sz w:val="20"/>
                <w:szCs w:val="20"/>
                <w:lang w:val="ro-MD"/>
              </w:rPr>
            </w:pPr>
            <w:r w:rsidRPr="00934A6F">
              <w:rPr>
                <w:rFonts w:asciiTheme="majorHAnsi" w:eastAsia="Times New Roman" w:hAnsiTheme="majorHAnsi" w:cstheme="majorHAnsi"/>
                <w:b w:val="0"/>
                <w:i/>
                <w:iCs/>
                <w:color w:val="000000"/>
                <w:sz w:val="20"/>
                <w:szCs w:val="20"/>
                <w:lang w:val="ro-MD"/>
              </w:rPr>
              <w:t>ajutor umanitar, medicamente</w:t>
            </w:r>
          </w:p>
        </w:tc>
        <w:tc>
          <w:tcPr>
            <w:tcW w:w="1276" w:type="dxa"/>
            <w:noWrap/>
            <w:hideMark/>
          </w:tcPr>
          <w:p w14:paraId="042973A0"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25837,3</w:t>
            </w:r>
          </w:p>
        </w:tc>
        <w:tc>
          <w:tcPr>
            <w:tcW w:w="1276" w:type="dxa"/>
            <w:noWrap/>
            <w:hideMark/>
          </w:tcPr>
          <w:p w14:paraId="45457F2A"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16,41%</w:t>
            </w:r>
          </w:p>
        </w:tc>
        <w:tc>
          <w:tcPr>
            <w:tcW w:w="1276" w:type="dxa"/>
            <w:noWrap/>
            <w:hideMark/>
          </w:tcPr>
          <w:p w14:paraId="162C5763"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28785,2</w:t>
            </w:r>
          </w:p>
        </w:tc>
        <w:tc>
          <w:tcPr>
            <w:tcW w:w="1134" w:type="dxa"/>
            <w:noWrap/>
            <w:hideMark/>
          </w:tcPr>
          <w:p w14:paraId="3E211E5F"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17,92%</w:t>
            </w:r>
          </w:p>
        </w:tc>
        <w:tc>
          <w:tcPr>
            <w:tcW w:w="992" w:type="dxa"/>
            <w:noWrap/>
            <w:hideMark/>
          </w:tcPr>
          <w:p w14:paraId="1796FF33"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13009,5</w:t>
            </w:r>
          </w:p>
        </w:tc>
        <w:tc>
          <w:tcPr>
            <w:tcW w:w="1133" w:type="dxa"/>
            <w:noWrap/>
            <w:hideMark/>
          </w:tcPr>
          <w:p w14:paraId="16C91575"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20"/>
                <w:szCs w:val="20"/>
                <w:lang w:val="ro-MD"/>
              </w:rPr>
            </w:pPr>
            <w:r w:rsidRPr="00934A6F">
              <w:rPr>
                <w:rFonts w:asciiTheme="majorHAnsi" w:eastAsia="Times New Roman" w:hAnsiTheme="majorHAnsi" w:cstheme="majorHAnsi"/>
                <w:bCs/>
                <w:color w:val="000000"/>
                <w:sz w:val="20"/>
                <w:szCs w:val="20"/>
                <w:lang w:val="ro-MD"/>
              </w:rPr>
              <w:t>15,31%</w:t>
            </w:r>
          </w:p>
        </w:tc>
      </w:tr>
      <w:tr w:rsidR="00C93D2B" w:rsidRPr="00934A6F" w14:paraId="208FB2F8" w14:textId="77777777" w:rsidTr="00C93D2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19" w:type="dxa"/>
            <w:noWrap/>
            <w:hideMark/>
          </w:tcPr>
          <w:p w14:paraId="74C8610F" w14:textId="77777777" w:rsidR="00C93D2B" w:rsidRPr="00934A6F" w:rsidRDefault="00C93D2B" w:rsidP="00C93D2B">
            <w:pPr>
              <w:jc w:val="right"/>
              <w:rPr>
                <w:rFonts w:asciiTheme="majorHAnsi" w:eastAsia="Times New Roman" w:hAnsiTheme="majorHAnsi" w:cstheme="majorHAnsi"/>
                <w:b w:val="0"/>
                <w:i/>
                <w:iCs/>
                <w:color w:val="000000"/>
                <w:sz w:val="20"/>
                <w:szCs w:val="20"/>
                <w:lang w:val="ro-MD"/>
              </w:rPr>
            </w:pPr>
            <w:r w:rsidRPr="00934A6F">
              <w:rPr>
                <w:rFonts w:asciiTheme="majorHAnsi" w:eastAsia="Times New Roman" w:hAnsiTheme="majorHAnsi" w:cstheme="majorHAnsi"/>
                <w:b w:val="0"/>
                <w:i/>
                <w:iCs/>
                <w:color w:val="000000"/>
                <w:sz w:val="20"/>
                <w:szCs w:val="20"/>
                <w:lang w:val="ro-MD"/>
              </w:rPr>
              <w:t>alte venituri</w:t>
            </w:r>
          </w:p>
        </w:tc>
        <w:tc>
          <w:tcPr>
            <w:tcW w:w="1276" w:type="dxa"/>
            <w:noWrap/>
            <w:hideMark/>
          </w:tcPr>
          <w:p w14:paraId="46408232"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263,8</w:t>
            </w:r>
          </w:p>
        </w:tc>
        <w:tc>
          <w:tcPr>
            <w:tcW w:w="1276" w:type="dxa"/>
            <w:noWrap/>
            <w:hideMark/>
          </w:tcPr>
          <w:p w14:paraId="33CF9AD8"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0,17%</w:t>
            </w:r>
          </w:p>
        </w:tc>
        <w:tc>
          <w:tcPr>
            <w:tcW w:w="1276" w:type="dxa"/>
            <w:noWrap/>
            <w:hideMark/>
          </w:tcPr>
          <w:p w14:paraId="3E7432C6"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548,9</w:t>
            </w:r>
          </w:p>
        </w:tc>
        <w:tc>
          <w:tcPr>
            <w:tcW w:w="1134" w:type="dxa"/>
            <w:noWrap/>
            <w:hideMark/>
          </w:tcPr>
          <w:p w14:paraId="0ACCBBC3"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0,34%</w:t>
            </w:r>
          </w:p>
        </w:tc>
        <w:tc>
          <w:tcPr>
            <w:tcW w:w="992" w:type="dxa"/>
            <w:noWrap/>
            <w:hideMark/>
          </w:tcPr>
          <w:p w14:paraId="6B4BD58B"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290,4</w:t>
            </w:r>
          </w:p>
        </w:tc>
        <w:tc>
          <w:tcPr>
            <w:tcW w:w="1133" w:type="dxa"/>
            <w:noWrap/>
            <w:hideMark/>
          </w:tcPr>
          <w:p w14:paraId="574C2E0E"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color w:val="000000"/>
                <w:sz w:val="20"/>
                <w:szCs w:val="20"/>
                <w:lang w:val="ro-MD"/>
              </w:rPr>
            </w:pPr>
            <w:r w:rsidRPr="00934A6F">
              <w:rPr>
                <w:rFonts w:asciiTheme="majorHAnsi" w:eastAsia="Times New Roman" w:hAnsiTheme="majorHAnsi" w:cstheme="majorHAnsi"/>
                <w:bCs/>
                <w:color w:val="000000"/>
                <w:sz w:val="20"/>
                <w:szCs w:val="20"/>
                <w:lang w:val="ro-MD"/>
              </w:rPr>
              <w:t>0,34%</w:t>
            </w:r>
          </w:p>
        </w:tc>
      </w:tr>
      <w:tr w:rsidR="00C93D2B" w:rsidRPr="00934A6F" w14:paraId="4CF14262" w14:textId="77777777" w:rsidTr="00C93D2B">
        <w:trPr>
          <w:trHeight w:val="20"/>
        </w:trPr>
        <w:tc>
          <w:tcPr>
            <w:cnfStyle w:val="001000000000" w:firstRow="0" w:lastRow="0" w:firstColumn="1" w:lastColumn="0" w:oddVBand="0" w:evenVBand="0" w:oddHBand="0" w:evenHBand="0" w:firstRowFirstColumn="0" w:firstRowLastColumn="0" w:lastRowFirstColumn="0" w:lastRowLastColumn="0"/>
            <w:tcW w:w="3119" w:type="dxa"/>
            <w:hideMark/>
          </w:tcPr>
          <w:p w14:paraId="43D18C71" w14:textId="77777777" w:rsidR="00C93D2B" w:rsidRPr="00934A6F" w:rsidRDefault="00C93D2B" w:rsidP="00C93D2B">
            <w:pPr>
              <w:jc w:val="right"/>
              <w:rPr>
                <w:rFonts w:asciiTheme="majorHAnsi" w:eastAsia="Times New Roman" w:hAnsiTheme="majorHAnsi" w:cstheme="majorHAnsi"/>
                <w:i/>
                <w:iCs/>
                <w:color w:val="000000"/>
                <w:sz w:val="20"/>
                <w:szCs w:val="20"/>
                <w:lang w:val="ro-MD"/>
              </w:rPr>
            </w:pPr>
            <w:r w:rsidRPr="00934A6F">
              <w:rPr>
                <w:rFonts w:asciiTheme="majorHAnsi" w:eastAsia="Times New Roman" w:hAnsiTheme="majorHAnsi" w:cstheme="majorHAnsi"/>
                <w:i/>
                <w:iCs/>
                <w:color w:val="000000"/>
                <w:sz w:val="20"/>
                <w:szCs w:val="20"/>
                <w:lang w:val="ro-MD"/>
              </w:rPr>
              <w:t>Cheltuieli totale, inclusiv:</w:t>
            </w:r>
          </w:p>
        </w:tc>
        <w:tc>
          <w:tcPr>
            <w:tcW w:w="1276" w:type="dxa"/>
            <w:noWrap/>
            <w:hideMark/>
          </w:tcPr>
          <w:p w14:paraId="5905954E"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934A6F">
              <w:rPr>
                <w:rFonts w:asciiTheme="majorHAnsi" w:eastAsia="Times New Roman" w:hAnsiTheme="majorHAnsi" w:cstheme="majorHAnsi"/>
                <w:b/>
                <w:bCs/>
                <w:color w:val="000000"/>
                <w:sz w:val="20"/>
                <w:szCs w:val="20"/>
                <w:lang w:val="ro-MD"/>
              </w:rPr>
              <w:t>157401</w:t>
            </w:r>
          </w:p>
        </w:tc>
        <w:tc>
          <w:tcPr>
            <w:tcW w:w="1276" w:type="dxa"/>
            <w:noWrap/>
            <w:hideMark/>
          </w:tcPr>
          <w:p w14:paraId="463DAB66"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934A6F">
              <w:rPr>
                <w:rFonts w:asciiTheme="majorHAnsi" w:eastAsia="Times New Roman" w:hAnsiTheme="majorHAnsi" w:cstheme="majorHAnsi"/>
                <w:b/>
                <w:bCs/>
                <w:color w:val="000000"/>
                <w:sz w:val="20"/>
                <w:szCs w:val="20"/>
                <w:lang w:val="ro-MD"/>
              </w:rPr>
              <w:t>100,00%</w:t>
            </w:r>
          </w:p>
        </w:tc>
        <w:tc>
          <w:tcPr>
            <w:tcW w:w="1276" w:type="dxa"/>
            <w:noWrap/>
            <w:hideMark/>
          </w:tcPr>
          <w:p w14:paraId="46E54EA2"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934A6F">
              <w:rPr>
                <w:rFonts w:asciiTheme="majorHAnsi" w:eastAsia="Times New Roman" w:hAnsiTheme="majorHAnsi" w:cstheme="majorHAnsi"/>
                <w:b/>
                <w:bCs/>
                <w:color w:val="000000"/>
                <w:sz w:val="20"/>
                <w:szCs w:val="20"/>
                <w:lang w:val="ro-MD"/>
              </w:rPr>
              <w:t>160600,4</w:t>
            </w:r>
          </w:p>
        </w:tc>
        <w:tc>
          <w:tcPr>
            <w:tcW w:w="1134" w:type="dxa"/>
            <w:noWrap/>
            <w:hideMark/>
          </w:tcPr>
          <w:p w14:paraId="660669E0"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934A6F">
              <w:rPr>
                <w:rFonts w:asciiTheme="majorHAnsi" w:eastAsia="Times New Roman" w:hAnsiTheme="majorHAnsi" w:cstheme="majorHAnsi"/>
                <w:b/>
                <w:bCs/>
                <w:color w:val="000000"/>
                <w:sz w:val="20"/>
                <w:szCs w:val="20"/>
                <w:lang w:val="ro-MD"/>
              </w:rPr>
              <w:t>100,00%</w:t>
            </w:r>
          </w:p>
        </w:tc>
        <w:tc>
          <w:tcPr>
            <w:tcW w:w="992" w:type="dxa"/>
            <w:noWrap/>
            <w:hideMark/>
          </w:tcPr>
          <w:p w14:paraId="1F18AC17"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0"/>
                <w:szCs w:val="20"/>
                <w:lang w:val="ro-MD"/>
              </w:rPr>
            </w:pPr>
            <w:r w:rsidRPr="00934A6F">
              <w:rPr>
                <w:rFonts w:asciiTheme="majorHAnsi" w:eastAsia="Times New Roman" w:hAnsiTheme="majorHAnsi" w:cstheme="majorHAnsi"/>
                <w:b/>
                <w:color w:val="000000"/>
                <w:sz w:val="20"/>
                <w:szCs w:val="20"/>
                <w:lang w:val="ro-MD"/>
              </w:rPr>
              <w:t>84990,8</w:t>
            </w:r>
          </w:p>
        </w:tc>
        <w:tc>
          <w:tcPr>
            <w:tcW w:w="1133" w:type="dxa"/>
            <w:noWrap/>
            <w:hideMark/>
          </w:tcPr>
          <w:p w14:paraId="108EAF8C"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934A6F">
              <w:rPr>
                <w:rFonts w:asciiTheme="majorHAnsi" w:eastAsia="Times New Roman" w:hAnsiTheme="majorHAnsi" w:cstheme="majorHAnsi"/>
                <w:b/>
                <w:bCs/>
                <w:color w:val="000000"/>
                <w:sz w:val="20"/>
                <w:szCs w:val="20"/>
                <w:lang w:val="ro-MD"/>
              </w:rPr>
              <w:t>100,00%</w:t>
            </w:r>
          </w:p>
        </w:tc>
      </w:tr>
      <w:tr w:rsidR="00C93D2B" w:rsidRPr="00934A6F" w14:paraId="56E2DC8D" w14:textId="77777777" w:rsidTr="00C93D2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19" w:type="dxa"/>
            <w:noWrap/>
            <w:hideMark/>
          </w:tcPr>
          <w:p w14:paraId="5E8C901A" w14:textId="77777777" w:rsidR="00C93D2B" w:rsidRPr="00934A6F" w:rsidRDefault="00C93D2B" w:rsidP="00C93D2B">
            <w:pPr>
              <w:jc w:val="right"/>
              <w:rPr>
                <w:rFonts w:asciiTheme="majorHAnsi" w:eastAsia="Times New Roman" w:hAnsiTheme="majorHAnsi" w:cstheme="majorHAnsi"/>
                <w:b w:val="0"/>
                <w:i/>
                <w:iCs/>
                <w:color w:val="000000"/>
                <w:sz w:val="20"/>
                <w:szCs w:val="20"/>
                <w:lang w:val="ro-MD"/>
              </w:rPr>
            </w:pPr>
            <w:r w:rsidRPr="00934A6F">
              <w:rPr>
                <w:rFonts w:asciiTheme="majorHAnsi" w:eastAsia="Times New Roman" w:hAnsiTheme="majorHAnsi" w:cstheme="majorHAnsi"/>
                <w:b w:val="0"/>
                <w:i/>
                <w:iCs/>
                <w:color w:val="000000"/>
                <w:sz w:val="20"/>
                <w:szCs w:val="20"/>
                <w:lang w:val="ro-MD"/>
              </w:rPr>
              <w:t>retribuirea muncii</w:t>
            </w:r>
          </w:p>
        </w:tc>
        <w:tc>
          <w:tcPr>
            <w:tcW w:w="1276" w:type="dxa"/>
            <w:noWrap/>
            <w:hideMark/>
          </w:tcPr>
          <w:p w14:paraId="518121DE"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86529</w:t>
            </w:r>
          </w:p>
        </w:tc>
        <w:tc>
          <w:tcPr>
            <w:tcW w:w="1276" w:type="dxa"/>
            <w:noWrap/>
            <w:hideMark/>
          </w:tcPr>
          <w:p w14:paraId="61FD151E"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54,97%</w:t>
            </w:r>
          </w:p>
        </w:tc>
        <w:tc>
          <w:tcPr>
            <w:tcW w:w="1276" w:type="dxa"/>
            <w:noWrap/>
            <w:hideMark/>
          </w:tcPr>
          <w:p w14:paraId="45200713"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79092,8</w:t>
            </w:r>
          </w:p>
        </w:tc>
        <w:tc>
          <w:tcPr>
            <w:tcW w:w="1134" w:type="dxa"/>
            <w:noWrap/>
            <w:hideMark/>
          </w:tcPr>
          <w:p w14:paraId="78BC424F"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49,25%</w:t>
            </w:r>
          </w:p>
        </w:tc>
        <w:tc>
          <w:tcPr>
            <w:tcW w:w="992" w:type="dxa"/>
            <w:noWrap/>
            <w:hideMark/>
          </w:tcPr>
          <w:p w14:paraId="6948CBCE"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42410,7</w:t>
            </w:r>
          </w:p>
        </w:tc>
        <w:tc>
          <w:tcPr>
            <w:tcW w:w="1133" w:type="dxa"/>
            <w:noWrap/>
            <w:hideMark/>
          </w:tcPr>
          <w:p w14:paraId="28BF8876"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color w:val="000000"/>
                <w:sz w:val="20"/>
                <w:szCs w:val="20"/>
                <w:lang w:val="ro-MD"/>
              </w:rPr>
            </w:pPr>
            <w:r w:rsidRPr="00934A6F">
              <w:rPr>
                <w:rFonts w:asciiTheme="majorHAnsi" w:eastAsia="Times New Roman" w:hAnsiTheme="majorHAnsi" w:cstheme="majorHAnsi"/>
                <w:bCs/>
                <w:color w:val="000000"/>
                <w:sz w:val="20"/>
                <w:szCs w:val="20"/>
                <w:lang w:val="ro-MD"/>
              </w:rPr>
              <w:t>49,90%</w:t>
            </w:r>
          </w:p>
        </w:tc>
      </w:tr>
      <w:tr w:rsidR="00C93D2B" w:rsidRPr="00934A6F" w14:paraId="0E2C66A5" w14:textId="77777777" w:rsidTr="00C93D2B">
        <w:trPr>
          <w:trHeight w:val="20"/>
        </w:trPr>
        <w:tc>
          <w:tcPr>
            <w:cnfStyle w:val="001000000000" w:firstRow="0" w:lastRow="0" w:firstColumn="1" w:lastColumn="0" w:oddVBand="0" w:evenVBand="0" w:oddHBand="0" w:evenHBand="0" w:firstRowFirstColumn="0" w:firstRowLastColumn="0" w:lastRowFirstColumn="0" w:lastRowLastColumn="0"/>
            <w:tcW w:w="3119" w:type="dxa"/>
            <w:noWrap/>
            <w:hideMark/>
          </w:tcPr>
          <w:p w14:paraId="5833E437" w14:textId="4767E84D" w:rsidR="00C93D2B" w:rsidRPr="00934A6F" w:rsidRDefault="00C93D2B" w:rsidP="00C93D2B">
            <w:pPr>
              <w:jc w:val="right"/>
              <w:rPr>
                <w:rFonts w:asciiTheme="majorHAnsi" w:eastAsia="Times New Roman" w:hAnsiTheme="majorHAnsi" w:cstheme="majorHAnsi"/>
                <w:b w:val="0"/>
                <w:i/>
                <w:iCs/>
                <w:color w:val="000000"/>
                <w:sz w:val="20"/>
                <w:szCs w:val="20"/>
                <w:lang w:val="ro-MD"/>
              </w:rPr>
            </w:pPr>
            <w:r w:rsidRPr="00934A6F">
              <w:rPr>
                <w:rFonts w:asciiTheme="majorHAnsi" w:eastAsia="Times New Roman" w:hAnsiTheme="majorHAnsi" w:cstheme="majorHAnsi"/>
                <w:b w:val="0"/>
                <w:i/>
                <w:iCs/>
                <w:color w:val="000000"/>
                <w:sz w:val="20"/>
                <w:szCs w:val="20"/>
                <w:lang w:val="ro-MD"/>
              </w:rPr>
              <w:t>alimenta</w:t>
            </w:r>
            <w:r w:rsidR="00B13B9A" w:rsidRPr="00934A6F">
              <w:rPr>
                <w:rFonts w:asciiTheme="majorHAnsi" w:eastAsia="Times New Roman" w:hAnsiTheme="majorHAnsi" w:cstheme="majorHAnsi"/>
                <w:b w:val="0"/>
                <w:i/>
                <w:iCs/>
                <w:color w:val="000000"/>
                <w:sz w:val="20"/>
                <w:szCs w:val="20"/>
                <w:lang w:val="ro-MD"/>
              </w:rPr>
              <w:t>ț</w:t>
            </w:r>
            <w:r w:rsidRPr="00934A6F">
              <w:rPr>
                <w:rFonts w:asciiTheme="majorHAnsi" w:eastAsia="Times New Roman" w:hAnsiTheme="majorHAnsi" w:cstheme="majorHAnsi"/>
                <w:b w:val="0"/>
                <w:i/>
                <w:iCs/>
                <w:color w:val="000000"/>
                <w:sz w:val="20"/>
                <w:szCs w:val="20"/>
                <w:lang w:val="ro-MD"/>
              </w:rPr>
              <w:t>ia pacien</w:t>
            </w:r>
            <w:r w:rsidR="00B13B9A" w:rsidRPr="00934A6F">
              <w:rPr>
                <w:rFonts w:asciiTheme="majorHAnsi" w:eastAsia="Times New Roman" w:hAnsiTheme="majorHAnsi" w:cstheme="majorHAnsi"/>
                <w:b w:val="0"/>
                <w:i/>
                <w:iCs/>
                <w:color w:val="000000"/>
                <w:sz w:val="20"/>
                <w:szCs w:val="20"/>
                <w:lang w:val="ro-MD"/>
              </w:rPr>
              <w:t>ț</w:t>
            </w:r>
            <w:r w:rsidRPr="00934A6F">
              <w:rPr>
                <w:rFonts w:asciiTheme="majorHAnsi" w:eastAsia="Times New Roman" w:hAnsiTheme="majorHAnsi" w:cstheme="majorHAnsi"/>
                <w:b w:val="0"/>
                <w:i/>
                <w:iCs/>
                <w:color w:val="000000"/>
                <w:sz w:val="20"/>
                <w:szCs w:val="20"/>
                <w:lang w:val="ro-MD"/>
              </w:rPr>
              <w:t>ilor</w:t>
            </w:r>
          </w:p>
        </w:tc>
        <w:tc>
          <w:tcPr>
            <w:tcW w:w="1276" w:type="dxa"/>
            <w:noWrap/>
            <w:hideMark/>
          </w:tcPr>
          <w:p w14:paraId="59C6E766"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3714,7</w:t>
            </w:r>
          </w:p>
        </w:tc>
        <w:tc>
          <w:tcPr>
            <w:tcW w:w="1276" w:type="dxa"/>
            <w:noWrap/>
            <w:hideMark/>
          </w:tcPr>
          <w:p w14:paraId="3EA81097"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2,36%</w:t>
            </w:r>
          </w:p>
        </w:tc>
        <w:tc>
          <w:tcPr>
            <w:tcW w:w="1276" w:type="dxa"/>
            <w:noWrap/>
            <w:hideMark/>
          </w:tcPr>
          <w:p w14:paraId="50915735"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4677,2</w:t>
            </w:r>
          </w:p>
        </w:tc>
        <w:tc>
          <w:tcPr>
            <w:tcW w:w="1134" w:type="dxa"/>
            <w:noWrap/>
            <w:hideMark/>
          </w:tcPr>
          <w:p w14:paraId="72CB6ABC"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2,91%</w:t>
            </w:r>
          </w:p>
        </w:tc>
        <w:tc>
          <w:tcPr>
            <w:tcW w:w="992" w:type="dxa"/>
            <w:noWrap/>
            <w:hideMark/>
          </w:tcPr>
          <w:p w14:paraId="00CAB060"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2888,7</w:t>
            </w:r>
          </w:p>
        </w:tc>
        <w:tc>
          <w:tcPr>
            <w:tcW w:w="1133" w:type="dxa"/>
            <w:noWrap/>
            <w:hideMark/>
          </w:tcPr>
          <w:p w14:paraId="7ADD12EF"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20"/>
                <w:szCs w:val="20"/>
                <w:lang w:val="ro-MD"/>
              </w:rPr>
            </w:pPr>
            <w:r w:rsidRPr="00934A6F">
              <w:rPr>
                <w:rFonts w:asciiTheme="majorHAnsi" w:eastAsia="Times New Roman" w:hAnsiTheme="majorHAnsi" w:cstheme="majorHAnsi"/>
                <w:bCs/>
                <w:color w:val="000000"/>
                <w:sz w:val="20"/>
                <w:szCs w:val="20"/>
                <w:lang w:val="ro-MD"/>
              </w:rPr>
              <w:t>3,40%</w:t>
            </w:r>
          </w:p>
        </w:tc>
      </w:tr>
      <w:tr w:rsidR="00C93D2B" w:rsidRPr="00934A6F" w14:paraId="2ADA14A6" w14:textId="77777777" w:rsidTr="00C93D2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19" w:type="dxa"/>
            <w:noWrap/>
            <w:hideMark/>
          </w:tcPr>
          <w:p w14:paraId="586A84B5" w14:textId="77777777" w:rsidR="00C93D2B" w:rsidRPr="00934A6F" w:rsidRDefault="00C93D2B" w:rsidP="00C93D2B">
            <w:pPr>
              <w:jc w:val="right"/>
              <w:rPr>
                <w:rFonts w:asciiTheme="majorHAnsi" w:eastAsia="Times New Roman" w:hAnsiTheme="majorHAnsi" w:cstheme="majorHAnsi"/>
                <w:b w:val="0"/>
                <w:i/>
                <w:iCs/>
                <w:color w:val="000000"/>
                <w:sz w:val="20"/>
                <w:szCs w:val="20"/>
                <w:lang w:val="ro-MD"/>
              </w:rPr>
            </w:pPr>
            <w:r w:rsidRPr="00934A6F">
              <w:rPr>
                <w:rFonts w:asciiTheme="majorHAnsi" w:eastAsia="Times New Roman" w:hAnsiTheme="majorHAnsi" w:cstheme="majorHAnsi"/>
                <w:b w:val="0"/>
                <w:i/>
                <w:iCs/>
                <w:color w:val="000000"/>
                <w:sz w:val="20"/>
                <w:szCs w:val="20"/>
                <w:lang w:val="ro-MD"/>
              </w:rPr>
              <w:t>medicamente</w:t>
            </w:r>
          </w:p>
        </w:tc>
        <w:tc>
          <w:tcPr>
            <w:tcW w:w="1276" w:type="dxa"/>
            <w:noWrap/>
            <w:hideMark/>
          </w:tcPr>
          <w:p w14:paraId="0971F983"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23546,3</w:t>
            </w:r>
          </w:p>
        </w:tc>
        <w:tc>
          <w:tcPr>
            <w:tcW w:w="1276" w:type="dxa"/>
            <w:noWrap/>
            <w:hideMark/>
          </w:tcPr>
          <w:p w14:paraId="747DBD53"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14,96%</w:t>
            </w:r>
          </w:p>
        </w:tc>
        <w:tc>
          <w:tcPr>
            <w:tcW w:w="1276" w:type="dxa"/>
            <w:noWrap/>
            <w:hideMark/>
          </w:tcPr>
          <w:p w14:paraId="16D515D6"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31772,9</w:t>
            </w:r>
          </w:p>
        </w:tc>
        <w:tc>
          <w:tcPr>
            <w:tcW w:w="1134" w:type="dxa"/>
            <w:noWrap/>
            <w:hideMark/>
          </w:tcPr>
          <w:p w14:paraId="07B36FD0"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19,78%</w:t>
            </w:r>
          </w:p>
        </w:tc>
        <w:tc>
          <w:tcPr>
            <w:tcW w:w="992" w:type="dxa"/>
            <w:noWrap/>
            <w:hideMark/>
          </w:tcPr>
          <w:p w14:paraId="09D53377"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15434,2</w:t>
            </w:r>
          </w:p>
        </w:tc>
        <w:tc>
          <w:tcPr>
            <w:tcW w:w="1133" w:type="dxa"/>
            <w:noWrap/>
            <w:hideMark/>
          </w:tcPr>
          <w:p w14:paraId="532418D9"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color w:val="000000"/>
                <w:sz w:val="20"/>
                <w:szCs w:val="20"/>
                <w:lang w:val="ro-MD"/>
              </w:rPr>
            </w:pPr>
            <w:r w:rsidRPr="00934A6F">
              <w:rPr>
                <w:rFonts w:asciiTheme="majorHAnsi" w:eastAsia="Times New Roman" w:hAnsiTheme="majorHAnsi" w:cstheme="majorHAnsi"/>
                <w:bCs/>
                <w:color w:val="000000"/>
                <w:sz w:val="20"/>
                <w:szCs w:val="20"/>
                <w:lang w:val="ro-MD"/>
              </w:rPr>
              <w:t>18,16%</w:t>
            </w:r>
          </w:p>
        </w:tc>
      </w:tr>
      <w:tr w:rsidR="00C93D2B" w:rsidRPr="00934A6F" w14:paraId="769A53F1" w14:textId="77777777" w:rsidTr="00C93D2B">
        <w:trPr>
          <w:trHeight w:val="20"/>
        </w:trPr>
        <w:tc>
          <w:tcPr>
            <w:cnfStyle w:val="001000000000" w:firstRow="0" w:lastRow="0" w:firstColumn="1" w:lastColumn="0" w:oddVBand="0" w:evenVBand="0" w:oddHBand="0" w:evenHBand="0" w:firstRowFirstColumn="0" w:firstRowLastColumn="0" w:lastRowFirstColumn="0" w:lastRowLastColumn="0"/>
            <w:tcW w:w="3119" w:type="dxa"/>
            <w:noWrap/>
            <w:hideMark/>
          </w:tcPr>
          <w:p w14:paraId="0B56F9A7" w14:textId="7209EB8C" w:rsidR="00C93D2B" w:rsidRPr="00934A6F" w:rsidRDefault="00C93D2B" w:rsidP="00C93D2B">
            <w:pPr>
              <w:jc w:val="right"/>
              <w:rPr>
                <w:rFonts w:asciiTheme="majorHAnsi" w:eastAsia="Times New Roman" w:hAnsiTheme="majorHAnsi" w:cstheme="majorHAnsi"/>
                <w:b w:val="0"/>
                <w:i/>
                <w:iCs/>
                <w:color w:val="000000"/>
                <w:sz w:val="20"/>
                <w:szCs w:val="20"/>
                <w:lang w:val="ro-MD"/>
              </w:rPr>
            </w:pPr>
            <w:r w:rsidRPr="00934A6F">
              <w:rPr>
                <w:rFonts w:asciiTheme="majorHAnsi" w:eastAsia="Times New Roman" w:hAnsiTheme="majorHAnsi" w:cstheme="majorHAnsi"/>
                <w:b w:val="0"/>
                <w:i/>
                <w:iCs/>
                <w:color w:val="000000"/>
                <w:sz w:val="20"/>
                <w:szCs w:val="20"/>
                <w:lang w:val="ro-MD"/>
              </w:rPr>
              <w:t>cotiza</w:t>
            </w:r>
            <w:r w:rsidR="00B13B9A" w:rsidRPr="00934A6F">
              <w:rPr>
                <w:rFonts w:asciiTheme="majorHAnsi" w:eastAsia="Times New Roman" w:hAnsiTheme="majorHAnsi" w:cstheme="majorHAnsi"/>
                <w:b w:val="0"/>
                <w:i/>
                <w:iCs/>
                <w:color w:val="000000"/>
                <w:sz w:val="20"/>
                <w:szCs w:val="20"/>
                <w:lang w:val="ro-MD"/>
              </w:rPr>
              <w:t>ț</w:t>
            </w:r>
            <w:r w:rsidRPr="00934A6F">
              <w:rPr>
                <w:rFonts w:asciiTheme="majorHAnsi" w:eastAsia="Times New Roman" w:hAnsiTheme="majorHAnsi" w:cstheme="majorHAnsi"/>
                <w:b w:val="0"/>
                <w:i/>
                <w:iCs/>
                <w:color w:val="000000"/>
                <w:sz w:val="20"/>
                <w:szCs w:val="20"/>
                <w:lang w:val="ro-MD"/>
              </w:rPr>
              <w:t>ii, asigurări sociale</w:t>
            </w:r>
          </w:p>
        </w:tc>
        <w:tc>
          <w:tcPr>
            <w:tcW w:w="1276" w:type="dxa"/>
            <w:noWrap/>
            <w:hideMark/>
          </w:tcPr>
          <w:p w14:paraId="22B42AE0"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20765,1</w:t>
            </w:r>
          </w:p>
        </w:tc>
        <w:tc>
          <w:tcPr>
            <w:tcW w:w="1276" w:type="dxa"/>
            <w:noWrap/>
            <w:hideMark/>
          </w:tcPr>
          <w:p w14:paraId="74DD977B"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13,19%</w:t>
            </w:r>
          </w:p>
        </w:tc>
        <w:tc>
          <w:tcPr>
            <w:tcW w:w="1276" w:type="dxa"/>
            <w:noWrap/>
            <w:hideMark/>
          </w:tcPr>
          <w:p w14:paraId="74094E27"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18893,4</w:t>
            </w:r>
          </w:p>
        </w:tc>
        <w:tc>
          <w:tcPr>
            <w:tcW w:w="1134" w:type="dxa"/>
            <w:noWrap/>
            <w:hideMark/>
          </w:tcPr>
          <w:p w14:paraId="240833C4"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11,76%</w:t>
            </w:r>
          </w:p>
        </w:tc>
        <w:tc>
          <w:tcPr>
            <w:tcW w:w="992" w:type="dxa"/>
            <w:noWrap/>
            <w:hideMark/>
          </w:tcPr>
          <w:p w14:paraId="69B6BAF2"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10139,9</w:t>
            </w:r>
          </w:p>
        </w:tc>
        <w:tc>
          <w:tcPr>
            <w:tcW w:w="1133" w:type="dxa"/>
            <w:noWrap/>
            <w:hideMark/>
          </w:tcPr>
          <w:p w14:paraId="222EC077"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20"/>
                <w:szCs w:val="20"/>
                <w:lang w:val="ro-MD"/>
              </w:rPr>
            </w:pPr>
            <w:r w:rsidRPr="00934A6F">
              <w:rPr>
                <w:rFonts w:asciiTheme="majorHAnsi" w:eastAsia="Times New Roman" w:hAnsiTheme="majorHAnsi" w:cstheme="majorHAnsi"/>
                <w:bCs/>
                <w:color w:val="000000"/>
                <w:sz w:val="20"/>
                <w:szCs w:val="20"/>
                <w:lang w:val="ro-MD"/>
              </w:rPr>
              <w:t>11,93%</w:t>
            </w:r>
          </w:p>
        </w:tc>
      </w:tr>
      <w:tr w:rsidR="00C93D2B" w:rsidRPr="00934A6F" w14:paraId="2AC6DBEF" w14:textId="77777777" w:rsidTr="00C93D2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19" w:type="dxa"/>
            <w:noWrap/>
            <w:hideMark/>
          </w:tcPr>
          <w:p w14:paraId="19934608" w14:textId="33B560C4" w:rsidR="00C93D2B" w:rsidRPr="00934A6F" w:rsidRDefault="00C93D2B" w:rsidP="00C93D2B">
            <w:pPr>
              <w:jc w:val="right"/>
              <w:rPr>
                <w:rFonts w:asciiTheme="majorHAnsi" w:eastAsia="Times New Roman" w:hAnsiTheme="majorHAnsi" w:cstheme="majorHAnsi"/>
                <w:b w:val="0"/>
                <w:i/>
                <w:iCs/>
                <w:color w:val="000000"/>
                <w:sz w:val="20"/>
                <w:szCs w:val="20"/>
                <w:lang w:val="ro-MD"/>
              </w:rPr>
            </w:pPr>
            <w:r w:rsidRPr="00934A6F">
              <w:rPr>
                <w:rFonts w:asciiTheme="majorHAnsi" w:eastAsia="Times New Roman" w:hAnsiTheme="majorHAnsi" w:cstheme="majorHAnsi"/>
                <w:b w:val="0"/>
                <w:i/>
                <w:iCs/>
                <w:color w:val="000000"/>
                <w:sz w:val="20"/>
                <w:szCs w:val="20"/>
                <w:lang w:val="ro-MD"/>
              </w:rPr>
              <w:t>perfec</w:t>
            </w:r>
            <w:r w:rsidR="00B13B9A" w:rsidRPr="00934A6F">
              <w:rPr>
                <w:rFonts w:asciiTheme="majorHAnsi" w:eastAsia="Times New Roman" w:hAnsiTheme="majorHAnsi" w:cstheme="majorHAnsi"/>
                <w:b w:val="0"/>
                <w:i/>
                <w:iCs/>
                <w:color w:val="000000"/>
                <w:sz w:val="20"/>
                <w:szCs w:val="20"/>
                <w:lang w:val="ro-MD"/>
              </w:rPr>
              <w:t>ț</w:t>
            </w:r>
            <w:r w:rsidRPr="00934A6F">
              <w:rPr>
                <w:rFonts w:asciiTheme="majorHAnsi" w:eastAsia="Times New Roman" w:hAnsiTheme="majorHAnsi" w:cstheme="majorHAnsi"/>
                <w:b w:val="0"/>
                <w:i/>
                <w:iCs/>
                <w:color w:val="000000"/>
                <w:sz w:val="20"/>
                <w:szCs w:val="20"/>
                <w:lang w:val="ro-MD"/>
              </w:rPr>
              <w:t>ionare cadre</w:t>
            </w:r>
          </w:p>
        </w:tc>
        <w:tc>
          <w:tcPr>
            <w:tcW w:w="1276" w:type="dxa"/>
            <w:noWrap/>
            <w:hideMark/>
          </w:tcPr>
          <w:p w14:paraId="41F24F96"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120,6</w:t>
            </w:r>
          </w:p>
        </w:tc>
        <w:tc>
          <w:tcPr>
            <w:tcW w:w="1276" w:type="dxa"/>
            <w:noWrap/>
            <w:hideMark/>
          </w:tcPr>
          <w:p w14:paraId="07E40D8E"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0,08%</w:t>
            </w:r>
          </w:p>
        </w:tc>
        <w:tc>
          <w:tcPr>
            <w:tcW w:w="1276" w:type="dxa"/>
            <w:noWrap/>
            <w:hideMark/>
          </w:tcPr>
          <w:p w14:paraId="52E8AED1"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244,9</w:t>
            </w:r>
          </w:p>
        </w:tc>
        <w:tc>
          <w:tcPr>
            <w:tcW w:w="1134" w:type="dxa"/>
            <w:noWrap/>
            <w:hideMark/>
          </w:tcPr>
          <w:p w14:paraId="4387648A"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0,15%</w:t>
            </w:r>
          </w:p>
        </w:tc>
        <w:tc>
          <w:tcPr>
            <w:tcW w:w="992" w:type="dxa"/>
            <w:noWrap/>
            <w:hideMark/>
          </w:tcPr>
          <w:p w14:paraId="3C28C917"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157,8</w:t>
            </w:r>
          </w:p>
        </w:tc>
        <w:tc>
          <w:tcPr>
            <w:tcW w:w="1133" w:type="dxa"/>
            <w:noWrap/>
            <w:hideMark/>
          </w:tcPr>
          <w:p w14:paraId="03B751B9"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color w:val="000000"/>
                <w:sz w:val="20"/>
                <w:szCs w:val="20"/>
                <w:lang w:val="ro-MD"/>
              </w:rPr>
            </w:pPr>
            <w:r w:rsidRPr="00934A6F">
              <w:rPr>
                <w:rFonts w:asciiTheme="majorHAnsi" w:eastAsia="Times New Roman" w:hAnsiTheme="majorHAnsi" w:cstheme="majorHAnsi"/>
                <w:bCs/>
                <w:color w:val="000000"/>
                <w:sz w:val="20"/>
                <w:szCs w:val="20"/>
                <w:lang w:val="ro-MD"/>
              </w:rPr>
              <w:t>0,19%</w:t>
            </w:r>
          </w:p>
        </w:tc>
      </w:tr>
      <w:tr w:rsidR="00C93D2B" w:rsidRPr="00934A6F" w14:paraId="63C0F027" w14:textId="77777777" w:rsidTr="00C93D2B">
        <w:trPr>
          <w:trHeight w:val="20"/>
        </w:trPr>
        <w:tc>
          <w:tcPr>
            <w:cnfStyle w:val="001000000000" w:firstRow="0" w:lastRow="0" w:firstColumn="1" w:lastColumn="0" w:oddVBand="0" w:evenVBand="0" w:oddHBand="0" w:evenHBand="0" w:firstRowFirstColumn="0" w:firstRowLastColumn="0" w:lastRowFirstColumn="0" w:lastRowLastColumn="0"/>
            <w:tcW w:w="3119" w:type="dxa"/>
            <w:noWrap/>
            <w:hideMark/>
          </w:tcPr>
          <w:p w14:paraId="29F01C5E" w14:textId="77777777" w:rsidR="00C93D2B" w:rsidRPr="00934A6F" w:rsidRDefault="00C93D2B" w:rsidP="00C93D2B">
            <w:pPr>
              <w:jc w:val="right"/>
              <w:rPr>
                <w:rFonts w:asciiTheme="majorHAnsi" w:eastAsia="Times New Roman" w:hAnsiTheme="majorHAnsi" w:cstheme="majorHAnsi"/>
                <w:b w:val="0"/>
                <w:i/>
                <w:iCs/>
                <w:color w:val="000000"/>
                <w:sz w:val="20"/>
                <w:szCs w:val="20"/>
                <w:lang w:val="ro-MD"/>
              </w:rPr>
            </w:pPr>
            <w:r w:rsidRPr="00934A6F">
              <w:rPr>
                <w:rFonts w:asciiTheme="majorHAnsi" w:eastAsia="Times New Roman" w:hAnsiTheme="majorHAnsi" w:cstheme="majorHAnsi"/>
                <w:b w:val="0"/>
                <w:i/>
                <w:iCs/>
                <w:color w:val="000000"/>
                <w:sz w:val="20"/>
                <w:szCs w:val="20"/>
                <w:lang w:val="ro-MD"/>
              </w:rPr>
              <w:t>produse petroliere</w:t>
            </w:r>
          </w:p>
        </w:tc>
        <w:tc>
          <w:tcPr>
            <w:tcW w:w="1276" w:type="dxa"/>
            <w:noWrap/>
            <w:hideMark/>
          </w:tcPr>
          <w:p w14:paraId="7B7D12FE"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693,7</w:t>
            </w:r>
          </w:p>
        </w:tc>
        <w:tc>
          <w:tcPr>
            <w:tcW w:w="1276" w:type="dxa"/>
            <w:noWrap/>
            <w:hideMark/>
          </w:tcPr>
          <w:p w14:paraId="084E9A1B"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0,44%</w:t>
            </w:r>
          </w:p>
        </w:tc>
        <w:tc>
          <w:tcPr>
            <w:tcW w:w="1276" w:type="dxa"/>
            <w:noWrap/>
            <w:hideMark/>
          </w:tcPr>
          <w:p w14:paraId="4A7AACCA"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885,5</w:t>
            </w:r>
          </w:p>
        </w:tc>
        <w:tc>
          <w:tcPr>
            <w:tcW w:w="1134" w:type="dxa"/>
            <w:noWrap/>
            <w:hideMark/>
          </w:tcPr>
          <w:p w14:paraId="5F4396F3"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0,55%</w:t>
            </w:r>
          </w:p>
        </w:tc>
        <w:tc>
          <w:tcPr>
            <w:tcW w:w="992" w:type="dxa"/>
            <w:noWrap/>
            <w:hideMark/>
          </w:tcPr>
          <w:p w14:paraId="3F02D2C0"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403,9</w:t>
            </w:r>
          </w:p>
        </w:tc>
        <w:tc>
          <w:tcPr>
            <w:tcW w:w="1133" w:type="dxa"/>
            <w:noWrap/>
            <w:hideMark/>
          </w:tcPr>
          <w:p w14:paraId="6A5BEDDC"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20"/>
                <w:szCs w:val="20"/>
                <w:lang w:val="ro-MD"/>
              </w:rPr>
            </w:pPr>
            <w:r w:rsidRPr="00934A6F">
              <w:rPr>
                <w:rFonts w:asciiTheme="majorHAnsi" w:eastAsia="Times New Roman" w:hAnsiTheme="majorHAnsi" w:cstheme="majorHAnsi"/>
                <w:bCs/>
                <w:color w:val="000000"/>
                <w:sz w:val="20"/>
                <w:szCs w:val="20"/>
                <w:lang w:val="ro-MD"/>
              </w:rPr>
              <w:t>0,48%</w:t>
            </w:r>
          </w:p>
        </w:tc>
      </w:tr>
      <w:tr w:rsidR="00C93D2B" w:rsidRPr="00934A6F" w14:paraId="4DC4D569" w14:textId="77777777" w:rsidTr="00C93D2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19" w:type="dxa"/>
            <w:noWrap/>
            <w:hideMark/>
          </w:tcPr>
          <w:p w14:paraId="7BCA0332" w14:textId="77777777" w:rsidR="00C93D2B" w:rsidRPr="00934A6F" w:rsidRDefault="00C93D2B" w:rsidP="00C93D2B">
            <w:pPr>
              <w:jc w:val="right"/>
              <w:rPr>
                <w:rFonts w:asciiTheme="majorHAnsi" w:eastAsia="Times New Roman" w:hAnsiTheme="majorHAnsi" w:cstheme="majorHAnsi"/>
                <w:b w:val="0"/>
                <w:i/>
                <w:iCs/>
                <w:color w:val="000000"/>
                <w:sz w:val="20"/>
                <w:szCs w:val="20"/>
                <w:lang w:val="ro-MD"/>
              </w:rPr>
            </w:pPr>
            <w:r w:rsidRPr="00934A6F">
              <w:rPr>
                <w:rFonts w:asciiTheme="majorHAnsi" w:eastAsia="Times New Roman" w:hAnsiTheme="majorHAnsi" w:cstheme="majorHAnsi"/>
                <w:b w:val="0"/>
                <w:i/>
                <w:iCs/>
                <w:color w:val="000000"/>
                <w:sz w:val="20"/>
                <w:szCs w:val="20"/>
                <w:lang w:val="ro-MD"/>
              </w:rPr>
              <w:t>gaze</w:t>
            </w:r>
          </w:p>
        </w:tc>
        <w:tc>
          <w:tcPr>
            <w:tcW w:w="1276" w:type="dxa"/>
            <w:noWrap/>
            <w:hideMark/>
          </w:tcPr>
          <w:p w14:paraId="0FE99F1C"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1140,3</w:t>
            </w:r>
          </w:p>
        </w:tc>
        <w:tc>
          <w:tcPr>
            <w:tcW w:w="1276" w:type="dxa"/>
            <w:noWrap/>
            <w:hideMark/>
          </w:tcPr>
          <w:p w14:paraId="1089B816"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0,72%</w:t>
            </w:r>
          </w:p>
        </w:tc>
        <w:tc>
          <w:tcPr>
            <w:tcW w:w="1276" w:type="dxa"/>
            <w:noWrap/>
            <w:hideMark/>
          </w:tcPr>
          <w:p w14:paraId="0E67DF57"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1882</w:t>
            </w:r>
          </w:p>
        </w:tc>
        <w:tc>
          <w:tcPr>
            <w:tcW w:w="1134" w:type="dxa"/>
            <w:noWrap/>
            <w:hideMark/>
          </w:tcPr>
          <w:p w14:paraId="41EFBAB0"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1,17%</w:t>
            </w:r>
          </w:p>
        </w:tc>
        <w:tc>
          <w:tcPr>
            <w:tcW w:w="992" w:type="dxa"/>
            <w:noWrap/>
            <w:hideMark/>
          </w:tcPr>
          <w:p w14:paraId="24D9C09D"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978,7</w:t>
            </w:r>
          </w:p>
        </w:tc>
        <w:tc>
          <w:tcPr>
            <w:tcW w:w="1133" w:type="dxa"/>
            <w:noWrap/>
            <w:hideMark/>
          </w:tcPr>
          <w:p w14:paraId="50BF163C"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color w:val="000000"/>
                <w:sz w:val="20"/>
                <w:szCs w:val="20"/>
                <w:lang w:val="ro-MD"/>
              </w:rPr>
            </w:pPr>
            <w:r w:rsidRPr="00934A6F">
              <w:rPr>
                <w:rFonts w:asciiTheme="majorHAnsi" w:eastAsia="Times New Roman" w:hAnsiTheme="majorHAnsi" w:cstheme="majorHAnsi"/>
                <w:bCs/>
                <w:color w:val="000000"/>
                <w:sz w:val="20"/>
                <w:szCs w:val="20"/>
                <w:lang w:val="ro-MD"/>
              </w:rPr>
              <w:t>1,15%</w:t>
            </w:r>
          </w:p>
        </w:tc>
      </w:tr>
      <w:tr w:rsidR="00C93D2B" w:rsidRPr="00934A6F" w14:paraId="2B4BCDEA" w14:textId="77777777" w:rsidTr="00C93D2B">
        <w:trPr>
          <w:trHeight w:val="20"/>
        </w:trPr>
        <w:tc>
          <w:tcPr>
            <w:cnfStyle w:val="001000000000" w:firstRow="0" w:lastRow="0" w:firstColumn="1" w:lastColumn="0" w:oddVBand="0" w:evenVBand="0" w:oddHBand="0" w:evenHBand="0" w:firstRowFirstColumn="0" w:firstRowLastColumn="0" w:lastRowFirstColumn="0" w:lastRowLastColumn="0"/>
            <w:tcW w:w="3119" w:type="dxa"/>
            <w:noWrap/>
            <w:hideMark/>
          </w:tcPr>
          <w:p w14:paraId="133C0047" w14:textId="5E5D4117" w:rsidR="00C93D2B" w:rsidRPr="00934A6F" w:rsidRDefault="00C93D2B" w:rsidP="00C93D2B">
            <w:pPr>
              <w:jc w:val="right"/>
              <w:rPr>
                <w:rFonts w:asciiTheme="majorHAnsi" w:eastAsia="Times New Roman" w:hAnsiTheme="majorHAnsi" w:cstheme="majorHAnsi"/>
                <w:b w:val="0"/>
                <w:i/>
                <w:iCs/>
                <w:color w:val="000000"/>
                <w:sz w:val="20"/>
                <w:szCs w:val="20"/>
                <w:lang w:val="ro-MD"/>
              </w:rPr>
            </w:pPr>
            <w:r w:rsidRPr="00934A6F">
              <w:rPr>
                <w:rFonts w:asciiTheme="majorHAnsi" w:eastAsia="Times New Roman" w:hAnsiTheme="majorHAnsi" w:cstheme="majorHAnsi"/>
                <w:b w:val="0"/>
                <w:i/>
                <w:iCs/>
                <w:color w:val="000000"/>
                <w:sz w:val="20"/>
                <w:szCs w:val="20"/>
                <w:lang w:val="ro-MD"/>
              </w:rPr>
              <w:t>repara</w:t>
            </w:r>
            <w:r w:rsidR="00B13B9A" w:rsidRPr="00934A6F">
              <w:rPr>
                <w:rFonts w:asciiTheme="majorHAnsi" w:eastAsia="Times New Roman" w:hAnsiTheme="majorHAnsi" w:cstheme="majorHAnsi"/>
                <w:b w:val="0"/>
                <w:i/>
                <w:iCs/>
                <w:color w:val="000000"/>
                <w:sz w:val="20"/>
                <w:szCs w:val="20"/>
                <w:lang w:val="ro-MD"/>
              </w:rPr>
              <w:t>ț</w:t>
            </w:r>
            <w:r w:rsidRPr="00934A6F">
              <w:rPr>
                <w:rFonts w:asciiTheme="majorHAnsi" w:eastAsia="Times New Roman" w:hAnsiTheme="majorHAnsi" w:cstheme="majorHAnsi"/>
                <w:b w:val="0"/>
                <w:i/>
                <w:iCs/>
                <w:color w:val="000000"/>
                <w:sz w:val="20"/>
                <w:szCs w:val="20"/>
                <w:lang w:val="ro-MD"/>
              </w:rPr>
              <w:t xml:space="preserve">ie curentă </w:t>
            </w:r>
          </w:p>
        </w:tc>
        <w:tc>
          <w:tcPr>
            <w:tcW w:w="1276" w:type="dxa"/>
            <w:noWrap/>
            <w:hideMark/>
          </w:tcPr>
          <w:p w14:paraId="7FE3632E"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847,1</w:t>
            </w:r>
          </w:p>
        </w:tc>
        <w:tc>
          <w:tcPr>
            <w:tcW w:w="1276" w:type="dxa"/>
            <w:noWrap/>
            <w:hideMark/>
          </w:tcPr>
          <w:p w14:paraId="5160CF2D"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0,54%</w:t>
            </w:r>
          </w:p>
        </w:tc>
        <w:tc>
          <w:tcPr>
            <w:tcW w:w="1276" w:type="dxa"/>
            <w:noWrap/>
            <w:hideMark/>
          </w:tcPr>
          <w:p w14:paraId="09F8C7BE"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892,5</w:t>
            </w:r>
          </w:p>
        </w:tc>
        <w:tc>
          <w:tcPr>
            <w:tcW w:w="1134" w:type="dxa"/>
            <w:noWrap/>
            <w:hideMark/>
          </w:tcPr>
          <w:p w14:paraId="2813880F"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0,56%</w:t>
            </w:r>
          </w:p>
        </w:tc>
        <w:tc>
          <w:tcPr>
            <w:tcW w:w="992" w:type="dxa"/>
            <w:noWrap/>
            <w:hideMark/>
          </w:tcPr>
          <w:p w14:paraId="10577E98"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456,0</w:t>
            </w:r>
          </w:p>
        </w:tc>
        <w:tc>
          <w:tcPr>
            <w:tcW w:w="1133" w:type="dxa"/>
            <w:noWrap/>
            <w:hideMark/>
          </w:tcPr>
          <w:p w14:paraId="07A04A37"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20"/>
                <w:szCs w:val="20"/>
                <w:lang w:val="ro-MD"/>
              </w:rPr>
            </w:pPr>
            <w:r w:rsidRPr="00934A6F">
              <w:rPr>
                <w:rFonts w:asciiTheme="majorHAnsi" w:eastAsia="Times New Roman" w:hAnsiTheme="majorHAnsi" w:cstheme="majorHAnsi"/>
                <w:bCs/>
                <w:color w:val="000000"/>
                <w:sz w:val="20"/>
                <w:szCs w:val="20"/>
                <w:lang w:val="ro-MD"/>
              </w:rPr>
              <w:t>0,54%</w:t>
            </w:r>
          </w:p>
        </w:tc>
      </w:tr>
      <w:tr w:rsidR="00C93D2B" w:rsidRPr="00934A6F" w14:paraId="5439BAB4" w14:textId="77777777" w:rsidTr="00C93D2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19" w:type="dxa"/>
            <w:noWrap/>
            <w:hideMark/>
          </w:tcPr>
          <w:p w14:paraId="16274AC0" w14:textId="77777777" w:rsidR="00C93D2B" w:rsidRPr="00934A6F" w:rsidRDefault="00C93D2B" w:rsidP="00C93D2B">
            <w:pPr>
              <w:jc w:val="right"/>
              <w:rPr>
                <w:rFonts w:asciiTheme="majorHAnsi" w:eastAsia="Times New Roman" w:hAnsiTheme="majorHAnsi" w:cstheme="majorHAnsi"/>
                <w:b w:val="0"/>
                <w:i/>
                <w:iCs/>
                <w:color w:val="000000"/>
                <w:sz w:val="20"/>
                <w:szCs w:val="20"/>
                <w:lang w:val="ro-MD"/>
              </w:rPr>
            </w:pPr>
            <w:r w:rsidRPr="00934A6F">
              <w:rPr>
                <w:rFonts w:asciiTheme="majorHAnsi" w:eastAsia="Times New Roman" w:hAnsiTheme="majorHAnsi" w:cstheme="majorHAnsi"/>
                <w:b w:val="0"/>
                <w:i/>
                <w:iCs/>
                <w:color w:val="000000"/>
                <w:sz w:val="20"/>
                <w:szCs w:val="20"/>
                <w:lang w:val="ro-MD"/>
              </w:rPr>
              <w:t>energie electrică</w:t>
            </w:r>
          </w:p>
        </w:tc>
        <w:tc>
          <w:tcPr>
            <w:tcW w:w="1276" w:type="dxa"/>
            <w:noWrap/>
            <w:hideMark/>
          </w:tcPr>
          <w:p w14:paraId="7C6B58D3"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2113,6</w:t>
            </w:r>
          </w:p>
        </w:tc>
        <w:tc>
          <w:tcPr>
            <w:tcW w:w="1276" w:type="dxa"/>
            <w:noWrap/>
            <w:hideMark/>
          </w:tcPr>
          <w:p w14:paraId="3D3B95E2"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1,34%</w:t>
            </w:r>
          </w:p>
        </w:tc>
        <w:tc>
          <w:tcPr>
            <w:tcW w:w="1276" w:type="dxa"/>
            <w:noWrap/>
            <w:hideMark/>
          </w:tcPr>
          <w:p w14:paraId="31F1C310"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2993,7</w:t>
            </w:r>
          </w:p>
        </w:tc>
        <w:tc>
          <w:tcPr>
            <w:tcW w:w="1134" w:type="dxa"/>
            <w:noWrap/>
            <w:hideMark/>
          </w:tcPr>
          <w:p w14:paraId="22D50CFD"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1,86%</w:t>
            </w:r>
          </w:p>
        </w:tc>
        <w:tc>
          <w:tcPr>
            <w:tcW w:w="992" w:type="dxa"/>
            <w:noWrap/>
            <w:hideMark/>
          </w:tcPr>
          <w:p w14:paraId="62600705"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2203,2</w:t>
            </w:r>
          </w:p>
        </w:tc>
        <w:tc>
          <w:tcPr>
            <w:tcW w:w="1133" w:type="dxa"/>
            <w:noWrap/>
            <w:hideMark/>
          </w:tcPr>
          <w:p w14:paraId="18FA451A"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color w:val="000000"/>
                <w:sz w:val="20"/>
                <w:szCs w:val="20"/>
                <w:lang w:val="ro-MD"/>
              </w:rPr>
            </w:pPr>
            <w:r w:rsidRPr="00934A6F">
              <w:rPr>
                <w:rFonts w:asciiTheme="majorHAnsi" w:eastAsia="Times New Roman" w:hAnsiTheme="majorHAnsi" w:cstheme="majorHAnsi"/>
                <w:bCs/>
                <w:color w:val="000000"/>
                <w:sz w:val="20"/>
                <w:szCs w:val="20"/>
                <w:lang w:val="ro-MD"/>
              </w:rPr>
              <w:t>2,59%</w:t>
            </w:r>
          </w:p>
        </w:tc>
      </w:tr>
      <w:tr w:rsidR="00C93D2B" w:rsidRPr="00934A6F" w14:paraId="0605B46F" w14:textId="77777777" w:rsidTr="00C93D2B">
        <w:trPr>
          <w:trHeight w:val="20"/>
        </w:trPr>
        <w:tc>
          <w:tcPr>
            <w:cnfStyle w:val="001000000000" w:firstRow="0" w:lastRow="0" w:firstColumn="1" w:lastColumn="0" w:oddVBand="0" w:evenVBand="0" w:oddHBand="0" w:evenHBand="0" w:firstRowFirstColumn="0" w:firstRowLastColumn="0" w:lastRowFirstColumn="0" w:lastRowLastColumn="0"/>
            <w:tcW w:w="3119" w:type="dxa"/>
            <w:noWrap/>
            <w:hideMark/>
          </w:tcPr>
          <w:p w14:paraId="45BC7770" w14:textId="77777777" w:rsidR="00C93D2B" w:rsidRPr="00934A6F" w:rsidRDefault="00C93D2B" w:rsidP="00C93D2B">
            <w:pPr>
              <w:jc w:val="right"/>
              <w:rPr>
                <w:rFonts w:asciiTheme="majorHAnsi" w:eastAsia="Times New Roman" w:hAnsiTheme="majorHAnsi" w:cstheme="majorHAnsi"/>
                <w:b w:val="0"/>
                <w:i/>
                <w:iCs/>
                <w:color w:val="000000"/>
                <w:sz w:val="20"/>
                <w:szCs w:val="20"/>
                <w:lang w:val="ro-MD"/>
              </w:rPr>
            </w:pPr>
            <w:r w:rsidRPr="00934A6F">
              <w:rPr>
                <w:rFonts w:asciiTheme="majorHAnsi" w:eastAsia="Times New Roman" w:hAnsiTheme="majorHAnsi" w:cstheme="majorHAnsi"/>
                <w:b w:val="0"/>
                <w:i/>
                <w:iCs/>
                <w:color w:val="000000"/>
                <w:sz w:val="20"/>
                <w:szCs w:val="20"/>
                <w:lang w:val="ro-MD"/>
              </w:rPr>
              <w:t>energie termică</w:t>
            </w:r>
          </w:p>
        </w:tc>
        <w:tc>
          <w:tcPr>
            <w:tcW w:w="1276" w:type="dxa"/>
            <w:noWrap/>
            <w:hideMark/>
          </w:tcPr>
          <w:p w14:paraId="6A3EDAAD"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2140,3</w:t>
            </w:r>
          </w:p>
        </w:tc>
        <w:tc>
          <w:tcPr>
            <w:tcW w:w="1276" w:type="dxa"/>
            <w:noWrap/>
            <w:hideMark/>
          </w:tcPr>
          <w:p w14:paraId="08581AA2"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1,36%</w:t>
            </w:r>
          </w:p>
        </w:tc>
        <w:tc>
          <w:tcPr>
            <w:tcW w:w="1276" w:type="dxa"/>
            <w:noWrap/>
            <w:hideMark/>
          </w:tcPr>
          <w:p w14:paraId="37026F07"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3465,3</w:t>
            </w:r>
          </w:p>
        </w:tc>
        <w:tc>
          <w:tcPr>
            <w:tcW w:w="1134" w:type="dxa"/>
            <w:noWrap/>
            <w:hideMark/>
          </w:tcPr>
          <w:p w14:paraId="736A1F87"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2,16%</w:t>
            </w:r>
          </w:p>
        </w:tc>
        <w:tc>
          <w:tcPr>
            <w:tcW w:w="992" w:type="dxa"/>
            <w:noWrap/>
            <w:hideMark/>
          </w:tcPr>
          <w:p w14:paraId="494882E4"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2686,5</w:t>
            </w:r>
          </w:p>
        </w:tc>
        <w:tc>
          <w:tcPr>
            <w:tcW w:w="1133" w:type="dxa"/>
            <w:noWrap/>
            <w:hideMark/>
          </w:tcPr>
          <w:p w14:paraId="7DD2409D"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20"/>
                <w:szCs w:val="20"/>
                <w:lang w:val="ro-MD"/>
              </w:rPr>
            </w:pPr>
            <w:r w:rsidRPr="00934A6F">
              <w:rPr>
                <w:rFonts w:asciiTheme="majorHAnsi" w:eastAsia="Times New Roman" w:hAnsiTheme="majorHAnsi" w:cstheme="majorHAnsi"/>
                <w:bCs/>
                <w:color w:val="000000"/>
                <w:sz w:val="20"/>
                <w:szCs w:val="20"/>
                <w:lang w:val="ro-MD"/>
              </w:rPr>
              <w:t>3,16%</w:t>
            </w:r>
          </w:p>
        </w:tc>
      </w:tr>
      <w:tr w:rsidR="00C93D2B" w:rsidRPr="00934A6F" w14:paraId="5BE83A88" w14:textId="77777777" w:rsidTr="00C93D2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19" w:type="dxa"/>
            <w:noWrap/>
            <w:hideMark/>
          </w:tcPr>
          <w:p w14:paraId="23E7C14B" w14:textId="77777777" w:rsidR="00C93D2B" w:rsidRPr="00934A6F" w:rsidRDefault="00C93D2B" w:rsidP="00C93D2B">
            <w:pPr>
              <w:jc w:val="right"/>
              <w:rPr>
                <w:rFonts w:asciiTheme="majorHAnsi" w:eastAsia="Times New Roman" w:hAnsiTheme="majorHAnsi" w:cstheme="majorHAnsi"/>
                <w:b w:val="0"/>
                <w:i/>
                <w:iCs/>
                <w:color w:val="000000"/>
                <w:sz w:val="20"/>
                <w:szCs w:val="20"/>
                <w:lang w:val="ro-MD"/>
              </w:rPr>
            </w:pPr>
            <w:r w:rsidRPr="00934A6F">
              <w:rPr>
                <w:rFonts w:asciiTheme="majorHAnsi" w:eastAsia="Times New Roman" w:hAnsiTheme="majorHAnsi" w:cstheme="majorHAnsi"/>
                <w:b w:val="0"/>
                <w:i/>
                <w:iCs/>
                <w:color w:val="000000"/>
                <w:sz w:val="20"/>
                <w:szCs w:val="20"/>
                <w:lang w:val="ro-MD"/>
              </w:rPr>
              <w:t>apă, canalizare</w:t>
            </w:r>
          </w:p>
        </w:tc>
        <w:tc>
          <w:tcPr>
            <w:tcW w:w="1276" w:type="dxa"/>
            <w:noWrap/>
            <w:hideMark/>
          </w:tcPr>
          <w:p w14:paraId="0CEF3237"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1210,7</w:t>
            </w:r>
          </w:p>
        </w:tc>
        <w:tc>
          <w:tcPr>
            <w:tcW w:w="1276" w:type="dxa"/>
            <w:noWrap/>
            <w:hideMark/>
          </w:tcPr>
          <w:p w14:paraId="4F6624E6"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0,77%</w:t>
            </w:r>
          </w:p>
        </w:tc>
        <w:tc>
          <w:tcPr>
            <w:tcW w:w="1276" w:type="dxa"/>
            <w:noWrap/>
            <w:hideMark/>
          </w:tcPr>
          <w:p w14:paraId="1CA258E2"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928,2</w:t>
            </w:r>
          </w:p>
        </w:tc>
        <w:tc>
          <w:tcPr>
            <w:tcW w:w="1134" w:type="dxa"/>
            <w:noWrap/>
            <w:hideMark/>
          </w:tcPr>
          <w:p w14:paraId="1B389AF7"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0,58%</w:t>
            </w:r>
          </w:p>
        </w:tc>
        <w:tc>
          <w:tcPr>
            <w:tcW w:w="992" w:type="dxa"/>
            <w:noWrap/>
            <w:hideMark/>
          </w:tcPr>
          <w:p w14:paraId="659DA66F"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514,5</w:t>
            </w:r>
          </w:p>
        </w:tc>
        <w:tc>
          <w:tcPr>
            <w:tcW w:w="1133" w:type="dxa"/>
            <w:noWrap/>
            <w:hideMark/>
          </w:tcPr>
          <w:p w14:paraId="6C06CCB5"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color w:val="000000"/>
                <w:sz w:val="20"/>
                <w:szCs w:val="20"/>
                <w:lang w:val="ro-MD"/>
              </w:rPr>
            </w:pPr>
            <w:r w:rsidRPr="00934A6F">
              <w:rPr>
                <w:rFonts w:asciiTheme="majorHAnsi" w:eastAsia="Times New Roman" w:hAnsiTheme="majorHAnsi" w:cstheme="majorHAnsi"/>
                <w:bCs/>
                <w:color w:val="000000"/>
                <w:sz w:val="20"/>
                <w:szCs w:val="20"/>
                <w:lang w:val="ro-MD"/>
              </w:rPr>
              <w:t>0,61%</w:t>
            </w:r>
          </w:p>
        </w:tc>
      </w:tr>
      <w:tr w:rsidR="00C93D2B" w:rsidRPr="00934A6F" w14:paraId="72C3A928" w14:textId="77777777" w:rsidTr="00C93D2B">
        <w:trPr>
          <w:trHeight w:val="20"/>
        </w:trPr>
        <w:tc>
          <w:tcPr>
            <w:cnfStyle w:val="001000000000" w:firstRow="0" w:lastRow="0" w:firstColumn="1" w:lastColumn="0" w:oddVBand="0" w:evenVBand="0" w:oddHBand="0" w:evenHBand="0" w:firstRowFirstColumn="0" w:firstRowLastColumn="0" w:lastRowFirstColumn="0" w:lastRowLastColumn="0"/>
            <w:tcW w:w="3119" w:type="dxa"/>
            <w:noWrap/>
            <w:hideMark/>
          </w:tcPr>
          <w:p w14:paraId="771A5A21" w14:textId="77777777" w:rsidR="00C93D2B" w:rsidRPr="00934A6F" w:rsidRDefault="00C93D2B" w:rsidP="00C93D2B">
            <w:pPr>
              <w:jc w:val="right"/>
              <w:rPr>
                <w:rFonts w:asciiTheme="majorHAnsi" w:eastAsia="Times New Roman" w:hAnsiTheme="majorHAnsi" w:cstheme="majorHAnsi"/>
                <w:b w:val="0"/>
                <w:i/>
                <w:iCs/>
                <w:color w:val="000000"/>
                <w:sz w:val="20"/>
                <w:szCs w:val="20"/>
                <w:lang w:val="ro-MD"/>
              </w:rPr>
            </w:pPr>
            <w:r w:rsidRPr="00934A6F">
              <w:rPr>
                <w:rFonts w:asciiTheme="majorHAnsi" w:eastAsia="Times New Roman" w:hAnsiTheme="majorHAnsi" w:cstheme="majorHAnsi"/>
                <w:b w:val="0"/>
                <w:i/>
                <w:iCs/>
                <w:color w:val="000000"/>
                <w:sz w:val="20"/>
                <w:szCs w:val="20"/>
                <w:lang w:val="ro-MD"/>
              </w:rPr>
              <w:t>inventar OMVSD</w:t>
            </w:r>
          </w:p>
        </w:tc>
        <w:tc>
          <w:tcPr>
            <w:tcW w:w="1276" w:type="dxa"/>
            <w:noWrap/>
            <w:hideMark/>
          </w:tcPr>
          <w:p w14:paraId="4900A550"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945</w:t>
            </w:r>
          </w:p>
        </w:tc>
        <w:tc>
          <w:tcPr>
            <w:tcW w:w="1276" w:type="dxa"/>
            <w:noWrap/>
            <w:hideMark/>
          </w:tcPr>
          <w:p w14:paraId="38D2DBAF"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0,60%</w:t>
            </w:r>
          </w:p>
        </w:tc>
        <w:tc>
          <w:tcPr>
            <w:tcW w:w="1276" w:type="dxa"/>
            <w:noWrap/>
            <w:hideMark/>
          </w:tcPr>
          <w:p w14:paraId="0C429874"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1874,5</w:t>
            </w:r>
          </w:p>
        </w:tc>
        <w:tc>
          <w:tcPr>
            <w:tcW w:w="1134" w:type="dxa"/>
            <w:noWrap/>
            <w:hideMark/>
          </w:tcPr>
          <w:p w14:paraId="71DF3F61"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1,17%</w:t>
            </w:r>
          </w:p>
        </w:tc>
        <w:tc>
          <w:tcPr>
            <w:tcW w:w="992" w:type="dxa"/>
            <w:noWrap/>
            <w:hideMark/>
          </w:tcPr>
          <w:p w14:paraId="1C8F50A5"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257,00</w:t>
            </w:r>
          </w:p>
        </w:tc>
        <w:tc>
          <w:tcPr>
            <w:tcW w:w="1133" w:type="dxa"/>
            <w:noWrap/>
            <w:hideMark/>
          </w:tcPr>
          <w:p w14:paraId="41158CB4"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20"/>
                <w:szCs w:val="20"/>
                <w:lang w:val="ro-MD"/>
              </w:rPr>
            </w:pPr>
            <w:r w:rsidRPr="00934A6F">
              <w:rPr>
                <w:rFonts w:asciiTheme="majorHAnsi" w:eastAsia="Times New Roman" w:hAnsiTheme="majorHAnsi" w:cstheme="majorHAnsi"/>
                <w:bCs/>
                <w:color w:val="000000"/>
                <w:sz w:val="20"/>
                <w:szCs w:val="20"/>
                <w:lang w:val="ro-MD"/>
              </w:rPr>
              <w:t>0,30%</w:t>
            </w:r>
          </w:p>
        </w:tc>
      </w:tr>
      <w:tr w:rsidR="00C93D2B" w:rsidRPr="00934A6F" w14:paraId="69B5AA57" w14:textId="77777777" w:rsidTr="00C93D2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19" w:type="dxa"/>
            <w:noWrap/>
            <w:hideMark/>
          </w:tcPr>
          <w:p w14:paraId="573D6694" w14:textId="77777777" w:rsidR="00C93D2B" w:rsidRPr="00934A6F" w:rsidRDefault="00C93D2B" w:rsidP="00C93D2B">
            <w:pPr>
              <w:jc w:val="right"/>
              <w:rPr>
                <w:rFonts w:asciiTheme="majorHAnsi" w:eastAsia="Times New Roman" w:hAnsiTheme="majorHAnsi" w:cstheme="majorHAnsi"/>
                <w:b w:val="0"/>
                <w:i/>
                <w:iCs/>
                <w:color w:val="000000"/>
                <w:sz w:val="20"/>
                <w:szCs w:val="20"/>
                <w:lang w:val="ro-MD"/>
              </w:rPr>
            </w:pPr>
            <w:r w:rsidRPr="00934A6F">
              <w:rPr>
                <w:rFonts w:asciiTheme="majorHAnsi" w:eastAsia="Times New Roman" w:hAnsiTheme="majorHAnsi" w:cstheme="majorHAnsi"/>
                <w:b w:val="0"/>
                <w:i/>
                <w:iCs/>
                <w:color w:val="000000"/>
                <w:sz w:val="20"/>
                <w:szCs w:val="20"/>
                <w:lang w:val="ro-MD"/>
              </w:rPr>
              <w:t>cheltuieli de transport</w:t>
            </w:r>
          </w:p>
        </w:tc>
        <w:tc>
          <w:tcPr>
            <w:tcW w:w="1276" w:type="dxa"/>
            <w:noWrap/>
            <w:hideMark/>
          </w:tcPr>
          <w:p w14:paraId="69953021"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154,5</w:t>
            </w:r>
          </w:p>
        </w:tc>
        <w:tc>
          <w:tcPr>
            <w:tcW w:w="1276" w:type="dxa"/>
            <w:noWrap/>
            <w:hideMark/>
          </w:tcPr>
          <w:p w14:paraId="1B643F34"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0,10%</w:t>
            </w:r>
          </w:p>
        </w:tc>
        <w:tc>
          <w:tcPr>
            <w:tcW w:w="1276" w:type="dxa"/>
            <w:noWrap/>
            <w:hideMark/>
          </w:tcPr>
          <w:p w14:paraId="6FD95FDD"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112,3</w:t>
            </w:r>
          </w:p>
        </w:tc>
        <w:tc>
          <w:tcPr>
            <w:tcW w:w="1134" w:type="dxa"/>
            <w:noWrap/>
            <w:hideMark/>
          </w:tcPr>
          <w:p w14:paraId="013FA769"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0,07%</w:t>
            </w:r>
          </w:p>
        </w:tc>
        <w:tc>
          <w:tcPr>
            <w:tcW w:w="992" w:type="dxa"/>
            <w:noWrap/>
            <w:hideMark/>
          </w:tcPr>
          <w:p w14:paraId="02062005"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91,2</w:t>
            </w:r>
          </w:p>
        </w:tc>
        <w:tc>
          <w:tcPr>
            <w:tcW w:w="1133" w:type="dxa"/>
            <w:noWrap/>
            <w:hideMark/>
          </w:tcPr>
          <w:p w14:paraId="40070E20"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color w:val="000000"/>
                <w:sz w:val="20"/>
                <w:szCs w:val="20"/>
                <w:lang w:val="ro-MD"/>
              </w:rPr>
            </w:pPr>
            <w:r w:rsidRPr="00934A6F">
              <w:rPr>
                <w:rFonts w:asciiTheme="majorHAnsi" w:eastAsia="Times New Roman" w:hAnsiTheme="majorHAnsi" w:cstheme="majorHAnsi"/>
                <w:bCs/>
                <w:color w:val="000000"/>
                <w:sz w:val="20"/>
                <w:szCs w:val="20"/>
                <w:lang w:val="ro-MD"/>
              </w:rPr>
              <w:t>0,11%</w:t>
            </w:r>
          </w:p>
        </w:tc>
      </w:tr>
      <w:tr w:rsidR="00C93D2B" w:rsidRPr="00934A6F" w14:paraId="77B16C87" w14:textId="77777777" w:rsidTr="00C93D2B">
        <w:trPr>
          <w:trHeight w:val="20"/>
        </w:trPr>
        <w:tc>
          <w:tcPr>
            <w:cnfStyle w:val="001000000000" w:firstRow="0" w:lastRow="0" w:firstColumn="1" w:lastColumn="0" w:oddVBand="0" w:evenVBand="0" w:oddHBand="0" w:evenHBand="0" w:firstRowFirstColumn="0" w:firstRowLastColumn="0" w:lastRowFirstColumn="0" w:lastRowLastColumn="0"/>
            <w:tcW w:w="3119" w:type="dxa"/>
            <w:noWrap/>
            <w:hideMark/>
          </w:tcPr>
          <w:p w14:paraId="7954AC7C" w14:textId="4EFDA0FA" w:rsidR="00C93D2B" w:rsidRPr="00934A6F" w:rsidRDefault="00C93D2B" w:rsidP="00C93D2B">
            <w:pPr>
              <w:jc w:val="right"/>
              <w:rPr>
                <w:rFonts w:asciiTheme="majorHAnsi" w:eastAsia="Times New Roman" w:hAnsiTheme="majorHAnsi" w:cstheme="majorHAnsi"/>
                <w:b w:val="0"/>
                <w:i/>
                <w:iCs/>
                <w:color w:val="000000"/>
                <w:sz w:val="20"/>
                <w:szCs w:val="20"/>
                <w:lang w:val="ro-MD"/>
              </w:rPr>
            </w:pPr>
            <w:r w:rsidRPr="00934A6F">
              <w:rPr>
                <w:rFonts w:asciiTheme="majorHAnsi" w:eastAsia="Times New Roman" w:hAnsiTheme="majorHAnsi" w:cstheme="majorHAnsi"/>
                <w:b w:val="0"/>
                <w:i/>
                <w:iCs/>
                <w:color w:val="000000"/>
                <w:sz w:val="20"/>
                <w:szCs w:val="20"/>
                <w:lang w:val="ro-MD"/>
              </w:rPr>
              <w:t>comunica</w:t>
            </w:r>
            <w:r w:rsidR="00B13B9A" w:rsidRPr="00934A6F">
              <w:rPr>
                <w:rFonts w:asciiTheme="majorHAnsi" w:eastAsia="Times New Roman" w:hAnsiTheme="majorHAnsi" w:cstheme="majorHAnsi"/>
                <w:b w:val="0"/>
                <w:i/>
                <w:iCs/>
                <w:color w:val="000000"/>
                <w:sz w:val="20"/>
                <w:szCs w:val="20"/>
                <w:lang w:val="ro-MD"/>
              </w:rPr>
              <w:t>ț</w:t>
            </w:r>
            <w:r w:rsidRPr="00934A6F">
              <w:rPr>
                <w:rFonts w:asciiTheme="majorHAnsi" w:eastAsia="Times New Roman" w:hAnsiTheme="majorHAnsi" w:cstheme="majorHAnsi"/>
                <w:b w:val="0"/>
                <w:i/>
                <w:iCs/>
                <w:color w:val="000000"/>
                <w:sz w:val="20"/>
                <w:szCs w:val="20"/>
                <w:lang w:val="ro-MD"/>
              </w:rPr>
              <w:t xml:space="preserve">ii </w:t>
            </w:r>
            <w:r w:rsidR="00B13B9A" w:rsidRPr="00934A6F">
              <w:rPr>
                <w:rFonts w:asciiTheme="majorHAnsi" w:eastAsia="Times New Roman" w:hAnsiTheme="majorHAnsi" w:cstheme="majorHAnsi"/>
                <w:b w:val="0"/>
                <w:i/>
                <w:iCs/>
                <w:color w:val="000000"/>
                <w:sz w:val="20"/>
                <w:szCs w:val="20"/>
                <w:lang w:val="ro-MD"/>
              </w:rPr>
              <w:t>ș</w:t>
            </w:r>
            <w:r w:rsidRPr="00934A6F">
              <w:rPr>
                <w:rFonts w:asciiTheme="majorHAnsi" w:eastAsia="Times New Roman" w:hAnsiTheme="majorHAnsi" w:cstheme="majorHAnsi"/>
                <w:b w:val="0"/>
                <w:i/>
                <w:iCs/>
                <w:color w:val="000000"/>
                <w:sz w:val="20"/>
                <w:szCs w:val="20"/>
                <w:lang w:val="ro-MD"/>
              </w:rPr>
              <w:t>i po</w:t>
            </w:r>
            <w:r w:rsidR="00B13B9A" w:rsidRPr="00934A6F">
              <w:rPr>
                <w:rFonts w:asciiTheme="majorHAnsi" w:eastAsia="Times New Roman" w:hAnsiTheme="majorHAnsi" w:cstheme="majorHAnsi"/>
                <w:b w:val="0"/>
                <w:i/>
                <w:iCs/>
                <w:color w:val="000000"/>
                <w:sz w:val="20"/>
                <w:szCs w:val="20"/>
                <w:lang w:val="ro-MD"/>
              </w:rPr>
              <w:t>ș</w:t>
            </w:r>
            <w:r w:rsidRPr="00934A6F">
              <w:rPr>
                <w:rFonts w:asciiTheme="majorHAnsi" w:eastAsia="Times New Roman" w:hAnsiTheme="majorHAnsi" w:cstheme="majorHAnsi"/>
                <w:b w:val="0"/>
                <w:i/>
                <w:iCs/>
                <w:color w:val="000000"/>
                <w:sz w:val="20"/>
                <w:szCs w:val="20"/>
                <w:lang w:val="ro-MD"/>
              </w:rPr>
              <w:t>tă</w:t>
            </w:r>
          </w:p>
        </w:tc>
        <w:tc>
          <w:tcPr>
            <w:tcW w:w="1276" w:type="dxa"/>
            <w:noWrap/>
            <w:hideMark/>
          </w:tcPr>
          <w:p w14:paraId="406A0BEE"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280,9</w:t>
            </w:r>
          </w:p>
        </w:tc>
        <w:tc>
          <w:tcPr>
            <w:tcW w:w="1276" w:type="dxa"/>
            <w:noWrap/>
            <w:hideMark/>
          </w:tcPr>
          <w:p w14:paraId="3F587F1B"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0,18%</w:t>
            </w:r>
          </w:p>
        </w:tc>
        <w:tc>
          <w:tcPr>
            <w:tcW w:w="1276" w:type="dxa"/>
            <w:noWrap/>
            <w:hideMark/>
          </w:tcPr>
          <w:p w14:paraId="4110F9E3"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315,9</w:t>
            </w:r>
          </w:p>
        </w:tc>
        <w:tc>
          <w:tcPr>
            <w:tcW w:w="1134" w:type="dxa"/>
            <w:noWrap/>
            <w:hideMark/>
          </w:tcPr>
          <w:p w14:paraId="434F5374"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0,20%</w:t>
            </w:r>
          </w:p>
        </w:tc>
        <w:tc>
          <w:tcPr>
            <w:tcW w:w="992" w:type="dxa"/>
            <w:noWrap/>
            <w:hideMark/>
          </w:tcPr>
          <w:p w14:paraId="554168C0"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417,9</w:t>
            </w:r>
          </w:p>
        </w:tc>
        <w:tc>
          <w:tcPr>
            <w:tcW w:w="1133" w:type="dxa"/>
            <w:noWrap/>
            <w:hideMark/>
          </w:tcPr>
          <w:p w14:paraId="495C5EE6"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20"/>
                <w:szCs w:val="20"/>
                <w:lang w:val="ro-MD"/>
              </w:rPr>
            </w:pPr>
            <w:r w:rsidRPr="00934A6F">
              <w:rPr>
                <w:rFonts w:asciiTheme="majorHAnsi" w:eastAsia="Times New Roman" w:hAnsiTheme="majorHAnsi" w:cstheme="majorHAnsi"/>
                <w:bCs/>
                <w:color w:val="000000"/>
                <w:sz w:val="20"/>
                <w:szCs w:val="20"/>
                <w:lang w:val="ro-MD"/>
              </w:rPr>
              <w:t>0,49%</w:t>
            </w:r>
          </w:p>
        </w:tc>
      </w:tr>
      <w:tr w:rsidR="00C93D2B" w:rsidRPr="00934A6F" w14:paraId="2BFEC4B1" w14:textId="77777777" w:rsidTr="00C93D2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19" w:type="dxa"/>
            <w:noWrap/>
            <w:hideMark/>
          </w:tcPr>
          <w:p w14:paraId="6C9D621D" w14:textId="77777777" w:rsidR="00C93D2B" w:rsidRPr="00934A6F" w:rsidRDefault="00C93D2B" w:rsidP="00C93D2B">
            <w:pPr>
              <w:jc w:val="right"/>
              <w:rPr>
                <w:rFonts w:asciiTheme="majorHAnsi" w:eastAsia="Times New Roman" w:hAnsiTheme="majorHAnsi" w:cstheme="majorHAnsi"/>
                <w:b w:val="0"/>
                <w:i/>
                <w:iCs/>
                <w:color w:val="000000"/>
                <w:sz w:val="20"/>
                <w:szCs w:val="20"/>
                <w:lang w:val="ro-MD"/>
              </w:rPr>
            </w:pPr>
            <w:r w:rsidRPr="00934A6F">
              <w:rPr>
                <w:rFonts w:asciiTheme="majorHAnsi" w:eastAsia="Times New Roman" w:hAnsiTheme="majorHAnsi" w:cstheme="majorHAnsi"/>
                <w:b w:val="0"/>
                <w:i/>
                <w:iCs/>
                <w:color w:val="000000"/>
                <w:sz w:val="20"/>
                <w:szCs w:val="20"/>
                <w:lang w:val="ro-MD"/>
              </w:rPr>
              <w:t>deplasări</w:t>
            </w:r>
          </w:p>
        </w:tc>
        <w:tc>
          <w:tcPr>
            <w:tcW w:w="1276" w:type="dxa"/>
            <w:noWrap/>
            <w:hideMark/>
          </w:tcPr>
          <w:p w14:paraId="6CC9E21A"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130,7</w:t>
            </w:r>
          </w:p>
        </w:tc>
        <w:tc>
          <w:tcPr>
            <w:tcW w:w="1276" w:type="dxa"/>
            <w:noWrap/>
            <w:hideMark/>
          </w:tcPr>
          <w:p w14:paraId="17F3EB1F"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0,08%</w:t>
            </w:r>
          </w:p>
        </w:tc>
        <w:tc>
          <w:tcPr>
            <w:tcW w:w="1276" w:type="dxa"/>
            <w:noWrap/>
            <w:hideMark/>
          </w:tcPr>
          <w:p w14:paraId="038FB87E"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154,6</w:t>
            </w:r>
          </w:p>
        </w:tc>
        <w:tc>
          <w:tcPr>
            <w:tcW w:w="1134" w:type="dxa"/>
            <w:noWrap/>
            <w:hideMark/>
          </w:tcPr>
          <w:p w14:paraId="3BA55E0A"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0,10%</w:t>
            </w:r>
          </w:p>
        </w:tc>
        <w:tc>
          <w:tcPr>
            <w:tcW w:w="992" w:type="dxa"/>
            <w:noWrap/>
            <w:hideMark/>
          </w:tcPr>
          <w:p w14:paraId="52157C2D"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4201,8</w:t>
            </w:r>
          </w:p>
        </w:tc>
        <w:tc>
          <w:tcPr>
            <w:tcW w:w="1133" w:type="dxa"/>
            <w:noWrap/>
            <w:hideMark/>
          </w:tcPr>
          <w:p w14:paraId="1D499C52"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color w:val="000000"/>
                <w:sz w:val="20"/>
                <w:szCs w:val="20"/>
                <w:lang w:val="ro-MD"/>
              </w:rPr>
            </w:pPr>
            <w:r w:rsidRPr="00934A6F">
              <w:rPr>
                <w:rFonts w:asciiTheme="majorHAnsi" w:eastAsia="Times New Roman" w:hAnsiTheme="majorHAnsi" w:cstheme="majorHAnsi"/>
                <w:bCs/>
                <w:color w:val="000000"/>
                <w:sz w:val="20"/>
                <w:szCs w:val="20"/>
                <w:lang w:val="ro-MD"/>
              </w:rPr>
              <w:t>4,94%</w:t>
            </w:r>
          </w:p>
        </w:tc>
      </w:tr>
      <w:tr w:rsidR="00C93D2B" w:rsidRPr="00934A6F" w14:paraId="617C0224" w14:textId="77777777" w:rsidTr="00C93D2B">
        <w:trPr>
          <w:trHeight w:val="20"/>
        </w:trPr>
        <w:tc>
          <w:tcPr>
            <w:cnfStyle w:val="001000000000" w:firstRow="0" w:lastRow="0" w:firstColumn="1" w:lastColumn="0" w:oddVBand="0" w:evenVBand="0" w:oddHBand="0" w:evenHBand="0" w:firstRowFirstColumn="0" w:firstRowLastColumn="0" w:lastRowFirstColumn="0" w:lastRowLastColumn="0"/>
            <w:tcW w:w="3119" w:type="dxa"/>
            <w:noWrap/>
            <w:hideMark/>
          </w:tcPr>
          <w:p w14:paraId="67CC780A" w14:textId="77777777" w:rsidR="00C93D2B" w:rsidRPr="00934A6F" w:rsidRDefault="00C93D2B" w:rsidP="00C93D2B">
            <w:pPr>
              <w:jc w:val="right"/>
              <w:rPr>
                <w:rFonts w:asciiTheme="majorHAnsi" w:eastAsia="Times New Roman" w:hAnsiTheme="majorHAnsi" w:cstheme="majorHAnsi"/>
                <w:b w:val="0"/>
                <w:i/>
                <w:iCs/>
                <w:color w:val="000000"/>
                <w:sz w:val="20"/>
                <w:szCs w:val="20"/>
                <w:lang w:val="ro-MD"/>
              </w:rPr>
            </w:pPr>
            <w:r w:rsidRPr="00934A6F">
              <w:rPr>
                <w:rFonts w:asciiTheme="majorHAnsi" w:eastAsia="Times New Roman" w:hAnsiTheme="majorHAnsi" w:cstheme="majorHAnsi"/>
                <w:b w:val="0"/>
                <w:i/>
                <w:iCs/>
                <w:color w:val="000000"/>
                <w:sz w:val="20"/>
                <w:szCs w:val="20"/>
                <w:lang w:val="ro-MD"/>
              </w:rPr>
              <w:t>servicii medicale</w:t>
            </w:r>
          </w:p>
        </w:tc>
        <w:tc>
          <w:tcPr>
            <w:tcW w:w="1276" w:type="dxa"/>
            <w:noWrap/>
            <w:hideMark/>
          </w:tcPr>
          <w:p w14:paraId="2A260B40"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432,7</w:t>
            </w:r>
          </w:p>
        </w:tc>
        <w:tc>
          <w:tcPr>
            <w:tcW w:w="1276" w:type="dxa"/>
            <w:noWrap/>
            <w:hideMark/>
          </w:tcPr>
          <w:p w14:paraId="108A5425"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0,27%</w:t>
            </w:r>
          </w:p>
        </w:tc>
        <w:tc>
          <w:tcPr>
            <w:tcW w:w="1276" w:type="dxa"/>
            <w:noWrap/>
            <w:hideMark/>
          </w:tcPr>
          <w:p w14:paraId="25CAC445"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355,1</w:t>
            </w:r>
          </w:p>
        </w:tc>
        <w:tc>
          <w:tcPr>
            <w:tcW w:w="1134" w:type="dxa"/>
            <w:noWrap/>
            <w:hideMark/>
          </w:tcPr>
          <w:p w14:paraId="6ED840B6"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0,22%</w:t>
            </w:r>
          </w:p>
        </w:tc>
        <w:tc>
          <w:tcPr>
            <w:tcW w:w="992" w:type="dxa"/>
            <w:noWrap/>
            <w:hideMark/>
          </w:tcPr>
          <w:p w14:paraId="7937886A"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142,9</w:t>
            </w:r>
          </w:p>
        </w:tc>
        <w:tc>
          <w:tcPr>
            <w:tcW w:w="1133" w:type="dxa"/>
            <w:noWrap/>
            <w:hideMark/>
          </w:tcPr>
          <w:p w14:paraId="627945EA"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20"/>
                <w:szCs w:val="20"/>
                <w:lang w:val="ro-MD"/>
              </w:rPr>
            </w:pPr>
            <w:r w:rsidRPr="00934A6F">
              <w:rPr>
                <w:rFonts w:asciiTheme="majorHAnsi" w:eastAsia="Times New Roman" w:hAnsiTheme="majorHAnsi" w:cstheme="majorHAnsi"/>
                <w:bCs/>
                <w:color w:val="000000"/>
                <w:sz w:val="20"/>
                <w:szCs w:val="20"/>
                <w:lang w:val="ro-MD"/>
              </w:rPr>
              <w:t>0,17%</w:t>
            </w:r>
          </w:p>
        </w:tc>
      </w:tr>
      <w:tr w:rsidR="00C93D2B" w:rsidRPr="00934A6F" w14:paraId="75D5E9D1" w14:textId="77777777" w:rsidTr="00C93D2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19" w:type="dxa"/>
            <w:noWrap/>
            <w:hideMark/>
          </w:tcPr>
          <w:p w14:paraId="6D6AFAA3" w14:textId="77777777" w:rsidR="00C93D2B" w:rsidRPr="00934A6F" w:rsidRDefault="00C93D2B" w:rsidP="00C93D2B">
            <w:pPr>
              <w:jc w:val="right"/>
              <w:rPr>
                <w:rFonts w:asciiTheme="majorHAnsi" w:eastAsia="Times New Roman" w:hAnsiTheme="majorHAnsi" w:cstheme="majorHAnsi"/>
                <w:b w:val="0"/>
                <w:i/>
                <w:iCs/>
                <w:color w:val="000000"/>
                <w:sz w:val="20"/>
                <w:szCs w:val="20"/>
                <w:lang w:val="ro-MD"/>
              </w:rPr>
            </w:pPr>
            <w:r w:rsidRPr="00934A6F">
              <w:rPr>
                <w:rFonts w:asciiTheme="majorHAnsi" w:eastAsia="Times New Roman" w:hAnsiTheme="majorHAnsi" w:cstheme="majorHAnsi"/>
                <w:b w:val="0"/>
                <w:i/>
                <w:iCs/>
                <w:color w:val="000000"/>
                <w:sz w:val="20"/>
                <w:szCs w:val="20"/>
                <w:lang w:val="ro-MD"/>
              </w:rPr>
              <w:t>amortizare, uzură</w:t>
            </w:r>
          </w:p>
        </w:tc>
        <w:tc>
          <w:tcPr>
            <w:tcW w:w="1276" w:type="dxa"/>
            <w:noWrap/>
            <w:hideMark/>
          </w:tcPr>
          <w:p w14:paraId="3C1E3E12"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8074,1</w:t>
            </w:r>
          </w:p>
        </w:tc>
        <w:tc>
          <w:tcPr>
            <w:tcW w:w="1276" w:type="dxa"/>
            <w:noWrap/>
            <w:hideMark/>
          </w:tcPr>
          <w:p w14:paraId="6F3FFFF1"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5,13%</w:t>
            </w:r>
          </w:p>
        </w:tc>
        <w:tc>
          <w:tcPr>
            <w:tcW w:w="1276" w:type="dxa"/>
            <w:noWrap/>
            <w:hideMark/>
          </w:tcPr>
          <w:p w14:paraId="054AC4BA"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8236,1</w:t>
            </w:r>
          </w:p>
        </w:tc>
        <w:tc>
          <w:tcPr>
            <w:tcW w:w="1134" w:type="dxa"/>
            <w:noWrap/>
            <w:hideMark/>
          </w:tcPr>
          <w:p w14:paraId="2069D6EF"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5,13%</w:t>
            </w:r>
          </w:p>
        </w:tc>
        <w:tc>
          <w:tcPr>
            <w:tcW w:w="992" w:type="dxa"/>
            <w:noWrap/>
            <w:hideMark/>
          </w:tcPr>
          <w:p w14:paraId="17674D9E"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112,4</w:t>
            </w:r>
          </w:p>
        </w:tc>
        <w:tc>
          <w:tcPr>
            <w:tcW w:w="1133" w:type="dxa"/>
            <w:noWrap/>
            <w:hideMark/>
          </w:tcPr>
          <w:p w14:paraId="7119621D"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color w:val="000000"/>
                <w:sz w:val="20"/>
                <w:szCs w:val="20"/>
                <w:lang w:val="ro-MD"/>
              </w:rPr>
            </w:pPr>
            <w:r w:rsidRPr="00934A6F">
              <w:rPr>
                <w:rFonts w:asciiTheme="majorHAnsi" w:eastAsia="Times New Roman" w:hAnsiTheme="majorHAnsi" w:cstheme="majorHAnsi"/>
                <w:bCs/>
                <w:color w:val="000000"/>
                <w:sz w:val="20"/>
                <w:szCs w:val="20"/>
                <w:lang w:val="ro-MD"/>
              </w:rPr>
              <w:t>0,13%</w:t>
            </w:r>
          </w:p>
        </w:tc>
      </w:tr>
      <w:tr w:rsidR="00C93D2B" w:rsidRPr="00934A6F" w14:paraId="7D02D37F" w14:textId="77777777" w:rsidTr="00C93D2B">
        <w:trPr>
          <w:trHeight w:val="20"/>
        </w:trPr>
        <w:tc>
          <w:tcPr>
            <w:cnfStyle w:val="001000000000" w:firstRow="0" w:lastRow="0" w:firstColumn="1" w:lastColumn="0" w:oddVBand="0" w:evenVBand="0" w:oddHBand="0" w:evenHBand="0" w:firstRowFirstColumn="0" w:firstRowLastColumn="0" w:lastRowFirstColumn="0" w:lastRowLastColumn="0"/>
            <w:tcW w:w="3119" w:type="dxa"/>
            <w:noWrap/>
            <w:hideMark/>
          </w:tcPr>
          <w:p w14:paraId="2A77FDB9" w14:textId="180E7AE4" w:rsidR="00C93D2B" w:rsidRPr="00934A6F" w:rsidRDefault="00C93D2B" w:rsidP="00C93D2B">
            <w:pPr>
              <w:jc w:val="right"/>
              <w:rPr>
                <w:rFonts w:asciiTheme="majorHAnsi" w:eastAsia="Times New Roman" w:hAnsiTheme="majorHAnsi" w:cstheme="majorHAnsi"/>
                <w:b w:val="0"/>
                <w:i/>
                <w:iCs/>
                <w:color w:val="000000"/>
                <w:sz w:val="20"/>
                <w:szCs w:val="20"/>
                <w:lang w:val="ro-MD"/>
              </w:rPr>
            </w:pPr>
            <w:r w:rsidRPr="00934A6F">
              <w:rPr>
                <w:rFonts w:asciiTheme="majorHAnsi" w:eastAsia="Times New Roman" w:hAnsiTheme="majorHAnsi" w:cstheme="majorHAnsi"/>
                <w:b w:val="0"/>
                <w:i/>
                <w:iCs/>
                <w:color w:val="000000"/>
                <w:sz w:val="20"/>
                <w:szCs w:val="20"/>
                <w:lang w:val="ro-MD"/>
              </w:rPr>
              <w:t>protec</w:t>
            </w:r>
            <w:r w:rsidR="00B13B9A" w:rsidRPr="00934A6F">
              <w:rPr>
                <w:rFonts w:asciiTheme="majorHAnsi" w:eastAsia="Times New Roman" w:hAnsiTheme="majorHAnsi" w:cstheme="majorHAnsi"/>
                <w:b w:val="0"/>
                <w:i/>
                <w:iCs/>
                <w:color w:val="000000"/>
                <w:sz w:val="20"/>
                <w:szCs w:val="20"/>
                <w:lang w:val="ro-MD"/>
              </w:rPr>
              <w:t>ț</w:t>
            </w:r>
            <w:r w:rsidRPr="00934A6F">
              <w:rPr>
                <w:rFonts w:asciiTheme="majorHAnsi" w:eastAsia="Times New Roman" w:hAnsiTheme="majorHAnsi" w:cstheme="majorHAnsi"/>
                <w:b w:val="0"/>
                <w:i/>
                <w:iCs/>
                <w:color w:val="000000"/>
                <w:sz w:val="20"/>
                <w:szCs w:val="20"/>
                <w:lang w:val="ro-MD"/>
              </w:rPr>
              <w:t>ia muncii</w:t>
            </w:r>
          </w:p>
        </w:tc>
        <w:tc>
          <w:tcPr>
            <w:tcW w:w="1276" w:type="dxa"/>
            <w:noWrap/>
            <w:hideMark/>
          </w:tcPr>
          <w:p w14:paraId="584D735A"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232,9</w:t>
            </w:r>
          </w:p>
        </w:tc>
        <w:tc>
          <w:tcPr>
            <w:tcW w:w="1276" w:type="dxa"/>
            <w:noWrap/>
            <w:hideMark/>
          </w:tcPr>
          <w:p w14:paraId="2E4F3909"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0,15%</w:t>
            </w:r>
          </w:p>
        </w:tc>
        <w:tc>
          <w:tcPr>
            <w:tcW w:w="1276" w:type="dxa"/>
            <w:noWrap/>
            <w:hideMark/>
          </w:tcPr>
          <w:p w14:paraId="304BD2FB"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283,7</w:t>
            </w:r>
          </w:p>
        </w:tc>
        <w:tc>
          <w:tcPr>
            <w:tcW w:w="1134" w:type="dxa"/>
            <w:noWrap/>
            <w:hideMark/>
          </w:tcPr>
          <w:p w14:paraId="67E9B050"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0,18%</w:t>
            </w:r>
          </w:p>
        </w:tc>
        <w:tc>
          <w:tcPr>
            <w:tcW w:w="992" w:type="dxa"/>
            <w:noWrap/>
            <w:hideMark/>
          </w:tcPr>
          <w:p w14:paraId="0B1DD1B2"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41,5</w:t>
            </w:r>
          </w:p>
        </w:tc>
        <w:tc>
          <w:tcPr>
            <w:tcW w:w="1133" w:type="dxa"/>
            <w:noWrap/>
            <w:hideMark/>
          </w:tcPr>
          <w:p w14:paraId="12024AF8" w14:textId="77777777" w:rsidR="00C93D2B" w:rsidRPr="00934A6F" w:rsidRDefault="00C93D2B" w:rsidP="00C93D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20"/>
                <w:szCs w:val="20"/>
                <w:lang w:val="ro-MD"/>
              </w:rPr>
            </w:pPr>
            <w:r w:rsidRPr="00934A6F">
              <w:rPr>
                <w:rFonts w:asciiTheme="majorHAnsi" w:eastAsia="Times New Roman" w:hAnsiTheme="majorHAnsi" w:cstheme="majorHAnsi"/>
                <w:bCs/>
                <w:color w:val="000000"/>
                <w:sz w:val="20"/>
                <w:szCs w:val="20"/>
                <w:lang w:val="ro-MD"/>
              </w:rPr>
              <w:t>0,05%</w:t>
            </w:r>
          </w:p>
        </w:tc>
      </w:tr>
      <w:tr w:rsidR="00C93D2B" w:rsidRPr="00934A6F" w14:paraId="3F177860" w14:textId="77777777" w:rsidTr="00C93D2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19" w:type="dxa"/>
            <w:noWrap/>
            <w:hideMark/>
          </w:tcPr>
          <w:p w14:paraId="7078B34F" w14:textId="77777777" w:rsidR="00C93D2B" w:rsidRPr="00934A6F" w:rsidRDefault="00C93D2B" w:rsidP="00C93D2B">
            <w:pPr>
              <w:jc w:val="right"/>
              <w:rPr>
                <w:rFonts w:asciiTheme="majorHAnsi" w:eastAsia="Times New Roman" w:hAnsiTheme="majorHAnsi" w:cstheme="majorHAnsi"/>
                <w:b w:val="0"/>
                <w:i/>
                <w:iCs/>
                <w:color w:val="000000"/>
                <w:sz w:val="20"/>
                <w:szCs w:val="20"/>
                <w:lang w:val="ro-MD"/>
              </w:rPr>
            </w:pPr>
            <w:r w:rsidRPr="00934A6F">
              <w:rPr>
                <w:rFonts w:asciiTheme="majorHAnsi" w:eastAsia="Times New Roman" w:hAnsiTheme="majorHAnsi" w:cstheme="majorHAnsi"/>
                <w:b w:val="0"/>
                <w:i/>
                <w:iCs/>
                <w:color w:val="000000"/>
                <w:sz w:val="20"/>
                <w:szCs w:val="20"/>
                <w:lang w:val="ro-MD"/>
              </w:rPr>
              <w:t>alte cheltuieli</w:t>
            </w:r>
          </w:p>
        </w:tc>
        <w:tc>
          <w:tcPr>
            <w:tcW w:w="1276" w:type="dxa"/>
            <w:noWrap/>
            <w:hideMark/>
          </w:tcPr>
          <w:p w14:paraId="6183C76C"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4329</w:t>
            </w:r>
          </w:p>
        </w:tc>
        <w:tc>
          <w:tcPr>
            <w:tcW w:w="1276" w:type="dxa"/>
            <w:noWrap/>
            <w:hideMark/>
          </w:tcPr>
          <w:p w14:paraId="17865F77"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2,75%</w:t>
            </w:r>
          </w:p>
        </w:tc>
        <w:tc>
          <w:tcPr>
            <w:tcW w:w="1276" w:type="dxa"/>
            <w:noWrap/>
            <w:hideMark/>
          </w:tcPr>
          <w:p w14:paraId="19091AEB"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3539,8</w:t>
            </w:r>
          </w:p>
        </w:tc>
        <w:tc>
          <w:tcPr>
            <w:tcW w:w="1134" w:type="dxa"/>
            <w:noWrap/>
            <w:hideMark/>
          </w:tcPr>
          <w:p w14:paraId="0D5A762D"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2,20%</w:t>
            </w:r>
          </w:p>
        </w:tc>
        <w:tc>
          <w:tcPr>
            <w:tcW w:w="992" w:type="dxa"/>
            <w:noWrap/>
            <w:hideMark/>
          </w:tcPr>
          <w:p w14:paraId="627456CA"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934A6F">
              <w:rPr>
                <w:rFonts w:asciiTheme="majorHAnsi" w:eastAsia="Times New Roman" w:hAnsiTheme="majorHAnsi" w:cstheme="majorHAnsi"/>
                <w:color w:val="000000"/>
                <w:sz w:val="20"/>
                <w:szCs w:val="20"/>
                <w:lang w:val="ro-MD"/>
              </w:rPr>
              <w:t>1452,00</w:t>
            </w:r>
          </w:p>
        </w:tc>
        <w:tc>
          <w:tcPr>
            <w:tcW w:w="1133" w:type="dxa"/>
            <w:noWrap/>
            <w:hideMark/>
          </w:tcPr>
          <w:p w14:paraId="2432774D" w14:textId="77777777" w:rsidR="00C93D2B" w:rsidRPr="00934A6F" w:rsidRDefault="00C93D2B" w:rsidP="00C93D2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color w:val="000000"/>
                <w:sz w:val="20"/>
                <w:szCs w:val="20"/>
                <w:lang w:val="ro-MD"/>
              </w:rPr>
            </w:pPr>
            <w:r w:rsidRPr="00934A6F">
              <w:rPr>
                <w:rFonts w:asciiTheme="majorHAnsi" w:eastAsia="Times New Roman" w:hAnsiTheme="majorHAnsi" w:cstheme="majorHAnsi"/>
                <w:bCs/>
                <w:color w:val="000000"/>
                <w:sz w:val="20"/>
                <w:szCs w:val="20"/>
                <w:lang w:val="ro-MD"/>
              </w:rPr>
              <w:t>1,71%</w:t>
            </w:r>
          </w:p>
        </w:tc>
      </w:tr>
    </w:tbl>
    <w:p w14:paraId="310811CE" w14:textId="77777777" w:rsidR="00C93D2B" w:rsidRPr="00934A6F" w:rsidRDefault="00C93D2B" w:rsidP="00EF1983">
      <w:pPr>
        <w:pStyle w:val="a7"/>
        <w:spacing w:after="0"/>
        <w:ind w:left="0"/>
        <w:rPr>
          <w:rFonts w:ascii="Calibri Light" w:eastAsia="Times New Roman" w:hAnsi="Calibri Light" w:cs="Calibri Light"/>
          <w:b/>
          <w:bCs/>
          <w:i/>
          <w:iCs/>
          <w:color w:val="000000"/>
          <w:sz w:val="20"/>
          <w:szCs w:val="20"/>
          <w:lang w:val="ro-MD"/>
        </w:rPr>
      </w:pPr>
    </w:p>
    <w:p w14:paraId="731F3CFC" w14:textId="6C21EADF" w:rsidR="00EF1983" w:rsidRPr="00934A6F" w:rsidRDefault="00EF1983" w:rsidP="00EF1983">
      <w:pPr>
        <w:pStyle w:val="a7"/>
        <w:spacing w:after="0"/>
        <w:ind w:left="0"/>
        <w:rPr>
          <w:rFonts w:ascii="Calibri Light" w:eastAsia="Times New Roman" w:hAnsi="Calibri Light" w:cs="Calibri Light"/>
          <w:i/>
          <w:iCs/>
          <w:color w:val="000000"/>
          <w:sz w:val="20"/>
          <w:szCs w:val="20"/>
          <w:lang w:val="ro-MD"/>
        </w:rPr>
      </w:pPr>
      <w:r w:rsidRPr="00934A6F">
        <w:rPr>
          <w:rFonts w:ascii="Calibri Light" w:eastAsia="Times New Roman" w:hAnsi="Calibri Light" w:cs="Calibri Light"/>
          <w:b/>
          <w:bCs/>
          <w:i/>
          <w:iCs/>
          <w:color w:val="000000"/>
          <w:sz w:val="20"/>
          <w:szCs w:val="20"/>
          <w:lang w:val="ro-MD"/>
        </w:rPr>
        <w:t>Sursă:</w:t>
      </w:r>
      <w:r w:rsidRPr="00934A6F">
        <w:rPr>
          <w:rFonts w:ascii="Calibri Light" w:eastAsia="Times New Roman" w:hAnsi="Calibri Light" w:cs="Calibri Light"/>
          <w:i/>
          <w:iCs/>
          <w:color w:val="000000"/>
          <w:sz w:val="20"/>
          <w:szCs w:val="20"/>
          <w:lang w:val="ro-MD"/>
        </w:rPr>
        <w:t xml:space="preserve"> Informa</w:t>
      </w:r>
      <w:r w:rsidR="00B13B9A" w:rsidRPr="00934A6F">
        <w:rPr>
          <w:rFonts w:ascii="Calibri Light" w:eastAsia="Times New Roman" w:hAnsi="Calibri Light" w:cs="Calibri Light"/>
          <w:i/>
          <w:iCs/>
          <w:color w:val="000000"/>
          <w:sz w:val="20"/>
          <w:szCs w:val="20"/>
          <w:lang w:val="ro-MD"/>
        </w:rPr>
        <w:t>ț</w:t>
      </w:r>
      <w:r w:rsidRPr="00934A6F">
        <w:rPr>
          <w:rFonts w:ascii="Calibri Light" w:eastAsia="Times New Roman" w:hAnsi="Calibri Light" w:cs="Calibri Light"/>
          <w:i/>
          <w:iCs/>
          <w:color w:val="000000"/>
          <w:sz w:val="20"/>
          <w:szCs w:val="20"/>
          <w:lang w:val="ro-MD"/>
        </w:rPr>
        <w:t>ii generate din eviden</w:t>
      </w:r>
      <w:r w:rsidR="00B13B9A" w:rsidRPr="00934A6F">
        <w:rPr>
          <w:rFonts w:ascii="Calibri Light" w:eastAsia="Times New Roman" w:hAnsi="Calibri Light" w:cs="Calibri Light"/>
          <w:i/>
          <w:iCs/>
          <w:color w:val="000000"/>
          <w:sz w:val="20"/>
          <w:szCs w:val="20"/>
          <w:lang w:val="ro-MD"/>
        </w:rPr>
        <w:t>ț</w:t>
      </w:r>
      <w:r w:rsidRPr="00934A6F">
        <w:rPr>
          <w:rFonts w:ascii="Calibri Light" w:eastAsia="Times New Roman" w:hAnsi="Calibri Light" w:cs="Calibri Light"/>
          <w:i/>
          <w:iCs/>
          <w:color w:val="000000"/>
          <w:sz w:val="20"/>
          <w:szCs w:val="20"/>
          <w:lang w:val="ro-MD"/>
        </w:rPr>
        <w:t xml:space="preserve">a contabilă a </w:t>
      </w:r>
      <w:r w:rsidR="005D56E4" w:rsidRPr="00934A6F">
        <w:rPr>
          <w:rFonts w:asciiTheme="majorHAnsi" w:hAnsiTheme="majorHAnsi" w:cstheme="majorHAnsi"/>
          <w:i/>
          <w:color w:val="000000" w:themeColor="text1"/>
          <w:sz w:val="20"/>
          <w:szCs w:val="20"/>
          <w:lang w:val="ro-MD"/>
        </w:rPr>
        <w:t xml:space="preserve">IMSP IFP </w:t>
      </w:r>
      <w:r w:rsidR="005D56E4" w:rsidRPr="00934A6F">
        <w:rPr>
          <w:rFonts w:asciiTheme="majorHAnsi" w:hAnsiTheme="majorHAnsi" w:cstheme="majorHAnsi"/>
          <w:i/>
          <w:sz w:val="20"/>
          <w:szCs w:val="20"/>
          <w:lang w:val="ro-MD"/>
        </w:rPr>
        <w:t>„Chiril Draganiuc”</w:t>
      </w:r>
      <w:r w:rsidR="00675B54" w:rsidRPr="00934A6F">
        <w:rPr>
          <w:rFonts w:asciiTheme="majorHAnsi" w:hAnsiTheme="majorHAnsi" w:cstheme="majorHAnsi"/>
          <w:i/>
          <w:sz w:val="20"/>
          <w:szCs w:val="20"/>
          <w:lang w:val="ro-MD"/>
        </w:rPr>
        <w:t>.</w:t>
      </w:r>
    </w:p>
    <w:p w14:paraId="1073918D" w14:textId="77777777" w:rsidR="00EF1983" w:rsidRPr="00934A6F" w:rsidRDefault="00EF1983" w:rsidP="00EF1983">
      <w:pPr>
        <w:spacing w:after="0" w:line="276" w:lineRule="auto"/>
        <w:ind w:firstLine="567"/>
        <w:jc w:val="both"/>
        <w:rPr>
          <w:rFonts w:ascii="Calibri Light" w:eastAsia="Times New Roman" w:hAnsi="Calibri Light" w:cs="Calibri Light"/>
          <w:i/>
          <w:iCs/>
          <w:color w:val="000000"/>
          <w:sz w:val="20"/>
          <w:szCs w:val="20"/>
          <w:lang w:val="ro-MD"/>
        </w:rPr>
      </w:pPr>
    </w:p>
    <w:p w14:paraId="1A8EE411" w14:textId="77777777" w:rsidR="00A51C46" w:rsidRPr="00934A6F" w:rsidRDefault="00A51C46" w:rsidP="001A0E43">
      <w:pPr>
        <w:spacing w:after="0" w:line="240" w:lineRule="auto"/>
        <w:jc w:val="right"/>
        <w:rPr>
          <w:rFonts w:asciiTheme="majorHAnsi" w:hAnsiTheme="majorHAnsi" w:cstheme="majorHAnsi"/>
          <w:i/>
          <w:iCs/>
          <w:sz w:val="24"/>
          <w:szCs w:val="24"/>
          <w:lang w:val="ro-MD"/>
        </w:rPr>
        <w:sectPr w:rsidR="00A51C46" w:rsidRPr="00934A6F" w:rsidSect="00DB333D">
          <w:pgSz w:w="12240" w:h="15840"/>
          <w:pgMar w:top="851" w:right="758" w:bottom="1134" w:left="1701" w:header="708" w:footer="708" w:gutter="0"/>
          <w:cols w:space="708"/>
          <w:titlePg/>
          <w:docGrid w:linePitch="360"/>
        </w:sectPr>
      </w:pPr>
    </w:p>
    <w:p w14:paraId="64422AAE" w14:textId="141A351C" w:rsidR="00A51C46" w:rsidRPr="00B13B9A" w:rsidRDefault="00A51C46" w:rsidP="00A51C46">
      <w:pPr>
        <w:pStyle w:val="3"/>
        <w:spacing w:before="0" w:line="240" w:lineRule="auto"/>
        <w:jc w:val="right"/>
        <w:rPr>
          <w:rFonts w:cstheme="majorHAnsi"/>
          <w:b/>
          <w:iCs/>
          <w:color w:val="auto"/>
        </w:rPr>
      </w:pPr>
      <w:bookmarkStart w:id="56" w:name="_Toc154562527"/>
      <w:r w:rsidRPr="00934A6F">
        <w:rPr>
          <w:rFonts w:cstheme="majorHAnsi"/>
          <w:b/>
          <w:iCs/>
          <w:color w:val="auto"/>
        </w:rPr>
        <w:t>Anexa nr. 4</w:t>
      </w:r>
      <w:bookmarkEnd w:id="56"/>
    </w:p>
    <w:p w14:paraId="596C3917" w14:textId="77777777" w:rsidR="00A51C46" w:rsidRPr="00B13B9A" w:rsidRDefault="00A51C46" w:rsidP="00A51C46">
      <w:pPr>
        <w:pStyle w:val="a7"/>
        <w:spacing w:after="0" w:line="240" w:lineRule="auto"/>
        <w:ind w:left="0"/>
        <w:jc w:val="center"/>
        <w:rPr>
          <w:rFonts w:asciiTheme="majorHAnsi" w:hAnsiTheme="majorHAnsi" w:cstheme="majorHAnsi"/>
          <w:b/>
          <w:i/>
          <w:sz w:val="24"/>
          <w:szCs w:val="24"/>
          <w:lang w:val="ro-MD"/>
        </w:rPr>
      </w:pPr>
      <w:r w:rsidRPr="00B13B9A">
        <w:rPr>
          <w:rFonts w:asciiTheme="majorHAnsi" w:hAnsiTheme="majorHAnsi" w:cstheme="majorHAnsi"/>
          <w:b/>
          <w:i/>
          <w:sz w:val="24"/>
          <w:szCs w:val="24"/>
          <w:lang w:val="ro-MD"/>
        </w:rPr>
        <w:t>Sursa veniturilor și executarea CNAM</w:t>
      </w:r>
    </w:p>
    <w:tbl>
      <w:tblPr>
        <w:tblW w:w="9647" w:type="dxa"/>
        <w:tblLook w:val="04A0" w:firstRow="1" w:lastRow="0" w:firstColumn="1" w:lastColumn="0" w:noHBand="0" w:noVBand="1"/>
      </w:tblPr>
      <w:tblGrid>
        <w:gridCol w:w="993"/>
        <w:gridCol w:w="1559"/>
        <w:gridCol w:w="1501"/>
        <w:gridCol w:w="1300"/>
        <w:gridCol w:w="1105"/>
        <w:gridCol w:w="1843"/>
        <w:gridCol w:w="1306"/>
        <w:gridCol w:w="40"/>
      </w:tblGrid>
      <w:tr w:rsidR="00A51C46" w:rsidRPr="00B13B9A" w14:paraId="2F2E4B40" w14:textId="77777777" w:rsidTr="00A51C46">
        <w:trPr>
          <w:gridAfter w:val="1"/>
          <w:wAfter w:w="40" w:type="dxa"/>
          <w:trHeight w:val="20"/>
        </w:trPr>
        <w:tc>
          <w:tcPr>
            <w:tcW w:w="993" w:type="dxa"/>
            <w:tcBorders>
              <w:top w:val="nil"/>
              <w:left w:val="nil"/>
              <w:bottom w:val="nil"/>
              <w:right w:val="nil"/>
            </w:tcBorders>
            <w:shd w:val="clear" w:color="auto" w:fill="auto"/>
            <w:noWrap/>
            <w:vAlign w:val="bottom"/>
            <w:hideMark/>
          </w:tcPr>
          <w:p w14:paraId="27D70611" w14:textId="77777777" w:rsidR="00A51C46" w:rsidRPr="00B13B9A" w:rsidRDefault="00A51C46" w:rsidP="00A51C46">
            <w:pPr>
              <w:spacing w:after="0" w:line="240" w:lineRule="auto"/>
              <w:rPr>
                <w:rFonts w:asciiTheme="majorHAnsi" w:eastAsia="Times New Roman" w:hAnsiTheme="majorHAnsi" w:cstheme="majorHAnsi"/>
                <w:sz w:val="20"/>
                <w:szCs w:val="20"/>
                <w:lang w:val="ro-MD"/>
              </w:rPr>
            </w:pPr>
          </w:p>
        </w:tc>
        <w:tc>
          <w:tcPr>
            <w:tcW w:w="1559" w:type="dxa"/>
            <w:tcBorders>
              <w:top w:val="nil"/>
              <w:left w:val="nil"/>
              <w:bottom w:val="nil"/>
              <w:right w:val="nil"/>
            </w:tcBorders>
            <w:shd w:val="clear" w:color="auto" w:fill="auto"/>
            <w:noWrap/>
            <w:vAlign w:val="bottom"/>
            <w:hideMark/>
          </w:tcPr>
          <w:p w14:paraId="7F10846D" w14:textId="77777777" w:rsidR="00A51C46" w:rsidRPr="00B13B9A" w:rsidRDefault="00A51C46" w:rsidP="00A51C46">
            <w:pPr>
              <w:spacing w:after="0" w:line="240" w:lineRule="auto"/>
              <w:rPr>
                <w:rFonts w:asciiTheme="majorHAnsi" w:eastAsia="Times New Roman" w:hAnsiTheme="majorHAnsi" w:cstheme="majorHAnsi"/>
                <w:sz w:val="20"/>
                <w:szCs w:val="20"/>
                <w:lang w:val="ro-MD"/>
              </w:rPr>
            </w:pPr>
          </w:p>
        </w:tc>
        <w:tc>
          <w:tcPr>
            <w:tcW w:w="1501" w:type="dxa"/>
            <w:tcBorders>
              <w:top w:val="nil"/>
              <w:left w:val="nil"/>
              <w:bottom w:val="nil"/>
              <w:right w:val="nil"/>
            </w:tcBorders>
            <w:shd w:val="clear" w:color="auto" w:fill="auto"/>
            <w:noWrap/>
            <w:vAlign w:val="bottom"/>
            <w:hideMark/>
          </w:tcPr>
          <w:p w14:paraId="37B54A07" w14:textId="77777777" w:rsidR="00A51C46" w:rsidRPr="00B13B9A" w:rsidRDefault="00A51C46" w:rsidP="00A51C46">
            <w:pPr>
              <w:spacing w:after="0" w:line="240" w:lineRule="auto"/>
              <w:rPr>
                <w:rFonts w:asciiTheme="majorHAnsi" w:eastAsia="Times New Roman" w:hAnsiTheme="majorHAnsi" w:cstheme="majorHAnsi"/>
                <w:sz w:val="20"/>
                <w:szCs w:val="20"/>
                <w:lang w:val="ro-MD"/>
              </w:rPr>
            </w:pPr>
          </w:p>
        </w:tc>
        <w:tc>
          <w:tcPr>
            <w:tcW w:w="1300" w:type="dxa"/>
            <w:tcBorders>
              <w:top w:val="nil"/>
              <w:left w:val="nil"/>
              <w:bottom w:val="nil"/>
              <w:right w:val="nil"/>
            </w:tcBorders>
            <w:shd w:val="clear" w:color="auto" w:fill="auto"/>
            <w:noWrap/>
            <w:vAlign w:val="bottom"/>
            <w:hideMark/>
          </w:tcPr>
          <w:p w14:paraId="40E5AEE8" w14:textId="77777777" w:rsidR="00A51C46" w:rsidRPr="00B13B9A" w:rsidRDefault="00A51C46" w:rsidP="00A51C46">
            <w:pPr>
              <w:spacing w:after="0" w:line="240" w:lineRule="auto"/>
              <w:rPr>
                <w:rFonts w:asciiTheme="majorHAnsi" w:eastAsia="Times New Roman" w:hAnsiTheme="majorHAnsi" w:cstheme="majorHAnsi"/>
                <w:sz w:val="20"/>
                <w:szCs w:val="20"/>
                <w:lang w:val="ro-MD"/>
              </w:rPr>
            </w:pPr>
          </w:p>
        </w:tc>
        <w:tc>
          <w:tcPr>
            <w:tcW w:w="1105" w:type="dxa"/>
            <w:tcBorders>
              <w:top w:val="nil"/>
              <w:left w:val="nil"/>
              <w:bottom w:val="nil"/>
              <w:right w:val="nil"/>
            </w:tcBorders>
            <w:shd w:val="clear" w:color="auto" w:fill="auto"/>
            <w:noWrap/>
            <w:vAlign w:val="bottom"/>
            <w:hideMark/>
          </w:tcPr>
          <w:p w14:paraId="4673D53E" w14:textId="77777777" w:rsidR="00A51C46" w:rsidRPr="00B13B9A" w:rsidRDefault="00A51C46" w:rsidP="00A51C46">
            <w:pPr>
              <w:spacing w:after="0" w:line="240" w:lineRule="auto"/>
              <w:rPr>
                <w:rFonts w:asciiTheme="majorHAnsi" w:eastAsia="Times New Roman" w:hAnsiTheme="majorHAnsi" w:cstheme="majorHAnsi"/>
                <w:sz w:val="20"/>
                <w:szCs w:val="20"/>
                <w:lang w:val="ro-MD"/>
              </w:rPr>
            </w:pPr>
          </w:p>
        </w:tc>
        <w:tc>
          <w:tcPr>
            <w:tcW w:w="1843" w:type="dxa"/>
            <w:tcBorders>
              <w:top w:val="nil"/>
              <w:left w:val="nil"/>
              <w:bottom w:val="nil"/>
              <w:right w:val="nil"/>
            </w:tcBorders>
            <w:shd w:val="clear" w:color="auto" w:fill="auto"/>
            <w:noWrap/>
            <w:vAlign w:val="bottom"/>
            <w:hideMark/>
          </w:tcPr>
          <w:p w14:paraId="64C898FE" w14:textId="77777777" w:rsidR="00A51C46" w:rsidRPr="00B13B9A" w:rsidRDefault="00A51C46" w:rsidP="00A51C46">
            <w:pPr>
              <w:spacing w:after="0" w:line="240" w:lineRule="auto"/>
              <w:rPr>
                <w:rFonts w:asciiTheme="majorHAnsi" w:eastAsia="Times New Roman" w:hAnsiTheme="majorHAnsi" w:cstheme="majorHAnsi"/>
                <w:sz w:val="20"/>
                <w:szCs w:val="20"/>
                <w:lang w:val="ro-MD"/>
              </w:rPr>
            </w:pPr>
          </w:p>
        </w:tc>
        <w:tc>
          <w:tcPr>
            <w:tcW w:w="1306" w:type="dxa"/>
            <w:tcBorders>
              <w:top w:val="nil"/>
              <w:left w:val="nil"/>
              <w:bottom w:val="nil"/>
              <w:right w:val="nil"/>
            </w:tcBorders>
            <w:shd w:val="clear" w:color="auto" w:fill="auto"/>
            <w:noWrap/>
            <w:vAlign w:val="bottom"/>
            <w:hideMark/>
          </w:tcPr>
          <w:p w14:paraId="7EA23092" w14:textId="77777777" w:rsidR="00A51C46" w:rsidRPr="00B13B9A" w:rsidRDefault="00A51C46" w:rsidP="00A51C46">
            <w:pPr>
              <w:spacing w:after="0" w:line="240" w:lineRule="auto"/>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(mii lei)</w:t>
            </w:r>
          </w:p>
        </w:tc>
      </w:tr>
      <w:tr w:rsidR="00A51C46" w:rsidRPr="00B13B9A" w14:paraId="23F1C0C1" w14:textId="77777777" w:rsidTr="00A51C46">
        <w:trPr>
          <w:gridAfter w:val="1"/>
          <w:wAfter w:w="40" w:type="dxa"/>
          <w:trHeight w:val="2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09939E" w14:textId="77777777" w:rsidR="00A51C46" w:rsidRPr="00B13B9A" w:rsidRDefault="00A51C46" w:rsidP="00A51C46">
            <w:pPr>
              <w:spacing w:after="0" w:line="240" w:lineRule="auto"/>
              <w:jc w:val="center"/>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Tipuri de servicii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070E52B" w14:textId="77777777" w:rsidR="00A51C46" w:rsidRPr="00B13B9A" w:rsidRDefault="00A51C46" w:rsidP="00A51C46">
            <w:pPr>
              <w:spacing w:after="0" w:line="240" w:lineRule="auto"/>
              <w:jc w:val="center"/>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Venituri aprobate inițial</w:t>
            </w:r>
          </w:p>
        </w:tc>
        <w:tc>
          <w:tcPr>
            <w:tcW w:w="1501" w:type="dxa"/>
            <w:tcBorders>
              <w:top w:val="single" w:sz="4" w:space="0" w:color="auto"/>
              <w:left w:val="nil"/>
              <w:bottom w:val="single" w:sz="4" w:space="0" w:color="auto"/>
              <w:right w:val="single" w:sz="4" w:space="0" w:color="auto"/>
            </w:tcBorders>
            <w:shd w:val="clear" w:color="auto" w:fill="auto"/>
            <w:vAlign w:val="center"/>
            <w:hideMark/>
          </w:tcPr>
          <w:p w14:paraId="36149B7B" w14:textId="77777777" w:rsidR="00A51C46" w:rsidRPr="00B13B9A" w:rsidRDefault="00A51C46" w:rsidP="00A51C46">
            <w:pPr>
              <w:spacing w:after="0" w:line="240" w:lineRule="auto"/>
              <w:jc w:val="center"/>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Venituri precizate pe an</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4F9D9713" w14:textId="77777777" w:rsidR="00A51C46" w:rsidRPr="00B13B9A" w:rsidRDefault="00A51C46" w:rsidP="00A51C46">
            <w:pPr>
              <w:spacing w:after="0" w:line="240" w:lineRule="auto"/>
              <w:jc w:val="center"/>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Suma contractată</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14:paraId="6BB98220" w14:textId="77777777" w:rsidR="00A51C46" w:rsidRPr="00B13B9A" w:rsidRDefault="00A51C46" w:rsidP="00A51C46">
            <w:pPr>
              <w:spacing w:after="0" w:line="240" w:lineRule="auto"/>
              <w:jc w:val="center"/>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Cheltuieli efective</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46C1F7BE" w14:textId="77777777" w:rsidR="00A51C46" w:rsidRPr="00B13B9A" w:rsidRDefault="00A51C46" w:rsidP="00A51C46">
            <w:pPr>
              <w:spacing w:after="0" w:line="240" w:lineRule="auto"/>
              <w:jc w:val="center"/>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Îndeplinirea contractelor, sumă</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14:paraId="1A4A0014" w14:textId="77777777" w:rsidR="00A51C46" w:rsidRPr="00B13B9A" w:rsidRDefault="00A51C46" w:rsidP="00A51C46">
            <w:pPr>
              <w:spacing w:after="0" w:line="240" w:lineRule="auto"/>
              <w:jc w:val="center"/>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 îndeplinirii contractelor</w:t>
            </w:r>
          </w:p>
        </w:tc>
      </w:tr>
      <w:tr w:rsidR="00A51C46" w:rsidRPr="00B13B9A" w14:paraId="1EC1839C" w14:textId="77777777" w:rsidTr="00A51C46">
        <w:trPr>
          <w:trHeight w:val="20"/>
        </w:trPr>
        <w:tc>
          <w:tcPr>
            <w:tcW w:w="9647"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C7C7C84" w14:textId="77777777" w:rsidR="00A51C46" w:rsidRPr="00B13B9A" w:rsidRDefault="00A51C46" w:rsidP="00A51C46">
            <w:pPr>
              <w:spacing w:after="0" w:line="240" w:lineRule="auto"/>
              <w:jc w:val="center"/>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2021</w:t>
            </w:r>
          </w:p>
        </w:tc>
      </w:tr>
      <w:tr w:rsidR="00A51C46" w:rsidRPr="00B13B9A" w14:paraId="548CF3F4" w14:textId="77777777" w:rsidTr="00A51C46">
        <w:trPr>
          <w:gridAfter w:val="1"/>
          <w:wAfter w:w="40" w:type="dxa"/>
          <w:trHeight w:val="2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0E2BF3C" w14:textId="77777777" w:rsidR="00A51C46" w:rsidRPr="00B13B9A" w:rsidRDefault="00A51C46" w:rsidP="00A51C46">
            <w:pPr>
              <w:spacing w:after="0" w:line="240" w:lineRule="auto"/>
              <w:jc w:val="center"/>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AMSA</w:t>
            </w:r>
          </w:p>
        </w:tc>
        <w:tc>
          <w:tcPr>
            <w:tcW w:w="1559" w:type="dxa"/>
            <w:tcBorders>
              <w:top w:val="nil"/>
              <w:left w:val="nil"/>
              <w:bottom w:val="single" w:sz="4" w:space="0" w:color="auto"/>
              <w:right w:val="single" w:sz="4" w:space="0" w:color="auto"/>
            </w:tcBorders>
            <w:shd w:val="clear" w:color="auto" w:fill="auto"/>
            <w:noWrap/>
            <w:vAlign w:val="bottom"/>
            <w:hideMark/>
          </w:tcPr>
          <w:p w14:paraId="15CEFFD2" w14:textId="77777777" w:rsidR="00A51C46" w:rsidRPr="00B13B9A" w:rsidRDefault="00A51C46" w:rsidP="00A51C46">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12451,9</w:t>
            </w:r>
          </w:p>
        </w:tc>
        <w:tc>
          <w:tcPr>
            <w:tcW w:w="1501" w:type="dxa"/>
            <w:tcBorders>
              <w:top w:val="nil"/>
              <w:left w:val="nil"/>
              <w:bottom w:val="single" w:sz="4" w:space="0" w:color="auto"/>
              <w:right w:val="single" w:sz="4" w:space="0" w:color="auto"/>
            </w:tcBorders>
            <w:shd w:val="clear" w:color="auto" w:fill="auto"/>
            <w:noWrap/>
            <w:vAlign w:val="bottom"/>
            <w:hideMark/>
          </w:tcPr>
          <w:p w14:paraId="4138D669" w14:textId="77777777" w:rsidR="00A51C46" w:rsidRPr="00B13B9A" w:rsidRDefault="00A51C46" w:rsidP="00A51C46">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12451,9</w:t>
            </w:r>
          </w:p>
        </w:tc>
        <w:tc>
          <w:tcPr>
            <w:tcW w:w="1300" w:type="dxa"/>
            <w:tcBorders>
              <w:top w:val="nil"/>
              <w:left w:val="nil"/>
              <w:bottom w:val="single" w:sz="4" w:space="0" w:color="auto"/>
              <w:right w:val="single" w:sz="4" w:space="0" w:color="auto"/>
            </w:tcBorders>
            <w:shd w:val="clear" w:color="auto" w:fill="auto"/>
            <w:noWrap/>
            <w:vAlign w:val="bottom"/>
            <w:hideMark/>
          </w:tcPr>
          <w:p w14:paraId="3C864530" w14:textId="77777777" w:rsidR="00A51C46" w:rsidRPr="00B13B9A" w:rsidRDefault="00A51C46" w:rsidP="00A51C46">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12451,9</w:t>
            </w:r>
          </w:p>
        </w:tc>
        <w:tc>
          <w:tcPr>
            <w:tcW w:w="1105" w:type="dxa"/>
            <w:tcBorders>
              <w:top w:val="nil"/>
              <w:left w:val="nil"/>
              <w:bottom w:val="nil"/>
              <w:right w:val="nil"/>
            </w:tcBorders>
            <w:shd w:val="clear" w:color="auto" w:fill="auto"/>
            <w:noWrap/>
            <w:vAlign w:val="bottom"/>
            <w:hideMark/>
          </w:tcPr>
          <w:p w14:paraId="061905BA" w14:textId="77777777" w:rsidR="00A51C46" w:rsidRPr="00B13B9A" w:rsidRDefault="00A51C46" w:rsidP="00A51C46">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12349,3</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08FD6865" w14:textId="77777777" w:rsidR="00A51C46" w:rsidRPr="00B13B9A" w:rsidRDefault="00A51C46" w:rsidP="00A51C46">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-102,6</w:t>
            </w:r>
          </w:p>
        </w:tc>
        <w:tc>
          <w:tcPr>
            <w:tcW w:w="1306" w:type="dxa"/>
            <w:tcBorders>
              <w:top w:val="nil"/>
              <w:left w:val="nil"/>
              <w:bottom w:val="single" w:sz="4" w:space="0" w:color="auto"/>
              <w:right w:val="single" w:sz="4" w:space="0" w:color="auto"/>
            </w:tcBorders>
            <w:shd w:val="clear" w:color="auto" w:fill="auto"/>
            <w:noWrap/>
            <w:vAlign w:val="bottom"/>
            <w:hideMark/>
          </w:tcPr>
          <w:p w14:paraId="7C9AAA87" w14:textId="77777777" w:rsidR="00A51C46" w:rsidRPr="00B13B9A" w:rsidRDefault="00A51C46" w:rsidP="00A51C46">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99,2%</w:t>
            </w:r>
          </w:p>
        </w:tc>
      </w:tr>
      <w:tr w:rsidR="00A51C46" w:rsidRPr="00B13B9A" w14:paraId="3A5A8F1D" w14:textId="77777777" w:rsidTr="00A51C46">
        <w:trPr>
          <w:gridAfter w:val="1"/>
          <w:wAfter w:w="40" w:type="dxa"/>
          <w:trHeight w:val="2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E77BBAC" w14:textId="77777777" w:rsidR="00A51C46" w:rsidRPr="00B13B9A" w:rsidRDefault="00A51C46" w:rsidP="00A51C46">
            <w:pPr>
              <w:spacing w:after="0" w:line="240" w:lineRule="auto"/>
              <w:jc w:val="center"/>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AMS</w:t>
            </w:r>
          </w:p>
        </w:tc>
        <w:tc>
          <w:tcPr>
            <w:tcW w:w="1559" w:type="dxa"/>
            <w:tcBorders>
              <w:top w:val="nil"/>
              <w:left w:val="nil"/>
              <w:bottom w:val="single" w:sz="4" w:space="0" w:color="auto"/>
              <w:right w:val="single" w:sz="4" w:space="0" w:color="auto"/>
            </w:tcBorders>
            <w:shd w:val="clear" w:color="auto" w:fill="auto"/>
            <w:noWrap/>
            <w:vAlign w:val="bottom"/>
            <w:hideMark/>
          </w:tcPr>
          <w:p w14:paraId="12677BC5" w14:textId="77777777" w:rsidR="00A51C46" w:rsidRPr="00B13B9A" w:rsidRDefault="00A51C46" w:rsidP="00A51C46">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87594,5</w:t>
            </w:r>
          </w:p>
        </w:tc>
        <w:tc>
          <w:tcPr>
            <w:tcW w:w="1501" w:type="dxa"/>
            <w:tcBorders>
              <w:top w:val="nil"/>
              <w:left w:val="nil"/>
              <w:bottom w:val="single" w:sz="4" w:space="0" w:color="auto"/>
              <w:right w:val="single" w:sz="4" w:space="0" w:color="auto"/>
            </w:tcBorders>
            <w:shd w:val="clear" w:color="auto" w:fill="auto"/>
            <w:noWrap/>
            <w:vAlign w:val="bottom"/>
            <w:hideMark/>
          </w:tcPr>
          <w:p w14:paraId="2703F695" w14:textId="77777777" w:rsidR="00A51C46" w:rsidRPr="00B13B9A" w:rsidRDefault="00A51C46" w:rsidP="00A51C46">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103666,8</w:t>
            </w:r>
          </w:p>
        </w:tc>
        <w:tc>
          <w:tcPr>
            <w:tcW w:w="1300" w:type="dxa"/>
            <w:tcBorders>
              <w:top w:val="nil"/>
              <w:left w:val="nil"/>
              <w:bottom w:val="single" w:sz="4" w:space="0" w:color="auto"/>
              <w:right w:val="single" w:sz="4" w:space="0" w:color="auto"/>
            </w:tcBorders>
            <w:shd w:val="clear" w:color="auto" w:fill="auto"/>
            <w:noWrap/>
            <w:vAlign w:val="bottom"/>
            <w:hideMark/>
          </w:tcPr>
          <w:p w14:paraId="5E176694" w14:textId="77777777" w:rsidR="00A51C46" w:rsidRPr="00B13B9A" w:rsidRDefault="00A51C46" w:rsidP="00A51C46">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102804,9</w:t>
            </w:r>
          </w:p>
        </w:tc>
        <w:tc>
          <w:tcPr>
            <w:tcW w:w="1105" w:type="dxa"/>
            <w:tcBorders>
              <w:top w:val="single" w:sz="4" w:space="0" w:color="auto"/>
              <w:left w:val="nil"/>
              <w:bottom w:val="single" w:sz="4" w:space="0" w:color="auto"/>
              <w:right w:val="single" w:sz="4" w:space="0" w:color="auto"/>
            </w:tcBorders>
            <w:shd w:val="clear" w:color="auto" w:fill="auto"/>
            <w:noWrap/>
            <w:vAlign w:val="bottom"/>
            <w:hideMark/>
          </w:tcPr>
          <w:p w14:paraId="42C71B4D" w14:textId="77777777" w:rsidR="00A51C46" w:rsidRPr="00B13B9A" w:rsidRDefault="00A51C46" w:rsidP="00A51C46">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107727,9</w:t>
            </w:r>
          </w:p>
        </w:tc>
        <w:tc>
          <w:tcPr>
            <w:tcW w:w="1843" w:type="dxa"/>
            <w:tcBorders>
              <w:top w:val="nil"/>
              <w:left w:val="nil"/>
              <w:bottom w:val="single" w:sz="4" w:space="0" w:color="auto"/>
              <w:right w:val="single" w:sz="4" w:space="0" w:color="auto"/>
            </w:tcBorders>
            <w:shd w:val="clear" w:color="auto" w:fill="auto"/>
            <w:noWrap/>
            <w:vAlign w:val="bottom"/>
            <w:hideMark/>
          </w:tcPr>
          <w:p w14:paraId="6B6F2326" w14:textId="77777777" w:rsidR="00A51C46" w:rsidRPr="00B13B9A" w:rsidRDefault="00A51C46" w:rsidP="00A51C46">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4923,0</w:t>
            </w:r>
          </w:p>
        </w:tc>
        <w:tc>
          <w:tcPr>
            <w:tcW w:w="1306" w:type="dxa"/>
            <w:tcBorders>
              <w:top w:val="nil"/>
              <w:left w:val="nil"/>
              <w:bottom w:val="single" w:sz="4" w:space="0" w:color="auto"/>
              <w:right w:val="single" w:sz="4" w:space="0" w:color="auto"/>
            </w:tcBorders>
            <w:shd w:val="clear" w:color="auto" w:fill="auto"/>
            <w:noWrap/>
            <w:vAlign w:val="bottom"/>
            <w:hideMark/>
          </w:tcPr>
          <w:p w14:paraId="21A46244" w14:textId="77777777" w:rsidR="00A51C46" w:rsidRPr="00B13B9A" w:rsidRDefault="00A51C46" w:rsidP="00A51C46">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104,8%</w:t>
            </w:r>
          </w:p>
        </w:tc>
      </w:tr>
      <w:tr w:rsidR="00A51C46" w:rsidRPr="00B13B9A" w14:paraId="5A851048" w14:textId="77777777" w:rsidTr="00A51C46">
        <w:trPr>
          <w:trHeight w:val="20"/>
        </w:trPr>
        <w:tc>
          <w:tcPr>
            <w:tcW w:w="9647"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F311F28" w14:textId="77777777" w:rsidR="00A51C46" w:rsidRPr="00B13B9A" w:rsidRDefault="00A51C46" w:rsidP="00A51C46">
            <w:pPr>
              <w:spacing w:after="0" w:line="240" w:lineRule="auto"/>
              <w:jc w:val="center"/>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2022</w:t>
            </w:r>
          </w:p>
        </w:tc>
      </w:tr>
      <w:tr w:rsidR="00A51C46" w:rsidRPr="00B13B9A" w14:paraId="1A2B4918" w14:textId="77777777" w:rsidTr="00A51C46">
        <w:trPr>
          <w:gridAfter w:val="1"/>
          <w:wAfter w:w="40" w:type="dxa"/>
          <w:trHeight w:val="2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DCE7053" w14:textId="77777777" w:rsidR="00A51C46" w:rsidRPr="00B13B9A" w:rsidRDefault="00A51C46" w:rsidP="00A51C46">
            <w:pPr>
              <w:spacing w:after="0" w:line="240" w:lineRule="auto"/>
              <w:jc w:val="center"/>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AMSA</w:t>
            </w:r>
          </w:p>
        </w:tc>
        <w:tc>
          <w:tcPr>
            <w:tcW w:w="1559" w:type="dxa"/>
            <w:tcBorders>
              <w:top w:val="nil"/>
              <w:left w:val="nil"/>
              <w:bottom w:val="single" w:sz="4" w:space="0" w:color="auto"/>
              <w:right w:val="single" w:sz="4" w:space="0" w:color="auto"/>
            </w:tcBorders>
            <w:shd w:val="clear" w:color="auto" w:fill="auto"/>
            <w:noWrap/>
            <w:vAlign w:val="bottom"/>
            <w:hideMark/>
          </w:tcPr>
          <w:p w14:paraId="33B7F5A6" w14:textId="77777777" w:rsidR="00A51C46" w:rsidRPr="00B13B9A" w:rsidRDefault="00A51C46" w:rsidP="00A51C46">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12761,7</w:t>
            </w:r>
          </w:p>
        </w:tc>
        <w:tc>
          <w:tcPr>
            <w:tcW w:w="1501" w:type="dxa"/>
            <w:tcBorders>
              <w:top w:val="nil"/>
              <w:left w:val="nil"/>
              <w:bottom w:val="single" w:sz="4" w:space="0" w:color="auto"/>
              <w:right w:val="single" w:sz="4" w:space="0" w:color="auto"/>
            </w:tcBorders>
            <w:shd w:val="clear" w:color="auto" w:fill="auto"/>
            <w:noWrap/>
            <w:vAlign w:val="bottom"/>
            <w:hideMark/>
          </w:tcPr>
          <w:p w14:paraId="33579E73" w14:textId="77777777" w:rsidR="00A51C46" w:rsidRPr="00B13B9A" w:rsidRDefault="00A51C46" w:rsidP="00A51C46">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13510,1</w:t>
            </w:r>
          </w:p>
        </w:tc>
        <w:tc>
          <w:tcPr>
            <w:tcW w:w="1300" w:type="dxa"/>
            <w:tcBorders>
              <w:top w:val="nil"/>
              <w:left w:val="nil"/>
              <w:bottom w:val="single" w:sz="4" w:space="0" w:color="auto"/>
              <w:right w:val="single" w:sz="4" w:space="0" w:color="auto"/>
            </w:tcBorders>
            <w:shd w:val="clear" w:color="auto" w:fill="auto"/>
            <w:noWrap/>
            <w:vAlign w:val="bottom"/>
            <w:hideMark/>
          </w:tcPr>
          <w:p w14:paraId="43665DA5" w14:textId="77777777" w:rsidR="00A51C46" w:rsidRPr="00B13B9A" w:rsidRDefault="00A51C46" w:rsidP="00A51C46">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13510,1</w:t>
            </w:r>
          </w:p>
        </w:tc>
        <w:tc>
          <w:tcPr>
            <w:tcW w:w="1105" w:type="dxa"/>
            <w:tcBorders>
              <w:top w:val="nil"/>
              <w:left w:val="nil"/>
              <w:bottom w:val="single" w:sz="4" w:space="0" w:color="auto"/>
              <w:right w:val="single" w:sz="4" w:space="0" w:color="auto"/>
            </w:tcBorders>
            <w:shd w:val="clear" w:color="auto" w:fill="auto"/>
            <w:noWrap/>
            <w:vAlign w:val="bottom"/>
            <w:hideMark/>
          </w:tcPr>
          <w:p w14:paraId="492361CD" w14:textId="77777777" w:rsidR="00A51C46" w:rsidRPr="00B13B9A" w:rsidRDefault="00A51C46" w:rsidP="00A51C46">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13498,5</w:t>
            </w:r>
          </w:p>
        </w:tc>
        <w:tc>
          <w:tcPr>
            <w:tcW w:w="1843" w:type="dxa"/>
            <w:tcBorders>
              <w:top w:val="nil"/>
              <w:left w:val="nil"/>
              <w:bottom w:val="single" w:sz="4" w:space="0" w:color="auto"/>
              <w:right w:val="single" w:sz="4" w:space="0" w:color="auto"/>
            </w:tcBorders>
            <w:shd w:val="clear" w:color="auto" w:fill="auto"/>
            <w:noWrap/>
            <w:vAlign w:val="bottom"/>
            <w:hideMark/>
          </w:tcPr>
          <w:p w14:paraId="6D6BCDA9" w14:textId="77777777" w:rsidR="00A51C46" w:rsidRPr="00B13B9A" w:rsidRDefault="00A51C46" w:rsidP="00A51C46">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-11,6</w:t>
            </w:r>
          </w:p>
        </w:tc>
        <w:tc>
          <w:tcPr>
            <w:tcW w:w="1306" w:type="dxa"/>
            <w:tcBorders>
              <w:top w:val="nil"/>
              <w:left w:val="nil"/>
              <w:bottom w:val="single" w:sz="4" w:space="0" w:color="auto"/>
              <w:right w:val="single" w:sz="4" w:space="0" w:color="auto"/>
            </w:tcBorders>
            <w:shd w:val="clear" w:color="auto" w:fill="auto"/>
            <w:noWrap/>
            <w:vAlign w:val="bottom"/>
            <w:hideMark/>
          </w:tcPr>
          <w:p w14:paraId="5BBDC494" w14:textId="77777777" w:rsidR="00A51C46" w:rsidRPr="00B13B9A" w:rsidRDefault="00A51C46" w:rsidP="00A51C46">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99,9%</w:t>
            </w:r>
          </w:p>
        </w:tc>
      </w:tr>
      <w:tr w:rsidR="00A51C46" w:rsidRPr="00B13B9A" w14:paraId="7CBA9C83" w14:textId="77777777" w:rsidTr="00A51C46">
        <w:trPr>
          <w:gridAfter w:val="1"/>
          <w:wAfter w:w="40" w:type="dxa"/>
          <w:trHeight w:val="2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99FE3B5" w14:textId="77777777" w:rsidR="00A51C46" w:rsidRPr="00B13B9A" w:rsidRDefault="00A51C46" w:rsidP="00A51C46">
            <w:pPr>
              <w:spacing w:after="0" w:line="240" w:lineRule="auto"/>
              <w:jc w:val="center"/>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AMS</w:t>
            </w:r>
          </w:p>
        </w:tc>
        <w:tc>
          <w:tcPr>
            <w:tcW w:w="1559" w:type="dxa"/>
            <w:tcBorders>
              <w:top w:val="nil"/>
              <w:left w:val="nil"/>
              <w:bottom w:val="single" w:sz="4" w:space="0" w:color="auto"/>
              <w:right w:val="single" w:sz="4" w:space="0" w:color="auto"/>
            </w:tcBorders>
            <w:shd w:val="clear" w:color="auto" w:fill="auto"/>
            <w:noWrap/>
            <w:vAlign w:val="bottom"/>
            <w:hideMark/>
          </w:tcPr>
          <w:p w14:paraId="55EF3CE4" w14:textId="77777777" w:rsidR="00A51C46" w:rsidRPr="00B13B9A" w:rsidRDefault="00A51C46" w:rsidP="00A51C46">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100965,3</w:t>
            </w:r>
          </w:p>
        </w:tc>
        <w:tc>
          <w:tcPr>
            <w:tcW w:w="1501" w:type="dxa"/>
            <w:tcBorders>
              <w:top w:val="nil"/>
              <w:left w:val="nil"/>
              <w:bottom w:val="single" w:sz="4" w:space="0" w:color="auto"/>
              <w:right w:val="single" w:sz="4" w:space="0" w:color="auto"/>
            </w:tcBorders>
            <w:shd w:val="clear" w:color="auto" w:fill="auto"/>
            <w:noWrap/>
            <w:vAlign w:val="bottom"/>
            <w:hideMark/>
          </w:tcPr>
          <w:p w14:paraId="55FFE220" w14:textId="77777777" w:rsidR="00A51C46" w:rsidRPr="00B13B9A" w:rsidRDefault="00A51C46" w:rsidP="00A51C46">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108247,3</w:t>
            </w:r>
          </w:p>
        </w:tc>
        <w:tc>
          <w:tcPr>
            <w:tcW w:w="1300" w:type="dxa"/>
            <w:tcBorders>
              <w:top w:val="nil"/>
              <w:left w:val="nil"/>
              <w:bottom w:val="single" w:sz="4" w:space="0" w:color="auto"/>
              <w:right w:val="single" w:sz="4" w:space="0" w:color="auto"/>
            </w:tcBorders>
            <w:shd w:val="clear" w:color="auto" w:fill="auto"/>
            <w:noWrap/>
            <w:vAlign w:val="bottom"/>
            <w:hideMark/>
          </w:tcPr>
          <w:p w14:paraId="5492C3A9" w14:textId="77777777" w:rsidR="00A51C46" w:rsidRPr="00B13B9A" w:rsidRDefault="00A51C46" w:rsidP="00A51C46">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103227,1</w:t>
            </w:r>
          </w:p>
        </w:tc>
        <w:tc>
          <w:tcPr>
            <w:tcW w:w="1105" w:type="dxa"/>
            <w:tcBorders>
              <w:top w:val="nil"/>
              <w:left w:val="nil"/>
              <w:bottom w:val="single" w:sz="4" w:space="0" w:color="auto"/>
              <w:right w:val="single" w:sz="4" w:space="0" w:color="auto"/>
            </w:tcBorders>
            <w:shd w:val="clear" w:color="auto" w:fill="auto"/>
            <w:noWrap/>
            <w:vAlign w:val="bottom"/>
            <w:hideMark/>
          </w:tcPr>
          <w:p w14:paraId="1D6902AA" w14:textId="77777777" w:rsidR="00A51C46" w:rsidRPr="00B13B9A" w:rsidRDefault="00A51C46" w:rsidP="00A51C46">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101606,0</w:t>
            </w:r>
          </w:p>
        </w:tc>
        <w:tc>
          <w:tcPr>
            <w:tcW w:w="1843" w:type="dxa"/>
            <w:tcBorders>
              <w:top w:val="nil"/>
              <w:left w:val="nil"/>
              <w:bottom w:val="single" w:sz="4" w:space="0" w:color="auto"/>
              <w:right w:val="single" w:sz="4" w:space="0" w:color="auto"/>
            </w:tcBorders>
            <w:shd w:val="clear" w:color="auto" w:fill="auto"/>
            <w:noWrap/>
            <w:vAlign w:val="bottom"/>
            <w:hideMark/>
          </w:tcPr>
          <w:p w14:paraId="6097E62F" w14:textId="77777777" w:rsidR="00A51C46" w:rsidRPr="00B13B9A" w:rsidRDefault="00A51C46" w:rsidP="00A51C46">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-1621,1</w:t>
            </w:r>
          </w:p>
        </w:tc>
        <w:tc>
          <w:tcPr>
            <w:tcW w:w="1306" w:type="dxa"/>
            <w:tcBorders>
              <w:top w:val="nil"/>
              <w:left w:val="nil"/>
              <w:bottom w:val="single" w:sz="4" w:space="0" w:color="auto"/>
              <w:right w:val="single" w:sz="4" w:space="0" w:color="auto"/>
            </w:tcBorders>
            <w:shd w:val="clear" w:color="auto" w:fill="auto"/>
            <w:noWrap/>
            <w:vAlign w:val="bottom"/>
            <w:hideMark/>
          </w:tcPr>
          <w:p w14:paraId="3E667C48" w14:textId="77777777" w:rsidR="00A51C46" w:rsidRPr="00B13B9A" w:rsidRDefault="00A51C46" w:rsidP="00A51C46">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98,4%</w:t>
            </w:r>
          </w:p>
        </w:tc>
      </w:tr>
      <w:tr w:rsidR="00A51C46" w:rsidRPr="00B13B9A" w14:paraId="631573AA" w14:textId="77777777" w:rsidTr="00A51C46">
        <w:trPr>
          <w:trHeight w:val="20"/>
        </w:trPr>
        <w:tc>
          <w:tcPr>
            <w:tcW w:w="9647"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E133CF0" w14:textId="77777777" w:rsidR="00A51C46" w:rsidRPr="00B13B9A" w:rsidRDefault="00A51C46" w:rsidP="00A51C46">
            <w:pPr>
              <w:spacing w:after="0" w:line="240" w:lineRule="auto"/>
              <w:jc w:val="center"/>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2023 (I sem)</w:t>
            </w:r>
          </w:p>
        </w:tc>
      </w:tr>
      <w:tr w:rsidR="00A51C46" w:rsidRPr="00B13B9A" w14:paraId="633FED6C" w14:textId="77777777" w:rsidTr="00A51C46">
        <w:trPr>
          <w:gridAfter w:val="1"/>
          <w:wAfter w:w="40" w:type="dxa"/>
          <w:trHeight w:val="2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9032E9A" w14:textId="77777777" w:rsidR="00A51C46" w:rsidRPr="00B13B9A" w:rsidRDefault="00A51C46" w:rsidP="00A51C46">
            <w:pPr>
              <w:spacing w:after="0" w:line="240" w:lineRule="auto"/>
              <w:jc w:val="center"/>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AMSA</w:t>
            </w:r>
          </w:p>
        </w:tc>
        <w:tc>
          <w:tcPr>
            <w:tcW w:w="1559" w:type="dxa"/>
            <w:tcBorders>
              <w:top w:val="nil"/>
              <w:left w:val="nil"/>
              <w:bottom w:val="single" w:sz="4" w:space="0" w:color="auto"/>
              <w:right w:val="single" w:sz="4" w:space="0" w:color="auto"/>
            </w:tcBorders>
            <w:shd w:val="clear" w:color="auto" w:fill="auto"/>
            <w:noWrap/>
            <w:vAlign w:val="bottom"/>
            <w:hideMark/>
          </w:tcPr>
          <w:p w14:paraId="1A1FAEBA" w14:textId="77777777" w:rsidR="00A51C46" w:rsidRPr="00B13B9A" w:rsidRDefault="00A51C46" w:rsidP="00A51C46">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21333,9</w:t>
            </w:r>
          </w:p>
        </w:tc>
        <w:tc>
          <w:tcPr>
            <w:tcW w:w="1501" w:type="dxa"/>
            <w:tcBorders>
              <w:top w:val="nil"/>
              <w:left w:val="nil"/>
              <w:bottom w:val="single" w:sz="4" w:space="0" w:color="auto"/>
              <w:right w:val="single" w:sz="4" w:space="0" w:color="auto"/>
            </w:tcBorders>
            <w:shd w:val="clear" w:color="auto" w:fill="auto"/>
            <w:noWrap/>
            <w:vAlign w:val="bottom"/>
            <w:hideMark/>
          </w:tcPr>
          <w:p w14:paraId="4C7ED4CF" w14:textId="77777777" w:rsidR="00A51C46" w:rsidRPr="00B13B9A" w:rsidRDefault="00A51C46" w:rsidP="00A51C46">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21343,7</w:t>
            </w:r>
          </w:p>
        </w:tc>
        <w:tc>
          <w:tcPr>
            <w:tcW w:w="1300" w:type="dxa"/>
            <w:tcBorders>
              <w:top w:val="nil"/>
              <w:left w:val="nil"/>
              <w:bottom w:val="single" w:sz="4" w:space="0" w:color="auto"/>
              <w:right w:val="single" w:sz="4" w:space="0" w:color="auto"/>
            </w:tcBorders>
            <w:shd w:val="clear" w:color="auto" w:fill="auto"/>
            <w:noWrap/>
            <w:vAlign w:val="bottom"/>
            <w:hideMark/>
          </w:tcPr>
          <w:p w14:paraId="38B6EEBA" w14:textId="77777777" w:rsidR="00A51C46" w:rsidRPr="00B13B9A" w:rsidRDefault="00A51C46" w:rsidP="00A51C46">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10676,7</w:t>
            </w:r>
          </w:p>
        </w:tc>
        <w:tc>
          <w:tcPr>
            <w:tcW w:w="1105" w:type="dxa"/>
            <w:tcBorders>
              <w:top w:val="nil"/>
              <w:left w:val="nil"/>
              <w:bottom w:val="single" w:sz="4" w:space="0" w:color="auto"/>
              <w:right w:val="single" w:sz="4" w:space="0" w:color="auto"/>
            </w:tcBorders>
            <w:shd w:val="clear" w:color="auto" w:fill="auto"/>
            <w:noWrap/>
            <w:vAlign w:val="bottom"/>
            <w:hideMark/>
          </w:tcPr>
          <w:p w14:paraId="5CF13421" w14:textId="77777777" w:rsidR="00A51C46" w:rsidRPr="00B13B9A" w:rsidRDefault="00A51C46" w:rsidP="00A51C46">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9346,7</w:t>
            </w:r>
          </w:p>
        </w:tc>
        <w:tc>
          <w:tcPr>
            <w:tcW w:w="1843" w:type="dxa"/>
            <w:tcBorders>
              <w:top w:val="nil"/>
              <w:left w:val="nil"/>
              <w:bottom w:val="single" w:sz="4" w:space="0" w:color="auto"/>
              <w:right w:val="single" w:sz="4" w:space="0" w:color="auto"/>
            </w:tcBorders>
            <w:shd w:val="clear" w:color="auto" w:fill="auto"/>
            <w:noWrap/>
            <w:vAlign w:val="bottom"/>
            <w:hideMark/>
          </w:tcPr>
          <w:p w14:paraId="2C69B8AC" w14:textId="77777777" w:rsidR="00A51C46" w:rsidRPr="00B13B9A" w:rsidRDefault="00A51C46" w:rsidP="00A51C46">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-1330,0</w:t>
            </w:r>
          </w:p>
        </w:tc>
        <w:tc>
          <w:tcPr>
            <w:tcW w:w="1306" w:type="dxa"/>
            <w:tcBorders>
              <w:top w:val="nil"/>
              <w:left w:val="nil"/>
              <w:bottom w:val="single" w:sz="4" w:space="0" w:color="auto"/>
              <w:right w:val="single" w:sz="4" w:space="0" w:color="auto"/>
            </w:tcBorders>
            <w:shd w:val="clear" w:color="auto" w:fill="auto"/>
            <w:noWrap/>
            <w:vAlign w:val="bottom"/>
            <w:hideMark/>
          </w:tcPr>
          <w:p w14:paraId="6EDE5A6D" w14:textId="77777777" w:rsidR="00A51C46" w:rsidRPr="00B13B9A" w:rsidRDefault="00A51C46" w:rsidP="00A51C46">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87,5%</w:t>
            </w:r>
          </w:p>
        </w:tc>
      </w:tr>
      <w:tr w:rsidR="00A51C46" w:rsidRPr="00B13B9A" w14:paraId="347D5870" w14:textId="77777777" w:rsidTr="00A51C46">
        <w:trPr>
          <w:gridAfter w:val="1"/>
          <w:wAfter w:w="40" w:type="dxa"/>
          <w:trHeight w:val="2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268442BE" w14:textId="77777777" w:rsidR="00A51C46" w:rsidRPr="00B13B9A" w:rsidRDefault="00A51C46" w:rsidP="00A51C46">
            <w:pPr>
              <w:spacing w:after="0" w:line="240" w:lineRule="auto"/>
              <w:jc w:val="center"/>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AMS</w:t>
            </w:r>
          </w:p>
        </w:tc>
        <w:tc>
          <w:tcPr>
            <w:tcW w:w="1559" w:type="dxa"/>
            <w:tcBorders>
              <w:top w:val="nil"/>
              <w:left w:val="nil"/>
              <w:bottom w:val="single" w:sz="4" w:space="0" w:color="auto"/>
              <w:right w:val="single" w:sz="4" w:space="0" w:color="auto"/>
            </w:tcBorders>
            <w:shd w:val="clear" w:color="auto" w:fill="auto"/>
            <w:noWrap/>
            <w:vAlign w:val="bottom"/>
            <w:hideMark/>
          </w:tcPr>
          <w:p w14:paraId="3B014C30" w14:textId="77777777" w:rsidR="00A51C46" w:rsidRPr="00B13B9A" w:rsidRDefault="00A51C46" w:rsidP="00A51C46">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111230,2</w:t>
            </w:r>
          </w:p>
        </w:tc>
        <w:tc>
          <w:tcPr>
            <w:tcW w:w="1501" w:type="dxa"/>
            <w:tcBorders>
              <w:top w:val="nil"/>
              <w:left w:val="nil"/>
              <w:bottom w:val="single" w:sz="4" w:space="0" w:color="auto"/>
              <w:right w:val="single" w:sz="4" w:space="0" w:color="auto"/>
            </w:tcBorders>
            <w:shd w:val="clear" w:color="auto" w:fill="auto"/>
            <w:noWrap/>
            <w:vAlign w:val="bottom"/>
            <w:hideMark/>
          </w:tcPr>
          <w:p w14:paraId="3BD4AD1F" w14:textId="77777777" w:rsidR="00A51C46" w:rsidRPr="00B13B9A" w:rsidRDefault="00A51C46" w:rsidP="00A51C46">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111407,0</w:t>
            </w:r>
          </w:p>
        </w:tc>
        <w:tc>
          <w:tcPr>
            <w:tcW w:w="1300" w:type="dxa"/>
            <w:tcBorders>
              <w:top w:val="nil"/>
              <w:left w:val="nil"/>
              <w:bottom w:val="single" w:sz="4" w:space="0" w:color="auto"/>
              <w:right w:val="single" w:sz="4" w:space="0" w:color="auto"/>
            </w:tcBorders>
            <w:shd w:val="clear" w:color="auto" w:fill="auto"/>
            <w:noWrap/>
            <w:vAlign w:val="bottom"/>
            <w:hideMark/>
          </w:tcPr>
          <w:p w14:paraId="69025660" w14:textId="77777777" w:rsidR="00A51C46" w:rsidRPr="00B13B9A" w:rsidRDefault="00A51C46" w:rsidP="00A51C46">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55578,2</w:t>
            </w:r>
          </w:p>
        </w:tc>
        <w:tc>
          <w:tcPr>
            <w:tcW w:w="1105" w:type="dxa"/>
            <w:tcBorders>
              <w:top w:val="nil"/>
              <w:left w:val="nil"/>
              <w:bottom w:val="single" w:sz="4" w:space="0" w:color="auto"/>
              <w:right w:val="single" w:sz="4" w:space="0" w:color="auto"/>
            </w:tcBorders>
            <w:shd w:val="clear" w:color="auto" w:fill="auto"/>
            <w:noWrap/>
            <w:vAlign w:val="bottom"/>
            <w:hideMark/>
          </w:tcPr>
          <w:p w14:paraId="19B89218" w14:textId="77777777" w:rsidR="00A51C46" w:rsidRPr="00B13B9A" w:rsidRDefault="00A51C46" w:rsidP="00A51C46">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53744,8</w:t>
            </w:r>
          </w:p>
        </w:tc>
        <w:tc>
          <w:tcPr>
            <w:tcW w:w="1843" w:type="dxa"/>
            <w:tcBorders>
              <w:top w:val="nil"/>
              <w:left w:val="nil"/>
              <w:bottom w:val="single" w:sz="4" w:space="0" w:color="auto"/>
              <w:right w:val="single" w:sz="4" w:space="0" w:color="auto"/>
            </w:tcBorders>
            <w:shd w:val="clear" w:color="auto" w:fill="auto"/>
            <w:noWrap/>
            <w:vAlign w:val="bottom"/>
            <w:hideMark/>
          </w:tcPr>
          <w:p w14:paraId="58C967CD" w14:textId="77777777" w:rsidR="00A51C46" w:rsidRPr="00B13B9A" w:rsidRDefault="00A51C46" w:rsidP="00A51C46">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-1833,4</w:t>
            </w:r>
          </w:p>
        </w:tc>
        <w:tc>
          <w:tcPr>
            <w:tcW w:w="1306" w:type="dxa"/>
            <w:tcBorders>
              <w:top w:val="nil"/>
              <w:left w:val="nil"/>
              <w:bottom w:val="single" w:sz="4" w:space="0" w:color="auto"/>
              <w:right w:val="single" w:sz="4" w:space="0" w:color="auto"/>
            </w:tcBorders>
            <w:shd w:val="clear" w:color="auto" w:fill="auto"/>
            <w:noWrap/>
            <w:vAlign w:val="bottom"/>
            <w:hideMark/>
          </w:tcPr>
          <w:p w14:paraId="41A00F72" w14:textId="77777777" w:rsidR="00A51C46" w:rsidRPr="00B13B9A" w:rsidRDefault="00A51C46" w:rsidP="00A51C46">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96,7%</w:t>
            </w:r>
          </w:p>
        </w:tc>
      </w:tr>
    </w:tbl>
    <w:p w14:paraId="47B69A3A" w14:textId="77777777" w:rsidR="00A51C46" w:rsidRPr="00B13B9A" w:rsidRDefault="00A51C46" w:rsidP="00A51C46">
      <w:pPr>
        <w:pStyle w:val="cn"/>
        <w:ind w:right="71"/>
        <w:jc w:val="both"/>
        <w:rPr>
          <w:rFonts w:asciiTheme="majorHAnsi" w:eastAsiaTheme="minorHAnsi" w:hAnsiTheme="majorHAnsi" w:cstheme="majorHAnsi"/>
          <w:i/>
          <w:sz w:val="20"/>
          <w:szCs w:val="20"/>
          <w:lang w:val="ro-MD" w:eastAsia="en-US"/>
        </w:rPr>
      </w:pPr>
      <w:r w:rsidRPr="00B13B9A">
        <w:rPr>
          <w:rFonts w:asciiTheme="majorHAnsi" w:eastAsiaTheme="minorHAnsi" w:hAnsiTheme="majorHAnsi" w:cstheme="majorHAnsi"/>
          <w:b/>
          <w:i/>
          <w:sz w:val="20"/>
          <w:szCs w:val="20"/>
          <w:lang w:val="ro-MD" w:eastAsia="en-US"/>
        </w:rPr>
        <w:t>Sursa:</w:t>
      </w:r>
      <w:r w:rsidRPr="00B13B9A">
        <w:rPr>
          <w:rFonts w:asciiTheme="majorHAnsi" w:eastAsiaTheme="minorHAnsi" w:hAnsiTheme="majorHAnsi" w:cstheme="majorHAnsi"/>
          <w:i/>
          <w:sz w:val="20"/>
          <w:szCs w:val="20"/>
          <w:lang w:val="ro-MD" w:eastAsia="en-US"/>
        </w:rPr>
        <w:t xml:space="preserve"> Elaborat de audit în baza datelor prezentate de entitate.</w:t>
      </w:r>
    </w:p>
    <w:p w14:paraId="4BF2A3F9" w14:textId="77777777" w:rsidR="00A51C46" w:rsidRPr="00A51C46" w:rsidRDefault="00A51C46" w:rsidP="00A51C46">
      <w:pPr>
        <w:spacing w:after="0"/>
        <w:rPr>
          <w:sz w:val="16"/>
          <w:szCs w:val="16"/>
        </w:rPr>
      </w:pPr>
    </w:p>
    <w:p w14:paraId="688DF7DE" w14:textId="6A61FB4D" w:rsidR="00782BD2" w:rsidRPr="00B13B9A" w:rsidRDefault="00782BD2" w:rsidP="00A51C46">
      <w:pPr>
        <w:pStyle w:val="3"/>
        <w:spacing w:before="0" w:line="240" w:lineRule="auto"/>
        <w:jc w:val="right"/>
        <w:rPr>
          <w:rFonts w:cstheme="majorHAnsi"/>
          <w:b/>
          <w:iCs/>
          <w:color w:val="auto"/>
        </w:rPr>
      </w:pPr>
      <w:bookmarkStart w:id="57" w:name="_Toc154562528"/>
      <w:r w:rsidRPr="00B13B9A">
        <w:rPr>
          <w:rFonts w:cstheme="majorHAnsi"/>
          <w:b/>
          <w:iCs/>
          <w:color w:val="auto"/>
        </w:rPr>
        <w:t>Anexa nr. 5</w:t>
      </w:r>
      <w:bookmarkEnd w:id="57"/>
    </w:p>
    <w:p w14:paraId="296AF91C" w14:textId="649B6FB5" w:rsidR="00012402" w:rsidRPr="00B13B9A" w:rsidRDefault="00012402" w:rsidP="00A51C46">
      <w:pPr>
        <w:pStyle w:val="a7"/>
        <w:spacing w:after="0" w:line="240" w:lineRule="auto"/>
        <w:ind w:left="0"/>
        <w:jc w:val="center"/>
        <w:rPr>
          <w:rFonts w:asciiTheme="majorHAnsi" w:hAnsiTheme="majorHAnsi" w:cstheme="majorHAnsi"/>
          <w:b/>
          <w:sz w:val="24"/>
          <w:szCs w:val="24"/>
          <w:lang w:val="ro-MD"/>
        </w:rPr>
      </w:pPr>
      <w:r w:rsidRPr="00B13B9A">
        <w:rPr>
          <w:rFonts w:asciiTheme="majorHAnsi" w:hAnsiTheme="majorHAnsi" w:cstheme="majorHAnsi"/>
          <w:b/>
          <w:sz w:val="24"/>
          <w:szCs w:val="24"/>
          <w:lang w:val="ro-MD"/>
        </w:rPr>
        <w:t>Situa</w:t>
      </w:r>
      <w:r w:rsidR="00B13B9A" w:rsidRPr="00B13B9A">
        <w:rPr>
          <w:rFonts w:asciiTheme="majorHAnsi" w:hAnsiTheme="majorHAnsi" w:cstheme="majorHAnsi"/>
          <w:b/>
          <w:sz w:val="24"/>
          <w:szCs w:val="24"/>
          <w:lang w:val="ro-MD"/>
        </w:rPr>
        <w:t>ț</w:t>
      </w:r>
      <w:r w:rsidRPr="00B13B9A">
        <w:rPr>
          <w:rFonts w:asciiTheme="majorHAnsi" w:hAnsiTheme="majorHAnsi" w:cstheme="majorHAnsi"/>
          <w:b/>
          <w:sz w:val="24"/>
          <w:szCs w:val="24"/>
          <w:lang w:val="ro-MD"/>
        </w:rPr>
        <w:t xml:space="preserve">ia patrimonial-financiară a </w:t>
      </w:r>
      <w:r w:rsidR="005D56E4" w:rsidRPr="00B13B9A">
        <w:rPr>
          <w:rFonts w:asciiTheme="majorHAnsi" w:hAnsiTheme="majorHAnsi" w:cstheme="majorHAnsi"/>
          <w:b/>
          <w:color w:val="000000" w:themeColor="text1"/>
          <w:sz w:val="24"/>
          <w:szCs w:val="24"/>
          <w:lang w:val="ro-MD"/>
        </w:rPr>
        <w:t xml:space="preserve">IMSP IFP </w:t>
      </w:r>
      <w:r w:rsidR="005D56E4" w:rsidRPr="00B13B9A">
        <w:rPr>
          <w:rFonts w:asciiTheme="majorHAnsi" w:hAnsiTheme="majorHAnsi" w:cstheme="majorHAnsi"/>
          <w:b/>
          <w:sz w:val="24"/>
          <w:szCs w:val="24"/>
          <w:lang w:val="ro-MD"/>
        </w:rPr>
        <w:t>„Chiril Draganiuc”</w:t>
      </w:r>
      <w:r w:rsidRPr="00B13B9A">
        <w:rPr>
          <w:rFonts w:asciiTheme="majorHAnsi" w:hAnsiTheme="majorHAnsi" w:cstheme="majorHAnsi"/>
          <w:b/>
          <w:sz w:val="24"/>
          <w:szCs w:val="24"/>
          <w:lang w:val="ro-MD"/>
        </w:rPr>
        <w:t xml:space="preserve"> pe anii 2021-2022</w:t>
      </w:r>
    </w:p>
    <w:p w14:paraId="07E36B83" w14:textId="77777777" w:rsidR="00012402" w:rsidRPr="00B13B9A" w:rsidRDefault="00012402" w:rsidP="00A51C46">
      <w:pPr>
        <w:pStyle w:val="a7"/>
        <w:spacing w:after="0" w:line="240" w:lineRule="auto"/>
        <w:ind w:left="0"/>
        <w:jc w:val="right"/>
        <w:rPr>
          <w:rFonts w:asciiTheme="majorHAnsi" w:hAnsiTheme="majorHAnsi" w:cstheme="majorHAnsi"/>
          <w:sz w:val="24"/>
          <w:szCs w:val="24"/>
          <w:lang w:val="ro-MD"/>
        </w:rPr>
      </w:pPr>
      <w:r w:rsidRPr="00B13B9A">
        <w:rPr>
          <w:rFonts w:asciiTheme="majorHAnsi" w:hAnsiTheme="majorHAnsi" w:cstheme="majorHAnsi"/>
          <w:sz w:val="24"/>
          <w:szCs w:val="24"/>
          <w:lang w:val="ro-MD"/>
        </w:rPr>
        <w:t>(mii lei)</w:t>
      </w:r>
    </w:p>
    <w:tbl>
      <w:tblPr>
        <w:tblStyle w:val="5"/>
        <w:tblW w:w="99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479"/>
        <w:gridCol w:w="1395"/>
        <w:gridCol w:w="1395"/>
        <w:gridCol w:w="1106"/>
        <w:gridCol w:w="1134"/>
      </w:tblGrid>
      <w:tr w:rsidR="004676E1" w:rsidRPr="00B13B9A" w14:paraId="3828B0B6" w14:textId="77777777" w:rsidTr="00A51C46">
        <w:trPr>
          <w:cnfStyle w:val="100000000000" w:firstRow="1" w:lastRow="0" w:firstColumn="0" w:lastColumn="0" w:oddVBand="0" w:evenVBand="0" w:oddHBand="0" w:evenHBand="0" w:firstRowFirstColumn="0" w:firstRowLastColumn="0" w:lastRowFirstColumn="0" w:lastRowLastColumn="0"/>
          <w:trHeight w:val="19"/>
        </w:trPr>
        <w:tc>
          <w:tcPr>
            <w:cnfStyle w:val="001000000100" w:firstRow="0" w:lastRow="0" w:firstColumn="1" w:lastColumn="0" w:oddVBand="0" w:evenVBand="0" w:oddHBand="0" w:evenHBand="0" w:firstRowFirstColumn="1" w:firstRowLastColumn="0" w:lastRowFirstColumn="0" w:lastRowLastColumn="0"/>
            <w:tcW w:w="3397" w:type="dxa"/>
            <w:vMerge w:val="restart"/>
            <w:vAlign w:val="center"/>
            <w:hideMark/>
          </w:tcPr>
          <w:p w14:paraId="3AA026E1" w14:textId="77777777" w:rsidR="004676E1" w:rsidRPr="00B13B9A" w:rsidRDefault="004676E1" w:rsidP="00A51C46">
            <w:pPr>
              <w:jc w:val="center"/>
              <w:rPr>
                <w:rFonts w:eastAsia="Times New Roman" w:cstheme="majorHAnsi"/>
                <w:b/>
                <w:bCs/>
                <w:color w:val="000000"/>
                <w:sz w:val="20"/>
                <w:szCs w:val="20"/>
                <w:lang w:val="ro-MD"/>
              </w:rPr>
            </w:pPr>
            <w:r w:rsidRPr="00B13B9A">
              <w:rPr>
                <w:rFonts w:eastAsia="Times New Roman" w:cstheme="majorHAnsi"/>
                <w:b/>
                <w:bCs/>
                <w:color w:val="000000"/>
                <w:sz w:val="20"/>
                <w:szCs w:val="20"/>
                <w:lang w:val="ro-MD"/>
              </w:rPr>
              <w:t>Denumirea indicatorului</w:t>
            </w:r>
          </w:p>
        </w:tc>
        <w:tc>
          <w:tcPr>
            <w:tcW w:w="1479" w:type="dxa"/>
            <w:vMerge w:val="restart"/>
            <w:vAlign w:val="center"/>
            <w:hideMark/>
          </w:tcPr>
          <w:p w14:paraId="2D00589C" w14:textId="77777777" w:rsidR="004676E1" w:rsidRPr="00B13B9A" w:rsidRDefault="004676E1" w:rsidP="00A51C46">
            <w:pPr>
              <w:jc w:val="center"/>
              <w:cnfStyle w:val="100000000000" w:firstRow="1" w:lastRow="0" w:firstColumn="0" w:lastColumn="0" w:oddVBand="0" w:evenVBand="0" w:oddHBand="0" w:evenHBand="0" w:firstRowFirstColumn="0" w:firstRowLastColumn="0" w:lastRowFirstColumn="0" w:lastRowLastColumn="0"/>
              <w:rPr>
                <w:rFonts w:eastAsia="Times New Roman" w:cstheme="majorHAnsi"/>
                <w:b/>
                <w:bCs/>
                <w:color w:val="000000"/>
                <w:sz w:val="20"/>
                <w:szCs w:val="20"/>
                <w:lang w:val="ro-MD"/>
              </w:rPr>
            </w:pPr>
            <w:r w:rsidRPr="00B13B9A">
              <w:rPr>
                <w:rFonts w:eastAsia="Times New Roman" w:cstheme="majorHAnsi"/>
                <w:b/>
                <w:bCs/>
                <w:color w:val="000000"/>
                <w:sz w:val="20"/>
                <w:szCs w:val="20"/>
                <w:lang w:val="ro-MD"/>
              </w:rPr>
              <w:t>La 01.01.2021</w:t>
            </w:r>
          </w:p>
        </w:tc>
        <w:tc>
          <w:tcPr>
            <w:tcW w:w="1395" w:type="dxa"/>
            <w:vMerge w:val="restart"/>
            <w:vAlign w:val="center"/>
            <w:hideMark/>
          </w:tcPr>
          <w:p w14:paraId="01542E78" w14:textId="77777777" w:rsidR="004676E1" w:rsidRPr="00B13B9A" w:rsidRDefault="004676E1" w:rsidP="00A51C46">
            <w:pPr>
              <w:jc w:val="center"/>
              <w:cnfStyle w:val="100000000000" w:firstRow="1" w:lastRow="0" w:firstColumn="0" w:lastColumn="0" w:oddVBand="0" w:evenVBand="0" w:oddHBand="0" w:evenHBand="0" w:firstRowFirstColumn="0" w:firstRowLastColumn="0" w:lastRowFirstColumn="0" w:lastRowLastColumn="0"/>
              <w:rPr>
                <w:rFonts w:eastAsia="Times New Roman" w:cstheme="majorHAnsi"/>
                <w:b/>
                <w:bCs/>
                <w:color w:val="000000"/>
                <w:sz w:val="20"/>
                <w:szCs w:val="20"/>
                <w:lang w:val="ro-MD"/>
              </w:rPr>
            </w:pPr>
            <w:r w:rsidRPr="00B13B9A">
              <w:rPr>
                <w:rFonts w:eastAsia="Times New Roman" w:cstheme="majorHAnsi"/>
                <w:b/>
                <w:bCs/>
                <w:color w:val="000000"/>
                <w:sz w:val="20"/>
                <w:szCs w:val="20"/>
                <w:lang w:val="ro-MD"/>
              </w:rPr>
              <w:t>la 31.12.2021</w:t>
            </w:r>
          </w:p>
        </w:tc>
        <w:tc>
          <w:tcPr>
            <w:tcW w:w="1395" w:type="dxa"/>
            <w:vMerge w:val="restart"/>
            <w:vAlign w:val="center"/>
            <w:hideMark/>
          </w:tcPr>
          <w:p w14:paraId="15876440" w14:textId="77777777" w:rsidR="004676E1" w:rsidRPr="00B13B9A" w:rsidRDefault="004676E1" w:rsidP="00A51C46">
            <w:pPr>
              <w:jc w:val="center"/>
              <w:cnfStyle w:val="100000000000" w:firstRow="1" w:lastRow="0" w:firstColumn="0" w:lastColumn="0" w:oddVBand="0" w:evenVBand="0" w:oddHBand="0" w:evenHBand="0" w:firstRowFirstColumn="0" w:firstRowLastColumn="0" w:lastRowFirstColumn="0" w:lastRowLastColumn="0"/>
              <w:rPr>
                <w:rFonts w:eastAsia="Times New Roman" w:cstheme="majorHAnsi"/>
                <w:b/>
                <w:bCs/>
                <w:color w:val="000000"/>
                <w:sz w:val="20"/>
                <w:szCs w:val="20"/>
                <w:lang w:val="ro-MD"/>
              </w:rPr>
            </w:pPr>
            <w:r w:rsidRPr="00B13B9A">
              <w:rPr>
                <w:rFonts w:eastAsia="Times New Roman" w:cstheme="majorHAnsi"/>
                <w:b/>
                <w:bCs/>
                <w:color w:val="000000"/>
                <w:sz w:val="20"/>
                <w:szCs w:val="20"/>
                <w:lang w:val="ro-MD"/>
              </w:rPr>
              <w:t>la 31.12.2022</w:t>
            </w:r>
          </w:p>
        </w:tc>
        <w:tc>
          <w:tcPr>
            <w:tcW w:w="2240" w:type="dxa"/>
            <w:gridSpan w:val="2"/>
            <w:vAlign w:val="center"/>
            <w:hideMark/>
          </w:tcPr>
          <w:p w14:paraId="061D96A3" w14:textId="551D8887" w:rsidR="004676E1" w:rsidRPr="00B13B9A" w:rsidRDefault="004676E1" w:rsidP="00A51C46">
            <w:pPr>
              <w:jc w:val="center"/>
              <w:cnfStyle w:val="100000000000" w:firstRow="1" w:lastRow="0" w:firstColumn="0" w:lastColumn="0" w:oddVBand="0" w:evenVBand="0" w:oddHBand="0" w:evenHBand="0" w:firstRowFirstColumn="0" w:firstRowLastColumn="0" w:lastRowFirstColumn="0" w:lastRowLastColumn="0"/>
              <w:rPr>
                <w:rFonts w:eastAsia="Times New Roman" w:cstheme="majorHAnsi"/>
                <w:b/>
                <w:bCs/>
                <w:sz w:val="20"/>
                <w:szCs w:val="20"/>
                <w:lang w:val="ro-MD"/>
              </w:rPr>
            </w:pPr>
            <w:r w:rsidRPr="00B13B9A">
              <w:rPr>
                <w:rFonts w:eastAsia="Times New Roman" w:cstheme="majorHAnsi"/>
                <w:b/>
                <w:bCs/>
                <w:sz w:val="20"/>
                <w:szCs w:val="20"/>
                <w:lang w:val="ro-MD"/>
              </w:rPr>
              <w:t>Devieri</w:t>
            </w:r>
            <w:r w:rsidR="00A51C46">
              <w:rPr>
                <w:rFonts w:eastAsia="Times New Roman" w:cstheme="majorHAnsi"/>
                <w:b/>
                <w:bCs/>
                <w:sz w:val="20"/>
                <w:szCs w:val="20"/>
                <w:lang w:val="ro-MD"/>
              </w:rPr>
              <w:t xml:space="preserve"> </w:t>
            </w:r>
            <w:r w:rsidR="00A51C46" w:rsidRPr="00B13B9A">
              <w:rPr>
                <w:rFonts w:eastAsia="Times New Roman" w:cstheme="majorHAnsi"/>
                <w:b/>
                <w:bCs/>
                <w:sz w:val="20"/>
                <w:szCs w:val="20"/>
                <w:lang w:val="ro-MD"/>
              </w:rPr>
              <w:t>2022/2021</w:t>
            </w:r>
          </w:p>
        </w:tc>
      </w:tr>
      <w:tr w:rsidR="004676E1" w:rsidRPr="00B13B9A" w14:paraId="182AE663" w14:textId="77777777" w:rsidTr="00A51C46">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3397" w:type="dxa"/>
            <w:vMerge/>
            <w:vAlign w:val="center"/>
            <w:hideMark/>
          </w:tcPr>
          <w:p w14:paraId="0C100EE0" w14:textId="77777777" w:rsidR="004676E1" w:rsidRPr="00B13B9A" w:rsidRDefault="004676E1" w:rsidP="00A51C46">
            <w:pPr>
              <w:jc w:val="center"/>
              <w:rPr>
                <w:rFonts w:eastAsia="Times New Roman" w:cstheme="majorHAnsi"/>
                <w:b/>
                <w:bCs/>
                <w:color w:val="000000"/>
                <w:sz w:val="20"/>
                <w:szCs w:val="20"/>
                <w:lang w:val="ro-MD"/>
              </w:rPr>
            </w:pPr>
          </w:p>
        </w:tc>
        <w:tc>
          <w:tcPr>
            <w:tcW w:w="1479" w:type="dxa"/>
            <w:vMerge/>
            <w:vAlign w:val="center"/>
            <w:hideMark/>
          </w:tcPr>
          <w:p w14:paraId="5F174D96" w14:textId="77777777" w:rsidR="004676E1" w:rsidRPr="00B13B9A" w:rsidRDefault="004676E1" w:rsidP="00A51C4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MD"/>
              </w:rPr>
            </w:pPr>
          </w:p>
        </w:tc>
        <w:tc>
          <w:tcPr>
            <w:tcW w:w="1395" w:type="dxa"/>
            <w:vMerge/>
            <w:vAlign w:val="center"/>
            <w:hideMark/>
          </w:tcPr>
          <w:p w14:paraId="1C0865C3" w14:textId="77777777" w:rsidR="004676E1" w:rsidRPr="00B13B9A" w:rsidRDefault="004676E1" w:rsidP="00A51C4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MD"/>
              </w:rPr>
            </w:pPr>
          </w:p>
        </w:tc>
        <w:tc>
          <w:tcPr>
            <w:tcW w:w="1395" w:type="dxa"/>
            <w:vMerge/>
            <w:vAlign w:val="center"/>
            <w:hideMark/>
          </w:tcPr>
          <w:p w14:paraId="09349D65" w14:textId="77777777" w:rsidR="004676E1" w:rsidRPr="00B13B9A" w:rsidRDefault="004676E1" w:rsidP="00A51C4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MD"/>
              </w:rPr>
            </w:pPr>
          </w:p>
        </w:tc>
        <w:tc>
          <w:tcPr>
            <w:tcW w:w="1106" w:type="dxa"/>
            <w:vAlign w:val="center"/>
            <w:hideMark/>
          </w:tcPr>
          <w:p w14:paraId="4286DDF8" w14:textId="2ECA89E2" w:rsidR="004676E1" w:rsidRPr="00B13B9A" w:rsidRDefault="00A51C46" w:rsidP="00A51C4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lang w:val="ro-MD"/>
              </w:rPr>
            </w:pPr>
            <w:r>
              <w:rPr>
                <w:rFonts w:asciiTheme="majorHAnsi" w:eastAsia="Times New Roman" w:hAnsiTheme="majorHAnsi" w:cstheme="majorHAnsi"/>
                <w:b/>
                <w:bCs/>
                <w:sz w:val="20"/>
                <w:szCs w:val="20"/>
                <w:lang w:val="ro-MD"/>
              </w:rPr>
              <w:t>Mii lei</w:t>
            </w:r>
          </w:p>
        </w:tc>
        <w:tc>
          <w:tcPr>
            <w:tcW w:w="1134" w:type="dxa"/>
            <w:vAlign w:val="center"/>
            <w:hideMark/>
          </w:tcPr>
          <w:p w14:paraId="4AFE485D" w14:textId="71AB5013" w:rsidR="004676E1" w:rsidRPr="00B13B9A" w:rsidRDefault="004676E1" w:rsidP="00A51C4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lang w:val="ro-MD"/>
              </w:rPr>
            </w:pPr>
            <w:r w:rsidRPr="00B13B9A">
              <w:rPr>
                <w:rFonts w:asciiTheme="majorHAnsi" w:eastAsia="Times New Roman" w:hAnsiTheme="majorHAnsi" w:cstheme="majorHAnsi"/>
                <w:b/>
                <w:bCs/>
                <w:sz w:val="20"/>
                <w:szCs w:val="20"/>
                <w:lang w:val="ro-MD"/>
              </w:rPr>
              <w:t>%</w:t>
            </w:r>
          </w:p>
        </w:tc>
      </w:tr>
      <w:tr w:rsidR="004676E1" w:rsidRPr="00B13B9A" w14:paraId="0AD70D12" w14:textId="77777777" w:rsidTr="00A51C46">
        <w:trPr>
          <w:trHeight w:val="19"/>
        </w:trPr>
        <w:tc>
          <w:tcPr>
            <w:cnfStyle w:val="001000000000" w:firstRow="0" w:lastRow="0" w:firstColumn="1" w:lastColumn="0" w:oddVBand="0" w:evenVBand="0" w:oddHBand="0" w:evenHBand="0" w:firstRowFirstColumn="0" w:firstRowLastColumn="0" w:lastRowFirstColumn="0" w:lastRowLastColumn="0"/>
            <w:tcW w:w="3397" w:type="dxa"/>
            <w:hideMark/>
          </w:tcPr>
          <w:p w14:paraId="40D52C32" w14:textId="77777777" w:rsidR="004676E1" w:rsidRPr="00B13B9A" w:rsidRDefault="004676E1" w:rsidP="00A51C46">
            <w:pPr>
              <w:jc w:val="left"/>
              <w:rPr>
                <w:rFonts w:eastAsia="Times New Roman" w:cstheme="majorHAnsi"/>
                <w:b/>
                <w:bCs/>
                <w:color w:val="000000"/>
                <w:sz w:val="20"/>
                <w:szCs w:val="20"/>
                <w:lang w:val="ro-MD"/>
              </w:rPr>
            </w:pPr>
            <w:r w:rsidRPr="00B13B9A">
              <w:rPr>
                <w:rFonts w:eastAsia="Times New Roman" w:cstheme="majorHAnsi"/>
                <w:b/>
                <w:bCs/>
                <w:color w:val="000000"/>
                <w:sz w:val="20"/>
                <w:szCs w:val="20"/>
                <w:lang w:val="ro-MD"/>
              </w:rPr>
              <w:t>Active imobilizate, TOTAL:</w:t>
            </w:r>
          </w:p>
        </w:tc>
        <w:tc>
          <w:tcPr>
            <w:tcW w:w="1479" w:type="dxa"/>
            <w:hideMark/>
          </w:tcPr>
          <w:p w14:paraId="4D0D57E6" w14:textId="77777777" w:rsidR="004676E1" w:rsidRPr="00B13B9A" w:rsidRDefault="004676E1" w:rsidP="00A51C4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222005,322</w:t>
            </w:r>
          </w:p>
        </w:tc>
        <w:tc>
          <w:tcPr>
            <w:tcW w:w="1395" w:type="dxa"/>
            <w:hideMark/>
          </w:tcPr>
          <w:p w14:paraId="13F1F550" w14:textId="77777777" w:rsidR="004676E1" w:rsidRPr="00B13B9A" w:rsidRDefault="004676E1" w:rsidP="00A51C4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rPr>
            </w:pPr>
            <w:r w:rsidRPr="00B13B9A">
              <w:rPr>
                <w:rFonts w:asciiTheme="majorHAnsi" w:eastAsia="Times New Roman" w:hAnsiTheme="majorHAnsi" w:cstheme="majorHAnsi"/>
                <w:b/>
                <w:bCs/>
                <w:sz w:val="20"/>
                <w:szCs w:val="20"/>
                <w:lang w:val="ro-MD"/>
              </w:rPr>
              <w:t>217.330,6</w:t>
            </w:r>
          </w:p>
        </w:tc>
        <w:tc>
          <w:tcPr>
            <w:tcW w:w="1395" w:type="dxa"/>
            <w:hideMark/>
          </w:tcPr>
          <w:p w14:paraId="445CC0F9" w14:textId="77777777" w:rsidR="004676E1" w:rsidRPr="00B13B9A" w:rsidRDefault="004676E1" w:rsidP="00A51C4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rPr>
            </w:pPr>
            <w:r w:rsidRPr="00B13B9A">
              <w:rPr>
                <w:rFonts w:asciiTheme="majorHAnsi" w:eastAsia="Times New Roman" w:hAnsiTheme="majorHAnsi" w:cstheme="majorHAnsi"/>
                <w:b/>
                <w:bCs/>
                <w:sz w:val="20"/>
                <w:szCs w:val="20"/>
                <w:lang w:val="ro-MD"/>
              </w:rPr>
              <w:t>216.130,4</w:t>
            </w:r>
          </w:p>
        </w:tc>
        <w:tc>
          <w:tcPr>
            <w:tcW w:w="1106" w:type="dxa"/>
            <w:noWrap/>
            <w:hideMark/>
          </w:tcPr>
          <w:p w14:paraId="3563F22A" w14:textId="11B3BEF5" w:rsidR="004676E1" w:rsidRPr="00B13B9A" w:rsidRDefault="004676E1" w:rsidP="00A51C4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-1.200,1</w:t>
            </w:r>
          </w:p>
        </w:tc>
        <w:tc>
          <w:tcPr>
            <w:tcW w:w="1134" w:type="dxa"/>
            <w:noWrap/>
            <w:hideMark/>
          </w:tcPr>
          <w:p w14:paraId="564E09B3" w14:textId="77777777" w:rsidR="004676E1" w:rsidRPr="00B13B9A" w:rsidRDefault="004676E1" w:rsidP="00A51C4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99,4%</w:t>
            </w:r>
          </w:p>
        </w:tc>
      </w:tr>
      <w:tr w:rsidR="004676E1" w:rsidRPr="00B13B9A" w14:paraId="7E6FB9B3" w14:textId="77777777" w:rsidTr="00A51C46">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3397" w:type="dxa"/>
            <w:hideMark/>
          </w:tcPr>
          <w:p w14:paraId="771D145F" w14:textId="77777777" w:rsidR="004676E1" w:rsidRPr="00B13B9A" w:rsidRDefault="004676E1" w:rsidP="00A51C46">
            <w:pPr>
              <w:jc w:val="left"/>
              <w:rPr>
                <w:rFonts w:eastAsia="Times New Roman" w:cstheme="majorHAnsi"/>
                <w:b/>
                <w:bCs/>
                <w:color w:val="000000"/>
                <w:sz w:val="20"/>
                <w:szCs w:val="20"/>
                <w:lang w:val="ro-MD"/>
              </w:rPr>
            </w:pPr>
            <w:r w:rsidRPr="00B13B9A">
              <w:rPr>
                <w:rFonts w:eastAsia="Times New Roman" w:cstheme="majorHAnsi"/>
                <w:b/>
                <w:bCs/>
                <w:color w:val="000000"/>
                <w:sz w:val="20"/>
                <w:szCs w:val="20"/>
                <w:lang w:val="ro-MD"/>
              </w:rPr>
              <w:t>Imobilizări necorporale</w:t>
            </w:r>
          </w:p>
        </w:tc>
        <w:tc>
          <w:tcPr>
            <w:tcW w:w="1479" w:type="dxa"/>
            <w:hideMark/>
          </w:tcPr>
          <w:p w14:paraId="31A3807E" w14:textId="77777777" w:rsidR="004676E1" w:rsidRPr="00B13B9A" w:rsidRDefault="004676E1" w:rsidP="00A51C46">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439,024</w:t>
            </w:r>
          </w:p>
        </w:tc>
        <w:tc>
          <w:tcPr>
            <w:tcW w:w="1395" w:type="dxa"/>
            <w:hideMark/>
          </w:tcPr>
          <w:p w14:paraId="68851E8A" w14:textId="77777777" w:rsidR="004676E1" w:rsidRPr="00B13B9A" w:rsidRDefault="004676E1" w:rsidP="00A51C46">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lang w:val="ro-MD"/>
              </w:rPr>
            </w:pPr>
            <w:r w:rsidRPr="00B13B9A">
              <w:rPr>
                <w:rFonts w:asciiTheme="majorHAnsi" w:eastAsia="Times New Roman" w:hAnsiTheme="majorHAnsi" w:cstheme="majorHAnsi"/>
                <w:b/>
                <w:bCs/>
                <w:sz w:val="20"/>
                <w:szCs w:val="20"/>
                <w:lang w:val="ro-MD"/>
              </w:rPr>
              <w:t>456,2</w:t>
            </w:r>
          </w:p>
        </w:tc>
        <w:tc>
          <w:tcPr>
            <w:tcW w:w="1395" w:type="dxa"/>
            <w:hideMark/>
          </w:tcPr>
          <w:p w14:paraId="55F179E2" w14:textId="77777777" w:rsidR="004676E1" w:rsidRPr="00B13B9A" w:rsidRDefault="004676E1" w:rsidP="00A51C46">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lang w:val="ro-MD"/>
              </w:rPr>
            </w:pPr>
            <w:r w:rsidRPr="00B13B9A">
              <w:rPr>
                <w:rFonts w:asciiTheme="majorHAnsi" w:eastAsia="Times New Roman" w:hAnsiTheme="majorHAnsi" w:cstheme="majorHAnsi"/>
                <w:b/>
                <w:bCs/>
                <w:sz w:val="20"/>
                <w:szCs w:val="20"/>
                <w:lang w:val="ro-MD"/>
              </w:rPr>
              <w:t>578,4</w:t>
            </w:r>
          </w:p>
        </w:tc>
        <w:tc>
          <w:tcPr>
            <w:tcW w:w="1106" w:type="dxa"/>
            <w:noWrap/>
            <w:hideMark/>
          </w:tcPr>
          <w:p w14:paraId="2BDDC691" w14:textId="2F79963C" w:rsidR="004676E1" w:rsidRPr="00B13B9A" w:rsidRDefault="004676E1" w:rsidP="00A51C46">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122,3</w:t>
            </w:r>
          </w:p>
        </w:tc>
        <w:tc>
          <w:tcPr>
            <w:tcW w:w="1134" w:type="dxa"/>
            <w:noWrap/>
            <w:hideMark/>
          </w:tcPr>
          <w:p w14:paraId="76177EFD" w14:textId="77777777" w:rsidR="004676E1" w:rsidRPr="00B13B9A" w:rsidRDefault="004676E1" w:rsidP="00A51C46">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126,8%</w:t>
            </w:r>
          </w:p>
        </w:tc>
      </w:tr>
      <w:tr w:rsidR="004676E1" w:rsidRPr="00B13B9A" w14:paraId="2F440C01" w14:textId="77777777" w:rsidTr="00A51C46">
        <w:trPr>
          <w:trHeight w:val="19"/>
        </w:trPr>
        <w:tc>
          <w:tcPr>
            <w:cnfStyle w:val="001000000000" w:firstRow="0" w:lastRow="0" w:firstColumn="1" w:lastColumn="0" w:oddVBand="0" w:evenVBand="0" w:oddHBand="0" w:evenHBand="0" w:firstRowFirstColumn="0" w:firstRowLastColumn="0" w:lastRowFirstColumn="0" w:lastRowLastColumn="0"/>
            <w:tcW w:w="3397" w:type="dxa"/>
            <w:hideMark/>
          </w:tcPr>
          <w:p w14:paraId="1F3409BB" w14:textId="77777777" w:rsidR="004676E1" w:rsidRPr="00B13B9A" w:rsidRDefault="004676E1" w:rsidP="00A51C46">
            <w:pPr>
              <w:jc w:val="left"/>
              <w:rPr>
                <w:rFonts w:eastAsia="Times New Roman" w:cstheme="majorHAnsi"/>
                <w:b/>
                <w:bCs/>
                <w:color w:val="000000"/>
                <w:sz w:val="20"/>
                <w:szCs w:val="20"/>
                <w:lang w:val="ro-MD"/>
              </w:rPr>
            </w:pPr>
            <w:r w:rsidRPr="00B13B9A">
              <w:rPr>
                <w:rFonts w:eastAsia="Times New Roman" w:cstheme="majorHAnsi"/>
                <w:b/>
                <w:bCs/>
                <w:color w:val="000000"/>
                <w:sz w:val="20"/>
                <w:szCs w:val="20"/>
                <w:lang w:val="ro-MD"/>
              </w:rPr>
              <w:t>Imobilizări corporale</w:t>
            </w:r>
          </w:p>
        </w:tc>
        <w:tc>
          <w:tcPr>
            <w:tcW w:w="1479" w:type="dxa"/>
            <w:hideMark/>
          </w:tcPr>
          <w:p w14:paraId="2A660E98" w14:textId="77777777" w:rsidR="004676E1" w:rsidRPr="00B13B9A" w:rsidRDefault="004676E1" w:rsidP="00A51C4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221566,298</w:t>
            </w:r>
          </w:p>
        </w:tc>
        <w:tc>
          <w:tcPr>
            <w:tcW w:w="1395" w:type="dxa"/>
            <w:hideMark/>
          </w:tcPr>
          <w:p w14:paraId="284AB7E2" w14:textId="77777777" w:rsidR="004676E1" w:rsidRPr="00B13B9A" w:rsidRDefault="004676E1" w:rsidP="00A51C4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rPr>
            </w:pPr>
            <w:r w:rsidRPr="00B13B9A">
              <w:rPr>
                <w:rFonts w:asciiTheme="majorHAnsi" w:eastAsia="Times New Roman" w:hAnsiTheme="majorHAnsi" w:cstheme="majorHAnsi"/>
                <w:b/>
                <w:bCs/>
                <w:sz w:val="20"/>
                <w:szCs w:val="20"/>
                <w:lang w:val="ro-MD"/>
              </w:rPr>
              <w:t>216.874,4</w:t>
            </w:r>
          </w:p>
        </w:tc>
        <w:tc>
          <w:tcPr>
            <w:tcW w:w="1395" w:type="dxa"/>
            <w:hideMark/>
          </w:tcPr>
          <w:p w14:paraId="557D2AB3" w14:textId="77777777" w:rsidR="004676E1" w:rsidRPr="00B13B9A" w:rsidRDefault="004676E1" w:rsidP="00A51C4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rPr>
            </w:pPr>
            <w:r w:rsidRPr="00B13B9A">
              <w:rPr>
                <w:rFonts w:asciiTheme="majorHAnsi" w:eastAsia="Times New Roman" w:hAnsiTheme="majorHAnsi" w:cstheme="majorHAnsi"/>
                <w:b/>
                <w:bCs/>
                <w:sz w:val="20"/>
                <w:szCs w:val="20"/>
                <w:lang w:val="ro-MD"/>
              </w:rPr>
              <w:t>215.552,0</w:t>
            </w:r>
          </w:p>
        </w:tc>
        <w:tc>
          <w:tcPr>
            <w:tcW w:w="1106" w:type="dxa"/>
            <w:noWrap/>
            <w:hideMark/>
          </w:tcPr>
          <w:p w14:paraId="3DDBE773" w14:textId="201CCEF7" w:rsidR="004676E1" w:rsidRPr="00B13B9A" w:rsidRDefault="004676E1" w:rsidP="00A51C4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-1.322,4</w:t>
            </w:r>
          </w:p>
        </w:tc>
        <w:tc>
          <w:tcPr>
            <w:tcW w:w="1134" w:type="dxa"/>
            <w:noWrap/>
            <w:hideMark/>
          </w:tcPr>
          <w:p w14:paraId="384AF920" w14:textId="77777777" w:rsidR="004676E1" w:rsidRPr="00B13B9A" w:rsidRDefault="004676E1" w:rsidP="00A51C4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99,4%</w:t>
            </w:r>
          </w:p>
        </w:tc>
      </w:tr>
      <w:tr w:rsidR="004676E1" w:rsidRPr="00B13B9A" w14:paraId="725FB402" w14:textId="77777777" w:rsidTr="00A51C46">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3397" w:type="dxa"/>
            <w:hideMark/>
          </w:tcPr>
          <w:p w14:paraId="608D51DC" w14:textId="77777777" w:rsidR="004676E1" w:rsidRPr="00B13B9A" w:rsidRDefault="004676E1" w:rsidP="00A51C46">
            <w:pPr>
              <w:jc w:val="left"/>
              <w:rPr>
                <w:rFonts w:eastAsia="Times New Roman" w:cstheme="majorHAnsi"/>
                <w:b/>
                <w:bCs/>
                <w:color w:val="000000"/>
                <w:sz w:val="20"/>
                <w:szCs w:val="20"/>
                <w:lang w:val="ro-MD"/>
              </w:rPr>
            </w:pPr>
            <w:r w:rsidRPr="00B13B9A">
              <w:rPr>
                <w:rFonts w:eastAsia="Times New Roman" w:cstheme="majorHAnsi"/>
                <w:b/>
                <w:bCs/>
                <w:color w:val="000000"/>
                <w:sz w:val="20"/>
                <w:szCs w:val="20"/>
                <w:lang w:val="ro-MD"/>
              </w:rPr>
              <w:t>Active circulante, TOTAL:</w:t>
            </w:r>
          </w:p>
        </w:tc>
        <w:tc>
          <w:tcPr>
            <w:tcW w:w="1479" w:type="dxa"/>
            <w:hideMark/>
          </w:tcPr>
          <w:p w14:paraId="288A5A69" w14:textId="77777777" w:rsidR="004676E1" w:rsidRPr="00B13B9A" w:rsidRDefault="004676E1" w:rsidP="00A51C46">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75510,298</w:t>
            </w:r>
          </w:p>
        </w:tc>
        <w:tc>
          <w:tcPr>
            <w:tcW w:w="1395" w:type="dxa"/>
            <w:hideMark/>
          </w:tcPr>
          <w:p w14:paraId="5EBB40CA" w14:textId="77777777" w:rsidR="004676E1" w:rsidRPr="00B13B9A" w:rsidRDefault="004676E1" w:rsidP="00A51C46">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lang w:val="ro-MD"/>
              </w:rPr>
            </w:pPr>
            <w:r w:rsidRPr="00B13B9A">
              <w:rPr>
                <w:rFonts w:asciiTheme="majorHAnsi" w:eastAsia="Times New Roman" w:hAnsiTheme="majorHAnsi" w:cstheme="majorHAnsi"/>
                <w:b/>
                <w:bCs/>
                <w:sz w:val="20"/>
                <w:szCs w:val="20"/>
                <w:lang w:val="ro-MD"/>
              </w:rPr>
              <w:t>67.358,8</w:t>
            </w:r>
          </w:p>
        </w:tc>
        <w:tc>
          <w:tcPr>
            <w:tcW w:w="1395" w:type="dxa"/>
            <w:hideMark/>
          </w:tcPr>
          <w:p w14:paraId="50B16CA2" w14:textId="77777777" w:rsidR="004676E1" w:rsidRPr="00B13B9A" w:rsidRDefault="004676E1" w:rsidP="00A51C46">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lang w:val="ro-MD"/>
              </w:rPr>
            </w:pPr>
            <w:r w:rsidRPr="00B13B9A">
              <w:rPr>
                <w:rFonts w:asciiTheme="majorHAnsi" w:eastAsia="Times New Roman" w:hAnsiTheme="majorHAnsi" w:cstheme="majorHAnsi"/>
                <w:b/>
                <w:bCs/>
                <w:sz w:val="20"/>
                <w:szCs w:val="20"/>
                <w:lang w:val="ro-MD"/>
              </w:rPr>
              <w:t>57.001,5</w:t>
            </w:r>
          </w:p>
        </w:tc>
        <w:tc>
          <w:tcPr>
            <w:tcW w:w="1106" w:type="dxa"/>
            <w:noWrap/>
            <w:hideMark/>
          </w:tcPr>
          <w:p w14:paraId="41A1683B" w14:textId="0A8635FB" w:rsidR="004676E1" w:rsidRPr="00B13B9A" w:rsidRDefault="004676E1" w:rsidP="00A51C46">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-10.357,3</w:t>
            </w:r>
          </w:p>
        </w:tc>
        <w:tc>
          <w:tcPr>
            <w:tcW w:w="1134" w:type="dxa"/>
            <w:noWrap/>
            <w:hideMark/>
          </w:tcPr>
          <w:p w14:paraId="6828700E" w14:textId="77777777" w:rsidR="004676E1" w:rsidRPr="00B13B9A" w:rsidRDefault="004676E1" w:rsidP="00A51C46">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84,6%</w:t>
            </w:r>
          </w:p>
        </w:tc>
      </w:tr>
      <w:tr w:rsidR="004676E1" w:rsidRPr="00B13B9A" w14:paraId="15523621" w14:textId="77777777" w:rsidTr="00A51C46">
        <w:trPr>
          <w:trHeight w:val="19"/>
        </w:trPr>
        <w:tc>
          <w:tcPr>
            <w:cnfStyle w:val="001000000000" w:firstRow="0" w:lastRow="0" w:firstColumn="1" w:lastColumn="0" w:oddVBand="0" w:evenVBand="0" w:oddHBand="0" w:evenHBand="0" w:firstRowFirstColumn="0" w:firstRowLastColumn="0" w:lastRowFirstColumn="0" w:lastRowLastColumn="0"/>
            <w:tcW w:w="3397" w:type="dxa"/>
            <w:hideMark/>
          </w:tcPr>
          <w:p w14:paraId="5C899248" w14:textId="77777777" w:rsidR="004676E1" w:rsidRPr="00B13B9A" w:rsidRDefault="004676E1" w:rsidP="00A51C46">
            <w:pPr>
              <w:jc w:val="left"/>
              <w:rPr>
                <w:rFonts w:eastAsia="Times New Roman" w:cstheme="majorHAnsi"/>
                <w:b/>
                <w:bCs/>
                <w:color w:val="000000"/>
                <w:sz w:val="20"/>
                <w:szCs w:val="20"/>
                <w:lang w:val="ro-MD"/>
              </w:rPr>
            </w:pPr>
            <w:r w:rsidRPr="00B13B9A">
              <w:rPr>
                <w:rFonts w:eastAsia="Times New Roman" w:cstheme="majorHAnsi"/>
                <w:b/>
                <w:bCs/>
                <w:color w:val="000000"/>
                <w:sz w:val="20"/>
                <w:szCs w:val="20"/>
                <w:lang w:val="ro-MD"/>
              </w:rPr>
              <w:t>Stocuri</w:t>
            </w:r>
          </w:p>
        </w:tc>
        <w:tc>
          <w:tcPr>
            <w:tcW w:w="1479" w:type="dxa"/>
            <w:hideMark/>
          </w:tcPr>
          <w:p w14:paraId="24BDC12E" w14:textId="77777777" w:rsidR="004676E1" w:rsidRPr="00B13B9A" w:rsidRDefault="004676E1" w:rsidP="00A51C4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65958,437</w:t>
            </w:r>
          </w:p>
        </w:tc>
        <w:tc>
          <w:tcPr>
            <w:tcW w:w="1395" w:type="dxa"/>
            <w:hideMark/>
          </w:tcPr>
          <w:p w14:paraId="1EA8C034" w14:textId="77777777" w:rsidR="004676E1" w:rsidRPr="00B13B9A" w:rsidRDefault="004676E1" w:rsidP="00A51C4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rPr>
            </w:pPr>
            <w:r w:rsidRPr="00B13B9A">
              <w:rPr>
                <w:rFonts w:asciiTheme="majorHAnsi" w:eastAsia="Times New Roman" w:hAnsiTheme="majorHAnsi" w:cstheme="majorHAnsi"/>
                <w:b/>
                <w:bCs/>
                <w:sz w:val="20"/>
                <w:szCs w:val="20"/>
                <w:lang w:val="ro-MD"/>
              </w:rPr>
              <w:t>58.366,5</w:t>
            </w:r>
          </w:p>
        </w:tc>
        <w:tc>
          <w:tcPr>
            <w:tcW w:w="1395" w:type="dxa"/>
            <w:hideMark/>
          </w:tcPr>
          <w:p w14:paraId="4AE25119" w14:textId="77777777" w:rsidR="004676E1" w:rsidRPr="00B13B9A" w:rsidRDefault="004676E1" w:rsidP="00A51C4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rPr>
            </w:pPr>
            <w:r w:rsidRPr="00B13B9A">
              <w:rPr>
                <w:rFonts w:asciiTheme="majorHAnsi" w:eastAsia="Times New Roman" w:hAnsiTheme="majorHAnsi" w:cstheme="majorHAnsi"/>
                <w:b/>
                <w:bCs/>
                <w:sz w:val="20"/>
                <w:szCs w:val="20"/>
                <w:lang w:val="ro-MD"/>
              </w:rPr>
              <w:t>45.704,3</w:t>
            </w:r>
          </w:p>
        </w:tc>
        <w:tc>
          <w:tcPr>
            <w:tcW w:w="1106" w:type="dxa"/>
            <w:noWrap/>
            <w:hideMark/>
          </w:tcPr>
          <w:p w14:paraId="674E0D7D" w14:textId="5812CEF6" w:rsidR="004676E1" w:rsidRPr="00B13B9A" w:rsidRDefault="004676E1" w:rsidP="00A51C4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-12.662,2</w:t>
            </w:r>
          </w:p>
        </w:tc>
        <w:tc>
          <w:tcPr>
            <w:tcW w:w="1134" w:type="dxa"/>
            <w:noWrap/>
            <w:hideMark/>
          </w:tcPr>
          <w:p w14:paraId="38685358" w14:textId="77777777" w:rsidR="004676E1" w:rsidRPr="00B13B9A" w:rsidRDefault="004676E1" w:rsidP="00A51C4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78,3%</w:t>
            </w:r>
          </w:p>
        </w:tc>
      </w:tr>
      <w:tr w:rsidR="004676E1" w:rsidRPr="00B13B9A" w14:paraId="569704ED" w14:textId="77777777" w:rsidTr="00A51C46">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3397" w:type="dxa"/>
            <w:hideMark/>
          </w:tcPr>
          <w:p w14:paraId="0DF35DB1" w14:textId="7D33B47C" w:rsidR="004676E1" w:rsidRPr="00B13B9A" w:rsidRDefault="004676E1" w:rsidP="00A51C46">
            <w:pPr>
              <w:jc w:val="left"/>
              <w:rPr>
                <w:rFonts w:eastAsia="Times New Roman" w:cstheme="majorHAnsi"/>
                <w:b/>
                <w:bCs/>
                <w:color w:val="000000"/>
                <w:sz w:val="20"/>
                <w:szCs w:val="20"/>
                <w:lang w:val="ro-MD"/>
              </w:rPr>
            </w:pPr>
            <w:r w:rsidRPr="00B13B9A">
              <w:rPr>
                <w:rFonts w:eastAsia="Times New Roman" w:cstheme="majorHAnsi"/>
                <w:b/>
                <w:bCs/>
                <w:color w:val="000000"/>
                <w:sz w:val="20"/>
                <w:szCs w:val="20"/>
                <w:lang w:val="ro-MD"/>
              </w:rPr>
              <w:t>Crean</w:t>
            </w:r>
            <w:r w:rsidR="00B13B9A" w:rsidRPr="00B13B9A">
              <w:rPr>
                <w:rFonts w:eastAsia="Times New Roman" w:cstheme="majorHAnsi"/>
                <w:b/>
                <w:bCs/>
                <w:color w:val="000000"/>
                <w:sz w:val="20"/>
                <w:szCs w:val="20"/>
                <w:lang w:val="ro-MD"/>
              </w:rPr>
              <w:t>ț</w:t>
            </w:r>
            <w:r w:rsidRPr="00B13B9A">
              <w:rPr>
                <w:rFonts w:eastAsia="Times New Roman" w:cstheme="majorHAnsi"/>
                <w:b/>
                <w:bCs/>
                <w:color w:val="000000"/>
                <w:sz w:val="20"/>
                <w:szCs w:val="20"/>
                <w:lang w:val="ro-MD"/>
              </w:rPr>
              <w:t>e curente si alte active circulante</w:t>
            </w:r>
          </w:p>
        </w:tc>
        <w:tc>
          <w:tcPr>
            <w:tcW w:w="1479" w:type="dxa"/>
            <w:hideMark/>
          </w:tcPr>
          <w:p w14:paraId="4C5E10A3" w14:textId="77777777" w:rsidR="004676E1" w:rsidRPr="00B13B9A" w:rsidRDefault="004676E1" w:rsidP="00A51C46">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2821,357</w:t>
            </w:r>
          </w:p>
        </w:tc>
        <w:tc>
          <w:tcPr>
            <w:tcW w:w="1395" w:type="dxa"/>
            <w:hideMark/>
          </w:tcPr>
          <w:p w14:paraId="4FB1260A" w14:textId="77777777" w:rsidR="004676E1" w:rsidRPr="00B13B9A" w:rsidRDefault="004676E1" w:rsidP="00A51C46">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lang w:val="ro-MD"/>
              </w:rPr>
            </w:pPr>
            <w:r w:rsidRPr="00B13B9A">
              <w:rPr>
                <w:rFonts w:asciiTheme="majorHAnsi" w:eastAsia="Times New Roman" w:hAnsiTheme="majorHAnsi" w:cstheme="majorHAnsi"/>
                <w:b/>
                <w:bCs/>
                <w:sz w:val="20"/>
                <w:szCs w:val="20"/>
                <w:lang w:val="ro-MD"/>
              </w:rPr>
              <w:t>3.397,4</w:t>
            </w:r>
          </w:p>
        </w:tc>
        <w:tc>
          <w:tcPr>
            <w:tcW w:w="1395" w:type="dxa"/>
            <w:hideMark/>
          </w:tcPr>
          <w:p w14:paraId="5A0D2BE4" w14:textId="77777777" w:rsidR="004676E1" w:rsidRPr="00B13B9A" w:rsidRDefault="004676E1" w:rsidP="00A51C46">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lang w:val="ro-MD"/>
              </w:rPr>
            </w:pPr>
            <w:r w:rsidRPr="00B13B9A">
              <w:rPr>
                <w:rFonts w:asciiTheme="majorHAnsi" w:eastAsia="Times New Roman" w:hAnsiTheme="majorHAnsi" w:cstheme="majorHAnsi"/>
                <w:b/>
                <w:bCs/>
                <w:sz w:val="20"/>
                <w:szCs w:val="20"/>
                <w:lang w:val="ro-MD"/>
              </w:rPr>
              <w:t>3.202,7</w:t>
            </w:r>
          </w:p>
        </w:tc>
        <w:tc>
          <w:tcPr>
            <w:tcW w:w="1106" w:type="dxa"/>
            <w:noWrap/>
            <w:hideMark/>
          </w:tcPr>
          <w:p w14:paraId="4659B700" w14:textId="1A83A0C5" w:rsidR="004676E1" w:rsidRPr="00B13B9A" w:rsidRDefault="004676E1" w:rsidP="00A51C46">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-194,7</w:t>
            </w:r>
          </w:p>
        </w:tc>
        <w:tc>
          <w:tcPr>
            <w:tcW w:w="1134" w:type="dxa"/>
            <w:noWrap/>
            <w:hideMark/>
          </w:tcPr>
          <w:p w14:paraId="7ACE476C" w14:textId="77777777" w:rsidR="004676E1" w:rsidRPr="00B13B9A" w:rsidRDefault="004676E1" w:rsidP="00A51C46">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94,3%</w:t>
            </w:r>
          </w:p>
        </w:tc>
      </w:tr>
      <w:tr w:rsidR="004676E1" w:rsidRPr="00B13B9A" w14:paraId="488448B8" w14:textId="77777777" w:rsidTr="00A51C46">
        <w:trPr>
          <w:trHeight w:val="19"/>
        </w:trPr>
        <w:tc>
          <w:tcPr>
            <w:cnfStyle w:val="001000000000" w:firstRow="0" w:lastRow="0" w:firstColumn="1" w:lastColumn="0" w:oddVBand="0" w:evenVBand="0" w:oddHBand="0" w:evenHBand="0" w:firstRowFirstColumn="0" w:firstRowLastColumn="0" w:lastRowFirstColumn="0" w:lastRowLastColumn="0"/>
            <w:tcW w:w="3397" w:type="dxa"/>
            <w:hideMark/>
          </w:tcPr>
          <w:p w14:paraId="7AA4DA53" w14:textId="043C032B" w:rsidR="004676E1" w:rsidRPr="00B13B9A" w:rsidRDefault="004676E1" w:rsidP="00A51C46">
            <w:pPr>
              <w:jc w:val="left"/>
              <w:rPr>
                <w:rFonts w:eastAsia="Times New Roman" w:cstheme="majorHAnsi"/>
                <w:b/>
                <w:bCs/>
                <w:color w:val="000000"/>
                <w:sz w:val="20"/>
                <w:szCs w:val="20"/>
                <w:lang w:val="ro-MD"/>
              </w:rPr>
            </w:pPr>
            <w:r w:rsidRPr="00B13B9A">
              <w:rPr>
                <w:rFonts w:eastAsia="Times New Roman" w:cstheme="majorHAnsi"/>
                <w:b/>
                <w:bCs/>
                <w:color w:val="000000"/>
                <w:sz w:val="20"/>
                <w:szCs w:val="20"/>
                <w:lang w:val="ro-MD"/>
              </w:rPr>
              <w:t xml:space="preserve">Numerar </w:t>
            </w:r>
            <w:r w:rsidR="00B13B9A" w:rsidRPr="00B13B9A">
              <w:rPr>
                <w:rFonts w:eastAsia="Times New Roman" w:cstheme="majorHAnsi"/>
                <w:b/>
                <w:bCs/>
                <w:color w:val="000000"/>
                <w:sz w:val="20"/>
                <w:szCs w:val="20"/>
                <w:lang w:val="ro-MD"/>
              </w:rPr>
              <w:t>ș</w:t>
            </w:r>
            <w:r w:rsidRPr="00B13B9A">
              <w:rPr>
                <w:rFonts w:eastAsia="Times New Roman" w:cstheme="majorHAnsi"/>
                <w:b/>
                <w:bCs/>
                <w:color w:val="000000"/>
                <w:sz w:val="20"/>
                <w:szCs w:val="20"/>
                <w:lang w:val="ro-MD"/>
              </w:rPr>
              <w:t>i documente băne</w:t>
            </w:r>
            <w:r w:rsidR="00B13B9A" w:rsidRPr="00B13B9A">
              <w:rPr>
                <w:rFonts w:eastAsia="Times New Roman" w:cstheme="majorHAnsi"/>
                <w:b/>
                <w:bCs/>
                <w:color w:val="000000"/>
                <w:sz w:val="20"/>
                <w:szCs w:val="20"/>
                <w:lang w:val="ro-MD"/>
              </w:rPr>
              <w:t>ș</w:t>
            </w:r>
            <w:r w:rsidRPr="00B13B9A">
              <w:rPr>
                <w:rFonts w:eastAsia="Times New Roman" w:cstheme="majorHAnsi"/>
                <w:b/>
                <w:bCs/>
                <w:color w:val="000000"/>
                <w:sz w:val="20"/>
                <w:szCs w:val="20"/>
                <w:lang w:val="ro-MD"/>
              </w:rPr>
              <w:t>ti</w:t>
            </w:r>
          </w:p>
        </w:tc>
        <w:tc>
          <w:tcPr>
            <w:tcW w:w="1479" w:type="dxa"/>
            <w:hideMark/>
          </w:tcPr>
          <w:p w14:paraId="2158A761" w14:textId="77777777" w:rsidR="004676E1" w:rsidRPr="00B13B9A" w:rsidRDefault="004676E1" w:rsidP="00A51C4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6730,504</w:t>
            </w:r>
          </w:p>
        </w:tc>
        <w:tc>
          <w:tcPr>
            <w:tcW w:w="1395" w:type="dxa"/>
            <w:hideMark/>
          </w:tcPr>
          <w:p w14:paraId="6119E637" w14:textId="77777777" w:rsidR="004676E1" w:rsidRPr="00B13B9A" w:rsidRDefault="004676E1" w:rsidP="00A51C4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rPr>
            </w:pPr>
            <w:r w:rsidRPr="00B13B9A">
              <w:rPr>
                <w:rFonts w:asciiTheme="majorHAnsi" w:eastAsia="Times New Roman" w:hAnsiTheme="majorHAnsi" w:cstheme="majorHAnsi"/>
                <w:b/>
                <w:bCs/>
                <w:sz w:val="20"/>
                <w:szCs w:val="20"/>
                <w:lang w:val="ro-MD"/>
              </w:rPr>
              <w:t>5.594,8</w:t>
            </w:r>
          </w:p>
        </w:tc>
        <w:tc>
          <w:tcPr>
            <w:tcW w:w="1395" w:type="dxa"/>
            <w:hideMark/>
          </w:tcPr>
          <w:p w14:paraId="39A1ABBD" w14:textId="77777777" w:rsidR="004676E1" w:rsidRPr="00B13B9A" w:rsidRDefault="004676E1" w:rsidP="00A51C4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rPr>
            </w:pPr>
            <w:r w:rsidRPr="00B13B9A">
              <w:rPr>
                <w:rFonts w:asciiTheme="majorHAnsi" w:eastAsia="Times New Roman" w:hAnsiTheme="majorHAnsi" w:cstheme="majorHAnsi"/>
                <w:b/>
                <w:bCs/>
                <w:sz w:val="20"/>
                <w:szCs w:val="20"/>
                <w:lang w:val="ro-MD"/>
              </w:rPr>
              <w:t>8.094,5</w:t>
            </w:r>
          </w:p>
        </w:tc>
        <w:tc>
          <w:tcPr>
            <w:tcW w:w="1106" w:type="dxa"/>
            <w:noWrap/>
            <w:hideMark/>
          </w:tcPr>
          <w:p w14:paraId="0A4650BF" w14:textId="1ECC3038" w:rsidR="004676E1" w:rsidRPr="00B13B9A" w:rsidRDefault="004676E1" w:rsidP="00A51C4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2.499,7</w:t>
            </w:r>
          </w:p>
        </w:tc>
        <w:tc>
          <w:tcPr>
            <w:tcW w:w="1134" w:type="dxa"/>
            <w:noWrap/>
            <w:hideMark/>
          </w:tcPr>
          <w:p w14:paraId="4694761E" w14:textId="77777777" w:rsidR="004676E1" w:rsidRPr="00B13B9A" w:rsidRDefault="004676E1" w:rsidP="00A51C4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144,7%</w:t>
            </w:r>
          </w:p>
        </w:tc>
      </w:tr>
      <w:tr w:rsidR="004676E1" w:rsidRPr="00B13B9A" w14:paraId="1BDF1B75" w14:textId="77777777" w:rsidTr="00A51C46">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3397" w:type="dxa"/>
            <w:hideMark/>
          </w:tcPr>
          <w:p w14:paraId="15E6A34C" w14:textId="77777777" w:rsidR="004676E1" w:rsidRPr="00B13B9A" w:rsidRDefault="004676E1" w:rsidP="00A51C46">
            <w:pPr>
              <w:jc w:val="left"/>
              <w:rPr>
                <w:rFonts w:eastAsia="Times New Roman" w:cstheme="majorHAnsi"/>
                <w:b/>
                <w:bCs/>
                <w:color w:val="000000"/>
                <w:sz w:val="20"/>
                <w:szCs w:val="20"/>
                <w:lang w:val="ro-MD"/>
              </w:rPr>
            </w:pPr>
            <w:r w:rsidRPr="00B13B9A">
              <w:rPr>
                <w:rFonts w:eastAsia="Times New Roman" w:cstheme="majorHAnsi"/>
                <w:b/>
                <w:bCs/>
                <w:color w:val="000000"/>
                <w:sz w:val="20"/>
                <w:szCs w:val="20"/>
                <w:lang w:val="ro-MD"/>
              </w:rPr>
              <w:t>Total ACTIV:</w:t>
            </w:r>
          </w:p>
        </w:tc>
        <w:tc>
          <w:tcPr>
            <w:tcW w:w="1479" w:type="dxa"/>
            <w:hideMark/>
          </w:tcPr>
          <w:p w14:paraId="4C135607" w14:textId="77777777" w:rsidR="004676E1" w:rsidRPr="00B13B9A" w:rsidRDefault="004676E1" w:rsidP="00A51C46">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297515,62</w:t>
            </w:r>
          </w:p>
        </w:tc>
        <w:tc>
          <w:tcPr>
            <w:tcW w:w="1395" w:type="dxa"/>
            <w:hideMark/>
          </w:tcPr>
          <w:p w14:paraId="1CD825F5" w14:textId="77777777" w:rsidR="004676E1" w:rsidRPr="00B13B9A" w:rsidRDefault="004676E1" w:rsidP="00A51C46">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lang w:val="ro-MD"/>
              </w:rPr>
            </w:pPr>
            <w:r w:rsidRPr="00B13B9A">
              <w:rPr>
                <w:rFonts w:asciiTheme="majorHAnsi" w:eastAsia="Times New Roman" w:hAnsiTheme="majorHAnsi" w:cstheme="majorHAnsi"/>
                <w:b/>
                <w:bCs/>
                <w:sz w:val="20"/>
                <w:szCs w:val="20"/>
                <w:lang w:val="ro-MD"/>
              </w:rPr>
              <w:t>284.689,4</w:t>
            </w:r>
          </w:p>
        </w:tc>
        <w:tc>
          <w:tcPr>
            <w:tcW w:w="1395" w:type="dxa"/>
            <w:hideMark/>
          </w:tcPr>
          <w:p w14:paraId="2B34F28F" w14:textId="77777777" w:rsidR="004676E1" w:rsidRPr="00B13B9A" w:rsidRDefault="004676E1" w:rsidP="00A51C46">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lang w:val="ro-MD"/>
              </w:rPr>
            </w:pPr>
            <w:r w:rsidRPr="00B13B9A">
              <w:rPr>
                <w:rFonts w:asciiTheme="majorHAnsi" w:eastAsia="Times New Roman" w:hAnsiTheme="majorHAnsi" w:cstheme="majorHAnsi"/>
                <w:b/>
                <w:bCs/>
                <w:sz w:val="20"/>
                <w:szCs w:val="20"/>
                <w:lang w:val="ro-MD"/>
              </w:rPr>
              <w:t>273.131,9</w:t>
            </w:r>
          </w:p>
        </w:tc>
        <w:tc>
          <w:tcPr>
            <w:tcW w:w="1106" w:type="dxa"/>
            <w:noWrap/>
            <w:hideMark/>
          </w:tcPr>
          <w:p w14:paraId="294A2786" w14:textId="530C7D6C" w:rsidR="004676E1" w:rsidRPr="00B13B9A" w:rsidRDefault="004676E1" w:rsidP="00A51C46">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-11.557,4</w:t>
            </w:r>
          </w:p>
        </w:tc>
        <w:tc>
          <w:tcPr>
            <w:tcW w:w="1134" w:type="dxa"/>
            <w:noWrap/>
            <w:hideMark/>
          </w:tcPr>
          <w:p w14:paraId="1CDB15C6" w14:textId="77777777" w:rsidR="004676E1" w:rsidRPr="00B13B9A" w:rsidRDefault="004676E1" w:rsidP="00A51C46">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95,9%</w:t>
            </w:r>
          </w:p>
        </w:tc>
      </w:tr>
      <w:tr w:rsidR="004676E1" w:rsidRPr="00B13B9A" w14:paraId="2979070D" w14:textId="77777777" w:rsidTr="00A51C46">
        <w:trPr>
          <w:trHeight w:val="19"/>
        </w:trPr>
        <w:tc>
          <w:tcPr>
            <w:cnfStyle w:val="001000000000" w:firstRow="0" w:lastRow="0" w:firstColumn="1" w:lastColumn="0" w:oddVBand="0" w:evenVBand="0" w:oddHBand="0" w:evenHBand="0" w:firstRowFirstColumn="0" w:firstRowLastColumn="0" w:lastRowFirstColumn="0" w:lastRowLastColumn="0"/>
            <w:tcW w:w="3397" w:type="dxa"/>
            <w:hideMark/>
          </w:tcPr>
          <w:p w14:paraId="592D18C4" w14:textId="77777777" w:rsidR="004676E1" w:rsidRPr="00B13B9A" w:rsidRDefault="004676E1" w:rsidP="00A51C46">
            <w:pPr>
              <w:jc w:val="left"/>
              <w:rPr>
                <w:rFonts w:eastAsia="Times New Roman" w:cstheme="majorHAnsi"/>
                <w:b/>
                <w:bCs/>
                <w:color w:val="000000"/>
                <w:sz w:val="20"/>
                <w:szCs w:val="20"/>
                <w:lang w:val="ro-MD"/>
              </w:rPr>
            </w:pPr>
            <w:r w:rsidRPr="00B13B9A">
              <w:rPr>
                <w:rFonts w:eastAsia="Times New Roman" w:cstheme="majorHAnsi"/>
                <w:b/>
                <w:bCs/>
                <w:color w:val="000000"/>
                <w:sz w:val="20"/>
                <w:szCs w:val="20"/>
                <w:lang w:val="ro-MD"/>
              </w:rPr>
              <w:t>Capital propriu, TOTAL:</w:t>
            </w:r>
          </w:p>
        </w:tc>
        <w:tc>
          <w:tcPr>
            <w:tcW w:w="1479" w:type="dxa"/>
            <w:hideMark/>
          </w:tcPr>
          <w:p w14:paraId="321BF910" w14:textId="77777777" w:rsidR="004676E1" w:rsidRPr="00B13B9A" w:rsidRDefault="004676E1" w:rsidP="00A51C4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227961,172</w:t>
            </w:r>
          </w:p>
        </w:tc>
        <w:tc>
          <w:tcPr>
            <w:tcW w:w="1395" w:type="dxa"/>
            <w:hideMark/>
          </w:tcPr>
          <w:p w14:paraId="762E96D4" w14:textId="77777777" w:rsidR="004676E1" w:rsidRPr="00B13B9A" w:rsidRDefault="004676E1" w:rsidP="00A51C4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rPr>
            </w:pPr>
            <w:r w:rsidRPr="00B13B9A">
              <w:rPr>
                <w:rFonts w:asciiTheme="majorHAnsi" w:eastAsia="Times New Roman" w:hAnsiTheme="majorHAnsi" w:cstheme="majorHAnsi"/>
                <w:b/>
                <w:bCs/>
                <w:sz w:val="20"/>
                <w:szCs w:val="20"/>
                <w:lang w:val="ro-MD"/>
              </w:rPr>
              <w:t>229.729,8</w:t>
            </w:r>
          </w:p>
        </w:tc>
        <w:tc>
          <w:tcPr>
            <w:tcW w:w="1395" w:type="dxa"/>
            <w:hideMark/>
          </w:tcPr>
          <w:p w14:paraId="745D2FCF" w14:textId="77777777" w:rsidR="004676E1" w:rsidRPr="00B13B9A" w:rsidRDefault="004676E1" w:rsidP="00A51C4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rPr>
            </w:pPr>
            <w:r w:rsidRPr="00B13B9A">
              <w:rPr>
                <w:rFonts w:asciiTheme="majorHAnsi" w:eastAsia="Times New Roman" w:hAnsiTheme="majorHAnsi" w:cstheme="majorHAnsi"/>
                <w:b/>
                <w:bCs/>
                <w:sz w:val="20"/>
                <w:szCs w:val="20"/>
                <w:lang w:val="ro-MD"/>
              </w:rPr>
              <w:t>228.124,3</w:t>
            </w:r>
          </w:p>
        </w:tc>
        <w:tc>
          <w:tcPr>
            <w:tcW w:w="1106" w:type="dxa"/>
            <w:noWrap/>
            <w:hideMark/>
          </w:tcPr>
          <w:p w14:paraId="36000E83" w14:textId="768CF79A" w:rsidR="004676E1" w:rsidRPr="00B13B9A" w:rsidRDefault="004676E1" w:rsidP="00A51C4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-1.605,5</w:t>
            </w:r>
          </w:p>
        </w:tc>
        <w:tc>
          <w:tcPr>
            <w:tcW w:w="1134" w:type="dxa"/>
            <w:noWrap/>
            <w:hideMark/>
          </w:tcPr>
          <w:p w14:paraId="3B398A3D" w14:textId="77777777" w:rsidR="004676E1" w:rsidRPr="00B13B9A" w:rsidRDefault="004676E1" w:rsidP="00A51C4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99,3%</w:t>
            </w:r>
          </w:p>
        </w:tc>
      </w:tr>
      <w:tr w:rsidR="004676E1" w:rsidRPr="00B13B9A" w14:paraId="7E5BDE02" w14:textId="77777777" w:rsidTr="00A51C46">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3397" w:type="dxa"/>
            <w:hideMark/>
          </w:tcPr>
          <w:p w14:paraId="23103CBD" w14:textId="77777777" w:rsidR="004676E1" w:rsidRPr="00B13B9A" w:rsidRDefault="004676E1" w:rsidP="00A51C46">
            <w:pPr>
              <w:jc w:val="left"/>
              <w:rPr>
                <w:rFonts w:eastAsia="Times New Roman" w:cstheme="majorHAnsi"/>
                <w:b/>
                <w:bCs/>
                <w:color w:val="000000"/>
                <w:sz w:val="20"/>
                <w:szCs w:val="20"/>
                <w:lang w:val="ro-MD"/>
              </w:rPr>
            </w:pPr>
            <w:r w:rsidRPr="00B13B9A">
              <w:rPr>
                <w:rFonts w:eastAsia="Times New Roman" w:cstheme="majorHAnsi"/>
                <w:b/>
                <w:bCs/>
                <w:color w:val="000000"/>
                <w:sz w:val="20"/>
                <w:szCs w:val="20"/>
                <w:lang w:val="ro-MD"/>
              </w:rPr>
              <w:t>Datorii pe termen lung, TOTAL:</w:t>
            </w:r>
          </w:p>
        </w:tc>
        <w:tc>
          <w:tcPr>
            <w:tcW w:w="1479" w:type="dxa"/>
            <w:hideMark/>
          </w:tcPr>
          <w:p w14:paraId="40F6EF49" w14:textId="77777777" w:rsidR="004676E1" w:rsidRPr="00B13B9A" w:rsidRDefault="004676E1" w:rsidP="00A51C46">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69164,653</w:t>
            </w:r>
          </w:p>
        </w:tc>
        <w:tc>
          <w:tcPr>
            <w:tcW w:w="1395" w:type="dxa"/>
            <w:hideMark/>
          </w:tcPr>
          <w:p w14:paraId="5C468814" w14:textId="77777777" w:rsidR="004676E1" w:rsidRPr="00B13B9A" w:rsidRDefault="004676E1" w:rsidP="00A51C46">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lang w:val="ro-MD"/>
              </w:rPr>
            </w:pPr>
            <w:r w:rsidRPr="00B13B9A">
              <w:rPr>
                <w:rFonts w:asciiTheme="majorHAnsi" w:eastAsia="Times New Roman" w:hAnsiTheme="majorHAnsi" w:cstheme="majorHAnsi"/>
                <w:b/>
                <w:bCs/>
                <w:sz w:val="20"/>
                <w:szCs w:val="20"/>
                <w:lang w:val="ro-MD"/>
              </w:rPr>
              <w:t>16.596,8</w:t>
            </w:r>
          </w:p>
        </w:tc>
        <w:tc>
          <w:tcPr>
            <w:tcW w:w="1395" w:type="dxa"/>
            <w:hideMark/>
          </w:tcPr>
          <w:p w14:paraId="18DF48D3" w14:textId="77777777" w:rsidR="004676E1" w:rsidRPr="00B13B9A" w:rsidRDefault="004676E1" w:rsidP="00A51C46">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lang w:val="ro-MD"/>
              </w:rPr>
            </w:pPr>
            <w:r w:rsidRPr="00B13B9A">
              <w:rPr>
                <w:rFonts w:asciiTheme="majorHAnsi" w:eastAsia="Times New Roman" w:hAnsiTheme="majorHAnsi" w:cstheme="majorHAnsi"/>
                <w:b/>
                <w:bCs/>
                <w:sz w:val="20"/>
                <w:szCs w:val="20"/>
                <w:lang w:val="ro-MD"/>
              </w:rPr>
              <w:t>12.083,8</w:t>
            </w:r>
          </w:p>
        </w:tc>
        <w:tc>
          <w:tcPr>
            <w:tcW w:w="1106" w:type="dxa"/>
            <w:noWrap/>
            <w:hideMark/>
          </w:tcPr>
          <w:p w14:paraId="48F98D29" w14:textId="41C17B77" w:rsidR="004676E1" w:rsidRPr="00B13B9A" w:rsidRDefault="004676E1" w:rsidP="00A51C46">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-4.513,0</w:t>
            </w:r>
          </w:p>
        </w:tc>
        <w:tc>
          <w:tcPr>
            <w:tcW w:w="1134" w:type="dxa"/>
            <w:noWrap/>
            <w:hideMark/>
          </w:tcPr>
          <w:p w14:paraId="28A934D0" w14:textId="77777777" w:rsidR="004676E1" w:rsidRPr="00B13B9A" w:rsidRDefault="004676E1" w:rsidP="00A51C46">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72,8%</w:t>
            </w:r>
          </w:p>
        </w:tc>
      </w:tr>
      <w:tr w:rsidR="004676E1" w:rsidRPr="00B13B9A" w14:paraId="467EF55B" w14:textId="77777777" w:rsidTr="00A51C46">
        <w:trPr>
          <w:trHeight w:val="19"/>
        </w:trPr>
        <w:tc>
          <w:tcPr>
            <w:cnfStyle w:val="001000000000" w:firstRow="0" w:lastRow="0" w:firstColumn="1" w:lastColumn="0" w:oddVBand="0" w:evenVBand="0" w:oddHBand="0" w:evenHBand="0" w:firstRowFirstColumn="0" w:firstRowLastColumn="0" w:lastRowFirstColumn="0" w:lastRowLastColumn="0"/>
            <w:tcW w:w="3397" w:type="dxa"/>
            <w:hideMark/>
          </w:tcPr>
          <w:p w14:paraId="2560F9C0" w14:textId="77777777" w:rsidR="004676E1" w:rsidRPr="00B13B9A" w:rsidRDefault="004676E1" w:rsidP="00A51C46">
            <w:pPr>
              <w:jc w:val="left"/>
              <w:rPr>
                <w:rFonts w:eastAsia="Times New Roman" w:cstheme="majorHAnsi"/>
                <w:b/>
                <w:bCs/>
                <w:color w:val="000000"/>
                <w:sz w:val="20"/>
                <w:szCs w:val="20"/>
                <w:lang w:val="ro-MD"/>
              </w:rPr>
            </w:pPr>
            <w:r w:rsidRPr="00B13B9A">
              <w:rPr>
                <w:rFonts w:eastAsia="Times New Roman" w:cstheme="majorHAnsi"/>
                <w:b/>
                <w:bCs/>
                <w:color w:val="000000"/>
                <w:sz w:val="20"/>
                <w:szCs w:val="20"/>
                <w:lang w:val="ro-MD"/>
              </w:rPr>
              <w:t>Datorii curente, TOTAL:</w:t>
            </w:r>
          </w:p>
        </w:tc>
        <w:tc>
          <w:tcPr>
            <w:tcW w:w="1479" w:type="dxa"/>
            <w:hideMark/>
          </w:tcPr>
          <w:p w14:paraId="1459FA84" w14:textId="77777777" w:rsidR="004676E1" w:rsidRPr="00B13B9A" w:rsidRDefault="004676E1" w:rsidP="00A51C4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389,795</w:t>
            </w:r>
          </w:p>
        </w:tc>
        <w:tc>
          <w:tcPr>
            <w:tcW w:w="1395" w:type="dxa"/>
            <w:hideMark/>
          </w:tcPr>
          <w:p w14:paraId="5AEC6388" w14:textId="77777777" w:rsidR="004676E1" w:rsidRPr="00B13B9A" w:rsidRDefault="004676E1" w:rsidP="00A51C4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rPr>
            </w:pPr>
            <w:r w:rsidRPr="00B13B9A">
              <w:rPr>
                <w:rFonts w:asciiTheme="majorHAnsi" w:eastAsia="Times New Roman" w:hAnsiTheme="majorHAnsi" w:cstheme="majorHAnsi"/>
                <w:b/>
                <w:bCs/>
                <w:sz w:val="20"/>
                <w:szCs w:val="20"/>
                <w:lang w:val="ro-MD"/>
              </w:rPr>
              <w:t>38.362,7</w:t>
            </w:r>
          </w:p>
        </w:tc>
        <w:tc>
          <w:tcPr>
            <w:tcW w:w="1395" w:type="dxa"/>
            <w:hideMark/>
          </w:tcPr>
          <w:p w14:paraId="39B3407B" w14:textId="77777777" w:rsidR="004676E1" w:rsidRPr="00B13B9A" w:rsidRDefault="004676E1" w:rsidP="00A51C4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rPr>
            </w:pPr>
            <w:r w:rsidRPr="00B13B9A">
              <w:rPr>
                <w:rFonts w:asciiTheme="majorHAnsi" w:eastAsia="Times New Roman" w:hAnsiTheme="majorHAnsi" w:cstheme="majorHAnsi"/>
                <w:b/>
                <w:bCs/>
                <w:sz w:val="20"/>
                <w:szCs w:val="20"/>
                <w:lang w:val="ro-MD"/>
              </w:rPr>
              <w:t>32.923,8</w:t>
            </w:r>
          </w:p>
        </w:tc>
        <w:tc>
          <w:tcPr>
            <w:tcW w:w="1106" w:type="dxa"/>
            <w:noWrap/>
            <w:hideMark/>
          </w:tcPr>
          <w:p w14:paraId="2CBD93FD" w14:textId="425A7987" w:rsidR="004676E1" w:rsidRPr="00B13B9A" w:rsidRDefault="004676E1" w:rsidP="00A51C4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-5.438,9</w:t>
            </w:r>
          </w:p>
        </w:tc>
        <w:tc>
          <w:tcPr>
            <w:tcW w:w="1134" w:type="dxa"/>
            <w:noWrap/>
            <w:hideMark/>
          </w:tcPr>
          <w:p w14:paraId="7FE31A90" w14:textId="77777777" w:rsidR="004676E1" w:rsidRPr="00B13B9A" w:rsidRDefault="004676E1" w:rsidP="00A51C4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85,8%</w:t>
            </w:r>
          </w:p>
        </w:tc>
      </w:tr>
      <w:tr w:rsidR="004676E1" w:rsidRPr="00B13B9A" w14:paraId="0C824328" w14:textId="77777777" w:rsidTr="00A51C46">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3397" w:type="dxa"/>
            <w:hideMark/>
          </w:tcPr>
          <w:p w14:paraId="0F978565" w14:textId="77777777" w:rsidR="004676E1" w:rsidRPr="00B13B9A" w:rsidRDefault="004676E1" w:rsidP="00A51C46">
            <w:pPr>
              <w:jc w:val="left"/>
              <w:rPr>
                <w:rFonts w:eastAsia="Times New Roman" w:cstheme="majorHAnsi"/>
                <w:b/>
                <w:bCs/>
                <w:color w:val="000000"/>
                <w:sz w:val="20"/>
                <w:szCs w:val="20"/>
                <w:lang w:val="ro-MD"/>
              </w:rPr>
            </w:pPr>
            <w:r w:rsidRPr="00B13B9A">
              <w:rPr>
                <w:rFonts w:eastAsia="Times New Roman" w:cstheme="majorHAnsi"/>
                <w:b/>
                <w:bCs/>
                <w:color w:val="000000"/>
                <w:sz w:val="20"/>
                <w:szCs w:val="20"/>
                <w:lang w:val="ro-MD"/>
              </w:rPr>
              <w:t>Total PASIV:</w:t>
            </w:r>
          </w:p>
        </w:tc>
        <w:tc>
          <w:tcPr>
            <w:tcW w:w="1479" w:type="dxa"/>
            <w:hideMark/>
          </w:tcPr>
          <w:p w14:paraId="42E5254B" w14:textId="77777777" w:rsidR="004676E1" w:rsidRPr="00B13B9A" w:rsidRDefault="004676E1" w:rsidP="00A51C46">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297515,62</w:t>
            </w:r>
          </w:p>
        </w:tc>
        <w:tc>
          <w:tcPr>
            <w:tcW w:w="1395" w:type="dxa"/>
            <w:hideMark/>
          </w:tcPr>
          <w:p w14:paraId="6BD49186" w14:textId="77777777" w:rsidR="004676E1" w:rsidRPr="00B13B9A" w:rsidRDefault="004676E1" w:rsidP="00A51C46">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lang w:val="ro-MD"/>
              </w:rPr>
            </w:pPr>
            <w:r w:rsidRPr="00B13B9A">
              <w:rPr>
                <w:rFonts w:asciiTheme="majorHAnsi" w:eastAsia="Times New Roman" w:hAnsiTheme="majorHAnsi" w:cstheme="majorHAnsi"/>
                <w:b/>
                <w:bCs/>
                <w:sz w:val="20"/>
                <w:szCs w:val="20"/>
                <w:lang w:val="ro-MD"/>
              </w:rPr>
              <w:t>284.689,4</w:t>
            </w:r>
          </w:p>
        </w:tc>
        <w:tc>
          <w:tcPr>
            <w:tcW w:w="1395" w:type="dxa"/>
            <w:hideMark/>
          </w:tcPr>
          <w:p w14:paraId="54DFB55E" w14:textId="77777777" w:rsidR="004676E1" w:rsidRPr="00B13B9A" w:rsidRDefault="004676E1" w:rsidP="00A51C46">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lang w:val="ro-MD"/>
              </w:rPr>
            </w:pPr>
            <w:r w:rsidRPr="00B13B9A">
              <w:rPr>
                <w:rFonts w:asciiTheme="majorHAnsi" w:eastAsia="Times New Roman" w:hAnsiTheme="majorHAnsi" w:cstheme="majorHAnsi"/>
                <w:b/>
                <w:bCs/>
                <w:sz w:val="20"/>
                <w:szCs w:val="20"/>
                <w:lang w:val="ro-MD"/>
              </w:rPr>
              <w:t>273.131,9</w:t>
            </w:r>
          </w:p>
        </w:tc>
        <w:tc>
          <w:tcPr>
            <w:tcW w:w="1106" w:type="dxa"/>
            <w:noWrap/>
            <w:hideMark/>
          </w:tcPr>
          <w:p w14:paraId="253DC25F" w14:textId="0B498C1D" w:rsidR="004676E1" w:rsidRPr="00B13B9A" w:rsidRDefault="004676E1" w:rsidP="00A51C46">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-11.557,4</w:t>
            </w:r>
          </w:p>
        </w:tc>
        <w:tc>
          <w:tcPr>
            <w:tcW w:w="1134" w:type="dxa"/>
            <w:noWrap/>
            <w:hideMark/>
          </w:tcPr>
          <w:p w14:paraId="4D568D94" w14:textId="77777777" w:rsidR="004676E1" w:rsidRPr="00B13B9A" w:rsidRDefault="004676E1" w:rsidP="00A51C46">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95,9%</w:t>
            </w:r>
          </w:p>
        </w:tc>
      </w:tr>
    </w:tbl>
    <w:p w14:paraId="7C570794" w14:textId="278C0F06" w:rsidR="00012402" w:rsidRPr="00B13B9A" w:rsidRDefault="00012402" w:rsidP="00A51C46">
      <w:pPr>
        <w:pStyle w:val="a7"/>
        <w:spacing w:after="0" w:line="240" w:lineRule="auto"/>
        <w:ind w:left="0"/>
        <w:rPr>
          <w:rFonts w:asciiTheme="majorHAnsi" w:hAnsiTheme="majorHAnsi" w:cstheme="majorHAnsi"/>
          <w:b/>
          <w:i/>
          <w:sz w:val="20"/>
          <w:szCs w:val="20"/>
          <w:lang w:val="ro-MD"/>
        </w:rPr>
      </w:pPr>
      <w:r w:rsidRPr="00B13B9A">
        <w:rPr>
          <w:rFonts w:asciiTheme="majorHAnsi" w:hAnsiTheme="majorHAnsi" w:cstheme="majorHAnsi"/>
          <w:b/>
          <w:i/>
          <w:sz w:val="20"/>
          <w:szCs w:val="20"/>
          <w:lang w:val="ro-MD"/>
        </w:rPr>
        <w:t xml:space="preserve">Sursă: </w:t>
      </w:r>
      <w:r w:rsidRPr="00B13B9A">
        <w:rPr>
          <w:rFonts w:asciiTheme="majorHAnsi" w:hAnsiTheme="majorHAnsi" w:cstheme="majorHAnsi"/>
          <w:i/>
          <w:sz w:val="20"/>
          <w:szCs w:val="20"/>
          <w:lang w:val="ro-MD"/>
        </w:rPr>
        <w:t>Bilan</w:t>
      </w:r>
      <w:r w:rsidR="00B13B9A" w:rsidRPr="00B13B9A">
        <w:rPr>
          <w:rFonts w:asciiTheme="majorHAnsi" w:hAnsiTheme="majorHAnsi" w:cstheme="majorHAnsi"/>
          <w:i/>
          <w:sz w:val="20"/>
          <w:szCs w:val="20"/>
          <w:lang w:val="ro-MD"/>
        </w:rPr>
        <w:t>ț</w:t>
      </w:r>
      <w:r w:rsidRPr="00B13B9A">
        <w:rPr>
          <w:rFonts w:asciiTheme="majorHAnsi" w:hAnsiTheme="majorHAnsi" w:cstheme="majorHAnsi"/>
          <w:i/>
          <w:sz w:val="20"/>
          <w:szCs w:val="20"/>
          <w:lang w:val="ro-MD"/>
        </w:rPr>
        <w:t xml:space="preserve">ul contabil </w:t>
      </w:r>
      <w:r w:rsidR="00675B54" w:rsidRPr="00B13B9A">
        <w:rPr>
          <w:rFonts w:asciiTheme="majorHAnsi" w:hAnsiTheme="majorHAnsi" w:cstheme="majorHAnsi"/>
          <w:i/>
          <w:sz w:val="20"/>
          <w:szCs w:val="20"/>
          <w:lang w:val="ro-MD"/>
        </w:rPr>
        <w:t xml:space="preserve">al </w:t>
      </w:r>
      <w:r w:rsidR="005D56E4" w:rsidRPr="00B13B9A">
        <w:rPr>
          <w:rFonts w:asciiTheme="majorHAnsi" w:hAnsiTheme="majorHAnsi" w:cstheme="majorHAnsi"/>
          <w:i/>
          <w:color w:val="000000" w:themeColor="text1"/>
          <w:sz w:val="20"/>
          <w:szCs w:val="20"/>
          <w:lang w:val="ro-MD"/>
        </w:rPr>
        <w:t xml:space="preserve">IMSP IFP </w:t>
      </w:r>
      <w:r w:rsidR="005D56E4" w:rsidRPr="00B13B9A">
        <w:rPr>
          <w:rFonts w:asciiTheme="majorHAnsi" w:hAnsiTheme="majorHAnsi" w:cstheme="majorHAnsi"/>
          <w:i/>
          <w:sz w:val="20"/>
          <w:szCs w:val="20"/>
          <w:lang w:val="ro-MD"/>
        </w:rPr>
        <w:t xml:space="preserve">„Chiril Draganiuc” </w:t>
      </w:r>
      <w:r w:rsidRPr="00B13B9A">
        <w:rPr>
          <w:rFonts w:asciiTheme="majorHAnsi" w:hAnsiTheme="majorHAnsi" w:cstheme="majorHAnsi"/>
          <w:i/>
          <w:sz w:val="20"/>
          <w:szCs w:val="20"/>
          <w:lang w:val="ro-MD"/>
        </w:rPr>
        <w:t xml:space="preserve">la </w:t>
      </w:r>
      <w:r w:rsidR="004655B4" w:rsidRPr="00B13B9A">
        <w:rPr>
          <w:rFonts w:asciiTheme="majorHAnsi" w:hAnsiTheme="majorHAnsi" w:cstheme="majorHAnsi"/>
          <w:i/>
          <w:sz w:val="20"/>
          <w:szCs w:val="20"/>
          <w:lang w:val="ro-MD"/>
        </w:rPr>
        <w:t>situa</w:t>
      </w:r>
      <w:r w:rsidR="00B13B9A" w:rsidRPr="00B13B9A">
        <w:rPr>
          <w:rFonts w:asciiTheme="majorHAnsi" w:hAnsiTheme="majorHAnsi" w:cstheme="majorHAnsi"/>
          <w:i/>
          <w:sz w:val="20"/>
          <w:szCs w:val="20"/>
          <w:lang w:val="ro-MD"/>
        </w:rPr>
        <w:t>ț</w:t>
      </w:r>
      <w:r w:rsidR="004655B4" w:rsidRPr="00B13B9A">
        <w:rPr>
          <w:rFonts w:asciiTheme="majorHAnsi" w:hAnsiTheme="majorHAnsi" w:cstheme="majorHAnsi"/>
          <w:i/>
          <w:sz w:val="20"/>
          <w:szCs w:val="20"/>
          <w:lang w:val="ro-MD"/>
        </w:rPr>
        <w:t>ia din  31 decembrie 2021</w:t>
      </w:r>
      <w:r w:rsidR="004676E1" w:rsidRPr="00B13B9A">
        <w:rPr>
          <w:rFonts w:asciiTheme="majorHAnsi" w:hAnsiTheme="majorHAnsi" w:cstheme="majorHAnsi"/>
          <w:i/>
          <w:sz w:val="20"/>
          <w:szCs w:val="20"/>
          <w:lang w:val="ro-MD"/>
        </w:rPr>
        <w:t xml:space="preserve"> </w:t>
      </w:r>
      <w:r w:rsidR="00B13B9A" w:rsidRPr="00B13B9A">
        <w:rPr>
          <w:rFonts w:asciiTheme="majorHAnsi" w:hAnsiTheme="majorHAnsi" w:cstheme="majorHAnsi"/>
          <w:i/>
          <w:sz w:val="20"/>
          <w:szCs w:val="20"/>
          <w:lang w:val="ro-MD"/>
        </w:rPr>
        <w:t>ș</w:t>
      </w:r>
      <w:r w:rsidR="004676E1" w:rsidRPr="00B13B9A">
        <w:rPr>
          <w:rFonts w:asciiTheme="majorHAnsi" w:hAnsiTheme="majorHAnsi" w:cstheme="majorHAnsi"/>
          <w:i/>
          <w:sz w:val="20"/>
          <w:szCs w:val="20"/>
          <w:lang w:val="ro-MD"/>
        </w:rPr>
        <w:t>i</w:t>
      </w:r>
      <w:r w:rsidR="004655B4" w:rsidRPr="00B13B9A">
        <w:rPr>
          <w:rFonts w:asciiTheme="majorHAnsi" w:hAnsiTheme="majorHAnsi" w:cstheme="majorHAnsi"/>
          <w:i/>
          <w:sz w:val="20"/>
          <w:szCs w:val="20"/>
          <w:lang w:val="ro-MD"/>
        </w:rPr>
        <w:t xml:space="preserve"> 31 decembrie 2022 </w:t>
      </w:r>
    </w:p>
    <w:p w14:paraId="25BABAC4" w14:textId="36FEFD3A" w:rsidR="004655B4" w:rsidRPr="00B13B9A" w:rsidRDefault="004655B4" w:rsidP="00A51C46">
      <w:pPr>
        <w:pStyle w:val="a7"/>
        <w:spacing w:after="0" w:line="240" w:lineRule="auto"/>
        <w:ind w:left="0"/>
        <w:rPr>
          <w:rFonts w:asciiTheme="majorHAnsi" w:hAnsiTheme="majorHAnsi" w:cstheme="majorHAnsi"/>
          <w:b/>
          <w:sz w:val="24"/>
          <w:szCs w:val="24"/>
          <w:highlight w:val="green"/>
          <w:lang w:val="ro-MD"/>
        </w:rPr>
      </w:pPr>
    </w:p>
    <w:p w14:paraId="6998E535" w14:textId="77777777" w:rsidR="00782BD2" w:rsidRPr="00B13B9A" w:rsidRDefault="00782BD2" w:rsidP="00A51C46">
      <w:pPr>
        <w:pStyle w:val="3"/>
        <w:spacing w:before="0" w:line="240" w:lineRule="auto"/>
        <w:jc w:val="right"/>
        <w:rPr>
          <w:rFonts w:cstheme="majorHAnsi"/>
          <w:b/>
          <w:iCs/>
          <w:color w:val="auto"/>
        </w:rPr>
      </w:pPr>
      <w:bookmarkStart w:id="58" w:name="_Toc154562529"/>
      <w:r w:rsidRPr="00B13B9A">
        <w:rPr>
          <w:rFonts w:cstheme="majorHAnsi"/>
          <w:b/>
          <w:iCs/>
          <w:color w:val="auto"/>
        </w:rPr>
        <w:t>Anexa nr. 6</w:t>
      </w:r>
      <w:bookmarkEnd w:id="58"/>
    </w:p>
    <w:p w14:paraId="299E1CD7" w14:textId="1BC598F4" w:rsidR="00012402" w:rsidRPr="00B13B9A" w:rsidRDefault="00012402" w:rsidP="00A51C46">
      <w:pPr>
        <w:pStyle w:val="a7"/>
        <w:tabs>
          <w:tab w:val="left" w:pos="3686"/>
        </w:tabs>
        <w:spacing w:after="0" w:line="240" w:lineRule="auto"/>
        <w:ind w:left="0"/>
        <w:jc w:val="center"/>
        <w:rPr>
          <w:rFonts w:asciiTheme="majorHAnsi" w:hAnsiTheme="majorHAnsi" w:cstheme="majorHAnsi"/>
          <w:b/>
          <w:sz w:val="24"/>
          <w:szCs w:val="24"/>
          <w:lang w:val="ro-MD"/>
        </w:rPr>
      </w:pPr>
      <w:r w:rsidRPr="00B13B9A">
        <w:rPr>
          <w:rFonts w:asciiTheme="majorHAnsi" w:hAnsiTheme="majorHAnsi" w:cstheme="majorHAnsi"/>
          <w:b/>
          <w:sz w:val="24"/>
          <w:szCs w:val="24"/>
          <w:lang w:val="ro-MD"/>
        </w:rPr>
        <w:t>Situa</w:t>
      </w:r>
      <w:r w:rsidR="00B13B9A" w:rsidRPr="00B13B9A">
        <w:rPr>
          <w:rFonts w:asciiTheme="majorHAnsi" w:hAnsiTheme="majorHAnsi" w:cstheme="majorHAnsi"/>
          <w:b/>
          <w:sz w:val="24"/>
          <w:szCs w:val="24"/>
          <w:lang w:val="ro-MD"/>
        </w:rPr>
        <w:t>ț</w:t>
      </w:r>
      <w:r w:rsidRPr="00B13B9A">
        <w:rPr>
          <w:rFonts w:asciiTheme="majorHAnsi" w:hAnsiTheme="majorHAnsi" w:cstheme="majorHAnsi"/>
          <w:b/>
          <w:sz w:val="24"/>
          <w:szCs w:val="24"/>
          <w:lang w:val="ro-MD"/>
        </w:rPr>
        <w:t xml:space="preserve">ia de profit </w:t>
      </w:r>
      <w:r w:rsidR="00B13B9A" w:rsidRPr="00B13B9A">
        <w:rPr>
          <w:rFonts w:asciiTheme="majorHAnsi" w:hAnsiTheme="majorHAnsi" w:cstheme="majorHAnsi"/>
          <w:b/>
          <w:sz w:val="24"/>
          <w:szCs w:val="24"/>
          <w:lang w:val="ro-MD"/>
        </w:rPr>
        <w:t>ș</w:t>
      </w:r>
      <w:r w:rsidRPr="00B13B9A">
        <w:rPr>
          <w:rFonts w:asciiTheme="majorHAnsi" w:hAnsiTheme="majorHAnsi" w:cstheme="majorHAnsi"/>
          <w:b/>
          <w:sz w:val="24"/>
          <w:szCs w:val="24"/>
          <w:lang w:val="ro-MD"/>
        </w:rPr>
        <w:t xml:space="preserve">i pierdere a </w:t>
      </w:r>
      <w:r w:rsidR="005D56E4" w:rsidRPr="00B13B9A">
        <w:rPr>
          <w:rFonts w:asciiTheme="majorHAnsi" w:hAnsiTheme="majorHAnsi" w:cstheme="majorHAnsi"/>
          <w:b/>
          <w:color w:val="000000" w:themeColor="text1"/>
          <w:sz w:val="24"/>
          <w:szCs w:val="24"/>
          <w:lang w:val="ro-MD"/>
        </w:rPr>
        <w:t xml:space="preserve">IMSP IFP </w:t>
      </w:r>
      <w:r w:rsidR="005D56E4" w:rsidRPr="00B13B9A">
        <w:rPr>
          <w:rFonts w:asciiTheme="majorHAnsi" w:hAnsiTheme="majorHAnsi" w:cstheme="majorHAnsi"/>
          <w:b/>
          <w:sz w:val="24"/>
          <w:szCs w:val="24"/>
          <w:lang w:val="ro-MD"/>
        </w:rPr>
        <w:t xml:space="preserve">„Chiril Draganiuc” </w:t>
      </w:r>
      <w:r w:rsidRPr="00B13B9A">
        <w:rPr>
          <w:rFonts w:asciiTheme="majorHAnsi" w:hAnsiTheme="majorHAnsi" w:cstheme="majorHAnsi"/>
          <w:b/>
          <w:sz w:val="24"/>
          <w:szCs w:val="24"/>
          <w:lang w:val="ro-MD"/>
        </w:rPr>
        <w:t>pe anii 2021 -2022</w:t>
      </w:r>
    </w:p>
    <w:p w14:paraId="31C51DE0" w14:textId="77777777" w:rsidR="00012402" w:rsidRPr="00B13B9A" w:rsidRDefault="00012402" w:rsidP="00A51C46">
      <w:pPr>
        <w:pStyle w:val="a7"/>
        <w:tabs>
          <w:tab w:val="left" w:pos="3686"/>
        </w:tabs>
        <w:spacing w:after="0" w:line="240" w:lineRule="auto"/>
        <w:ind w:left="0"/>
        <w:jc w:val="right"/>
        <w:rPr>
          <w:rFonts w:asciiTheme="majorHAnsi" w:hAnsiTheme="majorHAnsi" w:cstheme="majorHAnsi"/>
          <w:sz w:val="24"/>
          <w:szCs w:val="24"/>
          <w:lang w:val="ro-MD"/>
        </w:rPr>
      </w:pPr>
      <w:r w:rsidRPr="00B13B9A">
        <w:rPr>
          <w:rFonts w:asciiTheme="majorHAnsi" w:hAnsiTheme="majorHAnsi" w:cstheme="majorHAnsi"/>
          <w:sz w:val="24"/>
          <w:szCs w:val="24"/>
          <w:lang w:val="ro-MD"/>
        </w:rPr>
        <w:t xml:space="preserve">  (mii lei)</w:t>
      </w:r>
    </w:p>
    <w:tbl>
      <w:tblPr>
        <w:tblStyle w:val="31"/>
        <w:tblW w:w="8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4815"/>
        <w:gridCol w:w="1271"/>
        <w:gridCol w:w="1413"/>
        <w:gridCol w:w="1129"/>
      </w:tblGrid>
      <w:tr w:rsidR="00012402" w:rsidRPr="00B13B9A" w14:paraId="3A3E93FA" w14:textId="77777777" w:rsidTr="00A51C4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15" w:type="dxa"/>
            <w:tcBorders>
              <w:right w:val="none" w:sz="0" w:space="0" w:color="auto"/>
            </w:tcBorders>
            <w:hideMark/>
          </w:tcPr>
          <w:p w14:paraId="7217F5EF" w14:textId="77777777" w:rsidR="00012402" w:rsidRPr="00B13B9A" w:rsidRDefault="00012402" w:rsidP="00A51C46">
            <w:pPr>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Denumirea indicatorului</w:t>
            </w:r>
          </w:p>
        </w:tc>
        <w:tc>
          <w:tcPr>
            <w:tcW w:w="1271" w:type="dxa"/>
            <w:hideMark/>
          </w:tcPr>
          <w:p w14:paraId="1C42D0AE" w14:textId="77777777" w:rsidR="00012402" w:rsidRPr="00B13B9A" w:rsidRDefault="00012402" w:rsidP="00A51C4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lang w:val="ro-MD"/>
              </w:rPr>
            </w:pPr>
            <w:r w:rsidRPr="00B13B9A">
              <w:rPr>
                <w:rFonts w:asciiTheme="majorHAnsi" w:eastAsia="Times New Roman" w:hAnsiTheme="majorHAnsi" w:cstheme="majorHAnsi"/>
                <w:b/>
                <w:bCs/>
                <w:sz w:val="20"/>
                <w:szCs w:val="20"/>
                <w:lang w:val="ro-MD"/>
              </w:rPr>
              <w:t>Anul 2021</w:t>
            </w:r>
          </w:p>
        </w:tc>
        <w:tc>
          <w:tcPr>
            <w:tcW w:w="1413" w:type="dxa"/>
            <w:hideMark/>
          </w:tcPr>
          <w:p w14:paraId="4A4C6A9E" w14:textId="77777777" w:rsidR="00012402" w:rsidRPr="00B13B9A" w:rsidRDefault="00012402" w:rsidP="00A51C4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lang w:val="ro-MD"/>
              </w:rPr>
            </w:pPr>
            <w:r w:rsidRPr="00B13B9A">
              <w:rPr>
                <w:rFonts w:asciiTheme="majorHAnsi" w:eastAsia="Times New Roman" w:hAnsiTheme="majorHAnsi" w:cstheme="majorHAnsi"/>
                <w:b/>
                <w:bCs/>
                <w:sz w:val="20"/>
                <w:szCs w:val="20"/>
                <w:lang w:val="ro-MD"/>
              </w:rPr>
              <w:t>Anul 2022</w:t>
            </w:r>
          </w:p>
        </w:tc>
        <w:tc>
          <w:tcPr>
            <w:tcW w:w="1129" w:type="dxa"/>
            <w:noWrap/>
            <w:hideMark/>
          </w:tcPr>
          <w:p w14:paraId="70A30D35" w14:textId="77777777" w:rsidR="00012402" w:rsidRPr="00B13B9A" w:rsidRDefault="00012402" w:rsidP="00A51C4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Devieri</w:t>
            </w:r>
          </w:p>
        </w:tc>
      </w:tr>
      <w:tr w:rsidR="00012402" w:rsidRPr="00B13B9A" w14:paraId="0DDE1EC3" w14:textId="77777777" w:rsidTr="00A51C46">
        <w:trPr>
          <w:trHeight w:val="20"/>
        </w:trPr>
        <w:tc>
          <w:tcPr>
            <w:cnfStyle w:val="001000000000" w:firstRow="0" w:lastRow="0" w:firstColumn="1" w:lastColumn="0" w:oddVBand="0" w:evenVBand="0" w:oddHBand="0" w:evenHBand="0" w:firstRowFirstColumn="0" w:firstRowLastColumn="0" w:lastRowFirstColumn="0" w:lastRowLastColumn="0"/>
            <w:tcW w:w="4815" w:type="dxa"/>
            <w:tcBorders>
              <w:right w:val="none" w:sz="0" w:space="0" w:color="auto"/>
            </w:tcBorders>
            <w:hideMark/>
          </w:tcPr>
          <w:p w14:paraId="0DBFC30D" w14:textId="3FC4676B" w:rsidR="00012402" w:rsidRPr="00B13B9A" w:rsidRDefault="00012402" w:rsidP="00A51C46">
            <w:pPr>
              <w:rPr>
                <w:rFonts w:asciiTheme="majorHAnsi" w:eastAsia="Times New Roman" w:hAnsiTheme="majorHAnsi" w:cstheme="majorHAnsi"/>
                <w:b w:val="0"/>
                <w:bCs w:val="0"/>
                <w:color w:val="000000"/>
                <w:sz w:val="20"/>
                <w:szCs w:val="20"/>
                <w:lang w:val="ro-MD"/>
              </w:rPr>
            </w:pPr>
            <w:r w:rsidRPr="00B13B9A">
              <w:rPr>
                <w:rFonts w:asciiTheme="majorHAnsi" w:eastAsia="Times New Roman" w:hAnsiTheme="majorHAnsi" w:cstheme="majorHAnsi"/>
                <w:caps w:val="0"/>
                <w:color w:val="000000"/>
                <w:sz w:val="20"/>
                <w:szCs w:val="20"/>
                <w:lang w:val="ro-MD"/>
              </w:rPr>
              <w:t>Venituri din v</w:t>
            </w:r>
            <w:r w:rsidR="00675B54" w:rsidRPr="00B13B9A">
              <w:rPr>
                <w:rFonts w:asciiTheme="majorHAnsi" w:eastAsia="Times New Roman" w:hAnsiTheme="majorHAnsi" w:cstheme="majorHAnsi"/>
                <w:caps w:val="0"/>
                <w:color w:val="000000"/>
                <w:sz w:val="20"/>
                <w:szCs w:val="20"/>
                <w:lang w:val="ro-MD"/>
              </w:rPr>
              <w:t>â</w:t>
            </w:r>
            <w:r w:rsidRPr="00B13B9A">
              <w:rPr>
                <w:rFonts w:asciiTheme="majorHAnsi" w:eastAsia="Times New Roman" w:hAnsiTheme="majorHAnsi" w:cstheme="majorHAnsi"/>
                <w:caps w:val="0"/>
                <w:color w:val="000000"/>
                <w:sz w:val="20"/>
                <w:szCs w:val="20"/>
                <w:lang w:val="ro-MD"/>
              </w:rPr>
              <w:t>nzări</w:t>
            </w:r>
          </w:p>
        </w:tc>
        <w:tc>
          <w:tcPr>
            <w:tcW w:w="1271" w:type="dxa"/>
            <w:hideMark/>
          </w:tcPr>
          <w:p w14:paraId="10AA8C69" w14:textId="77777777" w:rsidR="00012402" w:rsidRPr="00B13B9A" w:rsidRDefault="00012402" w:rsidP="00A51C4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B13B9A">
              <w:rPr>
                <w:rFonts w:asciiTheme="majorHAnsi" w:eastAsia="Times New Roman" w:hAnsiTheme="majorHAnsi" w:cstheme="majorHAnsi"/>
                <w:sz w:val="20"/>
                <w:szCs w:val="20"/>
                <w:lang w:val="ro-MD"/>
              </w:rPr>
              <w:t>157128,2</w:t>
            </w:r>
          </w:p>
        </w:tc>
        <w:tc>
          <w:tcPr>
            <w:tcW w:w="1413" w:type="dxa"/>
            <w:hideMark/>
          </w:tcPr>
          <w:p w14:paraId="79D964F1" w14:textId="77777777" w:rsidR="00012402" w:rsidRPr="00B13B9A" w:rsidRDefault="00012402" w:rsidP="00A51C4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B13B9A">
              <w:rPr>
                <w:rFonts w:asciiTheme="majorHAnsi" w:eastAsia="Times New Roman" w:hAnsiTheme="majorHAnsi" w:cstheme="majorHAnsi"/>
                <w:sz w:val="20"/>
                <w:szCs w:val="20"/>
                <w:lang w:val="ro-MD"/>
              </w:rPr>
              <w:t>159964,3</w:t>
            </w:r>
          </w:p>
        </w:tc>
        <w:tc>
          <w:tcPr>
            <w:tcW w:w="1129" w:type="dxa"/>
            <w:noWrap/>
            <w:hideMark/>
          </w:tcPr>
          <w:p w14:paraId="240278B9" w14:textId="77777777" w:rsidR="00012402" w:rsidRPr="00B13B9A" w:rsidRDefault="00012402" w:rsidP="00A51C4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2836,1</w:t>
            </w:r>
          </w:p>
        </w:tc>
      </w:tr>
      <w:tr w:rsidR="00012402" w:rsidRPr="00B13B9A" w14:paraId="484BC275" w14:textId="77777777" w:rsidTr="00A51C4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15" w:type="dxa"/>
            <w:tcBorders>
              <w:right w:val="none" w:sz="0" w:space="0" w:color="auto"/>
            </w:tcBorders>
            <w:hideMark/>
          </w:tcPr>
          <w:p w14:paraId="1D4ED23E" w14:textId="6CC042FE" w:rsidR="00012402" w:rsidRPr="00B13B9A" w:rsidRDefault="00012402" w:rsidP="00A51C46">
            <w:pPr>
              <w:rPr>
                <w:rFonts w:asciiTheme="majorHAnsi" w:eastAsia="Times New Roman" w:hAnsiTheme="majorHAnsi" w:cstheme="majorHAnsi"/>
                <w:b w:val="0"/>
                <w:bCs w:val="0"/>
                <w:color w:val="000000"/>
                <w:sz w:val="20"/>
                <w:szCs w:val="20"/>
                <w:lang w:val="ro-MD"/>
              </w:rPr>
            </w:pPr>
            <w:r w:rsidRPr="00B13B9A">
              <w:rPr>
                <w:rFonts w:asciiTheme="majorHAnsi" w:eastAsia="Times New Roman" w:hAnsiTheme="majorHAnsi" w:cstheme="majorHAnsi"/>
                <w:caps w:val="0"/>
                <w:color w:val="000000"/>
                <w:sz w:val="20"/>
                <w:szCs w:val="20"/>
                <w:lang w:val="ro-MD"/>
              </w:rPr>
              <w:t>Costul v</w:t>
            </w:r>
            <w:r w:rsidR="00675B54" w:rsidRPr="00B13B9A">
              <w:rPr>
                <w:rFonts w:asciiTheme="majorHAnsi" w:eastAsia="Times New Roman" w:hAnsiTheme="majorHAnsi" w:cstheme="majorHAnsi"/>
                <w:caps w:val="0"/>
                <w:color w:val="000000"/>
                <w:sz w:val="20"/>
                <w:szCs w:val="20"/>
                <w:lang w:val="ro-MD"/>
              </w:rPr>
              <w:t>â</w:t>
            </w:r>
            <w:r w:rsidRPr="00B13B9A">
              <w:rPr>
                <w:rFonts w:asciiTheme="majorHAnsi" w:eastAsia="Times New Roman" w:hAnsiTheme="majorHAnsi" w:cstheme="majorHAnsi"/>
                <w:caps w:val="0"/>
                <w:color w:val="000000"/>
                <w:sz w:val="20"/>
                <w:szCs w:val="20"/>
                <w:lang w:val="ro-MD"/>
              </w:rPr>
              <w:t>nzărilor</w:t>
            </w:r>
          </w:p>
        </w:tc>
        <w:tc>
          <w:tcPr>
            <w:tcW w:w="1271" w:type="dxa"/>
            <w:hideMark/>
          </w:tcPr>
          <w:p w14:paraId="73E45F39" w14:textId="77777777" w:rsidR="00012402" w:rsidRPr="00B13B9A" w:rsidRDefault="00012402" w:rsidP="00A51C46">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B13B9A">
              <w:rPr>
                <w:rFonts w:asciiTheme="majorHAnsi" w:eastAsia="Times New Roman" w:hAnsiTheme="majorHAnsi" w:cstheme="majorHAnsi"/>
                <w:sz w:val="20"/>
                <w:szCs w:val="20"/>
                <w:lang w:val="ro-MD"/>
              </w:rPr>
              <w:t>144144,9</w:t>
            </w:r>
          </w:p>
        </w:tc>
        <w:tc>
          <w:tcPr>
            <w:tcW w:w="1413" w:type="dxa"/>
            <w:hideMark/>
          </w:tcPr>
          <w:p w14:paraId="1B261195" w14:textId="77777777" w:rsidR="00012402" w:rsidRPr="00B13B9A" w:rsidRDefault="00012402" w:rsidP="00A51C46">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B13B9A">
              <w:rPr>
                <w:rFonts w:asciiTheme="majorHAnsi" w:eastAsia="Times New Roman" w:hAnsiTheme="majorHAnsi" w:cstheme="majorHAnsi"/>
                <w:sz w:val="20"/>
                <w:szCs w:val="20"/>
                <w:lang w:val="ro-MD"/>
              </w:rPr>
              <w:t>142743,1</w:t>
            </w:r>
          </w:p>
        </w:tc>
        <w:tc>
          <w:tcPr>
            <w:tcW w:w="1129" w:type="dxa"/>
            <w:noWrap/>
            <w:hideMark/>
          </w:tcPr>
          <w:p w14:paraId="1E7D4EFB" w14:textId="77777777" w:rsidR="00012402" w:rsidRPr="00B13B9A" w:rsidRDefault="00012402" w:rsidP="00A51C46">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-1401,8</w:t>
            </w:r>
          </w:p>
        </w:tc>
      </w:tr>
      <w:tr w:rsidR="00012402" w:rsidRPr="00B13B9A" w14:paraId="75DA51C0" w14:textId="77777777" w:rsidTr="00A51C46">
        <w:trPr>
          <w:trHeight w:val="20"/>
        </w:trPr>
        <w:tc>
          <w:tcPr>
            <w:cnfStyle w:val="001000000000" w:firstRow="0" w:lastRow="0" w:firstColumn="1" w:lastColumn="0" w:oddVBand="0" w:evenVBand="0" w:oddHBand="0" w:evenHBand="0" w:firstRowFirstColumn="0" w:firstRowLastColumn="0" w:lastRowFirstColumn="0" w:lastRowLastColumn="0"/>
            <w:tcW w:w="4815" w:type="dxa"/>
            <w:tcBorders>
              <w:right w:val="none" w:sz="0" w:space="0" w:color="auto"/>
            </w:tcBorders>
            <w:hideMark/>
          </w:tcPr>
          <w:p w14:paraId="1D6FE317" w14:textId="77777777" w:rsidR="00012402" w:rsidRPr="00B13B9A" w:rsidRDefault="00012402" w:rsidP="00A51C46">
            <w:pPr>
              <w:rPr>
                <w:rFonts w:asciiTheme="majorHAnsi" w:eastAsia="Times New Roman" w:hAnsiTheme="majorHAnsi" w:cstheme="majorHAnsi"/>
                <w:b w:val="0"/>
                <w:bCs w:val="0"/>
                <w:color w:val="000000"/>
                <w:sz w:val="20"/>
                <w:szCs w:val="20"/>
                <w:lang w:val="ro-MD"/>
              </w:rPr>
            </w:pPr>
            <w:r w:rsidRPr="00B13B9A">
              <w:rPr>
                <w:rFonts w:asciiTheme="majorHAnsi" w:eastAsia="Times New Roman" w:hAnsiTheme="majorHAnsi" w:cstheme="majorHAnsi"/>
                <w:caps w:val="0"/>
                <w:color w:val="000000"/>
                <w:sz w:val="20"/>
                <w:szCs w:val="20"/>
                <w:lang w:val="ro-MD"/>
              </w:rPr>
              <w:t>Profit brut (pierdere bruta)</w:t>
            </w:r>
          </w:p>
        </w:tc>
        <w:tc>
          <w:tcPr>
            <w:tcW w:w="1271" w:type="dxa"/>
            <w:hideMark/>
          </w:tcPr>
          <w:p w14:paraId="6867A200" w14:textId="77777777" w:rsidR="00012402" w:rsidRPr="00B13B9A" w:rsidRDefault="00012402" w:rsidP="00A51C4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rPr>
            </w:pPr>
            <w:r w:rsidRPr="00B13B9A">
              <w:rPr>
                <w:rFonts w:asciiTheme="majorHAnsi" w:eastAsia="Times New Roman" w:hAnsiTheme="majorHAnsi" w:cstheme="majorHAnsi"/>
                <w:b/>
                <w:bCs/>
                <w:sz w:val="20"/>
                <w:szCs w:val="20"/>
                <w:lang w:val="ro-MD"/>
              </w:rPr>
              <w:t>12983,2</w:t>
            </w:r>
          </w:p>
        </w:tc>
        <w:tc>
          <w:tcPr>
            <w:tcW w:w="1413" w:type="dxa"/>
            <w:hideMark/>
          </w:tcPr>
          <w:p w14:paraId="6ABEC020" w14:textId="77777777" w:rsidR="00012402" w:rsidRPr="00B13B9A" w:rsidRDefault="00012402" w:rsidP="00A51C4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rPr>
            </w:pPr>
            <w:r w:rsidRPr="00B13B9A">
              <w:rPr>
                <w:rFonts w:asciiTheme="majorHAnsi" w:eastAsia="Times New Roman" w:hAnsiTheme="majorHAnsi" w:cstheme="majorHAnsi"/>
                <w:b/>
                <w:bCs/>
                <w:sz w:val="20"/>
                <w:szCs w:val="20"/>
                <w:lang w:val="ro-MD"/>
              </w:rPr>
              <w:t>17221,1</w:t>
            </w:r>
          </w:p>
        </w:tc>
        <w:tc>
          <w:tcPr>
            <w:tcW w:w="1129" w:type="dxa"/>
            <w:noWrap/>
            <w:hideMark/>
          </w:tcPr>
          <w:p w14:paraId="32DD7B92" w14:textId="77777777" w:rsidR="00012402" w:rsidRPr="00B13B9A" w:rsidRDefault="00012402" w:rsidP="00A51C4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4237,9</w:t>
            </w:r>
          </w:p>
        </w:tc>
      </w:tr>
      <w:tr w:rsidR="00012402" w:rsidRPr="00B13B9A" w14:paraId="659F0E81" w14:textId="77777777" w:rsidTr="00A51C4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15" w:type="dxa"/>
            <w:tcBorders>
              <w:right w:val="none" w:sz="0" w:space="0" w:color="auto"/>
            </w:tcBorders>
            <w:hideMark/>
          </w:tcPr>
          <w:p w14:paraId="537F180D" w14:textId="63237FCD" w:rsidR="00012402" w:rsidRPr="00B13B9A" w:rsidRDefault="00012402" w:rsidP="00A51C46">
            <w:pPr>
              <w:rPr>
                <w:rFonts w:asciiTheme="majorHAnsi" w:eastAsia="Times New Roman" w:hAnsiTheme="majorHAnsi" w:cstheme="majorHAnsi"/>
                <w:b w:val="0"/>
                <w:bCs w:val="0"/>
                <w:color w:val="000000"/>
                <w:sz w:val="20"/>
                <w:szCs w:val="20"/>
                <w:lang w:val="ro-MD"/>
              </w:rPr>
            </w:pPr>
            <w:r w:rsidRPr="00B13B9A">
              <w:rPr>
                <w:rFonts w:asciiTheme="majorHAnsi" w:eastAsia="Times New Roman" w:hAnsiTheme="majorHAnsi" w:cstheme="majorHAnsi"/>
                <w:caps w:val="0"/>
                <w:color w:val="000000"/>
                <w:sz w:val="20"/>
                <w:szCs w:val="20"/>
                <w:lang w:val="ro-MD"/>
              </w:rPr>
              <w:t>Alte venituri din activitatea opera</w:t>
            </w:r>
            <w:r w:rsidR="00B13B9A" w:rsidRPr="00B13B9A">
              <w:rPr>
                <w:rFonts w:asciiTheme="majorHAnsi" w:eastAsia="Times New Roman" w:hAnsiTheme="majorHAnsi" w:cstheme="majorHAnsi"/>
                <w:caps w:val="0"/>
                <w:color w:val="000000"/>
                <w:sz w:val="20"/>
                <w:szCs w:val="20"/>
                <w:lang w:val="ro-MD"/>
              </w:rPr>
              <w:t>ț</w:t>
            </w:r>
            <w:r w:rsidRPr="00B13B9A">
              <w:rPr>
                <w:rFonts w:asciiTheme="majorHAnsi" w:eastAsia="Times New Roman" w:hAnsiTheme="majorHAnsi" w:cstheme="majorHAnsi"/>
                <w:caps w:val="0"/>
                <w:color w:val="000000"/>
                <w:sz w:val="20"/>
                <w:szCs w:val="20"/>
                <w:lang w:val="ro-MD"/>
              </w:rPr>
              <w:t>ională</w:t>
            </w:r>
          </w:p>
        </w:tc>
        <w:tc>
          <w:tcPr>
            <w:tcW w:w="1271" w:type="dxa"/>
            <w:hideMark/>
          </w:tcPr>
          <w:p w14:paraId="4DCA9ABD" w14:textId="77777777" w:rsidR="00012402" w:rsidRPr="00B13B9A" w:rsidRDefault="00012402" w:rsidP="00A51C46">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B13B9A">
              <w:rPr>
                <w:rFonts w:asciiTheme="majorHAnsi" w:eastAsia="Times New Roman" w:hAnsiTheme="majorHAnsi" w:cstheme="majorHAnsi"/>
                <w:sz w:val="20"/>
                <w:szCs w:val="20"/>
                <w:lang w:val="ro-MD"/>
              </w:rPr>
              <w:t>9,3</w:t>
            </w:r>
          </w:p>
        </w:tc>
        <w:tc>
          <w:tcPr>
            <w:tcW w:w="1413" w:type="dxa"/>
            <w:hideMark/>
          </w:tcPr>
          <w:p w14:paraId="709F33B4" w14:textId="77777777" w:rsidR="00012402" w:rsidRPr="00B13B9A" w:rsidRDefault="00012402" w:rsidP="00A51C46">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B13B9A">
              <w:rPr>
                <w:rFonts w:asciiTheme="majorHAnsi" w:eastAsia="Times New Roman" w:hAnsiTheme="majorHAnsi" w:cstheme="majorHAnsi"/>
                <w:sz w:val="20"/>
                <w:szCs w:val="20"/>
                <w:lang w:val="ro-MD"/>
              </w:rPr>
              <w:t>87,2</w:t>
            </w:r>
          </w:p>
        </w:tc>
        <w:tc>
          <w:tcPr>
            <w:tcW w:w="1129" w:type="dxa"/>
            <w:noWrap/>
            <w:hideMark/>
          </w:tcPr>
          <w:p w14:paraId="268F6193" w14:textId="77777777" w:rsidR="00012402" w:rsidRPr="00B13B9A" w:rsidRDefault="00012402" w:rsidP="00A51C46">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77,9</w:t>
            </w:r>
          </w:p>
        </w:tc>
      </w:tr>
      <w:tr w:rsidR="00012402" w:rsidRPr="00B13B9A" w14:paraId="34219A0D" w14:textId="77777777" w:rsidTr="00A51C46">
        <w:trPr>
          <w:trHeight w:val="20"/>
        </w:trPr>
        <w:tc>
          <w:tcPr>
            <w:cnfStyle w:val="001000000000" w:firstRow="0" w:lastRow="0" w:firstColumn="1" w:lastColumn="0" w:oddVBand="0" w:evenVBand="0" w:oddHBand="0" w:evenHBand="0" w:firstRowFirstColumn="0" w:firstRowLastColumn="0" w:lastRowFirstColumn="0" w:lastRowLastColumn="0"/>
            <w:tcW w:w="4815" w:type="dxa"/>
            <w:tcBorders>
              <w:right w:val="none" w:sz="0" w:space="0" w:color="auto"/>
            </w:tcBorders>
            <w:hideMark/>
          </w:tcPr>
          <w:p w14:paraId="21FC5D5B" w14:textId="77777777" w:rsidR="00012402" w:rsidRPr="00B13B9A" w:rsidRDefault="00012402" w:rsidP="00A51C46">
            <w:pPr>
              <w:rPr>
                <w:rFonts w:asciiTheme="majorHAnsi" w:eastAsia="Times New Roman" w:hAnsiTheme="majorHAnsi" w:cstheme="majorHAnsi"/>
                <w:b w:val="0"/>
                <w:bCs w:val="0"/>
                <w:color w:val="000000"/>
                <w:sz w:val="20"/>
                <w:szCs w:val="20"/>
                <w:lang w:val="ro-MD"/>
              </w:rPr>
            </w:pPr>
            <w:r w:rsidRPr="00B13B9A">
              <w:rPr>
                <w:rFonts w:asciiTheme="majorHAnsi" w:eastAsia="Times New Roman" w:hAnsiTheme="majorHAnsi" w:cstheme="majorHAnsi"/>
                <w:caps w:val="0"/>
                <w:color w:val="000000"/>
                <w:sz w:val="20"/>
                <w:szCs w:val="20"/>
                <w:lang w:val="ro-MD"/>
              </w:rPr>
              <w:t>Cheltuieli administrative</w:t>
            </w:r>
          </w:p>
        </w:tc>
        <w:tc>
          <w:tcPr>
            <w:tcW w:w="1271" w:type="dxa"/>
            <w:hideMark/>
          </w:tcPr>
          <w:p w14:paraId="69963483" w14:textId="77777777" w:rsidR="00012402" w:rsidRPr="00B13B9A" w:rsidRDefault="00012402" w:rsidP="00A51C4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B13B9A">
              <w:rPr>
                <w:rFonts w:asciiTheme="majorHAnsi" w:eastAsia="Times New Roman" w:hAnsiTheme="majorHAnsi" w:cstheme="majorHAnsi"/>
                <w:sz w:val="20"/>
                <w:szCs w:val="20"/>
                <w:lang w:val="ro-MD"/>
              </w:rPr>
              <w:t>12852,5</w:t>
            </w:r>
          </w:p>
        </w:tc>
        <w:tc>
          <w:tcPr>
            <w:tcW w:w="1413" w:type="dxa"/>
            <w:hideMark/>
          </w:tcPr>
          <w:p w14:paraId="4269783B" w14:textId="77777777" w:rsidR="00012402" w:rsidRPr="00B13B9A" w:rsidRDefault="00012402" w:rsidP="00A51C4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B13B9A">
              <w:rPr>
                <w:rFonts w:asciiTheme="majorHAnsi" w:eastAsia="Times New Roman" w:hAnsiTheme="majorHAnsi" w:cstheme="majorHAnsi"/>
                <w:sz w:val="20"/>
                <w:szCs w:val="20"/>
                <w:lang w:val="ro-MD"/>
              </w:rPr>
              <w:t>17218,2</w:t>
            </w:r>
          </w:p>
        </w:tc>
        <w:tc>
          <w:tcPr>
            <w:tcW w:w="1129" w:type="dxa"/>
            <w:noWrap/>
            <w:hideMark/>
          </w:tcPr>
          <w:p w14:paraId="633645D3" w14:textId="77777777" w:rsidR="00012402" w:rsidRPr="00B13B9A" w:rsidRDefault="00012402" w:rsidP="00A51C4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4365,7</w:t>
            </w:r>
          </w:p>
        </w:tc>
      </w:tr>
      <w:tr w:rsidR="00012402" w:rsidRPr="00B13B9A" w14:paraId="334C88FA" w14:textId="77777777" w:rsidTr="00A51C4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15" w:type="dxa"/>
            <w:tcBorders>
              <w:right w:val="none" w:sz="0" w:space="0" w:color="auto"/>
            </w:tcBorders>
            <w:hideMark/>
          </w:tcPr>
          <w:p w14:paraId="081FBBDE" w14:textId="421A431E" w:rsidR="00012402" w:rsidRPr="00B13B9A" w:rsidRDefault="00012402" w:rsidP="00A51C46">
            <w:pPr>
              <w:rPr>
                <w:rFonts w:asciiTheme="majorHAnsi" w:eastAsia="Times New Roman" w:hAnsiTheme="majorHAnsi" w:cstheme="majorHAnsi"/>
                <w:b w:val="0"/>
                <w:bCs w:val="0"/>
                <w:color w:val="000000"/>
                <w:sz w:val="20"/>
                <w:szCs w:val="20"/>
                <w:lang w:val="ro-MD"/>
              </w:rPr>
            </w:pPr>
            <w:r w:rsidRPr="00B13B9A">
              <w:rPr>
                <w:rFonts w:asciiTheme="majorHAnsi" w:eastAsia="Times New Roman" w:hAnsiTheme="majorHAnsi" w:cstheme="majorHAnsi"/>
                <w:caps w:val="0"/>
                <w:color w:val="000000"/>
                <w:sz w:val="20"/>
                <w:szCs w:val="20"/>
                <w:lang w:val="ro-MD"/>
              </w:rPr>
              <w:t>Alte cheltuieli din activitatea opera</w:t>
            </w:r>
            <w:r w:rsidR="00B13B9A" w:rsidRPr="00B13B9A">
              <w:rPr>
                <w:rFonts w:asciiTheme="majorHAnsi" w:eastAsia="Times New Roman" w:hAnsiTheme="majorHAnsi" w:cstheme="majorHAnsi"/>
                <w:caps w:val="0"/>
                <w:color w:val="000000"/>
                <w:sz w:val="20"/>
                <w:szCs w:val="20"/>
                <w:lang w:val="ro-MD"/>
              </w:rPr>
              <w:t>ț</w:t>
            </w:r>
            <w:r w:rsidRPr="00B13B9A">
              <w:rPr>
                <w:rFonts w:asciiTheme="majorHAnsi" w:eastAsia="Times New Roman" w:hAnsiTheme="majorHAnsi" w:cstheme="majorHAnsi"/>
                <w:caps w:val="0"/>
                <w:color w:val="000000"/>
                <w:sz w:val="20"/>
                <w:szCs w:val="20"/>
                <w:lang w:val="ro-MD"/>
              </w:rPr>
              <w:t>ională</w:t>
            </w:r>
          </w:p>
        </w:tc>
        <w:tc>
          <w:tcPr>
            <w:tcW w:w="1271" w:type="dxa"/>
            <w:hideMark/>
          </w:tcPr>
          <w:p w14:paraId="4476F0A4" w14:textId="77777777" w:rsidR="00012402" w:rsidRPr="00B13B9A" w:rsidRDefault="00012402" w:rsidP="00A51C46">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B13B9A">
              <w:rPr>
                <w:rFonts w:asciiTheme="majorHAnsi" w:eastAsia="Times New Roman" w:hAnsiTheme="majorHAnsi" w:cstheme="majorHAnsi"/>
                <w:sz w:val="20"/>
                <w:szCs w:val="20"/>
                <w:lang w:val="ro-MD"/>
              </w:rPr>
              <w:t>106,1</w:t>
            </w:r>
          </w:p>
        </w:tc>
        <w:tc>
          <w:tcPr>
            <w:tcW w:w="1413" w:type="dxa"/>
            <w:hideMark/>
          </w:tcPr>
          <w:p w14:paraId="21FA97E0" w14:textId="77777777" w:rsidR="00012402" w:rsidRPr="00B13B9A" w:rsidRDefault="00012402" w:rsidP="00A51C46">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B13B9A">
              <w:rPr>
                <w:rFonts w:asciiTheme="majorHAnsi" w:eastAsia="Times New Roman" w:hAnsiTheme="majorHAnsi" w:cstheme="majorHAnsi"/>
                <w:sz w:val="20"/>
                <w:szCs w:val="20"/>
                <w:lang w:val="ro-MD"/>
              </w:rPr>
              <w:t>124,9</w:t>
            </w:r>
          </w:p>
        </w:tc>
        <w:tc>
          <w:tcPr>
            <w:tcW w:w="1129" w:type="dxa"/>
            <w:noWrap/>
            <w:hideMark/>
          </w:tcPr>
          <w:p w14:paraId="25A12D1D" w14:textId="77777777" w:rsidR="00012402" w:rsidRPr="00B13B9A" w:rsidRDefault="00012402" w:rsidP="00A51C46">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18,8</w:t>
            </w:r>
          </w:p>
        </w:tc>
      </w:tr>
      <w:tr w:rsidR="00012402" w:rsidRPr="00B13B9A" w14:paraId="200B1FE0" w14:textId="77777777" w:rsidTr="00A51C46">
        <w:trPr>
          <w:trHeight w:val="20"/>
        </w:trPr>
        <w:tc>
          <w:tcPr>
            <w:cnfStyle w:val="001000000000" w:firstRow="0" w:lastRow="0" w:firstColumn="1" w:lastColumn="0" w:oddVBand="0" w:evenVBand="0" w:oddHBand="0" w:evenHBand="0" w:firstRowFirstColumn="0" w:firstRowLastColumn="0" w:lastRowFirstColumn="0" w:lastRowLastColumn="0"/>
            <w:tcW w:w="4815" w:type="dxa"/>
            <w:tcBorders>
              <w:right w:val="none" w:sz="0" w:space="0" w:color="auto"/>
            </w:tcBorders>
            <w:hideMark/>
          </w:tcPr>
          <w:p w14:paraId="1A2FB7B0" w14:textId="4A315C1E" w:rsidR="00012402" w:rsidRPr="00B13B9A" w:rsidRDefault="00012402" w:rsidP="00A51C46">
            <w:pPr>
              <w:rPr>
                <w:rFonts w:asciiTheme="majorHAnsi" w:eastAsia="Times New Roman" w:hAnsiTheme="majorHAnsi" w:cstheme="majorHAnsi"/>
                <w:b w:val="0"/>
                <w:bCs w:val="0"/>
                <w:color w:val="000000"/>
                <w:sz w:val="20"/>
                <w:szCs w:val="20"/>
                <w:lang w:val="ro-MD"/>
              </w:rPr>
            </w:pPr>
            <w:r w:rsidRPr="00B13B9A">
              <w:rPr>
                <w:rFonts w:asciiTheme="majorHAnsi" w:eastAsia="Times New Roman" w:hAnsiTheme="majorHAnsi" w:cstheme="majorHAnsi"/>
                <w:caps w:val="0"/>
                <w:color w:val="000000"/>
                <w:sz w:val="20"/>
                <w:szCs w:val="20"/>
                <w:lang w:val="ro-MD"/>
              </w:rPr>
              <w:t>Rezultatul din activitatea opera</w:t>
            </w:r>
            <w:r w:rsidR="00B13B9A" w:rsidRPr="00B13B9A">
              <w:rPr>
                <w:rFonts w:asciiTheme="majorHAnsi" w:eastAsia="Times New Roman" w:hAnsiTheme="majorHAnsi" w:cstheme="majorHAnsi"/>
                <w:caps w:val="0"/>
                <w:color w:val="000000"/>
                <w:sz w:val="20"/>
                <w:szCs w:val="20"/>
                <w:lang w:val="ro-MD"/>
              </w:rPr>
              <w:t>ț</w:t>
            </w:r>
            <w:r w:rsidRPr="00B13B9A">
              <w:rPr>
                <w:rFonts w:asciiTheme="majorHAnsi" w:eastAsia="Times New Roman" w:hAnsiTheme="majorHAnsi" w:cstheme="majorHAnsi"/>
                <w:caps w:val="0"/>
                <w:color w:val="000000"/>
                <w:sz w:val="20"/>
                <w:szCs w:val="20"/>
                <w:lang w:val="ro-MD"/>
              </w:rPr>
              <w:t>ională: profit (pierdere)</w:t>
            </w:r>
          </w:p>
        </w:tc>
        <w:tc>
          <w:tcPr>
            <w:tcW w:w="1271" w:type="dxa"/>
            <w:hideMark/>
          </w:tcPr>
          <w:p w14:paraId="33A69EC0" w14:textId="77777777" w:rsidR="00012402" w:rsidRPr="00B13B9A" w:rsidRDefault="00012402" w:rsidP="00A51C4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rPr>
            </w:pPr>
            <w:r w:rsidRPr="00B13B9A">
              <w:rPr>
                <w:rFonts w:asciiTheme="majorHAnsi" w:eastAsia="Times New Roman" w:hAnsiTheme="majorHAnsi" w:cstheme="majorHAnsi"/>
                <w:b/>
                <w:bCs/>
                <w:sz w:val="20"/>
                <w:szCs w:val="20"/>
                <w:lang w:val="ro-MD"/>
              </w:rPr>
              <w:t>33,9</w:t>
            </w:r>
          </w:p>
        </w:tc>
        <w:tc>
          <w:tcPr>
            <w:tcW w:w="1413" w:type="dxa"/>
            <w:hideMark/>
          </w:tcPr>
          <w:p w14:paraId="1A24EDFD" w14:textId="77777777" w:rsidR="00012402" w:rsidRPr="00B13B9A" w:rsidRDefault="00012402" w:rsidP="00A51C4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rPr>
            </w:pPr>
            <w:r w:rsidRPr="00B13B9A">
              <w:rPr>
                <w:rFonts w:asciiTheme="majorHAnsi" w:eastAsia="Times New Roman" w:hAnsiTheme="majorHAnsi" w:cstheme="majorHAnsi"/>
                <w:b/>
                <w:bCs/>
                <w:sz w:val="20"/>
                <w:szCs w:val="20"/>
                <w:lang w:val="ro-MD"/>
              </w:rPr>
              <w:t>-34,8</w:t>
            </w:r>
          </w:p>
        </w:tc>
        <w:tc>
          <w:tcPr>
            <w:tcW w:w="1129" w:type="dxa"/>
            <w:noWrap/>
            <w:hideMark/>
          </w:tcPr>
          <w:p w14:paraId="15CACC45" w14:textId="77777777" w:rsidR="00012402" w:rsidRPr="00B13B9A" w:rsidRDefault="00012402" w:rsidP="00A51C4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-68,7</w:t>
            </w:r>
          </w:p>
        </w:tc>
      </w:tr>
      <w:tr w:rsidR="00012402" w:rsidRPr="00B13B9A" w14:paraId="09E97505" w14:textId="77777777" w:rsidTr="00A51C4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15" w:type="dxa"/>
            <w:tcBorders>
              <w:right w:val="none" w:sz="0" w:space="0" w:color="auto"/>
            </w:tcBorders>
            <w:hideMark/>
          </w:tcPr>
          <w:p w14:paraId="65D29FAD" w14:textId="77777777" w:rsidR="00012402" w:rsidRPr="00B13B9A" w:rsidRDefault="00012402" w:rsidP="00A51C46">
            <w:pPr>
              <w:rPr>
                <w:rFonts w:asciiTheme="majorHAnsi" w:eastAsia="Times New Roman" w:hAnsiTheme="majorHAnsi" w:cstheme="majorHAnsi"/>
                <w:b w:val="0"/>
                <w:bCs w:val="0"/>
                <w:color w:val="000000"/>
                <w:sz w:val="20"/>
                <w:szCs w:val="20"/>
                <w:lang w:val="ro-MD"/>
              </w:rPr>
            </w:pPr>
            <w:r w:rsidRPr="00B13B9A">
              <w:rPr>
                <w:rFonts w:asciiTheme="majorHAnsi" w:eastAsia="Times New Roman" w:hAnsiTheme="majorHAnsi" w:cstheme="majorHAnsi"/>
                <w:caps w:val="0"/>
                <w:color w:val="000000"/>
                <w:sz w:val="20"/>
                <w:szCs w:val="20"/>
                <w:lang w:val="ro-MD"/>
              </w:rPr>
              <w:t>Venituri financiare, total</w:t>
            </w:r>
          </w:p>
        </w:tc>
        <w:tc>
          <w:tcPr>
            <w:tcW w:w="1271" w:type="dxa"/>
            <w:hideMark/>
          </w:tcPr>
          <w:p w14:paraId="5C449EBD" w14:textId="77777777" w:rsidR="00012402" w:rsidRPr="00B13B9A" w:rsidRDefault="00012402" w:rsidP="00A51C46">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B13B9A">
              <w:rPr>
                <w:rFonts w:asciiTheme="majorHAnsi" w:eastAsia="Times New Roman" w:hAnsiTheme="majorHAnsi" w:cstheme="majorHAnsi"/>
                <w:sz w:val="20"/>
                <w:szCs w:val="20"/>
                <w:lang w:val="ro-MD"/>
              </w:rPr>
              <w:t>236,7</w:t>
            </w:r>
          </w:p>
        </w:tc>
        <w:tc>
          <w:tcPr>
            <w:tcW w:w="1413" w:type="dxa"/>
            <w:hideMark/>
          </w:tcPr>
          <w:p w14:paraId="4F8AB245" w14:textId="77777777" w:rsidR="00012402" w:rsidRPr="00B13B9A" w:rsidRDefault="00012402" w:rsidP="00A51C46">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B13B9A">
              <w:rPr>
                <w:rFonts w:asciiTheme="majorHAnsi" w:eastAsia="Times New Roman" w:hAnsiTheme="majorHAnsi" w:cstheme="majorHAnsi"/>
                <w:sz w:val="20"/>
                <w:szCs w:val="20"/>
                <w:lang w:val="ro-MD"/>
              </w:rPr>
              <w:t>548,8</w:t>
            </w:r>
          </w:p>
        </w:tc>
        <w:tc>
          <w:tcPr>
            <w:tcW w:w="1129" w:type="dxa"/>
            <w:noWrap/>
            <w:hideMark/>
          </w:tcPr>
          <w:p w14:paraId="16E5D357" w14:textId="77777777" w:rsidR="00012402" w:rsidRPr="00B13B9A" w:rsidRDefault="00012402" w:rsidP="00A51C46">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312,1</w:t>
            </w:r>
          </w:p>
        </w:tc>
      </w:tr>
      <w:tr w:rsidR="00012402" w:rsidRPr="00B13B9A" w14:paraId="357A194D" w14:textId="77777777" w:rsidTr="00A51C46">
        <w:trPr>
          <w:trHeight w:val="20"/>
        </w:trPr>
        <w:tc>
          <w:tcPr>
            <w:cnfStyle w:val="001000000000" w:firstRow="0" w:lastRow="0" w:firstColumn="1" w:lastColumn="0" w:oddVBand="0" w:evenVBand="0" w:oddHBand="0" w:evenHBand="0" w:firstRowFirstColumn="0" w:firstRowLastColumn="0" w:lastRowFirstColumn="0" w:lastRowLastColumn="0"/>
            <w:tcW w:w="4815" w:type="dxa"/>
            <w:tcBorders>
              <w:right w:val="none" w:sz="0" w:space="0" w:color="auto"/>
            </w:tcBorders>
            <w:hideMark/>
          </w:tcPr>
          <w:p w14:paraId="5C3AEE12" w14:textId="77777777" w:rsidR="00012402" w:rsidRPr="00B13B9A" w:rsidRDefault="00012402" w:rsidP="00A51C46">
            <w:pPr>
              <w:rPr>
                <w:rFonts w:asciiTheme="majorHAnsi" w:eastAsia="Times New Roman" w:hAnsiTheme="majorHAnsi" w:cstheme="majorHAnsi"/>
                <w:b w:val="0"/>
                <w:bCs w:val="0"/>
                <w:color w:val="000000"/>
                <w:sz w:val="20"/>
                <w:szCs w:val="20"/>
                <w:lang w:val="ro-MD"/>
              </w:rPr>
            </w:pPr>
            <w:r w:rsidRPr="00B13B9A">
              <w:rPr>
                <w:rFonts w:asciiTheme="majorHAnsi" w:eastAsia="Times New Roman" w:hAnsiTheme="majorHAnsi" w:cstheme="majorHAnsi"/>
                <w:caps w:val="0"/>
                <w:color w:val="000000"/>
                <w:sz w:val="20"/>
                <w:szCs w:val="20"/>
                <w:lang w:val="ro-MD"/>
              </w:rPr>
              <w:t>Cheltuieli financiare, total</w:t>
            </w:r>
          </w:p>
        </w:tc>
        <w:tc>
          <w:tcPr>
            <w:tcW w:w="1271" w:type="dxa"/>
            <w:hideMark/>
          </w:tcPr>
          <w:p w14:paraId="5BCC1DA7" w14:textId="77777777" w:rsidR="00012402" w:rsidRPr="00B13B9A" w:rsidRDefault="00012402" w:rsidP="00A51C4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B13B9A">
              <w:rPr>
                <w:rFonts w:asciiTheme="majorHAnsi" w:eastAsia="Times New Roman" w:hAnsiTheme="majorHAnsi" w:cstheme="majorHAnsi"/>
                <w:sz w:val="20"/>
                <w:szCs w:val="20"/>
                <w:lang w:val="ro-MD"/>
              </w:rPr>
              <w:t>297,6</w:t>
            </w:r>
          </w:p>
        </w:tc>
        <w:tc>
          <w:tcPr>
            <w:tcW w:w="1413" w:type="dxa"/>
            <w:hideMark/>
          </w:tcPr>
          <w:p w14:paraId="409A65D6" w14:textId="77777777" w:rsidR="00012402" w:rsidRPr="00B13B9A" w:rsidRDefault="00012402" w:rsidP="00A51C4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B13B9A">
              <w:rPr>
                <w:rFonts w:asciiTheme="majorHAnsi" w:eastAsia="Times New Roman" w:hAnsiTheme="majorHAnsi" w:cstheme="majorHAnsi"/>
                <w:sz w:val="20"/>
                <w:szCs w:val="20"/>
                <w:lang w:val="ro-MD"/>
              </w:rPr>
              <w:t>514,0</w:t>
            </w:r>
          </w:p>
        </w:tc>
        <w:tc>
          <w:tcPr>
            <w:tcW w:w="1129" w:type="dxa"/>
            <w:noWrap/>
            <w:hideMark/>
          </w:tcPr>
          <w:p w14:paraId="7E41983B" w14:textId="77777777" w:rsidR="00012402" w:rsidRPr="00B13B9A" w:rsidRDefault="00012402" w:rsidP="00A51C4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216,4</w:t>
            </w:r>
          </w:p>
        </w:tc>
      </w:tr>
      <w:tr w:rsidR="00012402" w:rsidRPr="00B13B9A" w14:paraId="0229D9D8" w14:textId="77777777" w:rsidTr="00A51C4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15" w:type="dxa"/>
            <w:tcBorders>
              <w:right w:val="none" w:sz="0" w:space="0" w:color="auto"/>
            </w:tcBorders>
            <w:hideMark/>
          </w:tcPr>
          <w:p w14:paraId="28298135" w14:textId="77777777" w:rsidR="00012402" w:rsidRPr="00B13B9A" w:rsidRDefault="00012402" w:rsidP="00A51C46">
            <w:pPr>
              <w:rPr>
                <w:rFonts w:asciiTheme="majorHAnsi" w:eastAsia="Times New Roman" w:hAnsiTheme="majorHAnsi" w:cstheme="majorHAnsi"/>
                <w:b w:val="0"/>
                <w:bCs w:val="0"/>
                <w:color w:val="000000"/>
                <w:sz w:val="20"/>
                <w:szCs w:val="20"/>
                <w:lang w:val="ro-MD"/>
              </w:rPr>
            </w:pPr>
            <w:r w:rsidRPr="00B13B9A">
              <w:rPr>
                <w:rFonts w:asciiTheme="majorHAnsi" w:eastAsia="Times New Roman" w:hAnsiTheme="majorHAnsi" w:cstheme="majorHAnsi"/>
                <w:caps w:val="0"/>
                <w:color w:val="000000"/>
                <w:sz w:val="20"/>
                <w:szCs w:val="20"/>
                <w:lang w:val="ro-MD"/>
              </w:rPr>
              <w:t>Rezultatul: profit (pierdere) financiar(a)</w:t>
            </w:r>
          </w:p>
        </w:tc>
        <w:tc>
          <w:tcPr>
            <w:tcW w:w="1271" w:type="dxa"/>
            <w:hideMark/>
          </w:tcPr>
          <w:p w14:paraId="5B4E86C0" w14:textId="77777777" w:rsidR="00012402" w:rsidRPr="00B13B9A" w:rsidRDefault="00012402" w:rsidP="00A51C46">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B13B9A">
              <w:rPr>
                <w:rFonts w:asciiTheme="majorHAnsi" w:eastAsia="Times New Roman" w:hAnsiTheme="majorHAnsi" w:cstheme="majorHAnsi"/>
                <w:sz w:val="20"/>
                <w:szCs w:val="20"/>
                <w:lang w:val="ro-MD"/>
              </w:rPr>
              <w:t>33,9</w:t>
            </w:r>
          </w:p>
        </w:tc>
        <w:tc>
          <w:tcPr>
            <w:tcW w:w="1413" w:type="dxa"/>
            <w:hideMark/>
          </w:tcPr>
          <w:p w14:paraId="6E944BF0" w14:textId="77777777" w:rsidR="00012402" w:rsidRPr="00B13B9A" w:rsidRDefault="00012402" w:rsidP="00A51C46">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B13B9A">
              <w:rPr>
                <w:rFonts w:asciiTheme="majorHAnsi" w:eastAsia="Times New Roman" w:hAnsiTheme="majorHAnsi" w:cstheme="majorHAnsi"/>
                <w:sz w:val="20"/>
                <w:szCs w:val="20"/>
                <w:lang w:val="ro-MD"/>
              </w:rPr>
              <w:t>34,8</w:t>
            </w:r>
          </w:p>
        </w:tc>
        <w:tc>
          <w:tcPr>
            <w:tcW w:w="1129" w:type="dxa"/>
            <w:noWrap/>
            <w:hideMark/>
          </w:tcPr>
          <w:p w14:paraId="4A322E5F" w14:textId="77777777" w:rsidR="00012402" w:rsidRPr="00B13B9A" w:rsidRDefault="00012402" w:rsidP="00A51C46">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0,9</w:t>
            </w:r>
          </w:p>
        </w:tc>
      </w:tr>
      <w:tr w:rsidR="00012402" w:rsidRPr="00B13B9A" w14:paraId="75A443EB" w14:textId="77777777" w:rsidTr="00A51C46">
        <w:trPr>
          <w:trHeight w:val="20"/>
        </w:trPr>
        <w:tc>
          <w:tcPr>
            <w:cnfStyle w:val="001000000000" w:firstRow="0" w:lastRow="0" w:firstColumn="1" w:lastColumn="0" w:oddVBand="0" w:evenVBand="0" w:oddHBand="0" w:evenHBand="0" w:firstRowFirstColumn="0" w:firstRowLastColumn="0" w:lastRowFirstColumn="0" w:lastRowLastColumn="0"/>
            <w:tcW w:w="4815" w:type="dxa"/>
            <w:tcBorders>
              <w:right w:val="none" w:sz="0" w:space="0" w:color="auto"/>
            </w:tcBorders>
            <w:hideMark/>
          </w:tcPr>
          <w:p w14:paraId="1A96D317" w14:textId="58FCBACA" w:rsidR="00012402" w:rsidRPr="00B13B9A" w:rsidRDefault="00012402" w:rsidP="00A51C46">
            <w:pPr>
              <w:rPr>
                <w:rFonts w:asciiTheme="majorHAnsi" w:eastAsia="Times New Roman" w:hAnsiTheme="majorHAnsi" w:cstheme="majorHAnsi"/>
                <w:b w:val="0"/>
                <w:bCs w:val="0"/>
                <w:color w:val="000000"/>
                <w:sz w:val="20"/>
                <w:szCs w:val="20"/>
                <w:lang w:val="ro-MD"/>
              </w:rPr>
            </w:pPr>
            <w:r w:rsidRPr="00B13B9A">
              <w:rPr>
                <w:rFonts w:asciiTheme="majorHAnsi" w:eastAsia="Times New Roman" w:hAnsiTheme="majorHAnsi" w:cstheme="majorHAnsi"/>
                <w:caps w:val="0"/>
                <w:color w:val="000000"/>
                <w:sz w:val="20"/>
                <w:szCs w:val="20"/>
                <w:lang w:val="ro-MD"/>
              </w:rPr>
              <w:t>Rezultatul din alte activită</w:t>
            </w:r>
            <w:r w:rsidR="00B13B9A" w:rsidRPr="00B13B9A">
              <w:rPr>
                <w:rFonts w:asciiTheme="majorHAnsi" w:eastAsia="Times New Roman" w:hAnsiTheme="majorHAnsi" w:cstheme="majorHAnsi"/>
                <w:caps w:val="0"/>
                <w:color w:val="000000"/>
                <w:sz w:val="20"/>
                <w:szCs w:val="20"/>
                <w:lang w:val="ro-MD"/>
              </w:rPr>
              <w:t>ț</w:t>
            </w:r>
            <w:r w:rsidRPr="00B13B9A">
              <w:rPr>
                <w:rFonts w:asciiTheme="majorHAnsi" w:eastAsia="Times New Roman" w:hAnsiTheme="majorHAnsi" w:cstheme="majorHAnsi"/>
                <w:caps w:val="0"/>
                <w:color w:val="000000"/>
                <w:sz w:val="20"/>
                <w:szCs w:val="20"/>
                <w:lang w:val="ro-MD"/>
              </w:rPr>
              <w:t>i: profit (pierdere)</w:t>
            </w:r>
          </w:p>
        </w:tc>
        <w:tc>
          <w:tcPr>
            <w:tcW w:w="1271" w:type="dxa"/>
            <w:hideMark/>
          </w:tcPr>
          <w:p w14:paraId="272CE5DD" w14:textId="77777777" w:rsidR="00012402" w:rsidRPr="00B13B9A" w:rsidRDefault="00012402" w:rsidP="00A51C4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rPr>
            </w:pPr>
            <w:r w:rsidRPr="00B13B9A">
              <w:rPr>
                <w:rFonts w:asciiTheme="majorHAnsi" w:eastAsia="Times New Roman" w:hAnsiTheme="majorHAnsi" w:cstheme="majorHAnsi"/>
                <w:b/>
                <w:bCs/>
                <w:sz w:val="20"/>
                <w:szCs w:val="20"/>
                <w:lang w:val="ro-MD"/>
              </w:rPr>
              <w:t>-33,9</w:t>
            </w:r>
          </w:p>
        </w:tc>
        <w:tc>
          <w:tcPr>
            <w:tcW w:w="1413" w:type="dxa"/>
            <w:hideMark/>
          </w:tcPr>
          <w:p w14:paraId="007B04DD" w14:textId="77777777" w:rsidR="00012402" w:rsidRPr="00B13B9A" w:rsidRDefault="00012402" w:rsidP="00A51C4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rPr>
            </w:pPr>
            <w:r w:rsidRPr="00B13B9A">
              <w:rPr>
                <w:rFonts w:asciiTheme="majorHAnsi" w:eastAsia="Times New Roman" w:hAnsiTheme="majorHAnsi" w:cstheme="majorHAnsi"/>
                <w:b/>
                <w:bCs/>
                <w:sz w:val="20"/>
                <w:szCs w:val="20"/>
                <w:lang w:val="ro-MD"/>
              </w:rPr>
              <w:t>34,8</w:t>
            </w:r>
          </w:p>
        </w:tc>
        <w:tc>
          <w:tcPr>
            <w:tcW w:w="1129" w:type="dxa"/>
            <w:noWrap/>
            <w:hideMark/>
          </w:tcPr>
          <w:p w14:paraId="0A7640E5" w14:textId="77777777" w:rsidR="00012402" w:rsidRPr="00B13B9A" w:rsidRDefault="00012402" w:rsidP="00A51C4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68,7</w:t>
            </w:r>
          </w:p>
        </w:tc>
      </w:tr>
      <w:tr w:rsidR="00012402" w:rsidRPr="00B13B9A" w14:paraId="672FC97D" w14:textId="77777777" w:rsidTr="00A51C4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15" w:type="dxa"/>
            <w:tcBorders>
              <w:right w:val="none" w:sz="0" w:space="0" w:color="auto"/>
            </w:tcBorders>
            <w:hideMark/>
          </w:tcPr>
          <w:p w14:paraId="39CE7297" w14:textId="77777777" w:rsidR="00012402" w:rsidRPr="00B13B9A" w:rsidRDefault="00012402" w:rsidP="00A51C46">
            <w:pPr>
              <w:rPr>
                <w:rFonts w:asciiTheme="majorHAnsi" w:eastAsia="Times New Roman" w:hAnsiTheme="majorHAnsi" w:cstheme="majorHAnsi"/>
                <w:b w:val="0"/>
                <w:bCs w:val="0"/>
                <w:color w:val="000000"/>
                <w:sz w:val="20"/>
                <w:szCs w:val="20"/>
                <w:lang w:val="ro-MD"/>
              </w:rPr>
            </w:pPr>
            <w:r w:rsidRPr="00B13B9A">
              <w:rPr>
                <w:rFonts w:asciiTheme="majorHAnsi" w:eastAsia="Times New Roman" w:hAnsiTheme="majorHAnsi" w:cstheme="majorHAnsi"/>
                <w:caps w:val="0"/>
                <w:color w:val="000000"/>
                <w:sz w:val="20"/>
                <w:szCs w:val="20"/>
                <w:lang w:val="ro-MD"/>
              </w:rPr>
              <w:t>Profit (pierdere) pînă la impozitare</w:t>
            </w:r>
          </w:p>
        </w:tc>
        <w:tc>
          <w:tcPr>
            <w:tcW w:w="1271" w:type="dxa"/>
            <w:hideMark/>
          </w:tcPr>
          <w:p w14:paraId="400ECF6A" w14:textId="77777777" w:rsidR="00012402" w:rsidRPr="00B13B9A" w:rsidRDefault="00012402" w:rsidP="00A51C46">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lang w:val="ro-MD"/>
              </w:rPr>
            </w:pPr>
            <w:r w:rsidRPr="00B13B9A">
              <w:rPr>
                <w:rFonts w:asciiTheme="majorHAnsi" w:eastAsia="Times New Roman" w:hAnsiTheme="majorHAnsi" w:cstheme="majorHAnsi"/>
                <w:b/>
                <w:bCs/>
                <w:sz w:val="20"/>
                <w:szCs w:val="20"/>
                <w:lang w:val="ro-MD"/>
              </w:rPr>
              <w:t>0,0</w:t>
            </w:r>
          </w:p>
        </w:tc>
        <w:tc>
          <w:tcPr>
            <w:tcW w:w="1413" w:type="dxa"/>
            <w:hideMark/>
          </w:tcPr>
          <w:p w14:paraId="1337F711" w14:textId="77777777" w:rsidR="00012402" w:rsidRPr="00B13B9A" w:rsidRDefault="00012402" w:rsidP="00A51C46">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lang w:val="ro-MD"/>
              </w:rPr>
            </w:pPr>
            <w:r w:rsidRPr="00B13B9A">
              <w:rPr>
                <w:rFonts w:asciiTheme="majorHAnsi" w:eastAsia="Times New Roman" w:hAnsiTheme="majorHAnsi" w:cstheme="majorHAnsi"/>
                <w:b/>
                <w:bCs/>
                <w:sz w:val="20"/>
                <w:szCs w:val="20"/>
                <w:lang w:val="ro-MD"/>
              </w:rPr>
              <w:t>0,0</w:t>
            </w:r>
          </w:p>
        </w:tc>
        <w:tc>
          <w:tcPr>
            <w:tcW w:w="1129" w:type="dxa"/>
            <w:noWrap/>
            <w:hideMark/>
          </w:tcPr>
          <w:p w14:paraId="650E0DAE" w14:textId="77777777" w:rsidR="00012402" w:rsidRPr="00B13B9A" w:rsidRDefault="00012402" w:rsidP="00A51C46">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0,0</w:t>
            </w:r>
          </w:p>
        </w:tc>
      </w:tr>
      <w:tr w:rsidR="00012402" w:rsidRPr="00B13B9A" w14:paraId="5134B9A8" w14:textId="77777777" w:rsidTr="00A51C46">
        <w:trPr>
          <w:trHeight w:val="20"/>
        </w:trPr>
        <w:tc>
          <w:tcPr>
            <w:cnfStyle w:val="001000000000" w:firstRow="0" w:lastRow="0" w:firstColumn="1" w:lastColumn="0" w:oddVBand="0" w:evenVBand="0" w:oddHBand="0" w:evenHBand="0" w:firstRowFirstColumn="0" w:firstRowLastColumn="0" w:lastRowFirstColumn="0" w:lastRowLastColumn="0"/>
            <w:tcW w:w="4815" w:type="dxa"/>
            <w:tcBorders>
              <w:right w:val="none" w:sz="0" w:space="0" w:color="auto"/>
            </w:tcBorders>
            <w:hideMark/>
          </w:tcPr>
          <w:p w14:paraId="2F51B53A" w14:textId="77777777" w:rsidR="00012402" w:rsidRPr="00B13B9A" w:rsidRDefault="00012402" w:rsidP="00A51C46">
            <w:pPr>
              <w:rPr>
                <w:rFonts w:asciiTheme="majorHAnsi" w:eastAsia="Times New Roman" w:hAnsiTheme="majorHAnsi" w:cstheme="majorHAnsi"/>
                <w:b w:val="0"/>
                <w:bCs w:val="0"/>
                <w:color w:val="000000"/>
                <w:sz w:val="20"/>
                <w:szCs w:val="20"/>
                <w:lang w:val="ro-MD"/>
              </w:rPr>
            </w:pPr>
            <w:r w:rsidRPr="00B13B9A">
              <w:rPr>
                <w:rFonts w:asciiTheme="majorHAnsi" w:eastAsia="Times New Roman" w:hAnsiTheme="majorHAnsi" w:cstheme="majorHAnsi"/>
                <w:caps w:val="0"/>
                <w:color w:val="000000"/>
                <w:sz w:val="20"/>
                <w:szCs w:val="20"/>
                <w:lang w:val="ro-MD"/>
              </w:rPr>
              <w:t>Profit net (pierdere neta)</w:t>
            </w:r>
          </w:p>
        </w:tc>
        <w:tc>
          <w:tcPr>
            <w:tcW w:w="1271" w:type="dxa"/>
            <w:hideMark/>
          </w:tcPr>
          <w:p w14:paraId="6CA22C5D" w14:textId="77777777" w:rsidR="00012402" w:rsidRPr="00B13B9A" w:rsidRDefault="00012402" w:rsidP="00A51C4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rPr>
            </w:pPr>
            <w:r w:rsidRPr="00B13B9A">
              <w:rPr>
                <w:rFonts w:asciiTheme="majorHAnsi" w:eastAsia="Times New Roman" w:hAnsiTheme="majorHAnsi" w:cstheme="majorHAnsi"/>
                <w:b/>
                <w:bCs/>
                <w:sz w:val="20"/>
                <w:szCs w:val="20"/>
                <w:lang w:val="ro-MD"/>
              </w:rPr>
              <w:t>0,0</w:t>
            </w:r>
          </w:p>
        </w:tc>
        <w:tc>
          <w:tcPr>
            <w:tcW w:w="1413" w:type="dxa"/>
            <w:hideMark/>
          </w:tcPr>
          <w:p w14:paraId="248CD1C4" w14:textId="77777777" w:rsidR="00012402" w:rsidRPr="00B13B9A" w:rsidRDefault="00012402" w:rsidP="00A51C4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rPr>
            </w:pPr>
            <w:r w:rsidRPr="00B13B9A">
              <w:rPr>
                <w:rFonts w:asciiTheme="majorHAnsi" w:eastAsia="Times New Roman" w:hAnsiTheme="majorHAnsi" w:cstheme="majorHAnsi"/>
                <w:b/>
                <w:bCs/>
                <w:sz w:val="20"/>
                <w:szCs w:val="20"/>
                <w:lang w:val="ro-MD"/>
              </w:rPr>
              <w:t>0,0</w:t>
            </w:r>
          </w:p>
        </w:tc>
        <w:tc>
          <w:tcPr>
            <w:tcW w:w="1129" w:type="dxa"/>
            <w:noWrap/>
            <w:hideMark/>
          </w:tcPr>
          <w:p w14:paraId="495807EC" w14:textId="77777777" w:rsidR="00012402" w:rsidRPr="00B13B9A" w:rsidRDefault="00012402" w:rsidP="00A51C4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0,0</w:t>
            </w:r>
          </w:p>
        </w:tc>
      </w:tr>
    </w:tbl>
    <w:p w14:paraId="6C2E8E7C" w14:textId="77777777" w:rsidR="00A51C46" w:rsidRDefault="00012402" w:rsidP="00A51C46">
      <w:pPr>
        <w:pStyle w:val="a7"/>
        <w:tabs>
          <w:tab w:val="left" w:pos="6946"/>
        </w:tabs>
        <w:spacing w:after="0" w:line="240" w:lineRule="auto"/>
        <w:ind w:left="0"/>
        <w:rPr>
          <w:rFonts w:asciiTheme="majorHAnsi" w:hAnsiTheme="majorHAnsi" w:cstheme="majorHAnsi"/>
          <w:i/>
          <w:sz w:val="20"/>
          <w:szCs w:val="20"/>
          <w:lang w:val="ro-MD"/>
        </w:rPr>
        <w:sectPr w:rsidR="00A51C46" w:rsidSect="00DB333D">
          <w:pgSz w:w="12240" w:h="15840"/>
          <w:pgMar w:top="851" w:right="758" w:bottom="1134" w:left="1701" w:header="708" w:footer="708" w:gutter="0"/>
          <w:cols w:space="708"/>
          <w:titlePg/>
          <w:docGrid w:linePitch="360"/>
        </w:sectPr>
      </w:pPr>
      <w:r w:rsidRPr="00B13B9A">
        <w:rPr>
          <w:rFonts w:asciiTheme="majorHAnsi" w:hAnsiTheme="majorHAnsi" w:cstheme="majorHAnsi"/>
          <w:b/>
          <w:i/>
          <w:sz w:val="20"/>
          <w:szCs w:val="20"/>
          <w:lang w:val="ro-MD"/>
        </w:rPr>
        <w:t xml:space="preserve">Sursă: </w:t>
      </w:r>
      <w:r w:rsidRPr="00B13B9A">
        <w:rPr>
          <w:rFonts w:asciiTheme="majorHAnsi" w:hAnsiTheme="majorHAnsi" w:cstheme="majorHAnsi"/>
          <w:i/>
          <w:sz w:val="20"/>
          <w:szCs w:val="20"/>
          <w:lang w:val="ro-MD"/>
        </w:rPr>
        <w:t>Situa</w:t>
      </w:r>
      <w:r w:rsidR="00B13B9A" w:rsidRPr="00B13B9A">
        <w:rPr>
          <w:rFonts w:asciiTheme="majorHAnsi" w:hAnsiTheme="majorHAnsi" w:cstheme="majorHAnsi"/>
          <w:i/>
          <w:sz w:val="20"/>
          <w:szCs w:val="20"/>
          <w:lang w:val="ro-MD"/>
        </w:rPr>
        <w:t>ț</w:t>
      </w:r>
      <w:r w:rsidRPr="00B13B9A">
        <w:rPr>
          <w:rFonts w:asciiTheme="majorHAnsi" w:hAnsiTheme="majorHAnsi" w:cstheme="majorHAnsi"/>
          <w:i/>
          <w:sz w:val="20"/>
          <w:szCs w:val="20"/>
          <w:lang w:val="ro-MD"/>
        </w:rPr>
        <w:t xml:space="preserve">ia de profit </w:t>
      </w:r>
      <w:r w:rsidR="00B13B9A" w:rsidRPr="00B13B9A">
        <w:rPr>
          <w:rFonts w:asciiTheme="majorHAnsi" w:hAnsiTheme="majorHAnsi" w:cstheme="majorHAnsi"/>
          <w:i/>
          <w:sz w:val="20"/>
          <w:szCs w:val="20"/>
          <w:lang w:val="ro-MD"/>
        </w:rPr>
        <w:t>ș</w:t>
      </w:r>
      <w:r w:rsidRPr="00B13B9A">
        <w:rPr>
          <w:rFonts w:asciiTheme="majorHAnsi" w:hAnsiTheme="majorHAnsi" w:cstheme="majorHAnsi"/>
          <w:i/>
          <w:sz w:val="20"/>
          <w:szCs w:val="20"/>
          <w:lang w:val="ro-MD"/>
        </w:rPr>
        <w:t xml:space="preserve">i pierdere pe anii 2021 </w:t>
      </w:r>
      <w:r w:rsidR="00B13B9A" w:rsidRPr="00B13B9A">
        <w:rPr>
          <w:rFonts w:asciiTheme="majorHAnsi" w:hAnsiTheme="majorHAnsi" w:cstheme="majorHAnsi"/>
          <w:i/>
          <w:sz w:val="20"/>
          <w:szCs w:val="20"/>
          <w:lang w:val="ro-MD"/>
        </w:rPr>
        <w:t>ș</w:t>
      </w:r>
      <w:r w:rsidRPr="00B13B9A">
        <w:rPr>
          <w:rFonts w:asciiTheme="majorHAnsi" w:hAnsiTheme="majorHAnsi" w:cstheme="majorHAnsi"/>
          <w:i/>
          <w:sz w:val="20"/>
          <w:szCs w:val="20"/>
          <w:lang w:val="ro-MD"/>
        </w:rPr>
        <w:t xml:space="preserve">i 2022  </w:t>
      </w:r>
    </w:p>
    <w:p w14:paraId="5EE7987E" w14:textId="77777777" w:rsidR="004C01B3" w:rsidRPr="00B13B9A" w:rsidRDefault="00C47D23" w:rsidP="00764FE8">
      <w:pPr>
        <w:pStyle w:val="3"/>
        <w:jc w:val="right"/>
        <w:rPr>
          <w:rFonts w:cstheme="majorHAnsi"/>
          <w:b/>
          <w:iCs/>
          <w:color w:val="auto"/>
        </w:rPr>
      </w:pPr>
      <w:bookmarkStart w:id="59" w:name="_Toc154562530"/>
      <w:r w:rsidRPr="00B13B9A">
        <w:rPr>
          <w:rFonts w:cstheme="majorHAnsi"/>
          <w:b/>
          <w:iCs/>
          <w:color w:val="auto"/>
        </w:rPr>
        <w:t xml:space="preserve">Anexa nr. </w:t>
      </w:r>
      <w:r w:rsidR="00782BD2" w:rsidRPr="00B13B9A">
        <w:rPr>
          <w:rFonts w:cstheme="majorHAnsi"/>
          <w:b/>
          <w:iCs/>
          <w:color w:val="auto"/>
        </w:rPr>
        <w:t>7</w:t>
      </w:r>
      <w:bookmarkEnd w:id="59"/>
    </w:p>
    <w:p w14:paraId="75D1F08A" w14:textId="3D09CCA0" w:rsidR="00782BD2" w:rsidRPr="00B13B9A" w:rsidRDefault="00782BD2" w:rsidP="00782BD2">
      <w:pPr>
        <w:spacing w:after="0" w:line="240" w:lineRule="auto"/>
        <w:jc w:val="center"/>
        <w:rPr>
          <w:rFonts w:asciiTheme="majorHAnsi" w:hAnsiTheme="majorHAnsi" w:cstheme="majorHAnsi"/>
          <w:b/>
          <w:iCs/>
          <w:sz w:val="24"/>
          <w:szCs w:val="24"/>
          <w:lang w:val="ro-MD"/>
        </w:rPr>
      </w:pPr>
      <w:r w:rsidRPr="00B13B9A">
        <w:rPr>
          <w:rFonts w:asciiTheme="majorHAnsi" w:hAnsiTheme="majorHAnsi" w:cstheme="majorHAnsi"/>
          <w:b/>
          <w:iCs/>
          <w:sz w:val="24"/>
          <w:szCs w:val="24"/>
          <w:lang w:val="ro-MD"/>
        </w:rPr>
        <w:t>Bilan</w:t>
      </w:r>
      <w:r w:rsidR="00B13B9A" w:rsidRPr="00B13B9A">
        <w:rPr>
          <w:rFonts w:asciiTheme="majorHAnsi" w:hAnsiTheme="majorHAnsi" w:cstheme="majorHAnsi"/>
          <w:b/>
          <w:iCs/>
          <w:sz w:val="24"/>
          <w:szCs w:val="24"/>
          <w:lang w:val="ro-MD"/>
        </w:rPr>
        <w:t>ț</w:t>
      </w:r>
      <w:r w:rsidRPr="00B13B9A">
        <w:rPr>
          <w:rFonts w:asciiTheme="majorHAnsi" w:hAnsiTheme="majorHAnsi" w:cstheme="majorHAnsi"/>
          <w:b/>
          <w:iCs/>
          <w:sz w:val="24"/>
          <w:szCs w:val="24"/>
          <w:lang w:val="ro-MD"/>
        </w:rPr>
        <w:t>ul contabil</w:t>
      </w:r>
      <w:r w:rsidR="005728AB" w:rsidRPr="00B13B9A">
        <w:rPr>
          <w:rFonts w:asciiTheme="majorHAnsi" w:hAnsiTheme="majorHAnsi" w:cstheme="majorHAnsi"/>
          <w:b/>
          <w:iCs/>
          <w:sz w:val="24"/>
          <w:szCs w:val="24"/>
          <w:lang w:val="ro-MD"/>
        </w:rPr>
        <w:t xml:space="preserve"> </w:t>
      </w:r>
      <w:r w:rsidR="005728AB" w:rsidRPr="00B13B9A">
        <w:rPr>
          <w:rFonts w:asciiTheme="majorHAnsi" w:hAnsiTheme="majorHAnsi" w:cstheme="majorHAnsi"/>
          <w:b/>
          <w:sz w:val="24"/>
          <w:szCs w:val="24"/>
          <w:lang w:val="ro-MD"/>
        </w:rPr>
        <w:t xml:space="preserve">al </w:t>
      </w:r>
      <w:r w:rsidR="005728AB" w:rsidRPr="00B13B9A">
        <w:rPr>
          <w:rFonts w:asciiTheme="majorHAnsi" w:hAnsiTheme="majorHAnsi" w:cstheme="majorHAnsi"/>
          <w:b/>
          <w:color w:val="000000" w:themeColor="text1"/>
          <w:sz w:val="24"/>
          <w:szCs w:val="24"/>
          <w:lang w:val="ro-MD"/>
        </w:rPr>
        <w:t xml:space="preserve">IMSP IFP </w:t>
      </w:r>
      <w:r w:rsidR="005728AB" w:rsidRPr="00B13B9A">
        <w:rPr>
          <w:rFonts w:asciiTheme="majorHAnsi" w:hAnsiTheme="majorHAnsi" w:cstheme="majorHAnsi"/>
          <w:b/>
          <w:sz w:val="24"/>
          <w:szCs w:val="24"/>
          <w:lang w:val="ro-MD"/>
        </w:rPr>
        <w:t>„Chiril Draganiuc” pe anii 2021 -2022</w:t>
      </w:r>
    </w:p>
    <w:tbl>
      <w:tblPr>
        <w:tblW w:w="9918" w:type="dxa"/>
        <w:tblLayout w:type="fixed"/>
        <w:tblLook w:val="04A0" w:firstRow="1" w:lastRow="0" w:firstColumn="1" w:lastColumn="0" w:noHBand="0" w:noVBand="1"/>
      </w:tblPr>
      <w:tblGrid>
        <w:gridCol w:w="3681"/>
        <w:gridCol w:w="1418"/>
        <w:gridCol w:w="1417"/>
        <w:gridCol w:w="11"/>
        <w:gridCol w:w="1407"/>
        <w:gridCol w:w="11"/>
        <w:gridCol w:w="1123"/>
        <w:gridCol w:w="11"/>
        <w:gridCol w:w="839"/>
      </w:tblGrid>
      <w:tr w:rsidR="004C01B3" w:rsidRPr="00B13B9A" w14:paraId="226448A4" w14:textId="77777777" w:rsidTr="00A51C46">
        <w:trPr>
          <w:trHeight w:val="20"/>
        </w:trPr>
        <w:tc>
          <w:tcPr>
            <w:tcW w:w="368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205C503" w14:textId="77777777" w:rsidR="004C01B3" w:rsidRPr="00B13B9A" w:rsidRDefault="004C01B3" w:rsidP="004C01B3">
            <w:pPr>
              <w:spacing w:after="0" w:line="240" w:lineRule="auto"/>
              <w:jc w:val="center"/>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A C T I V</w:t>
            </w:r>
          </w:p>
        </w:tc>
        <w:tc>
          <w:tcPr>
            <w:tcW w:w="4264" w:type="dxa"/>
            <w:gridSpan w:val="5"/>
            <w:tcBorders>
              <w:top w:val="single" w:sz="4" w:space="0" w:color="auto"/>
              <w:left w:val="nil"/>
              <w:bottom w:val="single" w:sz="4" w:space="0" w:color="auto"/>
              <w:right w:val="single" w:sz="4" w:space="0" w:color="auto"/>
            </w:tcBorders>
            <w:shd w:val="clear" w:color="auto" w:fill="auto"/>
            <w:vAlign w:val="center"/>
            <w:hideMark/>
          </w:tcPr>
          <w:p w14:paraId="0263C6B5" w14:textId="77777777" w:rsidR="004C01B3" w:rsidRPr="00B13B9A" w:rsidRDefault="004C01B3" w:rsidP="004C01B3">
            <w:pPr>
              <w:spacing w:after="0" w:line="240" w:lineRule="auto"/>
              <w:jc w:val="center"/>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Sold</w:t>
            </w:r>
          </w:p>
        </w:tc>
        <w:tc>
          <w:tcPr>
            <w:tcW w:w="1973" w:type="dxa"/>
            <w:gridSpan w:val="3"/>
            <w:tcBorders>
              <w:top w:val="single" w:sz="4" w:space="0" w:color="auto"/>
              <w:left w:val="nil"/>
              <w:bottom w:val="single" w:sz="4" w:space="0" w:color="auto"/>
              <w:right w:val="single" w:sz="4" w:space="0" w:color="000000"/>
            </w:tcBorders>
            <w:shd w:val="clear" w:color="auto" w:fill="auto"/>
            <w:vAlign w:val="center"/>
            <w:hideMark/>
          </w:tcPr>
          <w:p w14:paraId="48CAAD39" w14:textId="0DA3E0CE" w:rsidR="004C01B3" w:rsidRPr="00B13B9A" w:rsidRDefault="004C01B3" w:rsidP="004C01B3">
            <w:pPr>
              <w:spacing w:after="0" w:line="240" w:lineRule="auto"/>
              <w:jc w:val="center"/>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Devieri</w:t>
            </w:r>
            <w:r w:rsidR="00A51C46">
              <w:rPr>
                <w:rFonts w:asciiTheme="majorHAnsi" w:eastAsia="Times New Roman" w:hAnsiTheme="majorHAnsi" w:cstheme="majorHAnsi"/>
                <w:b/>
                <w:bCs/>
                <w:sz w:val="18"/>
                <w:szCs w:val="18"/>
                <w:lang w:val="ro-MD"/>
              </w:rPr>
              <w:t xml:space="preserve"> </w:t>
            </w:r>
            <w:r w:rsidR="00A51C46" w:rsidRPr="00B13B9A">
              <w:rPr>
                <w:rFonts w:asciiTheme="majorHAnsi" w:eastAsia="Times New Roman" w:hAnsiTheme="majorHAnsi" w:cstheme="majorHAnsi"/>
                <w:b/>
                <w:bCs/>
                <w:sz w:val="18"/>
                <w:szCs w:val="18"/>
                <w:lang w:val="ro-MD"/>
              </w:rPr>
              <w:t>2022/2021</w:t>
            </w:r>
          </w:p>
        </w:tc>
      </w:tr>
      <w:tr w:rsidR="004C01B3" w:rsidRPr="00B13B9A" w14:paraId="4C19D5EE" w14:textId="77777777" w:rsidTr="00A51C46">
        <w:trPr>
          <w:trHeight w:val="20"/>
        </w:trPr>
        <w:tc>
          <w:tcPr>
            <w:tcW w:w="3681" w:type="dxa"/>
            <w:vMerge/>
            <w:tcBorders>
              <w:top w:val="single" w:sz="4" w:space="0" w:color="auto"/>
              <w:left w:val="single" w:sz="4" w:space="0" w:color="auto"/>
              <w:bottom w:val="single" w:sz="4" w:space="0" w:color="auto"/>
              <w:right w:val="single" w:sz="4" w:space="0" w:color="auto"/>
            </w:tcBorders>
            <w:vAlign w:val="center"/>
            <w:hideMark/>
          </w:tcPr>
          <w:p w14:paraId="7C437964" w14:textId="77777777" w:rsidR="004C01B3" w:rsidRPr="00B13B9A" w:rsidRDefault="004C01B3" w:rsidP="004C01B3">
            <w:pPr>
              <w:spacing w:after="0" w:line="240" w:lineRule="auto"/>
              <w:rPr>
                <w:rFonts w:asciiTheme="majorHAnsi" w:eastAsia="Times New Roman" w:hAnsiTheme="majorHAnsi" w:cstheme="majorHAnsi"/>
                <w:color w:val="000000"/>
                <w:sz w:val="18"/>
                <w:szCs w:val="18"/>
                <w:lang w:val="ro-MD"/>
              </w:rPr>
            </w:pPr>
          </w:p>
        </w:tc>
        <w:tc>
          <w:tcPr>
            <w:tcW w:w="1418" w:type="dxa"/>
            <w:tcBorders>
              <w:top w:val="nil"/>
              <w:left w:val="nil"/>
              <w:bottom w:val="single" w:sz="4" w:space="0" w:color="auto"/>
              <w:right w:val="single" w:sz="4" w:space="0" w:color="auto"/>
            </w:tcBorders>
            <w:shd w:val="clear" w:color="auto" w:fill="auto"/>
            <w:vAlign w:val="center"/>
            <w:hideMark/>
          </w:tcPr>
          <w:p w14:paraId="4394EBE9" w14:textId="77777777" w:rsidR="004C01B3" w:rsidRPr="00B13B9A" w:rsidRDefault="004C01B3" w:rsidP="004C01B3">
            <w:pPr>
              <w:spacing w:after="0" w:line="240" w:lineRule="auto"/>
              <w:jc w:val="center"/>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01.01.2012</w:t>
            </w:r>
          </w:p>
        </w:tc>
        <w:tc>
          <w:tcPr>
            <w:tcW w:w="1417" w:type="dxa"/>
            <w:tcBorders>
              <w:top w:val="nil"/>
              <w:left w:val="nil"/>
              <w:bottom w:val="single" w:sz="4" w:space="0" w:color="auto"/>
              <w:right w:val="single" w:sz="4" w:space="0" w:color="auto"/>
            </w:tcBorders>
            <w:shd w:val="clear" w:color="auto" w:fill="auto"/>
            <w:vAlign w:val="center"/>
            <w:hideMark/>
          </w:tcPr>
          <w:p w14:paraId="432B29C7" w14:textId="77777777" w:rsidR="004C01B3" w:rsidRPr="00B13B9A" w:rsidRDefault="004C01B3" w:rsidP="004C01B3">
            <w:pPr>
              <w:spacing w:after="0" w:line="240" w:lineRule="auto"/>
              <w:jc w:val="center"/>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31.12.2021</w:t>
            </w:r>
          </w:p>
        </w:tc>
        <w:tc>
          <w:tcPr>
            <w:tcW w:w="1418" w:type="dxa"/>
            <w:gridSpan w:val="2"/>
            <w:tcBorders>
              <w:top w:val="nil"/>
              <w:left w:val="nil"/>
              <w:bottom w:val="single" w:sz="4" w:space="0" w:color="auto"/>
              <w:right w:val="single" w:sz="4" w:space="0" w:color="auto"/>
            </w:tcBorders>
            <w:shd w:val="clear" w:color="auto" w:fill="auto"/>
            <w:vAlign w:val="center"/>
            <w:hideMark/>
          </w:tcPr>
          <w:p w14:paraId="69EE92DA" w14:textId="77777777" w:rsidR="004C01B3" w:rsidRPr="00B13B9A" w:rsidRDefault="004C01B3" w:rsidP="004C01B3">
            <w:pPr>
              <w:spacing w:after="0" w:line="240" w:lineRule="auto"/>
              <w:jc w:val="center"/>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31.12.2022</w:t>
            </w:r>
          </w:p>
        </w:tc>
        <w:tc>
          <w:tcPr>
            <w:tcW w:w="1134" w:type="dxa"/>
            <w:gridSpan w:val="2"/>
            <w:tcBorders>
              <w:top w:val="nil"/>
              <w:left w:val="nil"/>
              <w:bottom w:val="single" w:sz="4" w:space="0" w:color="auto"/>
              <w:right w:val="single" w:sz="4" w:space="0" w:color="auto"/>
            </w:tcBorders>
            <w:shd w:val="clear" w:color="auto" w:fill="auto"/>
            <w:vAlign w:val="center"/>
            <w:hideMark/>
          </w:tcPr>
          <w:p w14:paraId="0084B40E" w14:textId="08BEBB63" w:rsidR="004C01B3" w:rsidRPr="00B13B9A" w:rsidRDefault="004C01B3" w:rsidP="004C01B3">
            <w:pPr>
              <w:spacing w:after="0" w:line="240" w:lineRule="auto"/>
              <w:jc w:val="center"/>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lei</w:t>
            </w:r>
          </w:p>
        </w:tc>
        <w:tc>
          <w:tcPr>
            <w:tcW w:w="850" w:type="dxa"/>
            <w:gridSpan w:val="2"/>
            <w:tcBorders>
              <w:top w:val="nil"/>
              <w:left w:val="nil"/>
              <w:bottom w:val="single" w:sz="4" w:space="0" w:color="auto"/>
              <w:right w:val="single" w:sz="4" w:space="0" w:color="auto"/>
            </w:tcBorders>
            <w:shd w:val="clear" w:color="auto" w:fill="auto"/>
            <w:vAlign w:val="center"/>
            <w:hideMark/>
          </w:tcPr>
          <w:p w14:paraId="7DFC1E0D" w14:textId="4997D107" w:rsidR="004C01B3" w:rsidRPr="00B13B9A" w:rsidRDefault="004C01B3" w:rsidP="004C01B3">
            <w:pPr>
              <w:spacing w:after="0" w:line="240" w:lineRule="auto"/>
              <w:jc w:val="center"/>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w:t>
            </w:r>
          </w:p>
        </w:tc>
      </w:tr>
      <w:tr w:rsidR="004C01B3" w:rsidRPr="00B13B9A" w14:paraId="4BE9BF11"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1630DE8F" w14:textId="708542CB" w:rsidR="004C01B3" w:rsidRPr="00B13B9A" w:rsidRDefault="00A51C46" w:rsidP="004C01B3">
            <w:pPr>
              <w:spacing w:after="0" w:line="240" w:lineRule="auto"/>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1</w:t>
            </w:r>
          </w:p>
        </w:tc>
        <w:tc>
          <w:tcPr>
            <w:tcW w:w="1418" w:type="dxa"/>
            <w:tcBorders>
              <w:top w:val="nil"/>
              <w:left w:val="nil"/>
              <w:bottom w:val="single" w:sz="4" w:space="0" w:color="auto"/>
              <w:right w:val="single" w:sz="4" w:space="0" w:color="auto"/>
            </w:tcBorders>
            <w:shd w:val="clear" w:color="auto" w:fill="auto"/>
            <w:noWrap/>
            <w:vAlign w:val="center"/>
            <w:hideMark/>
          </w:tcPr>
          <w:p w14:paraId="6BD6D848" w14:textId="065F9B61" w:rsidR="004C01B3" w:rsidRPr="00B13B9A" w:rsidRDefault="00A51C46" w:rsidP="004C01B3">
            <w:pPr>
              <w:spacing w:after="0" w:line="240" w:lineRule="auto"/>
              <w:jc w:val="center"/>
              <w:rPr>
                <w:rFonts w:asciiTheme="majorHAnsi" w:eastAsia="Times New Roman" w:hAnsiTheme="majorHAnsi" w:cstheme="majorHAnsi"/>
                <w:b/>
                <w:bCs/>
                <w:sz w:val="18"/>
                <w:szCs w:val="18"/>
                <w:lang w:val="ro-MD"/>
              </w:rPr>
            </w:pPr>
            <w:r>
              <w:rPr>
                <w:rFonts w:asciiTheme="majorHAnsi" w:eastAsia="Times New Roman" w:hAnsiTheme="majorHAnsi" w:cstheme="majorHAnsi"/>
                <w:b/>
                <w:bCs/>
                <w:sz w:val="18"/>
                <w:szCs w:val="18"/>
                <w:lang w:val="ro-MD"/>
              </w:rPr>
              <w:t>2</w:t>
            </w:r>
          </w:p>
        </w:tc>
        <w:tc>
          <w:tcPr>
            <w:tcW w:w="1417" w:type="dxa"/>
            <w:tcBorders>
              <w:top w:val="nil"/>
              <w:left w:val="nil"/>
              <w:bottom w:val="single" w:sz="4" w:space="0" w:color="auto"/>
              <w:right w:val="single" w:sz="4" w:space="0" w:color="auto"/>
            </w:tcBorders>
            <w:shd w:val="clear" w:color="auto" w:fill="auto"/>
            <w:noWrap/>
            <w:vAlign w:val="center"/>
            <w:hideMark/>
          </w:tcPr>
          <w:p w14:paraId="2C34352C" w14:textId="5DF363D6" w:rsidR="004C01B3" w:rsidRPr="00B13B9A" w:rsidRDefault="00A51C46" w:rsidP="004C01B3">
            <w:pPr>
              <w:spacing w:after="0" w:line="240" w:lineRule="auto"/>
              <w:jc w:val="center"/>
              <w:rPr>
                <w:rFonts w:asciiTheme="majorHAnsi" w:eastAsia="Times New Roman" w:hAnsiTheme="majorHAnsi" w:cstheme="majorHAnsi"/>
                <w:b/>
                <w:bCs/>
                <w:sz w:val="18"/>
                <w:szCs w:val="18"/>
                <w:lang w:val="ro-MD"/>
              </w:rPr>
            </w:pPr>
            <w:r>
              <w:rPr>
                <w:rFonts w:asciiTheme="majorHAnsi" w:eastAsia="Times New Roman" w:hAnsiTheme="majorHAnsi" w:cstheme="majorHAnsi"/>
                <w:b/>
                <w:bCs/>
                <w:sz w:val="18"/>
                <w:szCs w:val="18"/>
                <w:lang w:val="ro-MD"/>
              </w:rPr>
              <w:t>3</w:t>
            </w:r>
          </w:p>
        </w:tc>
        <w:tc>
          <w:tcPr>
            <w:tcW w:w="1418" w:type="dxa"/>
            <w:gridSpan w:val="2"/>
            <w:tcBorders>
              <w:top w:val="nil"/>
              <w:left w:val="nil"/>
              <w:bottom w:val="single" w:sz="4" w:space="0" w:color="auto"/>
              <w:right w:val="nil"/>
            </w:tcBorders>
            <w:shd w:val="clear" w:color="auto" w:fill="auto"/>
            <w:noWrap/>
            <w:vAlign w:val="center"/>
            <w:hideMark/>
          </w:tcPr>
          <w:p w14:paraId="69E8ABEE" w14:textId="32200B49" w:rsidR="004C01B3" w:rsidRPr="00B13B9A" w:rsidRDefault="00A51C46" w:rsidP="004C01B3">
            <w:pPr>
              <w:spacing w:after="0" w:line="240" w:lineRule="auto"/>
              <w:jc w:val="center"/>
              <w:rPr>
                <w:rFonts w:asciiTheme="majorHAnsi" w:eastAsia="Times New Roman" w:hAnsiTheme="majorHAnsi" w:cstheme="majorHAnsi"/>
                <w:b/>
                <w:bCs/>
                <w:sz w:val="18"/>
                <w:szCs w:val="18"/>
                <w:lang w:val="ro-MD"/>
              </w:rPr>
            </w:pPr>
            <w:r>
              <w:rPr>
                <w:rFonts w:asciiTheme="majorHAnsi" w:eastAsia="Times New Roman" w:hAnsiTheme="majorHAnsi" w:cstheme="majorHAnsi"/>
                <w:b/>
                <w:bCs/>
                <w:sz w:val="18"/>
                <w:szCs w:val="18"/>
                <w:lang w:val="ro-MD"/>
              </w:rPr>
              <w:t>4</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1E18A639" w14:textId="3CCAF8CE" w:rsidR="004C01B3" w:rsidRPr="00B13B9A" w:rsidRDefault="00A51C46" w:rsidP="00A51C46">
            <w:pPr>
              <w:spacing w:after="0" w:line="240" w:lineRule="auto"/>
              <w:jc w:val="center"/>
              <w:rPr>
                <w:rFonts w:asciiTheme="majorHAnsi" w:eastAsia="Times New Roman" w:hAnsiTheme="majorHAnsi" w:cstheme="majorHAnsi"/>
                <w:b/>
                <w:bCs/>
                <w:sz w:val="18"/>
                <w:szCs w:val="18"/>
                <w:lang w:val="ro-MD"/>
              </w:rPr>
            </w:pPr>
            <w:r>
              <w:rPr>
                <w:rFonts w:asciiTheme="majorHAnsi" w:eastAsia="Times New Roman" w:hAnsiTheme="majorHAnsi" w:cstheme="majorHAnsi"/>
                <w:b/>
                <w:bCs/>
                <w:sz w:val="18"/>
                <w:szCs w:val="18"/>
                <w:lang w:val="ro-MD"/>
              </w:rPr>
              <w:t>5</w:t>
            </w:r>
            <w:r w:rsidR="004C01B3" w:rsidRPr="00B13B9A">
              <w:rPr>
                <w:rFonts w:asciiTheme="majorHAnsi" w:eastAsia="Times New Roman" w:hAnsiTheme="majorHAnsi" w:cstheme="majorHAnsi"/>
                <w:b/>
                <w:bCs/>
                <w:sz w:val="18"/>
                <w:szCs w:val="18"/>
                <w:lang w:val="ro-MD"/>
              </w:rPr>
              <w:t>=</w:t>
            </w:r>
            <w:r>
              <w:rPr>
                <w:rFonts w:asciiTheme="majorHAnsi" w:eastAsia="Times New Roman" w:hAnsiTheme="majorHAnsi" w:cstheme="majorHAnsi"/>
                <w:b/>
                <w:bCs/>
                <w:sz w:val="18"/>
                <w:szCs w:val="18"/>
                <w:lang w:val="ro-MD"/>
              </w:rPr>
              <w:t>4</w:t>
            </w:r>
            <w:r w:rsidR="004C01B3" w:rsidRPr="00B13B9A">
              <w:rPr>
                <w:rFonts w:asciiTheme="majorHAnsi" w:eastAsia="Times New Roman" w:hAnsiTheme="majorHAnsi" w:cstheme="majorHAnsi"/>
                <w:b/>
                <w:bCs/>
                <w:sz w:val="18"/>
                <w:szCs w:val="18"/>
                <w:lang w:val="ro-MD"/>
              </w:rPr>
              <w:t>-</w:t>
            </w:r>
            <w:r>
              <w:rPr>
                <w:rFonts w:asciiTheme="majorHAnsi" w:eastAsia="Times New Roman" w:hAnsiTheme="majorHAnsi" w:cstheme="majorHAnsi"/>
                <w:b/>
                <w:bCs/>
                <w:sz w:val="18"/>
                <w:szCs w:val="18"/>
                <w:lang w:val="ro-MD"/>
              </w:rPr>
              <w:t>3</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32ADAD9A" w14:textId="30521ACF" w:rsidR="004C01B3" w:rsidRPr="00B13B9A" w:rsidRDefault="00A51C46" w:rsidP="00A51C46">
            <w:pPr>
              <w:spacing w:after="0" w:line="240" w:lineRule="auto"/>
              <w:jc w:val="center"/>
              <w:rPr>
                <w:rFonts w:asciiTheme="majorHAnsi" w:eastAsia="Times New Roman" w:hAnsiTheme="majorHAnsi" w:cstheme="majorHAnsi"/>
                <w:b/>
                <w:bCs/>
                <w:sz w:val="18"/>
                <w:szCs w:val="18"/>
                <w:lang w:val="ro-MD"/>
              </w:rPr>
            </w:pPr>
            <w:r>
              <w:rPr>
                <w:rFonts w:asciiTheme="majorHAnsi" w:eastAsia="Times New Roman" w:hAnsiTheme="majorHAnsi" w:cstheme="majorHAnsi"/>
                <w:b/>
                <w:bCs/>
                <w:sz w:val="18"/>
                <w:szCs w:val="18"/>
                <w:lang w:val="ro-MD"/>
              </w:rPr>
              <w:t>6</w:t>
            </w:r>
            <w:r w:rsidR="004C01B3" w:rsidRPr="00B13B9A">
              <w:rPr>
                <w:rFonts w:asciiTheme="majorHAnsi" w:eastAsia="Times New Roman" w:hAnsiTheme="majorHAnsi" w:cstheme="majorHAnsi"/>
                <w:b/>
                <w:bCs/>
                <w:sz w:val="18"/>
                <w:szCs w:val="18"/>
                <w:lang w:val="ro-MD"/>
              </w:rPr>
              <w:t>=</w:t>
            </w:r>
            <w:r>
              <w:rPr>
                <w:rFonts w:asciiTheme="majorHAnsi" w:eastAsia="Times New Roman" w:hAnsiTheme="majorHAnsi" w:cstheme="majorHAnsi"/>
                <w:b/>
                <w:bCs/>
                <w:sz w:val="18"/>
                <w:szCs w:val="18"/>
                <w:lang w:val="ro-MD"/>
              </w:rPr>
              <w:t>4</w:t>
            </w:r>
            <w:r w:rsidR="004C01B3" w:rsidRPr="00B13B9A">
              <w:rPr>
                <w:rFonts w:asciiTheme="majorHAnsi" w:eastAsia="Times New Roman" w:hAnsiTheme="majorHAnsi" w:cstheme="majorHAnsi"/>
                <w:b/>
                <w:bCs/>
                <w:sz w:val="18"/>
                <w:szCs w:val="18"/>
                <w:lang w:val="ro-MD"/>
              </w:rPr>
              <w:t>/</w:t>
            </w:r>
            <w:r>
              <w:rPr>
                <w:rFonts w:asciiTheme="majorHAnsi" w:eastAsia="Times New Roman" w:hAnsiTheme="majorHAnsi" w:cstheme="majorHAnsi"/>
                <w:b/>
                <w:bCs/>
                <w:sz w:val="18"/>
                <w:szCs w:val="18"/>
                <w:lang w:val="ro-MD"/>
              </w:rPr>
              <w:t>3</w:t>
            </w:r>
          </w:p>
        </w:tc>
      </w:tr>
      <w:tr w:rsidR="004C01B3" w:rsidRPr="00B13B9A" w14:paraId="1AA6EFD1"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6153CC03" w14:textId="77777777" w:rsidR="004C01B3" w:rsidRPr="00B13B9A" w:rsidRDefault="004C01B3" w:rsidP="004C01B3">
            <w:pPr>
              <w:spacing w:after="0" w:line="240" w:lineRule="auto"/>
              <w:rPr>
                <w:rFonts w:asciiTheme="majorHAnsi" w:eastAsia="Times New Roman" w:hAnsiTheme="majorHAnsi" w:cstheme="majorHAnsi"/>
                <w:b/>
                <w:bCs/>
                <w:color w:val="000000"/>
                <w:sz w:val="18"/>
                <w:szCs w:val="18"/>
                <w:lang w:val="ro-MD"/>
              </w:rPr>
            </w:pPr>
            <w:r w:rsidRPr="00B13B9A">
              <w:rPr>
                <w:rFonts w:asciiTheme="majorHAnsi" w:eastAsia="Times New Roman" w:hAnsiTheme="majorHAnsi" w:cstheme="majorHAnsi"/>
                <w:b/>
                <w:bCs/>
                <w:color w:val="000000"/>
                <w:sz w:val="18"/>
                <w:szCs w:val="18"/>
                <w:lang w:val="ro-MD"/>
              </w:rPr>
              <w:t>ACTIVE IMOBILIZATE</w:t>
            </w:r>
          </w:p>
        </w:tc>
        <w:tc>
          <w:tcPr>
            <w:tcW w:w="1418" w:type="dxa"/>
            <w:tcBorders>
              <w:top w:val="nil"/>
              <w:left w:val="nil"/>
              <w:bottom w:val="single" w:sz="4" w:space="0" w:color="auto"/>
              <w:right w:val="single" w:sz="4" w:space="0" w:color="auto"/>
            </w:tcBorders>
            <w:shd w:val="clear" w:color="auto" w:fill="auto"/>
            <w:vAlign w:val="center"/>
            <w:hideMark/>
          </w:tcPr>
          <w:p w14:paraId="66C66AF3" w14:textId="77777777" w:rsidR="004C01B3" w:rsidRPr="00B13B9A" w:rsidRDefault="004C01B3" w:rsidP="004C01B3">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417" w:type="dxa"/>
            <w:tcBorders>
              <w:top w:val="nil"/>
              <w:left w:val="nil"/>
              <w:bottom w:val="single" w:sz="4" w:space="0" w:color="auto"/>
              <w:right w:val="single" w:sz="4" w:space="0" w:color="auto"/>
            </w:tcBorders>
            <w:shd w:val="clear" w:color="auto" w:fill="auto"/>
            <w:vAlign w:val="center"/>
            <w:hideMark/>
          </w:tcPr>
          <w:p w14:paraId="6501E0A4" w14:textId="77777777" w:rsidR="004C01B3" w:rsidRPr="00B13B9A" w:rsidRDefault="004C01B3" w:rsidP="004C01B3">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418" w:type="dxa"/>
            <w:gridSpan w:val="2"/>
            <w:tcBorders>
              <w:top w:val="nil"/>
              <w:left w:val="nil"/>
              <w:bottom w:val="single" w:sz="4" w:space="0" w:color="auto"/>
              <w:right w:val="nil"/>
            </w:tcBorders>
            <w:shd w:val="clear" w:color="auto" w:fill="auto"/>
            <w:vAlign w:val="center"/>
            <w:hideMark/>
          </w:tcPr>
          <w:p w14:paraId="1413D0CB" w14:textId="77777777" w:rsidR="004C01B3" w:rsidRPr="00B13B9A" w:rsidRDefault="004C01B3" w:rsidP="004C01B3">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573DADB9" w14:textId="77777777" w:rsidR="004C01B3" w:rsidRPr="00B13B9A" w:rsidRDefault="004C01B3" w:rsidP="004C01B3">
            <w:pPr>
              <w:spacing w:after="0" w:line="240" w:lineRule="auto"/>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743E71F6" w14:textId="77777777" w:rsidR="004C01B3" w:rsidRPr="00B13B9A" w:rsidRDefault="004C01B3" w:rsidP="004C01B3">
            <w:pPr>
              <w:spacing w:after="0" w:line="240" w:lineRule="auto"/>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r>
      <w:tr w:rsidR="004C01B3" w:rsidRPr="00B13B9A" w14:paraId="76D37EA9"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114AEBBC" w14:textId="77777777" w:rsidR="004C01B3" w:rsidRPr="00B13B9A" w:rsidRDefault="004C01B3" w:rsidP="004C01B3">
            <w:pPr>
              <w:spacing w:after="0" w:line="240" w:lineRule="auto"/>
              <w:rPr>
                <w:rFonts w:asciiTheme="majorHAnsi" w:eastAsia="Times New Roman" w:hAnsiTheme="majorHAnsi" w:cstheme="majorHAnsi"/>
                <w:b/>
                <w:bCs/>
                <w:color w:val="000000"/>
                <w:sz w:val="18"/>
                <w:szCs w:val="18"/>
                <w:lang w:val="ro-MD"/>
              </w:rPr>
            </w:pPr>
            <w:r w:rsidRPr="00B13B9A">
              <w:rPr>
                <w:rFonts w:asciiTheme="majorHAnsi" w:eastAsia="Times New Roman" w:hAnsiTheme="majorHAnsi" w:cstheme="majorHAnsi"/>
                <w:b/>
                <w:bCs/>
                <w:color w:val="000000"/>
                <w:sz w:val="18"/>
                <w:szCs w:val="18"/>
                <w:lang w:val="ro-MD"/>
              </w:rPr>
              <w:t>I. Imobilizari necorporale</w:t>
            </w:r>
          </w:p>
        </w:tc>
        <w:tc>
          <w:tcPr>
            <w:tcW w:w="1418" w:type="dxa"/>
            <w:tcBorders>
              <w:top w:val="nil"/>
              <w:left w:val="nil"/>
              <w:bottom w:val="single" w:sz="4" w:space="0" w:color="auto"/>
              <w:right w:val="single" w:sz="4" w:space="0" w:color="auto"/>
            </w:tcBorders>
            <w:shd w:val="clear" w:color="auto" w:fill="auto"/>
            <w:vAlign w:val="center"/>
            <w:hideMark/>
          </w:tcPr>
          <w:p w14:paraId="024257BA"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417" w:type="dxa"/>
            <w:tcBorders>
              <w:top w:val="nil"/>
              <w:left w:val="nil"/>
              <w:bottom w:val="single" w:sz="4" w:space="0" w:color="auto"/>
              <w:right w:val="single" w:sz="4" w:space="0" w:color="auto"/>
            </w:tcBorders>
            <w:shd w:val="clear" w:color="auto" w:fill="auto"/>
            <w:vAlign w:val="center"/>
            <w:hideMark/>
          </w:tcPr>
          <w:p w14:paraId="462C3889"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418" w:type="dxa"/>
            <w:gridSpan w:val="2"/>
            <w:tcBorders>
              <w:top w:val="nil"/>
              <w:left w:val="nil"/>
              <w:bottom w:val="single" w:sz="4" w:space="0" w:color="auto"/>
              <w:right w:val="nil"/>
            </w:tcBorders>
            <w:shd w:val="clear" w:color="auto" w:fill="auto"/>
            <w:vAlign w:val="center"/>
            <w:hideMark/>
          </w:tcPr>
          <w:p w14:paraId="2981C1EE"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71F98FFD"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0E15D686"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r>
      <w:tr w:rsidR="004C01B3" w:rsidRPr="00B13B9A" w14:paraId="1A5D8031"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2AAF0B23" w14:textId="77777777" w:rsidR="004C01B3" w:rsidRPr="00B13B9A" w:rsidRDefault="004C01B3" w:rsidP="004C01B3">
            <w:pPr>
              <w:spacing w:after="0" w:line="240" w:lineRule="auto"/>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1. Imobilizari necorporale in curs de execute</w:t>
            </w:r>
          </w:p>
        </w:tc>
        <w:tc>
          <w:tcPr>
            <w:tcW w:w="1418" w:type="dxa"/>
            <w:tcBorders>
              <w:top w:val="nil"/>
              <w:left w:val="nil"/>
              <w:bottom w:val="single" w:sz="4" w:space="0" w:color="auto"/>
              <w:right w:val="single" w:sz="4" w:space="0" w:color="auto"/>
            </w:tcBorders>
            <w:shd w:val="clear" w:color="auto" w:fill="auto"/>
            <w:vAlign w:val="center"/>
            <w:hideMark/>
          </w:tcPr>
          <w:p w14:paraId="184B0D5E"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439.024,00</w:t>
            </w:r>
          </w:p>
        </w:tc>
        <w:tc>
          <w:tcPr>
            <w:tcW w:w="1417" w:type="dxa"/>
            <w:tcBorders>
              <w:top w:val="nil"/>
              <w:left w:val="nil"/>
              <w:bottom w:val="single" w:sz="4" w:space="0" w:color="auto"/>
              <w:right w:val="single" w:sz="4" w:space="0" w:color="auto"/>
            </w:tcBorders>
            <w:shd w:val="clear" w:color="auto" w:fill="auto"/>
            <w:vAlign w:val="center"/>
            <w:hideMark/>
          </w:tcPr>
          <w:p w14:paraId="124C85D9"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456.166,00</w:t>
            </w:r>
          </w:p>
        </w:tc>
        <w:tc>
          <w:tcPr>
            <w:tcW w:w="1418" w:type="dxa"/>
            <w:gridSpan w:val="2"/>
            <w:tcBorders>
              <w:top w:val="nil"/>
              <w:left w:val="nil"/>
              <w:bottom w:val="single" w:sz="4" w:space="0" w:color="auto"/>
              <w:right w:val="nil"/>
            </w:tcBorders>
            <w:shd w:val="clear" w:color="auto" w:fill="auto"/>
            <w:vAlign w:val="center"/>
            <w:hideMark/>
          </w:tcPr>
          <w:p w14:paraId="1CB7A03D"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4B8B05CC"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-456166</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F6A4172"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0,00%</w:t>
            </w:r>
          </w:p>
        </w:tc>
      </w:tr>
      <w:tr w:rsidR="004C01B3" w:rsidRPr="00B13B9A" w14:paraId="39FB756A"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100BA01C" w14:textId="77777777" w:rsidR="004C01B3" w:rsidRPr="00B13B9A" w:rsidRDefault="004C01B3" w:rsidP="004C01B3">
            <w:pPr>
              <w:spacing w:after="0" w:line="240" w:lineRule="auto"/>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2. Imobilizari necorporale in exploatare, total</w:t>
            </w:r>
          </w:p>
        </w:tc>
        <w:tc>
          <w:tcPr>
            <w:tcW w:w="1418" w:type="dxa"/>
            <w:tcBorders>
              <w:top w:val="nil"/>
              <w:left w:val="nil"/>
              <w:bottom w:val="single" w:sz="4" w:space="0" w:color="auto"/>
              <w:right w:val="single" w:sz="4" w:space="0" w:color="auto"/>
            </w:tcBorders>
            <w:shd w:val="clear" w:color="auto" w:fill="auto"/>
            <w:vAlign w:val="center"/>
            <w:hideMark/>
          </w:tcPr>
          <w:p w14:paraId="290A1084"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417" w:type="dxa"/>
            <w:tcBorders>
              <w:top w:val="nil"/>
              <w:left w:val="nil"/>
              <w:bottom w:val="single" w:sz="4" w:space="0" w:color="auto"/>
              <w:right w:val="single" w:sz="4" w:space="0" w:color="auto"/>
            </w:tcBorders>
            <w:shd w:val="clear" w:color="auto" w:fill="auto"/>
            <w:vAlign w:val="center"/>
            <w:hideMark/>
          </w:tcPr>
          <w:p w14:paraId="0228503A"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418" w:type="dxa"/>
            <w:gridSpan w:val="2"/>
            <w:tcBorders>
              <w:top w:val="nil"/>
              <w:left w:val="nil"/>
              <w:bottom w:val="single" w:sz="4" w:space="0" w:color="auto"/>
              <w:right w:val="nil"/>
            </w:tcBorders>
            <w:shd w:val="clear" w:color="auto" w:fill="auto"/>
            <w:vAlign w:val="center"/>
            <w:hideMark/>
          </w:tcPr>
          <w:p w14:paraId="5F9A845B"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578.417,00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45D4753F"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578417</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02A2C8BC"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r>
      <w:tr w:rsidR="004C01B3" w:rsidRPr="00B13B9A" w14:paraId="56BDE001"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7ED44849" w14:textId="77777777" w:rsidR="004C01B3" w:rsidRPr="00B13B9A" w:rsidRDefault="004C01B3" w:rsidP="004C01B3">
            <w:pPr>
              <w:spacing w:after="0" w:line="240" w:lineRule="auto"/>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2.3. programe informatice</w:t>
            </w:r>
          </w:p>
        </w:tc>
        <w:tc>
          <w:tcPr>
            <w:tcW w:w="1418" w:type="dxa"/>
            <w:tcBorders>
              <w:top w:val="nil"/>
              <w:left w:val="nil"/>
              <w:bottom w:val="single" w:sz="4" w:space="0" w:color="auto"/>
              <w:right w:val="single" w:sz="4" w:space="0" w:color="auto"/>
            </w:tcBorders>
            <w:shd w:val="clear" w:color="auto" w:fill="auto"/>
            <w:vAlign w:val="center"/>
            <w:hideMark/>
          </w:tcPr>
          <w:p w14:paraId="30E61520"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417" w:type="dxa"/>
            <w:tcBorders>
              <w:top w:val="nil"/>
              <w:left w:val="nil"/>
              <w:bottom w:val="single" w:sz="4" w:space="0" w:color="auto"/>
              <w:right w:val="single" w:sz="4" w:space="0" w:color="auto"/>
            </w:tcBorders>
            <w:shd w:val="clear" w:color="auto" w:fill="auto"/>
            <w:vAlign w:val="center"/>
            <w:hideMark/>
          </w:tcPr>
          <w:p w14:paraId="05C5492A"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418" w:type="dxa"/>
            <w:gridSpan w:val="2"/>
            <w:tcBorders>
              <w:top w:val="nil"/>
              <w:left w:val="nil"/>
              <w:bottom w:val="single" w:sz="4" w:space="0" w:color="auto"/>
              <w:right w:val="nil"/>
            </w:tcBorders>
            <w:shd w:val="clear" w:color="auto" w:fill="auto"/>
            <w:vAlign w:val="center"/>
            <w:hideMark/>
          </w:tcPr>
          <w:p w14:paraId="7C94903E"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578.417,00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6A6E9F5E"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578417</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30E4DB4D"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r>
      <w:tr w:rsidR="004C01B3" w:rsidRPr="00B13B9A" w14:paraId="3514BCC5"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4D4767B2" w14:textId="496FEC11" w:rsidR="004C01B3" w:rsidRPr="00B13B9A" w:rsidRDefault="004C01B3" w:rsidP="00CC1A9A">
            <w:pPr>
              <w:spacing w:after="0" w:line="240" w:lineRule="auto"/>
              <w:rPr>
                <w:rFonts w:asciiTheme="majorHAnsi" w:eastAsia="Times New Roman" w:hAnsiTheme="majorHAnsi" w:cstheme="majorHAnsi"/>
                <w:b/>
                <w:bCs/>
                <w:color w:val="000000"/>
                <w:sz w:val="18"/>
                <w:szCs w:val="18"/>
                <w:lang w:val="ro-MD"/>
              </w:rPr>
            </w:pPr>
            <w:r w:rsidRPr="00B13B9A">
              <w:rPr>
                <w:rFonts w:asciiTheme="majorHAnsi" w:eastAsia="Times New Roman" w:hAnsiTheme="majorHAnsi" w:cstheme="majorHAnsi"/>
                <w:b/>
                <w:bCs/>
                <w:color w:val="000000"/>
                <w:sz w:val="18"/>
                <w:szCs w:val="18"/>
                <w:lang w:val="ro-MD"/>
              </w:rPr>
              <w:t xml:space="preserve">Total imobilizari necorporale </w:t>
            </w:r>
          </w:p>
        </w:tc>
        <w:tc>
          <w:tcPr>
            <w:tcW w:w="1418" w:type="dxa"/>
            <w:tcBorders>
              <w:top w:val="nil"/>
              <w:left w:val="nil"/>
              <w:bottom w:val="single" w:sz="4" w:space="0" w:color="auto"/>
              <w:right w:val="single" w:sz="4" w:space="0" w:color="auto"/>
            </w:tcBorders>
            <w:shd w:val="clear" w:color="auto" w:fill="auto"/>
            <w:vAlign w:val="center"/>
            <w:hideMark/>
          </w:tcPr>
          <w:p w14:paraId="4761EFA1" w14:textId="77777777" w:rsidR="004C01B3" w:rsidRPr="00B13B9A" w:rsidRDefault="004C01B3" w:rsidP="004C01B3">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439.024,00</w:t>
            </w:r>
          </w:p>
        </w:tc>
        <w:tc>
          <w:tcPr>
            <w:tcW w:w="1417" w:type="dxa"/>
            <w:tcBorders>
              <w:top w:val="nil"/>
              <w:left w:val="nil"/>
              <w:bottom w:val="single" w:sz="4" w:space="0" w:color="auto"/>
              <w:right w:val="single" w:sz="4" w:space="0" w:color="auto"/>
            </w:tcBorders>
            <w:shd w:val="clear" w:color="auto" w:fill="auto"/>
            <w:vAlign w:val="center"/>
            <w:hideMark/>
          </w:tcPr>
          <w:p w14:paraId="1332D6C5" w14:textId="77777777" w:rsidR="004C01B3" w:rsidRPr="00B13B9A" w:rsidRDefault="004C01B3" w:rsidP="004C01B3">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456.166,00</w:t>
            </w:r>
          </w:p>
        </w:tc>
        <w:tc>
          <w:tcPr>
            <w:tcW w:w="1418" w:type="dxa"/>
            <w:gridSpan w:val="2"/>
            <w:tcBorders>
              <w:top w:val="nil"/>
              <w:left w:val="nil"/>
              <w:bottom w:val="single" w:sz="4" w:space="0" w:color="auto"/>
              <w:right w:val="nil"/>
            </w:tcBorders>
            <w:shd w:val="clear" w:color="auto" w:fill="auto"/>
            <w:vAlign w:val="center"/>
            <w:hideMark/>
          </w:tcPr>
          <w:p w14:paraId="206610E5" w14:textId="77777777" w:rsidR="004C01B3" w:rsidRPr="00B13B9A" w:rsidRDefault="004C01B3" w:rsidP="004C01B3">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578.417,00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06A2E60E"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122251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326057CA"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126,80%</w:t>
            </w:r>
          </w:p>
        </w:tc>
      </w:tr>
      <w:tr w:rsidR="004C01B3" w:rsidRPr="00B13B9A" w14:paraId="5650D9D6"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779AA9FB" w14:textId="77777777" w:rsidR="004C01B3" w:rsidRPr="00B13B9A" w:rsidRDefault="004C01B3" w:rsidP="004C01B3">
            <w:pPr>
              <w:spacing w:after="0" w:line="240" w:lineRule="auto"/>
              <w:rPr>
                <w:rFonts w:asciiTheme="majorHAnsi" w:eastAsia="Times New Roman" w:hAnsiTheme="majorHAnsi" w:cstheme="majorHAnsi"/>
                <w:b/>
                <w:bCs/>
                <w:color w:val="000000"/>
                <w:sz w:val="18"/>
                <w:szCs w:val="18"/>
                <w:lang w:val="ro-MD"/>
              </w:rPr>
            </w:pPr>
            <w:r w:rsidRPr="00B13B9A">
              <w:rPr>
                <w:rFonts w:asciiTheme="majorHAnsi" w:eastAsia="Times New Roman" w:hAnsiTheme="majorHAnsi" w:cstheme="majorHAnsi"/>
                <w:b/>
                <w:bCs/>
                <w:color w:val="000000"/>
                <w:sz w:val="18"/>
                <w:szCs w:val="18"/>
                <w:lang w:val="ro-MD"/>
              </w:rPr>
              <w:t>II. Imobilizari corporale</w:t>
            </w:r>
          </w:p>
        </w:tc>
        <w:tc>
          <w:tcPr>
            <w:tcW w:w="1418" w:type="dxa"/>
            <w:tcBorders>
              <w:top w:val="nil"/>
              <w:left w:val="nil"/>
              <w:bottom w:val="single" w:sz="4" w:space="0" w:color="auto"/>
              <w:right w:val="single" w:sz="4" w:space="0" w:color="auto"/>
            </w:tcBorders>
            <w:shd w:val="clear" w:color="auto" w:fill="auto"/>
            <w:vAlign w:val="center"/>
            <w:hideMark/>
          </w:tcPr>
          <w:p w14:paraId="0377E8EA" w14:textId="77777777" w:rsidR="004C01B3" w:rsidRPr="00B13B9A" w:rsidRDefault="004C01B3" w:rsidP="004C01B3">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 </w:t>
            </w:r>
          </w:p>
        </w:tc>
        <w:tc>
          <w:tcPr>
            <w:tcW w:w="1417" w:type="dxa"/>
            <w:tcBorders>
              <w:top w:val="nil"/>
              <w:left w:val="nil"/>
              <w:bottom w:val="single" w:sz="4" w:space="0" w:color="auto"/>
              <w:right w:val="single" w:sz="4" w:space="0" w:color="auto"/>
            </w:tcBorders>
            <w:shd w:val="clear" w:color="auto" w:fill="auto"/>
            <w:vAlign w:val="center"/>
            <w:hideMark/>
          </w:tcPr>
          <w:p w14:paraId="2A2F0DAF" w14:textId="77777777" w:rsidR="004C01B3" w:rsidRPr="00B13B9A" w:rsidRDefault="004C01B3" w:rsidP="004C01B3">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 </w:t>
            </w:r>
          </w:p>
        </w:tc>
        <w:tc>
          <w:tcPr>
            <w:tcW w:w="1418" w:type="dxa"/>
            <w:gridSpan w:val="2"/>
            <w:tcBorders>
              <w:top w:val="nil"/>
              <w:left w:val="nil"/>
              <w:bottom w:val="single" w:sz="4" w:space="0" w:color="auto"/>
              <w:right w:val="nil"/>
            </w:tcBorders>
            <w:shd w:val="clear" w:color="auto" w:fill="auto"/>
            <w:vAlign w:val="center"/>
            <w:hideMark/>
          </w:tcPr>
          <w:p w14:paraId="6A2CC0A6" w14:textId="77777777" w:rsidR="004C01B3" w:rsidRPr="00B13B9A" w:rsidRDefault="004C01B3" w:rsidP="004C01B3">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 </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51E7847C"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39D25D44"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r>
      <w:tr w:rsidR="004C01B3" w:rsidRPr="00B13B9A" w14:paraId="4E8FFE27"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76C1C24D" w14:textId="77777777" w:rsidR="004C01B3" w:rsidRPr="00B13B9A" w:rsidRDefault="004C01B3" w:rsidP="004C01B3">
            <w:pPr>
              <w:spacing w:after="0" w:line="240" w:lineRule="auto"/>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1. Imobilizari corporale in curs de executie</w:t>
            </w:r>
          </w:p>
        </w:tc>
        <w:tc>
          <w:tcPr>
            <w:tcW w:w="1418" w:type="dxa"/>
            <w:tcBorders>
              <w:top w:val="nil"/>
              <w:left w:val="nil"/>
              <w:bottom w:val="single" w:sz="4" w:space="0" w:color="auto"/>
              <w:right w:val="single" w:sz="4" w:space="0" w:color="auto"/>
            </w:tcBorders>
            <w:shd w:val="clear" w:color="auto" w:fill="auto"/>
            <w:vAlign w:val="center"/>
            <w:hideMark/>
          </w:tcPr>
          <w:p w14:paraId="024802D5"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76.771.625,00</w:t>
            </w:r>
          </w:p>
        </w:tc>
        <w:tc>
          <w:tcPr>
            <w:tcW w:w="1417" w:type="dxa"/>
            <w:tcBorders>
              <w:top w:val="nil"/>
              <w:left w:val="nil"/>
              <w:bottom w:val="single" w:sz="4" w:space="0" w:color="auto"/>
              <w:right w:val="single" w:sz="4" w:space="0" w:color="auto"/>
            </w:tcBorders>
            <w:shd w:val="clear" w:color="auto" w:fill="auto"/>
            <w:vAlign w:val="center"/>
            <w:hideMark/>
          </w:tcPr>
          <w:p w14:paraId="1FA1466D"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76.628.534,00</w:t>
            </w:r>
          </w:p>
        </w:tc>
        <w:tc>
          <w:tcPr>
            <w:tcW w:w="1418" w:type="dxa"/>
            <w:gridSpan w:val="2"/>
            <w:tcBorders>
              <w:top w:val="nil"/>
              <w:left w:val="nil"/>
              <w:bottom w:val="single" w:sz="4" w:space="0" w:color="auto"/>
              <w:right w:val="nil"/>
            </w:tcBorders>
            <w:shd w:val="clear" w:color="auto" w:fill="auto"/>
            <w:vAlign w:val="center"/>
            <w:hideMark/>
          </w:tcPr>
          <w:p w14:paraId="09177B0D"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79.115.137,00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64D855B9"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2486603</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5A5D764B"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103,25%</w:t>
            </w:r>
          </w:p>
        </w:tc>
      </w:tr>
      <w:tr w:rsidR="004C01B3" w:rsidRPr="00B13B9A" w14:paraId="43C9CDE8"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0515EF05" w14:textId="77777777" w:rsidR="004C01B3" w:rsidRPr="00B13B9A" w:rsidRDefault="004C01B3" w:rsidP="004C01B3">
            <w:pPr>
              <w:spacing w:after="0" w:line="240" w:lineRule="auto"/>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2. Terenuri</w:t>
            </w:r>
          </w:p>
        </w:tc>
        <w:tc>
          <w:tcPr>
            <w:tcW w:w="1418" w:type="dxa"/>
            <w:tcBorders>
              <w:top w:val="nil"/>
              <w:left w:val="nil"/>
              <w:bottom w:val="single" w:sz="4" w:space="0" w:color="auto"/>
              <w:right w:val="single" w:sz="4" w:space="0" w:color="auto"/>
            </w:tcBorders>
            <w:shd w:val="clear" w:color="auto" w:fill="auto"/>
            <w:vAlign w:val="center"/>
            <w:hideMark/>
          </w:tcPr>
          <w:p w14:paraId="357F45EB"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8.088.869,00</w:t>
            </w:r>
          </w:p>
        </w:tc>
        <w:tc>
          <w:tcPr>
            <w:tcW w:w="1417" w:type="dxa"/>
            <w:tcBorders>
              <w:top w:val="nil"/>
              <w:left w:val="nil"/>
              <w:bottom w:val="single" w:sz="4" w:space="0" w:color="auto"/>
              <w:right w:val="single" w:sz="4" w:space="0" w:color="auto"/>
            </w:tcBorders>
            <w:shd w:val="clear" w:color="auto" w:fill="auto"/>
            <w:vAlign w:val="center"/>
            <w:hideMark/>
          </w:tcPr>
          <w:p w14:paraId="6EAA1D90"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8.088.869,00</w:t>
            </w:r>
          </w:p>
        </w:tc>
        <w:tc>
          <w:tcPr>
            <w:tcW w:w="1418" w:type="dxa"/>
            <w:gridSpan w:val="2"/>
            <w:tcBorders>
              <w:top w:val="nil"/>
              <w:left w:val="nil"/>
              <w:bottom w:val="single" w:sz="4" w:space="0" w:color="auto"/>
              <w:right w:val="nil"/>
            </w:tcBorders>
            <w:shd w:val="clear" w:color="auto" w:fill="auto"/>
            <w:vAlign w:val="center"/>
            <w:hideMark/>
          </w:tcPr>
          <w:p w14:paraId="0F3D0B4F"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8.088.869,00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33E7A20D"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5840AA15"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100,00%</w:t>
            </w:r>
          </w:p>
        </w:tc>
      </w:tr>
      <w:tr w:rsidR="004C01B3" w:rsidRPr="00B13B9A" w14:paraId="4E1471A2"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2FED14CC" w14:textId="51940E28" w:rsidR="004C01B3" w:rsidRPr="00B13B9A" w:rsidRDefault="004C01B3" w:rsidP="004C01B3">
            <w:pPr>
              <w:spacing w:after="0" w:line="240" w:lineRule="auto"/>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3. Mijloace fixe, total</w:t>
            </w:r>
            <w:r w:rsidR="00A51C46" w:rsidRPr="00B13B9A">
              <w:rPr>
                <w:rFonts w:asciiTheme="majorHAnsi" w:eastAsia="Times New Roman" w:hAnsiTheme="majorHAnsi" w:cstheme="majorHAnsi"/>
                <w:color w:val="000000"/>
                <w:sz w:val="18"/>
                <w:szCs w:val="18"/>
                <w:lang w:val="ro-MD"/>
              </w:rPr>
              <w:t xml:space="preserve"> din care:</w:t>
            </w:r>
          </w:p>
        </w:tc>
        <w:tc>
          <w:tcPr>
            <w:tcW w:w="1418" w:type="dxa"/>
            <w:tcBorders>
              <w:top w:val="nil"/>
              <w:left w:val="nil"/>
              <w:bottom w:val="single" w:sz="4" w:space="0" w:color="auto"/>
              <w:right w:val="single" w:sz="4" w:space="0" w:color="auto"/>
            </w:tcBorders>
            <w:shd w:val="clear" w:color="auto" w:fill="auto"/>
            <w:vAlign w:val="center"/>
            <w:hideMark/>
          </w:tcPr>
          <w:p w14:paraId="3543B5F2"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136.705.804,00</w:t>
            </w:r>
          </w:p>
        </w:tc>
        <w:tc>
          <w:tcPr>
            <w:tcW w:w="1417" w:type="dxa"/>
            <w:tcBorders>
              <w:top w:val="nil"/>
              <w:left w:val="nil"/>
              <w:bottom w:val="single" w:sz="4" w:space="0" w:color="auto"/>
              <w:right w:val="single" w:sz="4" w:space="0" w:color="auto"/>
            </w:tcBorders>
            <w:shd w:val="clear" w:color="auto" w:fill="auto"/>
            <w:vAlign w:val="center"/>
            <w:hideMark/>
          </w:tcPr>
          <w:p w14:paraId="01A7C49B"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132.156.997,00</w:t>
            </w:r>
          </w:p>
        </w:tc>
        <w:tc>
          <w:tcPr>
            <w:tcW w:w="1418" w:type="dxa"/>
            <w:gridSpan w:val="2"/>
            <w:tcBorders>
              <w:top w:val="nil"/>
              <w:left w:val="nil"/>
              <w:bottom w:val="single" w:sz="4" w:space="0" w:color="auto"/>
              <w:right w:val="nil"/>
            </w:tcBorders>
            <w:shd w:val="clear" w:color="auto" w:fill="auto"/>
            <w:vAlign w:val="center"/>
            <w:hideMark/>
          </w:tcPr>
          <w:p w14:paraId="1C2E30EC"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128.348.015,00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33179392"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-3808982</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A85121B"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97,12%</w:t>
            </w:r>
          </w:p>
        </w:tc>
      </w:tr>
      <w:tr w:rsidR="004C01B3" w:rsidRPr="00B13B9A" w14:paraId="2582FA32"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0158318E" w14:textId="053E3450" w:rsidR="004C01B3" w:rsidRPr="00B13B9A" w:rsidRDefault="004C01B3" w:rsidP="004C01B3">
            <w:pPr>
              <w:spacing w:after="0" w:line="240" w:lineRule="auto"/>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3.1. cladiri</w:t>
            </w:r>
          </w:p>
        </w:tc>
        <w:tc>
          <w:tcPr>
            <w:tcW w:w="1418" w:type="dxa"/>
            <w:tcBorders>
              <w:top w:val="nil"/>
              <w:left w:val="nil"/>
              <w:bottom w:val="single" w:sz="4" w:space="0" w:color="auto"/>
              <w:right w:val="single" w:sz="4" w:space="0" w:color="auto"/>
            </w:tcBorders>
            <w:shd w:val="clear" w:color="auto" w:fill="auto"/>
            <w:vAlign w:val="center"/>
            <w:hideMark/>
          </w:tcPr>
          <w:p w14:paraId="2F71BA5A"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96.883.602,00</w:t>
            </w:r>
          </w:p>
        </w:tc>
        <w:tc>
          <w:tcPr>
            <w:tcW w:w="1417" w:type="dxa"/>
            <w:tcBorders>
              <w:top w:val="nil"/>
              <w:left w:val="nil"/>
              <w:bottom w:val="single" w:sz="4" w:space="0" w:color="auto"/>
              <w:right w:val="single" w:sz="4" w:space="0" w:color="auto"/>
            </w:tcBorders>
            <w:shd w:val="clear" w:color="auto" w:fill="auto"/>
            <w:vAlign w:val="center"/>
            <w:hideMark/>
          </w:tcPr>
          <w:p w14:paraId="3906D727"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94.851.347,00</w:t>
            </w:r>
          </w:p>
        </w:tc>
        <w:tc>
          <w:tcPr>
            <w:tcW w:w="1418" w:type="dxa"/>
            <w:gridSpan w:val="2"/>
            <w:tcBorders>
              <w:top w:val="nil"/>
              <w:left w:val="nil"/>
              <w:bottom w:val="single" w:sz="4" w:space="0" w:color="auto"/>
              <w:right w:val="nil"/>
            </w:tcBorders>
            <w:shd w:val="clear" w:color="auto" w:fill="auto"/>
            <w:vAlign w:val="center"/>
            <w:hideMark/>
          </w:tcPr>
          <w:p w14:paraId="5678CAF2"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93.868.665,00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730E8AEA"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-982682</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0FF42D85"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98,96%</w:t>
            </w:r>
          </w:p>
        </w:tc>
      </w:tr>
      <w:tr w:rsidR="004C01B3" w:rsidRPr="00B13B9A" w14:paraId="6915FDAC"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2CC51074" w14:textId="4C0C1E93" w:rsidR="004C01B3" w:rsidRPr="00B13B9A" w:rsidRDefault="004C01B3" w:rsidP="00585605">
            <w:pPr>
              <w:spacing w:after="0" w:line="240" w:lineRule="auto"/>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3.2. construc</w:t>
            </w:r>
            <w:r w:rsidR="00B13B9A" w:rsidRPr="00B13B9A">
              <w:rPr>
                <w:rFonts w:asciiTheme="majorHAnsi" w:eastAsia="Times New Roman" w:hAnsiTheme="majorHAnsi" w:cstheme="majorHAnsi"/>
                <w:color w:val="000000"/>
                <w:sz w:val="18"/>
                <w:szCs w:val="18"/>
                <w:lang w:val="ro-MD"/>
              </w:rPr>
              <w:t>ț</w:t>
            </w:r>
            <w:r w:rsidR="00585605" w:rsidRPr="00B13B9A">
              <w:rPr>
                <w:rFonts w:asciiTheme="majorHAnsi" w:eastAsia="Times New Roman" w:hAnsiTheme="majorHAnsi" w:cstheme="majorHAnsi"/>
                <w:color w:val="000000"/>
                <w:sz w:val="18"/>
                <w:szCs w:val="18"/>
                <w:lang w:val="ro-MD"/>
              </w:rPr>
              <w:t>ii</w:t>
            </w:r>
            <w:r w:rsidRPr="00B13B9A">
              <w:rPr>
                <w:rFonts w:asciiTheme="majorHAnsi" w:eastAsia="Times New Roman" w:hAnsiTheme="majorHAnsi" w:cstheme="majorHAnsi"/>
                <w:color w:val="000000"/>
                <w:sz w:val="18"/>
                <w:szCs w:val="18"/>
                <w:lang w:val="ro-MD"/>
              </w:rPr>
              <w:t xml:space="preserve"> speciale</w:t>
            </w:r>
          </w:p>
        </w:tc>
        <w:tc>
          <w:tcPr>
            <w:tcW w:w="1418" w:type="dxa"/>
            <w:tcBorders>
              <w:top w:val="nil"/>
              <w:left w:val="nil"/>
              <w:bottom w:val="single" w:sz="4" w:space="0" w:color="auto"/>
              <w:right w:val="single" w:sz="4" w:space="0" w:color="auto"/>
            </w:tcBorders>
            <w:shd w:val="clear" w:color="auto" w:fill="auto"/>
            <w:vAlign w:val="center"/>
            <w:hideMark/>
          </w:tcPr>
          <w:p w14:paraId="1F150623"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4.689.165,00</w:t>
            </w:r>
          </w:p>
        </w:tc>
        <w:tc>
          <w:tcPr>
            <w:tcW w:w="1417" w:type="dxa"/>
            <w:tcBorders>
              <w:top w:val="nil"/>
              <w:left w:val="nil"/>
              <w:bottom w:val="single" w:sz="4" w:space="0" w:color="auto"/>
              <w:right w:val="single" w:sz="4" w:space="0" w:color="auto"/>
            </w:tcBorders>
            <w:shd w:val="clear" w:color="auto" w:fill="auto"/>
            <w:vAlign w:val="center"/>
            <w:hideMark/>
          </w:tcPr>
          <w:p w14:paraId="049937F2"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4.528.880,00</w:t>
            </w:r>
          </w:p>
        </w:tc>
        <w:tc>
          <w:tcPr>
            <w:tcW w:w="1418" w:type="dxa"/>
            <w:gridSpan w:val="2"/>
            <w:tcBorders>
              <w:top w:val="nil"/>
              <w:left w:val="nil"/>
              <w:bottom w:val="single" w:sz="4" w:space="0" w:color="auto"/>
              <w:right w:val="nil"/>
            </w:tcBorders>
            <w:shd w:val="clear" w:color="auto" w:fill="auto"/>
            <w:vAlign w:val="center"/>
            <w:hideMark/>
          </w:tcPr>
          <w:p w14:paraId="0504007B"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4.369.381,00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05931FB1"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-159499</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783374D5"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96,48%</w:t>
            </w:r>
          </w:p>
        </w:tc>
      </w:tr>
      <w:tr w:rsidR="004C01B3" w:rsidRPr="00B13B9A" w14:paraId="5B6BFF01"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0BB197B7" w14:textId="77777777" w:rsidR="004C01B3" w:rsidRPr="00B13B9A" w:rsidRDefault="004C01B3" w:rsidP="004C01B3">
            <w:pPr>
              <w:spacing w:after="0" w:line="240" w:lineRule="auto"/>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3.3. masini, utilaje si instalatii tehnice</w:t>
            </w:r>
          </w:p>
        </w:tc>
        <w:tc>
          <w:tcPr>
            <w:tcW w:w="1418" w:type="dxa"/>
            <w:tcBorders>
              <w:top w:val="nil"/>
              <w:left w:val="nil"/>
              <w:bottom w:val="single" w:sz="4" w:space="0" w:color="auto"/>
              <w:right w:val="single" w:sz="4" w:space="0" w:color="auto"/>
            </w:tcBorders>
            <w:shd w:val="clear" w:color="auto" w:fill="auto"/>
            <w:vAlign w:val="center"/>
            <w:hideMark/>
          </w:tcPr>
          <w:p w14:paraId="3715EDFF"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26.960.179,00</w:t>
            </w:r>
          </w:p>
        </w:tc>
        <w:tc>
          <w:tcPr>
            <w:tcW w:w="1417" w:type="dxa"/>
            <w:tcBorders>
              <w:top w:val="nil"/>
              <w:left w:val="nil"/>
              <w:bottom w:val="single" w:sz="4" w:space="0" w:color="auto"/>
              <w:right w:val="single" w:sz="4" w:space="0" w:color="auto"/>
            </w:tcBorders>
            <w:shd w:val="clear" w:color="auto" w:fill="auto"/>
            <w:vAlign w:val="center"/>
            <w:hideMark/>
          </w:tcPr>
          <w:p w14:paraId="5F58110C"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27.561.493,00</w:t>
            </w:r>
          </w:p>
        </w:tc>
        <w:tc>
          <w:tcPr>
            <w:tcW w:w="1418" w:type="dxa"/>
            <w:gridSpan w:val="2"/>
            <w:tcBorders>
              <w:top w:val="nil"/>
              <w:left w:val="nil"/>
              <w:bottom w:val="single" w:sz="4" w:space="0" w:color="auto"/>
              <w:right w:val="nil"/>
            </w:tcBorders>
            <w:shd w:val="clear" w:color="auto" w:fill="auto"/>
            <w:vAlign w:val="center"/>
            <w:hideMark/>
          </w:tcPr>
          <w:p w14:paraId="5092E927"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26.317.777,00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2F07574F"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-1243716</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7AD38E2"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95,49%</w:t>
            </w:r>
          </w:p>
        </w:tc>
      </w:tr>
      <w:tr w:rsidR="004C01B3" w:rsidRPr="00B13B9A" w14:paraId="006232A2"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5922BF73" w14:textId="77777777" w:rsidR="004C01B3" w:rsidRPr="00B13B9A" w:rsidRDefault="004C01B3" w:rsidP="004C01B3">
            <w:pPr>
              <w:spacing w:after="0" w:line="240" w:lineRule="auto"/>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3.4. mijloace de transport</w:t>
            </w:r>
          </w:p>
        </w:tc>
        <w:tc>
          <w:tcPr>
            <w:tcW w:w="1418" w:type="dxa"/>
            <w:tcBorders>
              <w:top w:val="nil"/>
              <w:left w:val="nil"/>
              <w:bottom w:val="single" w:sz="4" w:space="0" w:color="auto"/>
              <w:right w:val="single" w:sz="4" w:space="0" w:color="auto"/>
            </w:tcBorders>
            <w:shd w:val="clear" w:color="auto" w:fill="auto"/>
            <w:vAlign w:val="center"/>
            <w:hideMark/>
          </w:tcPr>
          <w:p w14:paraId="251782CF"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8.172.731,00</w:t>
            </w:r>
          </w:p>
        </w:tc>
        <w:tc>
          <w:tcPr>
            <w:tcW w:w="1417" w:type="dxa"/>
            <w:tcBorders>
              <w:top w:val="nil"/>
              <w:left w:val="nil"/>
              <w:bottom w:val="single" w:sz="4" w:space="0" w:color="auto"/>
              <w:right w:val="single" w:sz="4" w:space="0" w:color="auto"/>
            </w:tcBorders>
            <w:shd w:val="clear" w:color="auto" w:fill="auto"/>
            <w:vAlign w:val="center"/>
            <w:hideMark/>
          </w:tcPr>
          <w:p w14:paraId="1202057C"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4.877.568,00</w:t>
            </w:r>
          </w:p>
        </w:tc>
        <w:tc>
          <w:tcPr>
            <w:tcW w:w="1418" w:type="dxa"/>
            <w:gridSpan w:val="2"/>
            <w:tcBorders>
              <w:top w:val="nil"/>
              <w:left w:val="nil"/>
              <w:bottom w:val="single" w:sz="4" w:space="0" w:color="auto"/>
              <w:right w:val="nil"/>
            </w:tcBorders>
            <w:shd w:val="clear" w:color="auto" w:fill="auto"/>
            <w:vAlign w:val="center"/>
            <w:hideMark/>
          </w:tcPr>
          <w:p w14:paraId="7299280E"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3.558.206,00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78A2A242"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-1319362</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1237C3E0"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72,95%</w:t>
            </w:r>
          </w:p>
        </w:tc>
      </w:tr>
      <w:tr w:rsidR="004C01B3" w:rsidRPr="00B13B9A" w14:paraId="1AD39BC3"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523D248D" w14:textId="77777777" w:rsidR="004C01B3" w:rsidRPr="00B13B9A" w:rsidRDefault="004C01B3" w:rsidP="004C01B3">
            <w:pPr>
              <w:spacing w:after="0" w:line="240" w:lineRule="auto"/>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3.5. inventar si mobilier</w:t>
            </w:r>
          </w:p>
        </w:tc>
        <w:tc>
          <w:tcPr>
            <w:tcW w:w="1418" w:type="dxa"/>
            <w:tcBorders>
              <w:top w:val="nil"/>
              <w:left w:val="nil"/>
              <w:bottom w:val="single" w:sz="4" w:space="0" w:color="auto"/>
              <w:right w:val="single" w:sz="4" w:space="0" w:color="auto"/>
            </w:tcBorders>
            <w:shd w:val="clear" w:color="auto" w:fill="auto"/>
            <w:vAlign w:val="center"/>
            <w:hideMark/>
          </w:tcPr>
          <w:p w14:paraId="0EB01BCE"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417" w:type="dxa"/>
            <w:tcBorders>
              <w:top w:val="nil"/>
              <w:left w:val="nil"/>
              <w:bottom w:val="single" w:sz="4" w:space="0" w:color="auto"/>
              <w:right w:val="single" w:sz="4" w:space="0" w:color="auto"/>
            </w:tcBorders>
            <w:shd w:val="clear" w:color="auto" w:fill="auto"/>
            <w:vAlign w:val="center"/>
            <w:hideMark/>
          </w:tcPr>
          <w:p w14:paraId="152762E3"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337.581,00</w:t>
            </w:r>
          </w:p>
        </w:tc>
        <w:tc>
          <w:tcPr>
            <w:tcW w:w="1418" w:type="dxa"/>
            <w:gridSpan w:val="2"/>
            <w:tcBorders>
              <w:top w:val="nil"/>
              <w:left w:val="nil"/>
              <w:bottom w:val="single" w:sz="4" w:space="0" w:color="auto"/>
              <w:right w:val="nil"/>
            </w:tcBorders>
            <w:shd w:val="clear" w:color="auto" w:fill="auto"/>
            <w:vAlign w:val="center"/>
            <w:hideMark/>
          </w:tcPr>
          <w:p w14:paraId="23096905"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233.858,00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3B0EB464"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-103723</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3E2B366C"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69,27%</w:t>
            </w:r>
          </w:p>
        </w:tc>
      </w:tr>
      <w:tr w:rsidR="004C01B3" w:rsidRPr="00B13B9A" w14:paraId="2C1F9F73"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430B491A" w14:textId="77777777" w:rsidR="004C01B3" w:rsidRPr="00B13B9A" w:rsidRDefault="004C01B3" w:rsidP="004C01B3">
            <w:pPr>
              <w:spacing w:after="0" w:line="240" w:lineRule="auto"/>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3.6. alte mijloace fixe</w:t>
            </w:r>
          </w:p>
        </w:tc>
        <w:tc>
          <w:tcPr>
            <w:tcW w:w="1418" w:type="dxa"/>
            <w:tcBorders>
              <w:top w:val="nil"/>
              <w:left w:val="nil"/>
              <w:bottom w:val="single" w:sz="4" w:space="0" w:color="auto"/>
              <w:right w:val="single" w:sz="4" w:space="0" w:color="auto"/>
            </w:tcBorders>
            <w:shd w:val="clear" w:color="auto" w:fill="auto"/>
            <w:vAlign w:val="center"/>
            <w:hideMark/>
          </w:tcPr>
          <w:p w14:paraId="23004C4E"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127,95</w:t>
            </w:r>
          </w:p>
        </w:tc>
        <w:tc>
          <w:tcPr>
            <w:tcW w:w="1417" w:type="dxa"/>
            <w:tcBorders>
              <w:top w:val="nil"/>
              <w:left w:val="nil"/>
              <w:bottom w:val="single" w:sz="4" w:space="0" w:color="auto"/>
              <w:right w:val="single" w:sz="4" w:space="0" w:color="auto"/>
            </w:tcBorders>
            <w:shd w:val="clear" w:color="auto" w:fill="auto"/>
            <w:vAlign w:val="center"/>
            <w:hideMark/>
          </w:tcPr>
          <w:p w14:paraId="5D7C085A"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128,00</w:t>
            </w:r>
          </w:p>
        </w:tc>
        <w:tc>
          <w:tcPr>
            <w:tcW w:w="1418" w:type="dxa"/>
            <w:gridSpan w:val="2"/>
            <w:tcBorders>
              <w:top w:val="nil"/>
              <w:left w:val="nil"/>
              <w:bottom w:val="single" w:sz="4" w:space="0" w:color="auto"/>
              <w:right w:val="nil"/>
            </w:tcBorders>
            <w:shd w:val="clear" w:color="auto" w:fill="auto"/>
            <w:vAlign w:val="center"/>
            <w:hideMark/>
          </w:tcPr>
          <w:p w14:paraId="7A59517D"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128,00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4F981EB9"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0</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19DF71DB"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100,00%</w:t>
            </w:r>
          </w:p>
        </w:tc>
      </w:tr>
      <w:tr w:rsidR="004C01B3" w:rsidRPr="00B13B9A" w14:paraId="049AAC2A"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5434BDCB" w14:textId="35940C75" w:rsidR="004C01B3" w:rsidRPr="00B13B9A" w:rsidRDefault="004C01B3" w:rsidP="00CC1A9A">
            <w:pPr>
              <w:spacing w:after="0" w:line="240" w:lineRule="auto"/>
              <w:rPr>
                <w:rFonts w:asciiTheme="majorHAnsi" w:eastAsia="Times New Roman" w:hAnsiTheme="majorHAnsi" w:cstheme="majorHAnsi"/>
                <w:b/>
                <w:bCs/>
                <w:color w:val="000000"/>
                <w:sz w:val="18"/>
                <w:szCs w:val="18"/>
                <w:lang w:val="ro-MD"/>
              </w:rPr>
            </w:pPr>
            <w:r w:rsidRPr="00B13B9A">
              <w:rPr>
                <w:rFonts w:asciiTheme="majorHAnsi" w:eastAsia="Times New Roman" w:hAnsiTheme="majorHAnsi" w:cstheme="majorHAnsi"/>
                <w:b/>
                <w:bCs/>
                <w:color w:val="000000"/>
                <w:sz w:val="18"/>
                <w:szCs w:val="18"/>
                <w:lang w:val="ro-MD"/>
              </w:rPr>
              <w:t xml:space="preserve">Total imobilizari corporale </w:t>
            </w:r>
          </w:p>
        </w:tc>
        <w:tc>
          <w:tcPr>
            <w:tcW w:w="1418" w:type="dxa"/>
            <w:tcBorders>
              <w:top w:val="nil"/>
              <w:left w:val="nil"/>
              <w:bottom w:val="single" w:sz="4" w:space="0" w:color="auto"/>
              <w:right w:val="single" w:sz="4" w:space="0" w:color="auto"/>
            </w:tcBorders>
            <w:shd w:val="clear" w:color="auto" w:fill="auto"/>
            <w:vAlign w:val="center"/>
            <w:hideMark/>
          </w:tcPr>
          <w:p w14:paraId="0661E55F" w14:textId="77777777" w:rsidR="004C01B3" w:rsidRPr="00B13B9A" w:rsidRDefault="004C01B3" w:rsidP="004C01B3">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221.566.298,00</w:t>
            </w:r>
          </w:p>
        </w:tc>
        <w:tc>
          <w:tcPr>
            <w:tcW w:w="1417" w:type="dxa"/>
            <w:tcBorders>
              <w:top w:val="nil"/>
              <w:left w:val="nil"/>
              <w:bottom w:val="single" w:sz="4" w:space="0" w:color="auto"/>
              <w:right w:val="single" w:sz="4" w:space="0" w:color="auto"/>
            </w:tcBorders>
            <w:shd w:val="clear" w:color="auto" w:fill="auto"/>
            <w:vAlign w:val="center"/>
            <w:hideMark/>
          </w:tcPr>
          <w:p w14:paraId="74A93211" w14:textId="77777777" w:rsidR="004C01B3" w:rsidRPr="00B13B9A" w:rsidRDefault="004C01B3" w:rsidP="004C01B3">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216.874.400,00</w:t>
            </w:r>
          </w:p>
        </w:tc>
        <w:tc>
          <w:tcPr>
            <w:tcW w:w="1418" w:type="dxa"/>
            <w:gridSpan w:val="2"/>
            <w:tcBorders>
              <w:top w:val="nil"/>
              <w:left w:val="nil"/>
              <w:bottom w:val="single" w:sz="4" w:space="0" w:color="auto"/>
              <w:right w:val="nil"/>
            </w:tcBorders>
            <w:shd w:val="clear" w:color="auto" w:fill="auto"/>
            <w:vAlign w:val="center"/>
            <w:hideMark/>
          </w:tcPr>
          <w:p w14:paraId="19F2BE19" w14:textId="77777777" w:rsidR="004C01B3" w:rsidRPr="00B13B9A" w:rsidRDefault="004C01B3" w:rsidP="004C01B3">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215.552.021,00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10738BBE"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-1322379</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3BC4B684"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99,39%</w:t>
            </w:r>
          </w:p>
        </w:tc>
      </w:tr>
      <w:tr w:rsidR="004C01B3" w:rsidRPr="00B13B9A" w14:paraId="4553CF0D"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5370BC7A" w14:textId="2674C0A2" w:rsidR="004C01B3" w:rsidRPr="00B13B9A" w:rsidRDefault="004C01B3" w:rsidP="00CC1A9A">
            <w:pPr>
              <w:spacing w:after="0" w:line="240" w:lineRule="auto"/>
              <w:ind w:firstLineChars="100" w:firstLine="181"/>
              <w:rPr>
                <w:rFonts w:asciiTheme="majorHAnsi" w:eastAsia="Times New Roman" w:hAnsiTheme="majorHAnsi" w:cstheme="majorHAnsi"/>
                <w:b/>
                <w:bCs/>
                <w:color w:val="000000"/>
                <w:sz w:val="18"/>
                <w:szCs w:val="18"/>
                <w:lang w:val="ro-MD"/>
              </w:rPr>
            </w:pPr>
            <w:r w:rsidRPr="00B13B9A">
              <w:rPr>
                <w:rFonts w:asciiTheme="majorHAnsi" w:eastAsia="Times New Roman" w:hAnsiTheme="majorHAnsi" w:cstheme="majorHAnsi"/>
                <w:b/>
                <w:bCs/>
                <w:color w:val="000000"/>
                <w:sz w:val="18"/>
                <w:szCs w:val="18"/>
                <w:lang w:val="ro-MD"/>
              </w:rPr>
              <w:t xml:space="preserve">TOTAL ACTIVE IMOBILIZATE </w:t>
            </w:r>
          </w:p>
        </w:tc>
        <w:tc>
          <w:tcPr>
            <w:tcW w:w="1418" w:type="dxa"/>
            <w:tcBorders>
              <w:top w:val="nil"/>
              <w:left w:val="nil"/>
              <w:bottom w:val="single" w:sz="4" w:space="0" w:color="auto"/>
              <w:right w:val="single" w:sz="4" w:space="0" w:color="auto"/>
            </w:tcBorders>
            <w:shd w:val="clear" w:color="auto" w:fill="auto"/>
            <w:vAlign w:val="center"/>
            <w:hideMark/>
          </w:tcPr>
          <w:p w14:paraId="26FB8550" w14:textId="77777777" w:rsidR="004C01B3" w:rsidRPr="00B13B9A" w:rsidRDefault="004C01B3" w:rsidP="004C01B3">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222.005.322,00</w:t>
            </w:r>
          </w:p>
        </w:tc>
        <w:tc>
          <w:tcPr>
            <w:tcW w:w="1417" w:type="dxa"/>
            <w:tcBorders>
              <w:top w:val="nil"/>
              <w:left w:val="nil"/>
              <w:bottom w:val="single" w:sz="4" w:space="0" w:color="auto"/>
              <w:right w:val="single" w:sz="4" w:space="0" w:color="auto"/>
            </w:tcBorders>
            <w:shd w:val="clear" w:color="auto" w:fill="auto"/>
            <w:vAlign w:val="center"/>
            <w:hideMark/>
          </w:tcPr>
          <w:p w14:paraId="1A36249B" w14:textId="77777777" w:rsidR="004C01B3" w:rsidRPr="00B13B9A" w:rsidRDefault="004C01B3" w:rsidP="004C01B3">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217.330.566,00</w:t>
            </w:r>
          </w:p>
        </w:tc>
        <w:tc>
          <w:tcPr>
            <w:tcW w:w="1418" w:type="dxa"/>
            <w:gridSpan w:val="2"/>
            <w:tcBorders>
              <w:top w:val="nil"/>
              <w:left w:val="nil"/>
              <w:bottom w:val="single" w:sz="4" w:space="0" w:color="auto"/>
              <w:right w:val="nil"/>
            </w:tcBorders>
            <w:shd w:val="clear" w:color="auto" w:fill="auto"/>
            <w:vAlign w:val="center"/>
            <w:hideMark/>
          </w:tcPr>
          <w:p w14:paraId="2A272048" w14:textId="77777777" w:rsidR="004C01B3" w:rsidRPr="00B13B9A" w:rsidRDefault="004C01B3" w:rsidP="004C01B3">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216.130.438,00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3A0E390E"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-1200128</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EAFB231"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99,45%</w:t>
            </w:r>
          </w:p>
        </w:tc>
      </w:tr>
      <w:tr w:rsidR="004C01B3" w:rsidRPr="00B13B9A" w14:paraId="3E4F52C7"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3B3B09FA" w14:textId="77777777" w:rsidR="004C01B3" w:rsidRPr="00B13B9A" w:rsidRDefault="004C01B3" w:rsidP="004C01B3">
            <w:pPr>
              <w:spacing w:after="0" w:line="240" w:lineRule="auto"/>
              <w:ind w:firstLineChars="100" w:firstLine="181"/>
              <w:rPr>
                <w:rFonts w:asciiTheme="majorHAnsi" w:eastAsia="Times New Roman" w:hAnsiTheme="majorHAnsi" w:cstheme="majorHAnsi"/>
                <w:b/>
                <w:bCs/>
                <w:color w:val="000000"/>
                <w:sz w:val="18"/>
                <w:szCs w:val="18"/>
                <w:lang w:val="ro-MD"/>
              </w:rPr>
            </w:pPr>
            <w:r w:rsidRPr="00B13B9A">
              <w:rPr>
                <w:rFonts w:asciiTheme="majorHAnsi" w:eastAsia="Times New Roman" w:hAnsiTheme="majorHAnsi" w:cstheme="majorHAnsi"/>
                <w:b/>
                <w:bCs/>
                <w:color w:val="000000"/>
                <w:sz w:val="18"/>
                <w:szCs w:val="18"/>
                <w:lang w:val="ro-MD"/>
              </w:rPr>
              <w:t>ACTIVE CIRCULANTE</w:t>
            </w:r>
          </w:p>
        </w:tc>
        <w:tc>
          <w:tcPr>
            <w:tcW w:w="1418" w:type="dxa"/>
            <w:tcBorders>
              <w:top w:val="nil"/>
              <w:left w:val="nil"/>
              <w:bottom w:val="single" w:sz="4" w:space="0" w:color="auto"/>
              <w:right w:val="single" w:sz="4" w:space="0" w:color="auto"/>
            </w:tcBorders>
            <w:shd w:val="clear" w:color="auto" w:fill="auto"/>
            <w:vAlign w:val="center"/>
            <w:hideMark/>
          </w:tcPr>
          <w:p w14:paraId="62FA9702"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417" w:type="dxa"/>
            <w:tcBorders>
              <w:top w:val="nil"/>
              <w:left w:val="nil"/>
              <w:bottom w:val="single" w:sz="4" w:space="0" w:color="auto"/>
              <w:right w:val="single" w:sz="4" w:space="0" w:color="auto"/>
            </w:tcBorders>
            <w:shd w:val="clear" w:color="auto" w:fill="auto"/>
            <w:vAlign w:val="center"/>
            <w:hideMark/>
          </w:tcPr>
          <w:p w14:paraId="428003BD"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418" w:type="dxa"/>
            <w:gridSpan w:val="2"/>
            <w:vMerge w:val="restart"/>
            <w:tcBorders>
              <w:top w:val="nil"/>
              <w:left w:val="single" w:sz="4" w:space="0" w:color="auto"/>
              <w:bottom w:val="single" w:sz="4" w:space="0" w:color="auto"/>
              <w:right w:val="nil"/>
            </w:tcBorders>
            <w:shd w:val="clear" w:color="auto" w:fill="auto"/>
            <w:vAlign w:val="center"/>
            <w:hideMark/>
          </w:tcPr>
          <w:p w14:paraId="441C4599"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0BA6D38E"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1A0EA151"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r>
      <w:tr w:rsidR="004C01B3" w:rsidRPr="00B13B9A" w14:paraId="013786B7"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04277889" w14:textId="77777777" w:rsidR="004C01B3" w:rsidRPr="00B13B9A" w:rsidRDefault="004C01B3" w:rsidP="004C01B3">
            <w:pPr>
              <w:spacing w:after="0" w:line="240" w:lineRule="auto"/>
              <w:ind w:firstLineChars="100" w:firstLine="181"/>
              <w:rPr>
                <w:rFonts w:asciiTheme="majorHAnsi" w:eastAsia="Times New Roman" w:hAnsiTheme="majorHAnsi" w:cstheme="majorHAnsi"/>
                <w:b/>
                <w:bCs/>
                <w:color w:val="000000"/>
                <w:sz w:val="18"/>
                <w:szCs w:val="18"/>
                <w:lang w:val="ro-MD"/>
              </w:rPr>
            </w:pPr>
            <w:r w:rsidRPr="00B13B9A">
              <w:rPr>
                <w:rFonts w:asciiTheme="majorHAnsi" w:eastAsia="Times New Roman" w:hAnsiTheme="majorHAnsi" w:cstheme="majorHAnsi"/>
                <w:b/>
                <w:bCs/>
                <w:color w:val="000000"/>
                <w:sz w:val="18"/>
                <w:szCs w:val="18"/>
                <w:lang w:val="ro-MD"/>
              </w:rPr>
              <w:t>I. Stocuri</w:t>
            </w:r>
          </w:p>
        </w:tc>
        <w:tc>
          <w:tcPr>
            <w:tcW w:w="1418" w:type="dxa"/>
            <w:tcBorders>
              <w:top w:val="nil"/>
              <w:left w:val="nil"/>
              <w:bottom w:val="single" w:sz="4" w:space="0" w:color="auto"/>
              <w:right w:val="single" w:sz="4" w:space="0" w:color="auto"/>
            </w:tcBorders>
            <w:shd w:val="clear" w:color="auto" w:fill="auto"/>
            <w:vAlign w:val="center"/>
            <w:hideMark/>
          </w:tcPr>
          <w:p w14:paraId="7947C3E2"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417" w:type="dxa"/>
            <w:tcBorders>
              <w:top w:val="nil"/>
              <w:left w:val="nil"/>
              <w:bottom w:val="single" w:sz="4" w:space="0" w:color="auto"/>
              <w:right w:val="single" w:sz="4" w:space="0" w:color="auto"/>
            </w:tcBorders>
            <w:shd w:val="clear" w:color="auto" w:fill="auto"/>
            <w:vAlign w:val="center"/>
            <w:hideMark/>
          </w:tcPr>
          <w:p w14:paraId="5132A412"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418" w:type="dxa"/>
            <w:gridSpan w:val="2"/>
            <w:vMerge/>
            <w:tcBorders>
              <w:top w:val="nil"/>
              <w:left w:val="single" w:sz="4" w:space="0" w:color="auto"/>
              <w:bottom w:val="single" w:sz="4" w:space="0" w:color="auto"/>
              <w:right w:val="nil"/>
            </w:tcBorders>
            <w:vAlign w:val="center"/>
            <w:hideMark/>
          </w:tcPr>
          <w:p w14:paraId="1ECD20D4"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3E713A22"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18D01161"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r>
      <w:tr w:rsidR="004C01B3" w:rsidRPr="00B13B9A" w14:paraId="266E731E"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4A37D11A" w14:textId="77777777" w:rsidR="004C01B3" w:rsidRPr="00B13B9A" w:rsidRDefault="004C01B3" w:rsidP="004C01B3">
            <w:pPr>
              <w:spacing w:after="0" w:line="240" w:lineRule="auto"/>
              <w:ind w:firstLineChars="100" w:firstLine="180"/>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1. Materiale si obiecte de mica valoare si scurta durata</w:t>
            </w:r>
          </w:p>
        </w:tc>
        <w:tc>
          <w:tcPr>
            <w:tcW w:w="1418" w:type="dxa"/>
            <w:tcBorders>
              <w:top w:val="nil"/>
              <w:left w:val="nil"/>
              <w:bottom w:val="single" w:sz="4" w:space="0" w:color="auto"/>
              <w:right w:val="single" w:sz="4" w:space="0" w:color="auto"/>
            </w:tcBorders>
            <w:shd w:val="clear" w:color="auto" w:fill="auto"/>
            <w:vAlign w:val="center"/>
            <w:hideMark/>
          </w:tcPr>
          <w:p w14:paraId="5A5DBC3E"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65.958.437,00</w:t>
            </w:r>
          </w:p>
        </w:tc>
        <w:tc>
          <w:tcPr>
            <w:tcW w:w="1417" w:type="dxa"/>
            <w:tcBorders>
              <w:top w:val="nil"/>
              <w:left w:val="nil"/>
              <w:bottom w:val="single" w:sz="4" w:space="0" w:color="auto"/>
              <w:right w:val="single" w:sz="4" w:space="0" w:color="auto"/>
            </w:tcBorders>
            <w:shd w:val="clear" w:color="auto" w:fill="auto"/>
            <w:vAlign w:val="center"/>
            <w:hideMark/>
          </w:tcPr>
          <w:p w14:paraId="590B8E1C"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7093088</w:t>
            </w:r>
          </w:p>
        </w:tc>
        <w:tc>
          <w:tcPr>
            <w:tcW w:w="1418" w:type="dxa"/>
            <w:gridSpan w:val="2"/>
            <w:tcBorders>
              <w:top w:val="nil"/>
              <w:left w:val="nil"/>
              <w:bottom w:val="single" w:sz="4" w:space="0" w:color="auto"/>
              <w:right w:val="nil"/>
            </w:tcBorders>
            <w:shd w:val="clear" w:color="auto" w:fill="auto"/>
            <w:vAlign w:val="center"/>
            <w:hideMark/>
          </w:tcPr>
          <w:p w14:paraId="2B579E1E"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6048772</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5B59A57C"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-1044316</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192E75EB"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85,28%</w:t>
            </w:r>
          </w:p>
        </w:tc>
      </w:tr>
      <w:tr w:rsidR="004C01B3" w:rsidRPr="00B13B9A" w14:paraId="3FF9317C"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764308F5" w14:textId="77777777" w:rsidR="004C01B3" w:rsidRPr="00B13B9A" w:rsidRDefault="004C01B3" w:rsidP="004C01B3">
            <w:pPr>
              <w:spacing w:after="0" w:line="240" w:lineRule="auto"/>
              <w:ind w:firstLineChars="100" w:firstLine="180"/>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3. Produse si marfuri</w:t>
            </w:r>
          </w:p>
        </w:tc>
        <w:tc>
          <w:tcPr>
            <w:tcW w:w="1418" w:type="dxa"/>
            <w:tcBorders>
              <w:top w:val="nil"/>
              <w:left w:val="nil"/>
              <w:bottom w:val="single" w:sz="4" w:space="0" w:color="auto"/>
              <w:right w:val="single" w:sz="4" w:space="0" w:color="auto"/>
            </w:tcBorders>
            <w:shd w:val="clear" w:color="auto" w:fill="auto"/>
            <w:vAlign w:val="center"/>
            <w:hideMark/>
          </w:tcPr>
          <w:p w14:paraId="04BB8EA7" w14:textId="77777777" w:rsidR="004C01B3" w:rsidRPr="00B13B9A" w:rsidRDefault="004C01B3" w:rsidP="004C01B3">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 </w:t>
            </w:r>
          </w:p>
        </w:tc>
        <w:tc>
          <w:tcPr>
            <w:tcW w:w="1417" w:type="dxa"/>
            <w:tcBorders>
              <w:top w:val="nil"/>
              <w:left w:val="nil"/>
              <w:bottom w:val="single" w:sz="4" w:space="0" w:color="auto"/>
              <w:right w:val="single" w:sz="4" w:space="0" w:color="auto"/>
            </w:tcBorders>
            <w:shd w:val="clear" w:color="auto" w:fill="auto"/>
            <w:vAlign w:val="center"/>
            <w:hideMark/>
          </w:tcPr>
          <w:p w14:paraId="2A5C42A9"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51273454</w:t>
            </w:r>
          </w:p>
        </w:tc>
        <w:tc>
          <w:tcPr>
            <w:tcW w:w="1418" w:type="dxa"/>
            <w:gridSpan w:val="2"/>
            <w:tcBorders>
              <w:top w:val="nil"/>
              <w:left w:val="nil"/>
              <w:bottom w:val="single" w:sz="4" w:space="0" w:color="auto"/>
              <w:right w:val="nil"/>
            </w:tcBorders>
            <w:shd w:val="clear" w:color="auto" w:fill="auto"/>
            <w:vAlign w:val="center"/>
            <w:hideMark/>
          </w:tcPr>
          <w:p w14:paraId="30760465"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39655564</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3A93569B"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-11617890</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16E4FD3"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77,34%</w:t>
            </w:r>
          </w:p>
        </w:tc>
      </w:tr>
      <w:tr w:rsidR="004C01B3" w:rsidRPr="00B13B9A" w14:paraId="5FB2AA97"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55EC4819" w14:textId="381A04F3" w:rsidR="004C01B3" w:rsidRPr="00B13B9A" w:rsidRDefault="004C01B3" w:rsidP="00CC1A9A">
            <w:pPr>
              <w:spacing w:after="0" w:line="240" w:lineRule="auto"/>
              <w:ind w:firstLineChars="100" w:firstLine="181"/>
              <w:rPr>
                <w:rFonts w:asciiTheme="majorHAnsi" w:eastAsia="Times New Roman" w:hAnsiTheme="majorHAnsi" w:cstheme="majorHAnsi"/>
                <w:b/>
                <w:bCs/>
                <w:color w:val="000000"/>
                <w:sz w:val="18"/>
                <w:szCs w:val="18"/>
                <w:lang w:val="ro-MD"/>
              </w:rPr>
            </w:pPr>
            <w:r w:rsidRPr="00B13B9A">
              <w:rPr>
                <w:rFonts w:asciiTheme="majorHAnsi" w:eastAsia="Times New Roman" w:hAnsiTheme="majorHAnsi" w:cstheme="majorHAnsi"/>
                <w:b/>
                <w:bCs/>
                <w:color w:val="000000"/>
                <w:sz w:val="18"/>
                <w:szCs w:val="18"/>
                <w:lang w:val="ro-MD"/>
              </w:rPr>
              <w:t xml:space="preserve">Total stocuri </w:t>
            </w:r>
          </w:p>
        </w:tc>
        <w:tc>
          <w:tcPr>
            <w:tcW w:w="1418" w:type="dxa"/>
            <w:tcBorders>
              <w:top w:val="nil"/>
              <w:left w:val="nil"/>
              <w:bottom w:val="single" w:sz="4" w:space="0" w:color="auto"/>
              <w:right w:val="single" w:sz="4" w:space="0" w:color="auto"/>
            </w:tcBorders>
            <w:shd w:val="clear" w:color="auto" w:fill="auto"/>
            <w:vAlign w:val="center"/>
            <w:hideMark/>
          </w:tcPr>
          <w:p w14:paraId="6496D00E" w14:textId="77777777" w:rsidR="004C01B3" w:rsidRPr="00B13B9A" w:rsidRDefault="004C01B3" w:rsidP="004C01B3">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65.958.437,00</w:t>
            </w:r>
          </w:p>
        </w:tc>
        <w:tc>
          <w:tcPr>
            <w:tcW w:w="1417" w:type="dxa"/>
            <w:tcBorders>
              <w:top w:val="nil"/>
              <w:left w:val="nil"/>
              <w:bottom w:val="single" w:sz="4" w:space="0" w:color="auto"/>
              <w:right w:val="single" w:sz="4" w:space="0" w:color="auto"/>
            </w:tcBorders>
            <w:shd w:val="clear" w:color="auto" w:fill="auto"/>
            <w:vAlign w:val="center"/>
            <w:hideMark/>
          </w:tcPr>
          <w:p w14:paraId="08B89549" w14:textId="77777777" w:rsidR="004C01B3" w:rsidRPr="00B13B9A" w:rsidRDefault="004C01B3" w:rsidP="004C01B3">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58.366.542,00</w:t>
            </w:r>
          </w:p>
        </w:tc>
        <w:tc>
          <w:tcPr>
            <w:tcW w:w="1418" w:type="dxa"/>
            <w:gridSpan w:val="2"/>
            <w:tcBorders>
              <w:top w:val="nil"/>
              <w:left w:val="nil"/>
              <w:bottom w:val="single" w:sz="4" w:space="0" w:color="auto"/>
              <w:right w:val="nil"/>
            </w:tcBorders>
            <w:shd w:val="clear" w:color="auto" w:fill="auto"/>
            <w:vAlign w:val="center"/>
            <w:hideMark/>
          </w:tcPr>
          <w:p w14:paraId="2C43D016" w14:textId="77777777" w:rsidR="004C01B3" w:rsidRPr="00B13B9A" w:rsidRDefault="004C01B3" w:rsidP="004C01B3">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45.704.336,00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4092A92B"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-12662206</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5570B3E8"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78,31%</w:t>
            </w:r>
          </w:p>
        </w:tc>
      </w:tr>
      <w:tr w:rsidR="004C01B3" w:rsidRPr="00B13B9A" w14:paraId="42849956"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64473E7E" w14:textId="77777777" w:rsidR="004C01B3" w:rsidRPr="00B13B9A" w:rsidRDefault="004C01B3" w:rsidP="004C01B3">
            <w:pPr>
              <w:spacing w:after="0" w:line="240" w:lineRule="auto"/>
              <w:ind w:firstLineChars="100" w:firstLine="181"/>
              <w:rPr>
                <w:rFonts w:asciiTheme="majorHAnsi" w:eastAsia="Times New Roman" w:hAnsiTheme="majorHAnsi" w:cstheme="majorHAnsi"/>
                <w:b/>
                <w:bCs/>
                <w:color w:val="000000"/>
                <w:sz w:val="18"/>
                <w:szCs w:val="18"/>
                <w:lang w:val="ro-MD"/>
              </w:rPr>
            </w:pPr>
            <w:r w:rsidRPr="00B13B9A">
              <w:rPr>
                <w:rFonts w:asciiTheme="majorHAnsi" w:eastAsia="Times New Roman" w:hAnsiTheme="majorHAnsi" w:cstheme="majorHAnsi"/>
                <w:b/>
                <w:bCs/>
                <w:color w:val="000000"/>
                <w:sz w:val="18"/>
                <w:szCs w:val="18"/>
                <w:lang w:val="ro-MD"/>
              </w:rPr>
              <w:t>II. Creante curente si alte active circulante</w:t>
            </w:r>
          </w:p>
        </w:tc>
        <w:tc>
          <w:tcPr>
            <w:tcW w:w="1418" w:type="dxa"/>
            <w:tcBorders>
              <w:top w:val="nil"/>
              <w:left w:val="nil"/>
              <w:bottom w:val="single" w:sz="4" w:space="0" w:color="auto"/>
              <w:right w:val="single" w:sz="4" w:space="0" w:color="auto"/>
            </w:tcBorders>
            <w:shd w:val="clear" w:color="auto" w:fill="auto"/>
            <w:vAlign w:val="center"/>
            <w:hideMark/>
          </w:tcPr>
          <w:p w14:paraId="1C35473C" w14:textId="77777777" w:rsidR="004C01B3" w:rsidRPr="00B13B9A" w:rsidRDefault="004C01B3" w:rsidP="004C01B3">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 </w:t>
            </w:r>
          </w:p>
        </w:tc>
        <w:tc>
          <w:tcPr>
            <w:tcW w:w="1417" w:type="dxa"/>
            <w:tcBorders>
              <w:top w:val="nil"/>
              <w:left w:val="nil"/>
              <w:bottom w:val="single" w:sz="4" w:space="0" w:color="auto"/>
              <w:right w:val="single" w:sz="4" w:space="0" w:color="auto"/>
            </w:tcBorders>
            <w:shd w:val="clear" w:color="auto" w:fill="auto"/>
            <w:vAlign w:val="center"/>
            <w:hideMark/>
          </w:tcPr>
          <w:p w14:paraId="42FA8C02" w14:textId="77777777" w:rsidR="004C01B3" w:rsidRPr="00B13B9A" w:rsidRDefault="004C01B3" w:rsidP="004C01B3">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 </w:t>
            </w:r>
          </w:p>
        </w:tc>
        <w:tc>
          <w:tcPr>
            <w:tcW w:w="1418" w:type="dxa"/>
            <w:gridSpan w:val="2"/>
            <w:tcBorders>
              <w:top w:val="nil"/>
              <w:left w:val="nil"/>
              <w:bottom w:val="single" w:sz="4" w:space="0" w:color="auto"/>
              <w:right w:val="nil"/>
            </w:tcBorders>
            <w:shd w:val="clear" w:color="auto" w:fill="auto"/>
            <w:vAlign w:val="center"/>
            <w:hideMark/>
          </w:tcPr>
          <w:p w14:paraId="20D9FFF2"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663CAADF"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074238C"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r>
      <w:tr w:rsidR="004C01B3" w:rsidRPr="00B13B9A" w14:paraId="1E31A777"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73FB4C29" w14:textId="77777777" w:rsidR="004C01B3" w:rsidRPr="00B13B9A" w:rsidRDefault="004C01B3" w:rsidP="004C01B3">
            <w:pPr>
              <w:spacing w:after="0" w:line="240" w:lineRule="auto"/>
              <w:ind w:firstLineChars="100" w:firstLine="180"/>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1. Creante comerciale curente</w:t>
            </w:r>
          </w:p>
        </w:tc>
        <w:tc>
          <w:tcPr>
            <w:tcW w:w="1418" w:type="dxa"/>
            <w:tcBorders>
              <w:top w:val="nil"/>
              <w:left w:val="nil"/>
              <w:bottom w:val="single" w:sz="4" w:space="0" w:color="auto"/>
              <w:right w:val="single" w:sz="4" w:space="0" w:color="auto"/>
            </w:tcBorders>
            <w:shd w:val="clear" w:color="auto" w:fill="auto"/>
            <w:vAlign w:val="center"/>
            <w:hideMark/>
          </w:tcPr>
          <w:p w14:paraId="0AA5AB85"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2.058.758,00</w:t>
            </w:r>
          </w:p>
        </w:tc>
        <w:tc>
          <w:tcPr>
            <w:tcW w:w="1417" w:type="dxa"/>
            <w:tcBorders>
              <w:top w:val="nil"/>
              <w:left w:val="nil"/>
              <w:bottom w:val="single" w:sz="4" w:space="0" w:color="auto"/>
              <w:right w:val="single" w:sz="4" w:space="0" w:color="auto"/>
            </w:tcBorders>
            <w:shd w:val="clear" w:color="auto" w:fill="auto"/>
            <w:vAlign w:val="center"/>
            <w:hideMark/>
          </w:tcPr>
          <w:p w14:paraId="10B1D314"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2.929.107,00</w:t>
            </w:r>
          </w:p>
        </w:tc>
        <w:tc>
          <w:tcPr>
            <w:tcW w:w="1418" w:type="dxa"/>
            <w:gridSpan w:val="2"/>
            <w:tcBorders>
              <w:top w:val="nil"/>
              <w:left w:val="nil"/>
              <w:bottom w:val="single" w:sz="4" w:space="0" w:color="auto"/>
              <w:right w:val="nil"/>
            </w:tcBorders>
            <w:shd w:val="clear" w:color="auto" w:fill="auto"/>
            <w:vAlign w:val="center"/>
            <w:hideMark/>
          </w:tcPr>
          <w:p w14:paraId="10FB5DDE"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2.984.659,00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164CB896"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55552</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1852090B"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101,90%</w:t>
            </w:r>
          </w:p>
        </w:tc>
      </w:tr>
      <w:tr w:rsidR="004C01B3" w:rsidRPr="00B13B9A" w14:paraId="7AAFBAAC"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71F24A1B" w14:textId="77777777" w:rsidR="004C01B3" w:rsidRPr="00B13B9A" w:rsidRDefault="004C01B3" w:rsidP="004C01B3">
            <w:pPr>
              <w:spacing w:after="0" w:line="240" w:lineRule="auto"/>
              <w:ind w:firstLineChars="100" w:firstLine="180"/>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3. Creante ale bugetului</w:t>
            </w:r>
          </w:p>
        </w:tc>
        <w:tc>
          <w:tcPr>
            <w:tcW w:w="1418" w:type="dxa"/>
            <w:tcBorders>
              <w:top w:val="nil"/>
              <w:left w:val="nil"/>
              <w:bottom w:val="single" w:sz="4" w:space="0" w:color="auto"/>
              <w:right w:val="single" w:sz="4" w:space="0" w:color="auto"/>
            </w:tcBorders>
            <w:shd w:val="clear" w:color="auto" w:fill="auto"/>
            <w:noWrap/>
            <w:vAlign w:val="center"/>
            <w:hideMark/>
          </w:tcPr>
          <w:p w14:paraId="7711F1C1"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c>
          <w:tcPr>
            <w:tcW w:w="1417" w:type="dxa"/>
            <w:tcBorders>
              <w:top w:val="nil"/>
              <w:left w:val="nil"/>
              <w:bottom w:val="single" w:sz="4" w:space="0" w:color="auto"/>
              <w:right w:val="single" w:sz="4" w:space="0" w:color="auto"/>
            </w:tcBorders>
            <w:shd w:val="clear" w:color="auto" w:fill="auto"/>
            <w:noWrap/>
            <w:vAlign w:val="center"/>
            <w:hideMark/>
          </w:tcPr>
          <w:p w14:paraId="06747460"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c>
          <w:tcPr>
            <w:tcW w:w="1418" w:type="dxa"/>
            <w:gridSpan w:val="2"/>
            <w:tcBorders>
              <w:top w:val="nil"/>
              <w:left w:val="nil"/>
              <w:bottom w:val="single" w:sz="4" w:space="0" w:color="auto"/>
              <w:right w:val="nil"/>
            </w:tcBorders>
            <w:shd w:val="clear" w:color="auto" w:fill="auto"/>
            <w:vAlign w:val="center"/>
            <w:hideMark/>
          </w:tcPr>
          <w:p w14:paraId="3CA132B5"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9.872,00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0F232D90"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9872</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53979EB0"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r>
      <w:tr w:rsidR="004C01B3" w:rsidRPr="00B13B9A" w14:paraId="6A887407"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42995889" w14:textId="21A5C87C" w:rsidR="004C01B3" w:rsidRPr="00B13B9A" w:rsidRDefault="004C01B3" w:rsidP="00585605">
            <w:pPr>
              <w:spacing w:after="0" w:line="240" w:lineRule="auto"/>
              <w:ind w:firstLineChars="100" w:firstLine="180"/>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4. Creante ale personalului</w:t>
            </w:r>
          </w:p>
        </w:tc>
        <w:tc>
          <w:tcPr>
            <w:tcW w:w="1418" w:type="dxa"/>
            <w:tcBorders>
              <w:top w:val="nil"/>
              <w:left w:val="nil"/>
              <w:bottom w:val="single" w:sz="4" w:space="0" w:color="auto"/>
              <w:right w:val="single" w:sz="4" w:space="0" w:color="auto"/>
            </w:tcBorders>
            <w:shd w:val="clear" w:color="auto" w:fill="auto"/>
            <w:vAlign w:val="center"/>
            <w:hideMark/>
          </w:tcPr>
          <w:p w14:paraId="0FE669F2"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11.784,00</w:t>
            </w:r>
          </w:p>
        </w:tc>
        <w:tc>
          <w:tcPr>
            <w:tcW w:w="1417" w:type="dxa"/>
            <w:tcBorders>
              <w:top w:val="nil"/>
              <w:left w:val="nil"/>
              <w:bottom w:val="single" w:sz="4" w:space="0" w:color="auto"/>
              <w:right w:val="single" w:sz="4" w:space="0" w:color="auto"/>
            </w:tcBorders>
            <w:shd w:val="clear" w:color="auto" w:fill="auto"/>
            <w:vAlign w:val="center"/>
            <w:hideMark/>
          </w:tcPr>
          <w:p w14:paraId="157B2B27"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418" w:type="dxa"/>
            <w:gridSpan w:val="2"/>
            <w:tcBorders>
              <w:top w:val="nil"/>
              <w:left w:val="nil"/>
              <w:bottom w:val="single" w:sz="4" w:space="0" w:color="auto"/>
              <w:right w:val="nil"/>
            </w:tcBorders>
            <w:shd w:val="clear" w:color="auto" w:fill="auto"/>
            <w:vAlign w:val="center"/>
            <w:hideMark/>
          </w:tcPr>
          <w:p w14:paraId="31334086"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163F27DA"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0</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0FE8A180"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r>
      <w:tr w:rsidR="004C01B3" w:rsidRPr="00B13B9A" w14:paraId="1AF03D83"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0FD82A28" w14:textId="77777777" w:rsidR="004C01B3" w:rsidRPr="00B13B9A" w:rsidRDefault="004C01B3" w:rsidP="004C01B3">
            <w:pPr>
              <w:spacing w:after="0" w:line="240" w:lineRule="auto"/>
              <w:ind w:firstLineChars="100" w:firstLine="180"/>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5. Alte creante curente</w:t>
            </w:r>
          </w:p>
        </w:tc>
        <w:tc>
          <w:tcPr>
            <w:tcW w:w="1418" w:type="dxa"/>
            <w:tcBorders>
              <w:top w:val="nil"/>
              <w:left w:val="nil"/>
              <w:bottom w:val="single" w:sz="4" w:space="0" w:color="auto"/>
              <w:right w:val="single" w:sz="4" w:space="0" w:color="auto"/>
            </w:tcBorders>
            <w:shd w:val="clear" w:color="auto" w:fill="auto"/>
            <w:vAlign w:val="center"/>
            <w:hideMark/>
          </w:tcPr>
          <w:p w14:paraId="72D5EC70"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148.020,00</w:t>
            </w:r>
          </w:p>
        </w:tc>
        <w:tc>
          <w:tcPr>
            <w:tcW w:w="1417" w:type="dxa"/>
            <w:tcBorders>
              <w:top w:val="nil"/>
              <w:left w:val="nil"/>
              <w:bottom w:val="single" w:sz="4" w:space="0" w:color="auto"/>
              <w:right w:val="single" w:sz="4" w:space="0" w:color="auto"/>
            </w:tcBorders>
            <w:shd w:val="clear" w:color="auto" w:fill="auto"/>
            <w:vAlign w:val="center"/>
            <w:hideMark/>
          </w:tcPr>
          <w:p w14:paraId="13DC6F77"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153.157,00</w:t>
            </w:r>
          </w:p>
        </w:tc>
        <w:tc>
          <w:tcPr>
            <w:tcW w:w="1418" w:type="dxa"/>
            <w:gridSpan w:val="2"/>
            <w:tcBorders>
              <w:top w:val="nil"/>
              <w:left w:val="nil"/>
              <w:bottom w:val="single" w:sz="4" w:space="0" w:color="auto"/>
              <w:right w:val="nil"/>
            </w:tcBorders>
            <w:shd w:val="clear" w:color="auto" w:fill="auto"/>
            <w:vAlign w:val="center"/>
            <w:hideMark/>
          </w:tcPr>
          <w:p w14:paraId="0AACD591"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148.020,00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2389CB08"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-5137</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783EC3F3"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96,65%</w:t>
            </w:r>
          </w:p>
        </w:tc>
      </w:tr>
      <w:tr w:rsidR="004C01B3" w:rsidRPr="00B13B9A" w14:paraId="104534E2"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0D74845D" w14:textId="77777777" w:rsidR="004C01B3" w:rsidRPr="00B13B9A" w:rsidRDefault="004C01B3" w:rsidP="004C01B3">
            <w:pPr>
              <w:spacing w:after="0" w:line="240" w:lineRule="auto"/>
              <w:ind w:firstLineChars="100" w:firstLine="180"/>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6. Cheltuieli anticipate curente</w:t>
            </w:r>
          </w:p>
        </w:tc>
        <w:tc>
          <w:tcPr>
            <w:tcW w:w="1418" w:type="dxa"/>
            <w:tcBorders>
              <w:top w:val="nil"/>
              <w:left w:val="nil"/>
              <w:bottom w:val="single" w:sz="4" w:space="0" w:color="auto"/>
              <w:right w:val="single" w:sz="4" w:space="0" w:color="auto"/>
            </w:tcBorders>
            <w:shd w:val="clear" w:color="auto" w:fill="auto"/>
            <w:vAlign w:val="center"/>
            <w:hideMark/>
          </w:tcPr>
          <w:p w14:paraId="4A0698FC"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417" w:type="dxa"/>
            <w:tcBorders>
              <w:top w:val="nil"/>
              <w:left w:val="nil"/>
              <w:bottom w:val="single" w:sz="4" w:space="0" w:color="auto"/>
              <w:right w:val="single" w:sz="4" w:space="0" w:color="auto"/>
            </w:tcBorders>
            <w:shd w:val="clear" w:color="auto" w:fill="auto"/>
            <w:vAlign w:val="center"/>
            <w:hideMark/>
          </w:tcPr>
          <w:p w14:paraId="7A27D409"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418" w:type="dxa"/>
            <w:gridSpan w:val="2"/>
            <w:tcBorders>
              <w:top w:val="nil"/>
              <w:left w:val="nil"/>
              <w:bottom w:val="single" w:sz="4" w:space="0" w:color="auto"/>
              <w:right w:val="nil"/>
            </w:tcBorders>
            <w:shd w:val="clear" w:color="auto" w:fill="auto"/>
            <w:vAlign w:val="center"/>
            <w:hideMark/>
          </w:tcPr>
          <w:p w14:paraId="64FE4AF6"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6.171,00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0A8EBC93"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6171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0E51AE3"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r>
      <w:tr w:rsidR="004C01B3" w:rsidRPr="00B13B9A" w14:paraId="564505D7"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4A0A8157" w14:textId="77777777" w:rsidR="004C01B3" w:rsidRPr="00B13B9A" w:rsidRDefault="004C01B3" w:rsidP="004C01B3">
            <w:pPr>
              <w:spacing w:after="0" w:line="240" w:lineRule="auto"/>
              <w:ind w:firstLineChars="100" w:firstLine="180"/>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7. Alte active circulante</w:t>
            </w:r>
          </w:p>
        </w:tc>
        <w:tc>
          <w:tcPr>
            <w:tcW w:w="1418" w:type="dxa"/>
            <w:tcBorders>
              <w:top w:val="nil"/>
              <w:left w:val="nil"/>
              <w:bottom w:val="single" w:sz="4" w:space="0" w:color="auto"/>
              <w:right w:val="single" w:sz="4" w:space="0" w:color="auto"/>
            </w:tcBorders>
            <w:shd w:val="clear" w:color="auto" w:fill="auto"/>
            <w:vAlign w:val="center"/>
            <w:hideMark/>
          </w:tcPr>
          <w:p w14:paraId="1010CC23"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602.795,00</w:t>
            </w:r>
          </w:p>
        </w:tc>
        <w:tc>
          <w:tcPr>
            <w:tcW w:w="1417" w:type="dxa"/>
            <w:tcBorders>
              <w:top w:val="nil"/>
              <w:left w:val="nil"/>
              <w:bottom w:val="single" w:sz="4" w:space="0" w:color="auto"/>
              <w:right w:val="single" w:sz="4" w:space="0" w:color="auto"/>
            </w:tcBorders>
            <w:shd w:val="clear" w:color="auto" w:fill="auto"/>
            <w:vAlign w:val="center"/>
            <w:hideMark/>
          </w:tcPr>
          <w:p w14:paraId="6F7412E9"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315.160,00</w:t>
            </w:r>
          </w:p>
        </w:tc>
        <w:tc>
          <w:tcPr>
            <w:tcW w:w="1418" w:type="dxa"/>
            <w:gridSpan w:val="2"/>
            <w:tcBorders>
              <w:top w:val="nil"/>
              <w:left w:val="nil"/>
              <w:bottom w:val="single" w:sz="4" w:space="0" w:color="auto"/>
              <w:right w:val="nil"/>
            </w:tcBorders>
            <w:shd w:val="clear" w:color="auto" w:fill="auto"/>
            <w:vAlign w:val="center"/>
            <w:hideMark/>
          </w:tcPr>
          <w:p w14:paraId="53065753"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53.968,00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3550ED89"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-261192</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7CB56733"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17,12%</w:t>
            </w:r>
          </w:p>
        </w:tc>
      </w:tr>
      <w:tr w:rsidR="004C01B3" w:rsidRPr="00B13B9A" w14:paraId="54F4C30D"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30FDDBC1" w14:textId="6C007835" w:rsidR="004C01B3" w:rsidRPr="00B13B9A" w:rsidRDefault="004C01B3" w:rsidP="00CC1A9A">
            <w:pPr>
              <w:spacing w:after="0" w:line="240" w:lineRule="auto"/>
              <w:ind w:firstLineChars="100" w:firstLine="181"/>
              <w:rPr>
                <w:rFonts w:asciiTheme="majorHAnsi" w:eastAsia="Times New Roman" w:hAnsiTheme="majorHAnsi" w:cstheme="majorHAnsi"/>
                <w:b/>
                <w:bCs/>
                <w:color w:val="000000"/>
                <w:sz w:val="18"/>
                <w:szCs w:val="18"/>
                <w:lang w:val="ro-MD"/>
              </w:rPr>
            </w:pPr>
            <w:r w:rsidRPr="00B13B9A">
              <w:rPr>
                <w:rFonts w:asciiTheme="majorHAnsi" w:eastAsia="Times New Roman" w:hAnsiTheme="majorHAnsi" w:cstheme="majorHAnsi"/>
                <w:b/>
                <w:bCs/>
                <w:color w:val="000000"/>
                <w:sz w:val="18"/>
                <w:szCs w:val="18"/>
                <w:lang w:val="ro-MD"/>
              </w:rPr>
              <w:t xml:space="preserve">Total creante curente si alte active circulante </w:t>
            </w:r>
          </w:p>
        </w:tc>
        <w:tc>
          <w:tcPr>
            <w:tcW w:w="1418" w:type="dxa"/>
            <w:tcBorders>
              <w:top w:val="nil"/>
              <w:left w:val="nil"/>
              <w:bottom w:val="single" w:sz="4" w:space="0" w:color="auto"/>
              <w:right w:val="single" w:sz="4" w:space="0" w:color="auto"/>
            </w:tcBorders>
            <w:shd w:val="clear" w:color="auto" w:fill="auto"/>
            <w:vAlign w:val="center"/>
            <w:hideMark/>
          </w:tcPr>
          <w:p w14:paraId="15E43C01" w14:textId="77777777" w:rsidR="004C01B3" w:rsidRPr="00B13B9A" w:rsidRDefault="004C01B3" w:rsidP="004C01B3">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2.821.357,00</w:t>
            </w:r>
          </w:p>
        </w:tc>
        <w:tc>
          <w:tcPr>
            <w:tcW w:w="1417" w:type="dxa"/>
            <w:tcBorders>
              <w:top w:val="nil"/>
              <w:left w:val="nil"/>
              <w:bottom w:val="single" w:sz="4" w:space="0" w:color="auto"/>
              <w:right w:val="single" w:sz="4" w:space="0" w:color="auto"/>
            </w:tcBorders>
            <w:shd w:val="clear" w:color="auto" w:fill="auto"/>
            <w:vAlign w:val="center"/>
            <w:hideMark/>
          </w:tcPr>
          <w:p w14:paraId="6FDEB160" w14:textId="77777777" w:rsidR="004C01B3" w:rsidRPr="00B13B9A" w:rsidRDefault="004C01B3" w:rsidP="004C01B3">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3.397.424,00</w:t>
            </w:r>
          </w:p>
        </w:tc>
        <w:tc>
          <w:tcPr>
            <w:tcW w:w="1418" w:type="dxa"/>
            <w:gridSpan w:val="2"/>
            <w:tcBorders>
              <w:top w:val="nil"/>
              <w:left w:val="nil"/>
              <w:bottom w:val="single" w:sz="4" w:space="0" w:color="auto"/>
              <w:right w:val="nil"/>
            </w:tcBorders>
            <w:shd w:val="clear" w:color="auto" w:fill="auto"/>
            <w:vAlign w:val="center"/>
            <w:hideMark/>
          </w:tcPr>
          <w:p w14:paraId="4D47A6DC" w14:textId="77777777" w:rsidR="004C01B3" w:rsidRPr="00B13B9A" w:rsidRDefault="004C01B3" w:rsidP="004C01B3">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3.202.690,00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50D930D8"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-194734</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3733B007"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94,27%</w:t>
            </w:r>
          </w:p>
        </w:tc>
      </w:tr>
      <w:tr w:rsidR="004C01B3" w:rsidRPr="00B13B9A" w14:paraId="1D61BB5D"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4CEBA0A4" w14:textId="77777777" w:rsidR="004C01B3" w:rsidRPr="00B13B9A" w:rsidRDefault="004C01B3" w:rsidP="004C01B3">
            <w:pPr>
              <w:spacing w:after="0" w:line="240" w:lineRule="auto"/>
              <w:ind w:firstLineChars="100" w:firstLine="181"/>
              <w:rPr>
                <w:rFonts w:asciiTheme="majorHAnsi" w:eastAsia="Times New Roman" w:hAnsiTheme="majorHAnsi" w:cstheme="majorHAnsi"/>
                <w:b/>
                <w:bCs/>
                <w:color w:val="000000"/>
                <w:sz w:val="18"/>
                <w:szCs w:val="18"/>
                <w:lang w:val="ro-MD"/>
              </w:rPr>
            </w:pPr>
            <w:r w:rsidRPr="00B13B9A">
              <w:rPr>
                <w:rFonts w:asciiTheme="majorHAnsi" w:eastAsia="Times New Roman" w:hAnsiTheme="majorHAnsi" w:cstheme="majorHAnsi"/>
                <w:b/>
                <w:bCs/>
                <w:color w:val="000000"/>
                <w:sz w:val="18"/>
                <w:szCs w:val="18"/>
                <w:lang w:val="ro-MD"/>
              </w:rPr>
              <w:t>III. Investitii financiare curente</w:t>
            </w:r>
          </w:p>
        </w:tc>
        <w:tc>
          <w:tcPr>
            <w:tcW w:w="1418" w:type="dxa"/>
            <w:tcBorders>
              <w:top w:val="nil"/>
              <w:left w:val="nil"/>
              <w:bottom w:val="single" w:sz="4" w:space="0" w:color="auto"/>
              <w:right w:val="single" w:sz="4" w:space="0" w:color="auto"/>
            </w:tcBorders>
            <w:shd w:val="clear" w:color="auto" w:fill="auto"/>
            <w:noWrap/>
            <w:vAlign w:val="center"/>
            <w:hideMark/>
          </w:tcPr>
          <w:p w14:paraId="067E8208"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c>
          <w:tcPr>
            <w:tcW w:w="1417" w:type="dxa"/>
            <w:tcBorders>
              <w:top w:val="nil"/>
              <w:left w:val="nil"/>
              <w:bottom w:val="single" w:sz="4" w:space="0" w:color="auto"/>
              <w:right w:val="single" w:sz="4" w:space="0" w:color="auto"/>
            </w:tcBorders>
            <w:shd w:val="clear" w:color="auto" w:fill="auto"/>
            <w:noWrap/>
            <w:vAlign w:val="center"/>
            <w:hideMark/>
          </w:tcPr>
          <w:p w14:paraId="3E4F2733"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c>
          <w:tcPr>
            <w:tcW w:w="1418" w:type="dxa"/>
            <w:gridSpan w:val="2"/>
            <w:tcBorders>
              <w:top w:val="nil"/>
              <w:left w:val="nil"/>
              <w:bottom w:val="single" w:sz="4" w:space="0" w:color="auto"/>
              <w:right w:val="nil"/>
            </w:tcBorders>
            <w:shd w:val="clear" w:color="auto" w:fill="auto"/>
            <w:noWrap/>
            <w:vAlign w:val="center"/>
            <w:hideMark/>
          </w:tcPr>
          <w:p w14:paraId="7D9FB580"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7302F7DE"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53EBEFF7"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r>
      <w:tr w:rsidR="004C01B3" w:rsidRPr="00B13B9A" w14:paraId="3A886633"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495D9016" w14:textId="4074FF9B" w:rsidR="004C01B3" w:rsidRPr="00B13B9A" w:rsidRDefault="004C01B3" w:rsidP="00CC1A9A">
            <w:pPr>
              <w:spacing w:after="0" w:line="240" w:lineRule="auto"/>
              <w:ind w:firstLineChars="100" w:firstLine="181"/>
              <w:rPr>
                <w:rFonts w:asciiTheme="majorHAnsi" w:eastAsia="Times New Roman" w:hAnsiTheme="majorHAnsi" w:cstheme="majorHAnsi"/>
                <w:b/>
                <w:bCs/>
                <w:color w:val="000000"/>
                <w:sz w:val="18"/>
                <w:szCs w:val="18"/>
                <w:lang w:val="ro-MD"/>
              </w:rPr>
            </w:pPr>
            <w:r w:rsidRPr="00B13B9A">
              <w:rPr>
                <w:rFonts w:asciiTheme="majorHAnsi" w:eastAsia="Times New Roman" w:hAnsiTheme="majorHAnsi" w:cstheme="majorHAnsi"/>
                <w:b/>
                <w:bCs/>
                <w:color w:val="000000"/>
                <w:sz w:val="18"/>
                <w:szCs w:val="18"/>
                <w:lang w:val="ro-MD"/>
              </w:rPr>
              <w:t xml:space="preserve">Total investitii financiare curente </w:t>
            </w:r>
          </w:p>
        </w:tc>
        <w:tc>
          <w:tcPr>
            <w:tcW w:w="1418" w:type="dxa"/>
            <w:tcBorders>
              <w:top w:val="nil"/>
              <w:left w:val="nil"/>
              <w:bottom w:val="single" w:sz="4" w:space="0" w:color="auto"/>
              <w:right w:val="single" w:sz="4" w:space="0" w:color="auto"/>
            </w:tcBorders>
            <w:shd w:val="clear" w:color="auto" w:fill="auto"/>
            <w:noWrap/>
            <w:vAlign w:val="center"/>
            <w:hideMark/>
          </w:tcPr>
          <w:p w14:paraId="256D89C4"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c>
          <w:tcPr>
            <w:tcW w:w="1417" w:type="dxa"/>
            <w:tcBorders>
              <w:top w:val="nil"/>
              <w:left w:val="nil"/>
              <w:bottom w:val="single" w:sz="4" w:space="0" w:color="auto"/>
              <w:right w:val="single" w:sz="4" w:space="0" w:color="auto"/>
            </w:tcBorders>
            <w:shd w:val="clear" w:color="auto" w:fill="auto"/>
            <w:noWrap/>
            <w:vAlign w:val="center"/>
            <w:hideMark/>
          </w:tcPr>
          <w:p w14:paraId="764ADBA6"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c>
          <w:tcPr>
            <w:tcW w:w="1418" w:type="dxa"/>
            <w:gridSpan w:val="2"/>
            <w:tcBorders>
              <w:top w:val="nil"/>
              <w:left w:val="nil"/>
              <w:bottom w:val="single" w:sz="4" w:space="0" w:color="auto"/>
              <w:right w:val="nil"/>
            </w:tcBorders>
            <w:shd w:val="clear" w:color="auto" w:fill="auto"/>
            <w:vAlign w:val="center"/>
            <w:hideMark/>
          </w:tcPr>
          <w:p w14:paraId="30D95908"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1D3946C6"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395CDC9E"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r>
      <w:tr w:rsidR="004C01B3" w:rsidRPr="00B13B9A" w14:paraId="2189EBCB"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1DC59356" w14:textId="77777777" w:rsidR="004C01B3" w:rsidRPr="00B13B9A" w:rsidRDefault="004C01B3" w:rsidP="004C01B3">
            <w:pPr>
              <w:spacing w:after="0" w:line="240" w:lineRule="auto"/>
              <w:ind w:firstLineChars="100" w:firstLine="181"/>
              <w:rPr>
                <w:rFonts w:asciiTheme="majorHAnsi" w:eastAsia="Times New Roman" w:hAnsiTheme="majorHAnsi" w:cstheme="majorHAnsi"/>
                <w:b/>
                <w:bCs/>
                <w:color w:val="000000"/>
                <w:sz w:val="18"/>
                <w:szCs w:val="18"/>
                <w:lang w:val="ro-MD"/>
              </w:rPr>
            </w:pPr>
            <w:r w:rsidRPr="00B13B9A">
              <w:rPr>
                <w:rFonts w:asciiTheme="majorHAnsi" w:eastAsia="Times New Roman" w:hAnsiTheme="majorHAnsi" w:cstheme="majorHAnsi"/>
                <w:b/>
                <w:bCs/>
                <w:color w:val="000000"/>
                <w:sz w:val="18"/>
                <w:szCs w:val="18"/>
                <w:lang w:val="ro-MD"/>
              </w:rPr>
              <w:t>IV. Numerar si documente banesti</w:t>
            </w:r>
          </w:p>
        </w:tc>
        <w:tc>
          <w:tcPr>
            <w:tcW w:w="1418" w:type="dxa"/>
            <w:tcBorders>
              <w:top w:val="nil"/>
              <w:left w:val="nil"/>
              <w:bottom w:val="single" w:sz="4" w:space="0" w:color="auto"/>
              <w:right w:val="single" w:sz="4" w:space="0" w:color="auto"/>
            </w:tcBorders>
            <w:shd w:val="clear" w:color="auto" w:fill="auto"/>
            <w:vAlign w:val="center"/>
            <w:hideMark/>
          </w:tcPr>
          <w:p w14:paraId="3FB217CB"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6.730.504,00</w:t>
            </w:r>
          </w:p>
        </w:tc>
        <w:tc>
          <w:tcPr>
            <w:tcW w:w="1417" w:type="dxa"/>
            <w:tcBorders>
              <w:top w:val="nil"/>
              <w:left w:val="nil"/>
              <w:bottom w:val="single" w:sz="4" w:space="0" w:color="auto"/>
              <w:right w:val="single" w:sz="4" w:space="0" w:color="auto"/>
            </w:tcBorders>
            <w:shd w:val="clear" w:color="auto" w:fill="auto"/>
            <w:vAlign w:val="center"/>
            <w:hideMark/>
          </w:tcPr>
          <w:p w14:paraId="2E47A083"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5.594.826,00</w:t>
            </w:r>
          </w:p>
        </w:tc>
        <w:tc>
          <w:tcPr>
            <w:tcW w:w="1418" w:type="dxa"/>
            <w:gridSpan w:val="2"/>
            <w:tcBorders>
              <w:top w:val="nil"/>
              <w:left w:val="nil"/>
              <w:bottom w:val="single" w:sz="4" w:space="0" w:color="auto"/>
              <w:right w:val="nil"/>
            </w:tcBorders>
            <w:shd w:val="clear" w:color="auto" w:fill="auto"/>
            <w:vAlign w:val="center"/>
            <w:hideMark/>
          </w:tcPr>
          <w:p w14:paraId="0CE58C4C"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8.094.483,00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5D43F6C1"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2499657</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135E3E55"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144,68%</w:t>
            </w:r>
          </w:p>
        </w:tc>
      </w:tr>
      <w:tr w:rsidR="004C01B3" w:rsidRPr="00B13B9A" w14:paraId="162539B7"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432784F7" w14:textId="007CB62B" w:rsidR="004C01B3" w:rsidRPr="00B13B9A" w:rsidRDefault="004C01B3" w:rsidP="00CC1A9A">
            <w:pPr>
              <w:spacing w:after="0" w:line="240" w:lineRule="auto"/>
              <w:ind w:firstLineChars="100" w:firstLine="181"/>
              <w:rPr>
                <w:rFonts w:asciiTheme="majorHAnsi" w:eastAsia="Times New Roman" w:hAnsiTheme="majorHAnsi" w:cstheme="majorHAnsi"/>
                <w:b/>
                <w:bCs/>
                <w:color w:val="000000"/>
                <w:sz w:val="18"/>
                <w:szCs w:val="18"/>
                <w:lang w:val="ro-MD"/>
              </w:rPr>
            </w:pPr>
            <w:r w:rsidRPr="00B13B9A">
              <w:rPr>
                <w:rFonts w:asciiTheme="majorHAnsi" w:eastAsia="Times New Roman" w:hAnsiTheme="majorHAnsi" w:cstheme="majorHAnsi"/>
                <w:b/>
                <w:bCs/>
                <w:color w:val="000000"/>
                <w:sz w:val="18"/>
                <w:szCs w:val="18"/>
                <w:lang w:val="ro-MD"/>
              </w:rPr>
              <w:t>TOTAL ACTIVE CIRCULANTE</w:t>
            </w:r>
          </w:p>
        </w:tc>
        <w:tc>
          <w:tcPr>
            <w:tcW w:w="1418" w:type="dxa"/>
            <w:tcBorders>
              <w:top w:val="nil"/>
              <w:left w:val="nil"/>
              <w:bottom w:val="single" w:sz="4" w:space="0" w:color="auto"/>
              <w:right w:val="single" w:sz="4" w:space="0" w:color="auto"/>
            </w:tcBorders>
            <w:shd w:val="clear" w:color="auto" w:fill="auto"/>
            <w:vAlign w:val="center"/>
            <w:hideMark/>
          </w:tcPr>
          <w:p w14:paraId="5E24D6BD" w14:textId="77777777" w:rsidR="004C01B3" w:rsidRPr="00B13B9A" w:rsidRDefault="004C01B3" w:rsidP="004C01B3">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75.510.298,00</w:t>
            </w:r>
          </w:p>
        </w:tc>
        <w:tc>
          <w:tcPr>
            <w:tcW w:w="1417" w:type="dxa"/>
            <w:tcBorders>
              <w:top w:val="nil"/>
              <w:left w:val="nil"/>
              <w:bottom w:val="single" w:sz="4" w:space="0" w:color="auto"/>
              <w:right w:val="single" w:sz="4" w:space="0" w:color="auto"/>
            </w:tcBorders>
            <w:shd w:val="clear" w:color="auto" w:fill="auto"/>
            <w:vAlign w:val="center"/>
            <w:hideMark/>
          </w:tcPr>
          <w:p w14:paraId="464EF6CA" w14:textId="77777777" w:rsidR="004C01B3" w:rsidRPr="00B13B9A" w:rsidRDefault="004C01B3" w:rsidP="004C01B3">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67.358.792,00</w:t>
            </w:r>
          </w:p>
        </w:tc>
        <w:tc>
          <w:tcPr>
            <w:tcW w:w="1418" w:type="dxa"/>
            <w:gridSpan w:val="2"/>
            <w:tcBorders>
              <w:top w:val="nil"/>
              <w:left w:val="nil"/>
              <w:bottom w:val="single" w:sz="4" w:space="0" w:color="auto"/>
              <w:right w:val="nil"/>
            </w:tcBorders>
            <w:shd w:val="clear" w:color="auto" w:fill="auto"/>
            <w:vAlign w:val="center"/>
            <w:hideMark/>
          </w:tcPr>
          <w:p w14:paraId="5E5E6CF6" w14:textId="77777777" w:rsidR="004C01B3" w:rsidRPr="00B13B9A" w:rsidRDefault="004C01B3" w:rsidP="004C01B3">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57.001.509,00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67870171"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-10357283</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14F315B"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84,62%</w:t>
            </w:r>
          </w:p>
        </w:tc>
      </w:tr>
      <w:tr w:rsidR="004C01B3" w:rsidRPr="00B13B9A" w14:paraId="20934FE3"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2D23EA2A" w14:textId="1E958DA0" w:rsidR="004C01B3" w:rsidRPr="00B13B9A" w:rsidRDefault="00CC1A9A" w:rsidP="004C01B3">
            <w:pPr>
              <w:spacing w:after="0" w:line="240" w:lineRule="auto"/>
              <w:ind w:firstLineChars="100" w:firstLine="181"/>
              <w:rPr>
                <w:rFonts w:asciiTheme="majorHAnsi" w:eastAsia="Times New Roman" w:hAnsiTheme="majorHAnsi" w:cstheme="majorHAnsi"/>
                <w:b/>
                <w:bCs/>
                <w:color w:val="000000"/>
                <w:sz w:val="18"/>
                <w:szCs w:val="18"/>
                <w:lang w:val="ro-MD"/>
              </w:rPr>
            </w:pPr>
            <w:r w:rsidRPr="00B13B9A">
              <w:rPr>
                <w:rFonts w:asciiTheme="majorHAnsi" w:eastAsia="Times New Roman" w:hAnsiTheme="majorHAnsi" w:cstheme="majorHAnsi"/>
                <w:b/>
                <w:bCs/>
                <w:color w:val="000000"/>
                <w:sz w:val="18"/>
                <w:szCs w:val="18"/>
                <w:lang w:val="ro-MD"/>
              </w:rPr>
              <w:t>TOTAL ACTIVE</w:t>
            </w:r>
          </w:p>
        </w:tc>
        <w:tc>
          <w:tcPr>
            <w:tcW w:w="1418" w:type="dxa"/>
            <w:tcBorders>
              <w:top w:val="nil"/>
              <w:left w:val="nil"/>
              <w:bottom w:val="single" w:sz="4" w:space="0" w:color="auto"/>
              <w:right w:val="single" w:sz="4" w:space="0" w:color="auto"/>
            </w:tcBorders>
            <w:shd w:val="clear" w:color="auto" w:fill="auto"/>
            <w:vAlign w:val="center"/>
            <w:hideMark/>
          </w:tcPr>
          <w:p w14:paraId="55DB0813" w14:textId="77777777" w:rsidR="004C01B3" w:rsidRPr="00B13B9A" w:rsidRDefault="004C01B3" w:rsidP="004C01B3">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297.515.620,00</w:t>
            </w:r>
          </w:p>
        </w:tc>
        <w:tc>
          <w:tcPr>
            <w:tcW w:w="1417" w:type="dxa"/>
            <w:tcBorders>
              <w:top w:val="nil"/>
              <w:left w:val="nil"/>
              <w:bottom w:val="single" w:sz="4" w:space="0" w:color="auto"/>
              <w:right w:val="single" w:sz="4" w:space="0" w:color="auto"/>
            </w:tcBorders>
            <w:shd w:val="clear" w:color="auto" w:fill="auto"/>
            <w:vAlign w:val="center"/>
            <w:hideMark/>
          </w:tcPr>
          <w:p w14:paraId="4ED1B14B" w14:textId="77777777" w:rsidR="004C01B3" w:rsidRPr="00B13B9A" w:rsidRDefault="004C01B3" w:rsidP="004C01B3">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284.689.358,00</w:t>
            </w:r>
          </w:p>
        </w:tc>
        <w:tc>
          <w:tcPr>
            <w:tcW w:w="1418" w:type="dxa"/>
            <w:gridSpan w:val="2"/>
            <w:tcBorders>
              <w:top w:val="nil"/>
              <w:left w:val="nil"/>
              <w:bottom w:val="single" w:sz="4" w:space="0" w:color="auto"/>
              <w:right w:val="nil"/>
            </w:tcBorders>
            <w:shd w:val="clear" w:color="auto" w:fill="auto"/>
            <w:vAlign w:val="center"/>
            <w:hideMark/>
          </w:tcPr>
          <w:p w14:paraId="5D8B75C4" w14:textId="77777777" w:rsidR="004C01B3" w:rsidRPr="00B13B9A" w:rsidRDefault="004C01B3" w:rsidP="004C01B3">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273.131.947,00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4A31D325"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-11557411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747DFE57"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95,94%</w:t>
            </w:r>
          </w:p>
        </w:tc>
      </w:tr>
      <w:tr w:rsidR="004C01B3" w:rsidRPr="00B13B9A" w14:paraId="5536474F" w14:textId="77777777" w:rsidTr="00A51C46">
        <w:trPr>
          <w:trHeight w:val="20"/>
        </w:trPr>
        <w:tc>
          <w:tcPr>
            <w:tcW w:w="3681" w:type="dxa"/>
            <w:tcBorders>
              <w:top w:val="nil"/>
              <w:left w:val="nil"/>
              <w:bottom w:val="nil"/>
              <w:right w:val="nil"/>
            </w:tcBorders>
            <w:shd w:val="clear" w:color="auto" w:fill="auto"/>
            <w:noWrap/>
            <w:vAlign w:val="center"/>
            <w:hideMark/>
          </w:tcPr>
          <w:p w14:paraId="4E6C69BE" w14:textId="77777777" w:rsidR="004C01B3" w:rsidRPr="00B13B9A" w:rsidRDefault="004C01B3" w:rsidP="004C01B3">
            <w:pPr>
              <w:spacing w:after="0" w:line="240" w:lineRule="auto"/>
              <w:rPr>
                <w:rFonts w:asciiTheme="majorHAnsi" w:eastAsia="Times New Roman" w:hAnsiTheme="majorHAnsi" w:cstheme="majorHAnsi"/>
                <w:color w:val="000000"/>
                <w:sz w:val="18"/>
                <w:szCs w:val="18"/>
                <w:lang w:val="ro-MD"/>
              </w:rPr>
            </w:pPr>
          </w:p>
        </w:tc>
        <w:tc>
          <w:tcPr>
            <w:tcW w:w="1418" w:type="dxa"/>
            <w:tcBorders>
              <w:top w:val="nil"/>
              <w:left w:val="nil"/>
              <w:bottom w:val="nil"/>
              <w:right w:val="nil"/>
            </w:tcBorders>
            <w:shd w:val="clear" w:color="auto" w:fill="auto"/>
            <w:noWrap/>
            <w:vAlign w:val="center"/>
            <w:hideMark/>
          </w:tcPr>
          <w:p w14:paraId="3021734B"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p>
        </w:tc>
        <w:tc>
          <w:tcPr>
            <w:tcW w:w="1417" w:type="dxa"/>
            <w:tcBorders>
              <w:top w:val="nil"/>
              <w:left w:val="nil"/>
              <w:bottom w:val="nil"/>
              <w:right w:val="nil"/>
            </w:tcBorders>
            <w:shd w:val="clear" w:color="auto" w:fill="auto"/>
            <w:noWrap/>
            <w:vAlign w:val="center"/>
            <w:hideMark/>
          </w:tcPr>
          <w:p w14:paraId="0E50D2D9"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p>
        </w:tc>
        <w:tc>
          <w:tcPr>
            <w:tcW w:w="1418" w:type="dxa"/>
            <w:gridSpan w:val="2"/>
            <w:tcBorders>
              <w:top w:val="nil"/>
              <w:left w:val="nil"/>
              <w:bottom w:val="nil"/>
              <w:right w:val="nil"/>
            </w:tcBorders>
            <w:shd w:val="clear" w:color="auto" w:fill="auto"/>
            <w:noWrap/>
            <w:vAlign w:val="center"/>
            <w:hideMark/>
          </w:tcPr>
          <w:p w14:paraId="4DB59710"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4A711E8C"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70ADC39D"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r>
      <w:tr w:rsidR="004C01B3" w:rsidRPr="00B13B9A" w14:paraId="66031F96" w14:textId="77777777" w:rsidTr="00A51C46">
        <w:trPr>
          <w:trHeight w:val="20"/>
        </w:trPr>
        <w:tc>
          <w:tcPr>
            <w:tcW w:w="368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E5A837C" w14:textId="77777777" w:rsidR="004C01B3" w:rsidRPr="00B13B9A" w:rsidRDefault="004C01B3" w:rsidP="004C01B3">
            <w:pPr>
              <w:spacing w:after="0" w:line="240" w:lineRule="auto"/>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P A S I V</w:t>
            </w:r>
          </w:p>
        </w:tc>
        <w:tc>
          <w:tcPr>
            <w:tcW w:w="2846" w:type="dxa"/>
            <w:gridSpan w:val="3"/>
            <w:tcBorders>
              <w:top w:val="single" w:sz="4" w:space="0" w:color="auto"/>
              <w:left w:val="nil"/>
              <w:bottom w:val="single" w:sz="4" w:space="0" w:color="auto"/>
              <w:right w:val="single" w:sz="4" w:space="0" w:color="auto"/>
            </w:tcBorders>
            <w:shd w:val="clear" w:color="auto" w:fill="auto"/>
            <w:vAlign w:val="center"/>
            <w:hideMark/>
          </w:tcPr>
          <w:p w14:paraId="1172E119" w14:textId="77777777" w:rsidR="004C01B3" w:rsidRPr="00B13B9A" w:rsidRDefault="004C01B3" w:rsidP="004C01B3">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Sold la 2021</w:t>
            </w:r>
          </w:p>
        </w:tc>
        <w:tc>
          <w:tcPr>
            <w:tcW w:w="1418" w:type="dxa"/>
            <w:gridSpan w:val="2"/>
            <w:tcBorders>
              <w:top w:val="single" w:sz="4" w:space="0" w:color="auto"/>
              <w:left w:val="nil"/>
              <w:bottom w:val="single" w:sz="4" w:space="0" w:color="auto"/>
              <w:right w:val="nil"/>
            </w:tcBorders>
            <w:shd w:val="clear" w:color="auto" w:fill="auto"/>
            <w:vAlign w:val="center"/>
            <w:hideMark/>
          </w:tcPr>
          <w:p w14:paraId="7F3246A2" w14:textId="77777777" w:rsidR="004C01B3" w:rsidRPr="00B13B9A" w:rsidRDefault="004C01B3" w:rsidP="004C01B3">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 </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46CCAACA"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c>
          <w:tcPr>
            <w:tcW w:w="839" w:type="dxa"/>
            <w:tcBorders>
              <w:top w:val="nil"/>
              <w:left w:val="nil"/>
              <w:bottom w:val="single" w:sz="4" w:space="0" w:color="auto"/>
              <w:right w:val="single" w:sz="4" w:space="0" w:color="auto"/>
            </w:tcBorders>
            <w:shd w:val="clear" w:color="auto" w:fill="auto"/>
            <w:noWrap/>
            <w:vAlign w:val="center"/>
            <w:hideMark/>
          </w:tcPr>
          <w:p w14:paraId="34C0DDA0"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r>
      <w:tr w:rsidR="004C01B3" w:rsidRPr="00B13B9A" w14:paraId="7BC66AF9" w14:textId="77777777" w:rsidTr="00A51C46">
        <w:trPr>
          <w:trHeight w:val="20"/>
        </w:trPr>
        <w:tc>
          <w:tcPr>
            <w:tcW w:w="3681" w:type="dxa"/>
            <w:vMerge/>
            <w:tcBorders>
              <w:top w:val="single" w:sz="4" w:space="0" w:color="auto"/>
              <w:left w:val="single" w:sz="4" w:space="0" w:color="auto"/>
              <w:bottom w:val="single" w:sz="4" w:space="0" w:color="auto"/>
              <w:right w:val="single" w:sz="4" w:space="0" w:color="auto"/>
            </w:tcBorders>
            <w:vAlign w:val="center"/>
            <w:hideMark/>
          </w:tcPr>
          <w:p w14:paraId="20DF9CE1" w14:textId="77777777" w:rsidR="004C01B3" w:rsidRPr="00B13B9A" w:rsidRDefault="004C01B3" w:rsidP="004C01B3">
            <w:pPr>
              <w:spacing w:after="0" w:line="240" w:lineRule="auto"/>
              <w:rPr>
                <w:rFonts w:asciiTheme="majorHAnsi" w:eastAsia="Times New Roman" w:hAnsiTheme="majorHAnsi" w:cstheme="majorHAnsi"/>
                <w:color w:val="000000"/>
                <w:sz w:val="18"/>
                <w:szCs w:val="18"/>
                <w:lang w:val="ro-MD"/>
              </w:rPr>
            </w:pPr>
          </w:p>
        </w:tc>
        <w:tc>
          <w:tcPr>
            <w:tcW w:w="1418" w:type="dxa"/>
            <w:tcBorders>
              <w:top w:val="nil"/>
              <w:left w:val="nil"/>
              <w:bottom w:val="single" w:sz="4" w:space="0" w:color="auto"/>
              <w:right w:val="single" w:sz="4" w:space="0" w:color="auto"/>
            </w:tcBorders>
            <w:shd w:val="clear" w:color="auto" w:fill="auto"/>
            <w:vAlign w:val="center"/>
            <w:hideMark/>
          </w:tcPr>
          <w:p w14:paraId="3D921FFB" w14:textId="77777777" w:rsidR="004C01B3" w:rsidRPr="00B13B9A" w:rsidRDefault="004C01B3" w:rsidP="004C01B3">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Începutul perioadei de gestiune</w:t>
            </w:r>
          </w:p>
        </w:tc>
        <w:tc>
          <w:tcPr>
            <w:tcW w:w="1417" w:type="dxa"/>
            <w:tcBorders>
              <w:top w:val="nil"/>
              <w:left w:val="nil"/>
              <w:bottom w:val="single" w:sz="4" w:space="0" w:color="auto"/>
              <w:right w:val="single" w:sz="4" w:space="0" w:color="auto"/>
            </w:tcBorders>
            <w:shd w:val="clear" w:color="auto" w:fill="auto"/>
            <w:vAlign w:val="center"/>
            <w:hideMark/>
          </w:tcPr>
          <w:p w14:paraId="29E1BB86" w14:textId="694668E1" w:rsidR="004C01B3" w:rsidRPr="00B13B9A" w:rsidRDefault="004C01B3" w:rsidP="00585605">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Sf</w:t>
            </w:r>
            <w:r w:rsidR="00585605" w:rsidRPr="00B13B9A">
              <w:rPr>
                <w:rFonts w:asciiTheme="majorHAnsi" w:eastAsia="Times New Roman" w:hAnsiTheme="majorHAnsi" w:cstheme="majorHAnsi"/>
                <w:b/>
                <w:bCs/>
                <w:sz w:val="18"/>
                <w:szCs w:val="18"/>
                <w:lang w:val="ro-MD"/>
              </w:rPr>
              <w:t>â</w:t>
            </w:r>
            <w:r w:rsidRPr="00B13B9A">
              <w:rPr>
                <w:rFonts w:asciiTheme="majorHAnsi" w:eastAsia="Times New Roman" w:hAnsiTheme="majorHAnsi" w:cstheme="majorHAnsi"/>
                <w:b/>
                <w:bCs/>
                <w:sz w:val="18"/>
                <w:szCs w:val="18"/>
                <w:lang w:val="ro-MD"/>
              </w:rPr>
              <w:t>r</w:t>
            </w:r>
            <w:r w:rsidR="00B13B9A" w:rsidRPr="00B13B9A">
              <w:rPr>
                <w:rFonts w:asciiTheme="majorHAnsi" w:eastAsia="Times New Roman" w:hAnsiTheme="majorHAnsi" w:cstheme="majorHAnsi"/>
                <w:b/>
                <w:bCs/>
                <w:sz w:val="18"/>
                <w:szCs w:val="18"/>
                <w:lang w:val="ro-MD"/>
              </w:rPr>
              <w:t>ș</w:t>
            </w:r>
            <w:r w:rsidRPr="00B13B9A">
              <w:rPr>
                <w:rFonts w:asciiTheme="majorHAnsi" w:eastAsia="Times New Roman" w:hAnsiTheme="majorHAnsi" w:cstheme="majorHAnsi"/>
                <w:b/>
                <w:bCs/>
                <w:sz w:val="18"/>
                <w:szCs w:val="18"/>
                <w:lang w:val="ro-MD"/>
              </w:rPr>
              <w:t>itul perioadei de gestiune</w:t>
            </w:r>
          </w:p>
        </w:tc>
        <w:tc>
          <w:tcPr>
            <w:tcW w:w="1418" w:type="dxa"/>
            <w:gridSpan w:val="2"/>
            <w:tcBorders>
              <w:top w:val="nil"/>
              <w:left w:val="nil"/>
              <w:bottom w:val="single" w:sz="4" w:space="0" w:color="auto"/>
              <w:right w:val="nil"/>
            </w:tcBorders>
            <w:shd w:val="clear" w:color="auto" w:fill="auto"/>
            <w:vAlign w:val="center"/>
            <w:hideMark/>
          </w:tcPr>
          <w:p w14:paraId="53E3C744" w14:textId="25A24F61" w:rsidR="004C01B3" w:rsidRPr="00B13B9A" w:rsidRDefault="004C01B3" w:rsidP="00585605">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Sf</w:t>
            </w:r>
            <w:r w:rsidR="00585605" w:rsidRPr="00B13B9A">
              <w:rPr>
                <w:rFonts w:asciiTheme="majorHAnsi" w:eastAsia="Times New Roman" w:hAnsiTheme="majorHAnsi" w:cstheme="majorHAnsi"/>
                <w:b/>
                <w:bCs/>
                <w:sz w:val="18"/>
                <w:szCs w:val="18"/>
                <w:lang w:val="ro-MD"/>
              </w:rPr>
              <w:t>â</w:t>
            </w:r>
            <w:r w:rsidRPr="00B13B9A">
              <w:rPr>
                <w:rFonts w:asciiTheme="majorHAnsi" w:eastAsia="Times New Roman" w:hAnsiTheme="majorHAnsi" w:cstheme="majorHAnsi"/>
                <w:b/>
                <w:bCs/>
                <w:sz w:val="18"/>
                <w:szCs w:val="18"/>
                <w:lang w:val="ro-MD"/>
              </w:rPr>
              <w:t>r</w:t>
            </w:r>
            <w:r w:rsidR="00B13B9A" w:rsidRPr="00B13B9A">
              <w:rPr>
                <w:rFonts w:asciiTheme="majorHAnsi" w:eastAsia="Times New Roman" w:hAnsiTheme="majorHAnsi" w:cstheme="majorHAnsi"/>
                <w:b/>
                <w:bCs/>
                <w:sz w:val="18"/>
                <w:szCs w:val="18"/>
                <w:lang w:val="ro-MD"/>
              </w:rPr>
              <w:t>ș</w:t>
            </w:r>
            <w:r w:rsidRPr="00B13B9A">
              <w:rPr>
                <w:rFonts w:asciiTheme="majorHAnsi" w:eastAsia="Times New Roman" w:hAnsiTheme="majorHAnsi" w:cstheme="majorHAnsi"/>
                <w:b/>
                <w:bCs/>
                <w:sz w:val="18"/>
                <w:szCs w:val="18"/>
                <w:lang w:val="ro-MD"/>
              </w:rPr>
              <w:t>itul perioadei de gestiune</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64604F65"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5DD2D1C5"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r>
      <w:tr w:rsidR="004C01B3" w:rsidRPr="00B13B9A" w14:paraId="4090A860"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0602CEB1" w14:textId="77777777" w:rsidR="004C01B3" w:rsidRPr="00B13B9A" w:rsidRDefault="004C01B3" w:rsidP="004C01B3">
            <w:pPr>
              <w:spacing w:after="0" w:line="240" w:lineRule="auto"/>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2</w:t>
            </w:r>
          </w:p>
        </w:tc>
        <w:tc>
          <w:tcPr>
            <w:tcW w:w="1418" w:type="dxa"/>
            <w:tcBorders>
              <w:top w:val="nil"/>
              <w:left w:val="nil"/>
              <w:bottom w:val="single" w:sz="4" w:space="0" w:color="auto"/>
              <w:right w:val="single" w:sz="4" w:space="0" w:color="auto"/>
            </w:tcBorders>
            <w:shd w:val="clear" w:color="000000" w:fill="FFFFFF"/>
            <w:vAlign w:val="center"/>
            <w:hideMark/>
          </w:tcPr>
          <w:p w14:paraId="34C01612" w14:textId="77777777" w:rsidR="004C01B3" w:rsidRPr="00B13B9A" w:rsidRDefault="004C01B3" w:rsidP="004C01B3">
            <w:pPr>
              <w:spacing w:after="0" w:line="240" w:lineRule="auto"/>
              <w:ind w:firstLineChars="100" w:firstLine="180"/>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4</w:t>
            </w:r>
          </w:p>
        </w:tc>
        <w:tc>
          <w:tcPr>
            <w:tcW w:w="1417" w:type="dxa"/>
            <w:tcBorders>
              <w:top w:val="nil"/>
              <w:left w:val="nil"/>
              <w:bottom w:val="single" w:sz="4" w:space="0" w:color="auto"/>
              <w:right w:val="single" w:sz="4" w:space="0" w:color="auto"/>
            </w:tcBorders>
            <w:shd w:val="clear" w:color="000000" w:fill="FFFFFF"/>
            <w:vAlign w:val="center"/>
            <w:hideMark/>
          </w:tcPr>
          <w:p w14:paraId="481B8C1A" w14:textId="77777777" w:rsidR="004C01B3" w:rsidRPr="00B13B9A" w:rsidRDefault="004C01B3" w:rsidP="004C01B3">
            <w:pPr>
              <w:spacing w:after="0" w:line="240" w:lineRule="auto"/>
              <w:ind w:firstLineChars="100" w:firstLine="180"/>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5</w:t>
            </w:r>
          </w:p>
        </w:tc>
        <w:tc>
          <w:tcPr>
            <w:tcW w:w="1418" w:type="dxa"/>
            <w:gridSpan w:val="2"/>
            <w:tcBorders>
              <w:top w:val="nil"/>
              <w:left w:val="nil"/>
              <w:bottom w:val="single" w:sz="4" w:space="0" w:color="auto"/>
              <w:right w:val="nil"/>
            </w:tcBorders>
            <w:shd w:val="clear" w:color="000000" w:fill="FFFFFF"/>
            <w:vAlign w:val="center"/>
            <w:hideMark/>
          </w:tcPr>
          <w:p w14:paraId="63DA99EF" w14:textId="77777777" w:rsidR="004C01B3" w:rsidRPr="00B13B9A" w:rsidRDefault="004C01B3" w:rsidP="004C01B3">
            <w:pPr>
              <w:spacing w:after="0" w:line="240" w:lineRule="auto"/>
              <w:ind w:firstLineChars="100" w:firstLine="180"/>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7</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54505385"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8A0EC29"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r>
      <w:tr w:rsidR="004C01B3" w:rsidRPr="00B13B9A" w14:paraId="736F04AA"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08984FA8" w14:textId="77777777" w:rsidR="004C01B3" w:rsidRPr="00B13B9A" w:rsidRDefault="004C01B3" w:rsidP="004C01B3">
            <w:pPr>
              <w:spacing w:after="0" w:line="240" w:lineRule="auto"/>
              <w:rPr>
                <w:rFonts w:asciiTheme="majorHAnsi" w:eastAsia="Times New Roman" w:hAnsiTheme="majorHAnsi" w:cstheme="majorHAnsi"/>
                <w:b/>
                <w:bCs/>
                <w:color w:val="000000"/>
                <w:sz w:val="18"/>
                <w:szCs w:val="18"/>
                <w:lang w:val="ro-MD"/>
              </w:rPr>
            </w:pPr>
            <w:r w:rsidRPr="00B13B9A">
              <w:rPr>
                <w:rFonts w:asciiTheme="majorHAnsi" w:eastAsia="Times New Roman" w:hAnsiTheme="majorHAnsi" w:cstheme="majorHAnsi"/>
                <w:b/>
                <w:bCs/>
                <w:color w:val="000000"/>
                <w:sz w:val="18"/>
                <w:szCs w:val="18"/>
                <w:lang w:val="ro-MD"/>
              </w:rPr>
              <w:t>CAPITAL PROPRIU</w:t>
            </w:r>
          </w:p>
        </w:tc>
        <w:tc>
          <w:tcPr>
            <w:tcW w:w="1418" w:type="dxa"/>
            <w:tcBorders>
              <w:top w:val="nil"/>
              <w:left w:val="nil"/>
              <w:bottom w:val="single" w:sz="4" w:space="0" w:color="auto"/>
              <w:right w:val="single" w:sz="4" w:space="0" w:color="auto"/>
            </w:tcBorders>
            <w:shd w:val="clear" w:color="auto" w:fill="auto"/>
            <w:vAlign w:val="center"/>
            <w:hideMark/>
          </w:tcPr>
          <w:p w14:paraId="56349F45" w14:textId="77777777" w:rsidR="004C01B3" w:rsidRPr="00B13B9A" w:rsidRDefault="004C01B3" w:rsidP="004C01B3">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 </w:t>
            </w:r>
          </w:p>
        </w:tc>
        <w:tc>
          <w:tcPr>
            <w:tcW w:w="1417" w:type="dxa"/>
            <w:tcBorders>
              <w:top w:val="nil"/>
              <w:left w:val="nil"/>
              <w:bottom w:val="single" w:sz="4" w:space="0" w:color="auto"/>
              <w:right w:val="single" w:sz="4" w:space="0" w:color="auto"/>
            </w:tcBorders>
            <w:shd w:val="clear" w:color="auto" w:fill="auto"/>
            <w:vAlign w:val="center"/>
            <w:hideMark/>
          </w:tcPr>
          <w:p w14:paraId="3BCEFF98" w14:textId="77777777" w:rsidR="004C01B3" w:rsidRPr="00B13B9A" w:rsidRDefault="004C01B3" w:rsidP="004C01B3">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 </w:t>
            </w:r>
          </w:p>
        </w:tc>
        <w:tc>
          <w:tcPr>
            <w:tcW w:w="1418" w:type="dxa"/>
            <w:gridSpan w:val="2"/>
            <w:tcBorders>
              <w:top w:val="nil"/>
              <w:left w:val="nil"/>
              <w:bottom w:val="single" w:sz="4" w:space="0" w:color="auto"/>
              <w:right w:val="nil"/>
            </w:tcBorders>
            <w:shd w:val="clear" w:color="auto" w:fill="auto"/>
            <w:vAlign w:val="center"/>
            <w:hideMark/>
          </w:tcPr>
          <w:p w14:paraId="0F3048C8"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4A64DCF9"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1A7E1EC4"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r>
      <w:tr w:rsidR="004C01B3" w:rsidRPr="00B13B9A" w14:paraId="2EA74915"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0512E832" w14:textId="5E567F27" w:rsidR="004C01B3" w:rsidRPr="00B13B9A" w:rsidRDefault="004C01B3" w:rsidP="00585605">
            <w:pPr>
              <w:spacing w:after="0" w:line="240" w:lineRule="auto"/>
              <w:rPr>
                <w:rFonts w:asciiTheme="majorHAnsi" w:eastAsia="Times New Roman" w:hAnsiTheme="majorHAnsi" w:cstheme="majorHAnsi"/>
                <w:b/>
                <w:bCs/>
                <w:color w:val="000000"/>
                <w:sz w:val="18"/>
                <w:szCs w:val="18"/>
                <w:lang w:val="ro-MD"/>
              </w:rPr>
            </w:pPr>
            <w:r w:rsidRPr="00B13B9A">
              <w:rPr>
                <w:rFonts w:asciiTheme="majorHAnsi" w:eastAsia="Times New Roman" w:hAnsiTheme="majorHAnsi" w:cstheme="majorHAnsi"/>
                <w:b/>
                <w:bCs/>
                <w:color w:val="000000"/>
                <w:sz w:val="18"/>
                <w:szCs w:val="18"/>
                <w:lang w:val="ro-MD"/>
              </w:rPr>
              <w:t>I. Capital social si ne</w:t>
            </w:r>
            <w:r w:rsidR="00585605" w:rsidRPr="00B13B9A">
              <w:rPr>
                <w:rFonts w:asciiTheme="majorHAnsi" w:eastAsia="Times New Roman" w:hAnsiTheme="majorHAnsi" w:cstheme="majorHAnsi"/>
                <w:b/>
                <w:bCs/>
                <w:color w:val="000000"/>
                <w:sz w:val="18"/>
                <w:szCs w:val="18"/>
                <w:lang w:val="ro-MD"/>
              </w:rPr>
              <w:t>în</w:t>
            </w:r>
            <w:r w:rsidRPr="00B13B9A">
              <w:rPr>
                <w:rFonts w:asciiTheme="majorHAnsi" w:eastAsia="Times New Roman" w:hAnsiTheme="majorHAnsi" w:cstheme="majorHAnsi"/>
                <w:b/>
                <w:bCs/>
                <w:color w:val="000000"/>
                <w:sz w:val="18"/>
                <w:szCs w:val="18"/>
                <w:lang w:val="ro-MD"/>
              </w:rPr>
              <w:t>registrat</w:t>
            </w:r>
          </w:p>
        </w:tc>
        <w:tc>
          <w:tcPr>
            <w:tcW w:w="1418" w:type="dxa"/>
            <w:tcBorders>
              <w:top w:val="nil"/>
              <w:left w:val="nil"/>
              <w:bottom w:val="single" w:sz="4" w:space="0" w:color="auto"/>
              <w:right w:val="single" w:sz="4" w:space="0" w:color="auto"/>
            </w:tcBorders>
            <w:shd w:val="clear" w:color="auto" w:fill="auto"/>
            <w:vAlign w:val="center"/>
            <w:hideMark/>
          </w:tcPr>
          <w:p w14:paraId="41627226"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417" w:type="dxa"/>
            <w:tcBorders>
              <w:top w:val="nil"/>
              <w:left w:val="nil"/>
              <w:bottom w:val="single" w:sz="4" w:space="0" w:color="auto"/>
              <w:right w:val="single" w:sz="4" w:space="0" w:color="auto"/>
            </w:tcBorders>
            <w:shd w:val="clear" w:color="auto" w:fill="auto"/>
            <w:vAlign w:val="center"/>
            <w:hideMark/>
          </w:tcPr>
          <w:p w14:paraId="78C1E72E"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418" w:type="dxa"/>
            <w:gridSpan w:val="2"/>
            <w:tcBorders>
              <w:top w:val="nil"/>
              <w:left w:val="nil"/>
              <w:bottom w:val="single" w:sz="4" w:space="0" w:color="auto"/>
              <w:right w:val="nil"/>
            </w:tcBorders>
            <w:shd w:val="clear" w:color="auto" w:fill="auto"/>
            <w:vAlign w:val="center"/>
            <w:hideMark/>
          </w:tcPr>
          <w:p w14:paraId="41CEC593"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347E679A"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7059588F"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r>
      <w:tr w:rsidR="004C01B3" w:rsidRPr="00B13B9A" w14:paraId="60044198"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62AB6A17" w14:textId="77777777" w:rsidR="004C01B3" w:rsidRPr="00B13B9A" w:rsidRDefault="004C01B3" w:rsidP="004C01B3">
            <w:pPr>
              <w:spacing w:after="0" w:line="240" w:lineRule="auto"/>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1. Capital social</w:t>
            </w:r>
          </w:p>
        </w:tc>
        <w:tc>
          <w:tcPr>
            <w:tcW w:w="1418" w:type="dxa"/>
            <w:tcBorders>
              <w:top w:val="nil"/>
              <w:left w:val="nil"/>
              <w:bottom w:val="single" w:sz="4" w:space="0" w:color="auto"/>
              <w:right w:val="single" w:sz="4" w:space="0" w:color="auto"/>
            </w:tcBorders>
            <w:shd w:val="clear" w:color="auto" w:fill="auto"/>
            <w:vAlign w:val="center"/>
            <w:hideMark/>
          </w:tcPr>
          <w:p w14:paraId="6511EEC9"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73.814.487,00</w:t>
            </w:r>
          </w:p>
        </w:tc>
        <w:tc>
          <w:tcPr>
            <w:tcW w:w="1417" w:type="dxa"/>
            <w:tcBorders>
              <w:top w:val="nil"/>
              <w:left w:val="nil"/>
              <w:bottom w:val="single" w:sz="4" w:space="0" w:color="auto"/>
              <w:right w:val="single" w:sz="4" w:space="0" w:color="auto"/>
            </w:tcBorders>
            <w:shd w:val="clear" w:color="auto" w:fill="auto"/>
            <w:vAlign w:val="center"/>
            <w:hideMark/>
          </w:tcPr>
          <w:p w14:paraId="7C028D93"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73.814.487,00</w:t>
            </w:r>
          </w:p>
        </w:tc>
        <w:tc>
          <w:tcPr>
            <w:tcW w:w="1418" w:type="dxa"/>
            <w:gridSpan w:val="2"/>
            <w:tcBorders>
              <w:top w:val="nil"/>
              <w:left w:val="nil"/>
              <w:bottom w:val="single" w:sz="4" w:space="0" w:color="auto"/>
              <w:right w:val="nil"/>
            </w:tcBorders>
            <w:shd w:val="clear" w:color="auto" w:fill="auto"/>
            <w:vAlign w:val="center"/>
            <w:hideMark/>
          </w:tcPr>
          <w:p w14:paraId="08FE4A93"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73.814.487,00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1E7F9AC8"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0</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061B909"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100,00%</w:t>
            </w:r>
          </w:p>
        </w:tc>
      </w:tr>
      <w:tr w:rsidR="004C01B3" w:rsidRPr="00B13B9A" w14:paraId="6AF4294D"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1E554E52" w14:textId="3758E02C" w:rsidR="004C01B3" w:rsidRPr="00B13B9A" w:rsidRDefault="004C01B3" w:rsidP="00585605">
            <w:pPr>
              <w:spacing w:after="0" w:line="240" w:lineRule="auto"/>
              <w:rPr>
                <w:rFonts w:asciiTheme="majorHAnsi" w:eastAsia="Times New Roman" w:hAnsiTheme="majorHAnsi" w:cstheme="majorHAnsi"/>
                <w:b/>
                <w:bCs/>
                <w:color w:val="000000"/>
                <w:sz w:val="18"/>
                <w:szCs w:val="18"/>
                <w:lang w:val="ro-MD"/>
              </w:rPr>
            </w:pPr>
            <w:r w:rsidRPr="00B13B9A">
              <w:rPr>
                <w:rFonts w:asciiTheme="majorHAnsi" w:eastAsia="Times New Roman" w:hAnsiTheme="majorHAnsi" w:cstheme="majorHAnsi"/>
                <w:b/>
                <w:bCs/>
                <w:color w:val="000000"/>
                <w:sz w:val="18"/>
                <w:szCs w:val="18"/>
                <w:lang w:val="ro-MD"/>
              </w:rPr>
              <w:t>Total capital social si ne</w:t>
            </w:r>
            <w:r w:rsidR="00585605" w:rsidRPr="00B13B9A">
              <w:rPr>
                <w:rFonts w:asciiTheme="majorHAnsi" w:eastAsia="Times New Roman" w:hAnsiTheme="majorHAnsi" w:cstheme="majorHAnsi"/>
                <w:b/>
                <w:bCs/>
                <w:color w:val="000000"/>
                <w:sz w:val="18"/>
                <w:szCs w:val="18"/>
                <w:lang w:val="ro-MD"/>
              </w:rPr>
              <w:t>în</w:t>
            </w:r>
            <w:r w:rsidRPr="00B13B9A">
              <w:rPr>
                <w:rFonts w:asciiTheme="majorHAnsi" w:eastAsia="Times New Roman" w:hAnsiTheme="majorHAnsi" w:cstheme="majorHAnsi"/>
                <w:b/>
                <w:bCs/>
                <w:color w:val="000000"/>
                <w:sz w:val="18"/>
                <w:szCs w:val="18"/>
                <w:lang w:val="ro-MD"/>
              </w:rPr>
              <w:t>registrat</w:t>
            </w:r>
          </w:p>
        </w:tc>
        <w:tc>
          <w:tcPr>
            <w:tcW w:w="1418" w:type="dxa"/>
            <w:tcBorders>
              <w:top w:val="nil"/>
              <w:left w:val="nil"/>
              <w:bottom w:val="single" w:sz="4" w:space="0" w:color="auto"/>
              <w:right w:val="single" w:sz="4" w:space="0" w:color="auto"/>
            </w:tcBorders>
            <w:shd w:val="clear" w:color="auto" w:fill="auto"/>
            <w:vAlign w:val="center"/>
            <w:hideMark/>
          </w:tcPr>
          <w:p w14:paraId="49AA5B0F" w14:textId="77777777" w:rsidR="004C01B3" w:rsidRPr="00B13B9A" w:rsidRDefault="004C01B3" w:rsidP="004C01B3">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73.814.487,00</w:t>
            </w:r>
          </w:p>
        </w:tc>
        <w:tc>
          <w:tcPr>
            <w:tcW w:w="1417" w:type="dxa"/>
            <w:tcBorders>
              <w:top w:val="nil"/>
              <w:left w:val="nil"/>
              <w:bottom w:val="single" w:sz="4" w:space="0" w:color="auto"/>
              <w:right w:val="single" w:sz="4" w:space="0" w:color="auto"/>
            </w:tcBorders>
            <w:shd w:val="clear" w:color="auto" w:fill="auto"/>
            <w:vAlign w:val="center"/>
            <w:hideMark/>
          </w:tcPr>
          <w:p w14:paraId="27741BED" w14:textId="77777777" w:rsidR="004C01B3" w:rsidRPr="00B13B9A" w:rsidRDefault="004C01B3" w:rsidP="004C01B3">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73.814.487,00</w:t>
            </w:r>
          </w:p>
        </w:tc>
        <w:tc>
          <w:tcPr>
            <w:tcW w:w="1418" w:type="dxa"/>
            <w:gridSpan w:val="2"/>
            <w:tcBorders>
              <w:top w:val="nil"/>
              <w:left w:val="nil"/>
              <w:bottom w:val="single" w:sz="4" w:space="0" w:color="auto"/>
              <w:right w:val="nil"/>
            </w:tcBorders>
            <w:shd w:val="clear" w:color="auto" w:fill="auto"/>
            <w:vAlign w:val="center"/>
            <w:hideMark/>
          </w:tcPr>
          <w:p w14:paraId="2C6025E5" w14:textId="77777777" w:rsidR="004C01B3" w:rsidRPr="00B13B9A" w:rsidRDefault="004C01B3" w:rsidP="004C01B3">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73.814.487,00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7F9A9103"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0</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67BA2396"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100,00%</w:t>
            </w:r>
          </w:p>
        </w:tc>
      </w:tr>
      <w:tr w:rsidR="004C01B3" w:rsidRPr="00B13B9A" w14:paraId="4F09A6FE"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5DF32C52" w14:textId="77777777" w:rsidR="004C01B3" w:rsidRPr="00B13B9A" w:rsidRDefault="004C01B3" w:rsidP="004C01B3">
            <w:pPr>
              <w:spacing w:after="0" w:line="240" w:lineRule="auto"/>
              <w:rPr>
                <w:rFonts w:asciiTheme="majorHAnsi" w:eastAsia="Times New Roman" w:hAnsiTheme="majorHAnsi" w:cstheme="majorHAnsi"/>
                <w:b/>
                <w:bCs/>
                <w:color w:val="000000"/>
                <w:sz w:val="18"/>
                <w:szCs w:val="18"/>
                <w:lang w:val="ro-MD"/>
              </w:rPr>
            </w:pPr>
            <w:r w:rsidRPr="00B13B9A">
              <w:rPr>
                <w:rFonts w:asciiTheme="majorHAnsi" w:eastAsia="Times New Roman" w:hAnsiTheme="majorHAnsi" w:cstheme="majorHAnsi"/>
                <w:b/>
                <w:bCs/>
                <w:color w:val="000000"/>
                <w:sz w:val="18"/>
                <w:szCs w:val="18"/>
                <w:lang w:val="ro-MD"/>
              </w:rPr>
              <w:t>II. Prime de capital</w:t>
            </w:r>
          </w:p>
        </w:tc>
        <w:tc>
          <w:tcPr>
            <w:tcW w:w="1418" w:type="dxa"/>
            <w:tcBorders>
              <w:top w:val="nil"/>
              <w:left w:val="nil"/>
              <w:bottom w:val="single" w:sz="4" w:space="0" w:color="auto"/>
              <w:right w:val="single" w:sz="4" w:space="0" w:color="auto"/>
            </w:tcBorders>
            <w:shd w:val="clear" w:color="auto" w:fill="auto"/>
            <w:noWrap/>
            <w:vAlign w:val="center"/>
            <w:hideMark/>
          </w:tcPr>
          <w:p w14:paraId="54F82D30"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c>
          <w:tcPr>
            <w:tcW w:w="1417" w:type="dxa"/>
            <w:tcBorders>
              <w:top w:val="nil"/>
              <w:left w:val="nil"/>
              <w:bottom w:val="single" w:sz="4" w:space="0" w:color="auto"/>
              <w:right w:val="single" w:sz="4" w:space="0" w:color="auto"/>
            </w:tcBorders>
            <w:shd w:val="clear" w:color="auto" w:fill="auto"/>
            <w:noWrap/>
            <w:vAlign w:val="center"/>
            <w:hideMark/>
          </w:tcPr>
          <w:p w14:paraId="4FEA7DC0"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c>
          <w:tcPr>
            <w:tcW w:w="1418" w:type="dxa"/>
            <w:gridSpan w:val="2"/>
            <w:tcBorders>
              <w:top w:val="nil"/>
              <w:left w:val="nil"/>
              <w:bottom w:val="single" w:sz="4" w:space="0" w:color="auto"/>
              <w:right w:val="nil"/>
            </w:tcBorders>
            <w:shd w:val="clear" w:color="auto" w:fill="auto"/>
            <w:vAlign w:val="center"/>
            <w:hideMark/>
          </w:tcPr>
          <w:p w14:paraId="71E71D7E"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4A635672"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5FF82E00"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r>
      <w:tr w:rsidR="004C01B3" w:rsidRPr="00B13B9A" w14:paraId="3D880C48"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405834D1" w14:textId="77777777" w:rsidR="004C01B3" w:rsidRPr="00B13B9A" w:rsidRDefault="004C01B3" w:rsidP="004C01B3">
            <w:pPr>
              <w:spacing w:after="0" w:line="240" w:lineRule="auto"/>
              <w:rPr>
                <w:rFonts w:asciiTheme="majorHAnsi" w:eastAsia="Times New Roman" w:hAnsiTheme="majorHAnsi" w:cstheme="majorHAnsi"/>
                <w:b/>
                <w:bCs/>
                <w:color w:val="000000"/>
                <w:sz w:val="18"/>
                <w:szCs w:val="18"/>
                <w:lang w:val="ro-MD"/>
              </w:rPr>
            </w:pPr>
            <w:r w:rsidRPr="00B13B9A">
              <w:rPr>
                <w:rFonts w:asciiTheme="majorHAnsi" w:eastAsia="Times New Roman" w:hAnsiTheme="majorHAnsi" w:cstheme="majorHAnsi"/>
                <w:b/>
                <w:bCs/>
                <w:color w:val="000000"/>
                <w:sz w:val="18"/>
                <w:szCs w:val="18"/>
                <w:lang w:val="ro-MD"/>
              </w:rPr>
              <w:t>III. Rezerve</w:t>
            </w:r>
          </w:p>
        </w:tc>
        <w:tc>
          <w:tcPr>
            <w:tcW w:w="1418" w:type="dxa"/>
            <w:tcBorders>
              <w:top w:val="nil"/>
              <w:left w:val="nil"/>
              <w:bottom w:val="single" w:sz="4" w:space="0" w:color="auto"/>
              <w:right w:val="single" w:sz="4" w:space="0" w:color="auto"/>
            </w:tcBorders>
            <w:shd w:val="clear" w:color="auto" w:fill="auto"/>
            <w:noWrap/>
            <w:vAlign w:val="center"/>
            <w:hideMark/>
          </w:tcPr>
          <w:p w14:paraId="12EF07E7"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c>
          <w:tcPr>
            <w:tcW w:w="1417" w:type="dxa"/>
            <w:tcBorders>
              <w:top w:val="nil"/>
              <w:left w:val="nil"/>
              <w:bottom w:val="single" w:sz="4" w:space="0" w:color="auto"/>
              <w:right w:val="single" w:sz="4" w:space="0" w:color="auto"/>
            </w:tcBorders>
            <w:shd w:val="clear" w:color="auto" w:fill="auto"/>
            <w:noWrap/>
            <w:vAlign w:val="center"/>
            <w:hideMark/>
          </w:tcPr>
          <w:p w14:paraId="770ED173"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c>
          <w:tcPr>
            <w:tcW w:w="1418" w:type="dxa"/>
            <w:gridSpan w:val="2"/>
            <w:tcBorders>
              <w:top w:val="nil"/>
              <w:left w:val="nil"/>
              <w:bottom w:val="single" w:sz="4" w:space="0" w:color="auto"/>
              <w:right w:val="nil"/>
            </w:tcBorders>
            <w:shd w:val="clear" w:color="auto" w:fill="auto"/>
            <w:vAlign w:val="center"/>
            <w:hideMark/>
          </w:tcPr>
          <w:p w14:paraId="0E863340" w14:textId="77777777" w:rsidR="004C01B3" w:rsidRPr="00B13B9A" w:rsidRDefault="004C01B3" w:rsidP="004C01B3">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 </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4D68C523"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75FB3F8"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r>
      <w:tr w:rsidR="004C01B3" w:rsidRPr="00B13B9A" w14:paraId="6712FCB3" w14:textId="77777777" w:rsidTr="00A51C46">
        <w:trPr>
          <w:trHeight w:val="107"/>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274C022C" w14:textId="77777777" w:rsidR="004C01B3" w:rsidRPr="00B13B9A" w:rsidRDefault="004C01B3" w:rsidP="004C01B3">
            <w:pPr>
              <w:spacing w:after="0" w:line="240" w:lineRule="auto"/>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3. Alte rezerve</w:t>
            </w:r>
          </w:p>
        </w:tc>
        <w:tc>
          <w:tcPr>
            <w:tcW w:w="1418" w:type="dxa"/>
            <w:tcBorders>
              <w:top w:val="nil"/>
              <w:left w:val="nil"/>
              <w:bottom w:val="single" w:sz="4" w:space="0" w:color="auto"/>
              <w:right w:val="single" w:sz="4" w:space="0" w:color="auto"/>
            </w:tcBorders>
            <w:shd w:val="clear" w:color="auto" w:fill="auto"/>
            <w:vAlign w:val="center"/>
            <w:hideMark/>
          </w:tcPr>
          <w:p w14:paraId="29FC078F"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417" w:type="dxa"/>
            <w:tcBorders>
              <w:top w:val="nil"/>
              <w:left w:val="nil"/>
              <w:bottom w:val="single" w:sz="4" w:space="0" w:color="auto"/>
              <w:right w:val="single" w:sz="4" w:space="0" w:color="auto"/>
            </w:tcBorders>
            <w:shd w:val="clear" w:color="auto" w:fill="auto"/>
            <w:vAlign w:val="center"/>
            <w:hideMark/>
          </w:tcPr>
          <w:p w14:paraId="44BACDEB"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87135</w:t>
            </w:r>
          </w:p>
        </w:tc>
        <w:tc>
          <w:tcPr>
            <w:tcW w:w="1418" w:type="dxa"/>
            <w:gridSpan w:val="2"/>
            <w:tcBorders>
              <w:top w:val="nil"/>
              <w:left w:val="nil"/>
              <w:bottom w:val="single" w:sz="4" w:space="0" w:color="auto"/>
              <w:right w:val="nil"/>
            </w:tcBorders>
            <w:shd w:val="clear" w:color="auto" w:fill="auto"/>
            <w:vAlign w:val="center"/>
            <w:hideMark/>
          </w:tcPr>
          <w:p w14:paraId="4D7A8976"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70F84C94"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-87135</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009ECC5F"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0,00%</w:t>
            </w:r>
          </w:p>
        </w:tc>
      </w:tr>
      <w:tr w:rsidR="004C01B3" w:rsidRPr="00B13B9A" w14:paraId="27536CAF"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5E7554F7" w14:textId="58FEF8EA" w:rsidR="004C01B3" w:rsidRPr="00B13B9A" w:rsidRDefault="004C01B3" w:rsidP="00CC1A9A">
            <w:pPr>
              <w:spacing w:after="0" w:line="240" w:lineRule="auto"/>
              <w:rPr>
                <w:rFonts w:asciiTheme="majorHAnsi" w:eastAsia="Times New Roman" w:hAnsiTheme="majorHAnsi" w:cstheme="majorHAnsi"/>
                <w:b/>
                <w:bCs/>
                <w:color w:val="000000"/>
                <w:sz w:val="18"/>
                <w:szCs w:val="18"/>
                <w:lang w:val="ro-MD"/>
              </w:rPr>
            </w:pPr>
            <w:r w:rsidRPr="00B13B9A">
              <w:rPr>
                <w:rFonts w:asciiTheme="majorHAnsi" w:eastAsia="Times New Roman" w:hAnsiTheme="majorHAnsi" w:cstheme="majorHAnsi"/>
                <w:b/>
                <w:bCs/>
                <w:color w:val="000000"/>
                <w:sz w:val="18"/>
                <w:szCs w:val="18"/>
                <w:lang w:val="ro-MD"/>
              </w:rPr>
              <w:t xml:space="preserve">Total rezerve </w:t>
            </w:r>
          </w:p>
        </w:tc>
        <w:tc>
          <w:tcPr>
            <w:tcW w:w="1418" w:type="dxa"/>
            <w:tcBorders>
              <w:top w:val="nil"/>
              <w:left w:val="nil"/>
              <w:bottom w:val="single" w:sz="4" w:space="0" w:color="auto"/>
              <w:right w:val="single" w:sz="4" w:space="0" w:color="auto"/>
            </w:tcBorders>
            <w:shd w:val="clear" w:color="auto" w:fill="auto"/>
            <w:vAlign w:val="center"/>
            <w:hideMark/>
          </w:tcPr>
          <w:p w14:paraId="56496949" w14:textId="77777777" w:rsidR="004C01B3" w:rsidRPr="00B13B9A" w:rsidRDefault="004C01B3" w:rsidP="004C01B3">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 </w:t>
            </w:r>
          </w:p>
        </w:tc>
        <w:tc>
          <w:tcPr>
            <w:tcW w:w="1417" w:type="dxa"/>
            <w:tcBorders>
              <w:top w:val="nil"/>
              <w:left w:val="nil"/>
              <w:bottom w:val="single" w:sz="4" w:space="0" w:color="auto"/>
              <w:right w:val="single" w:sz="4" w:space="0" w:color="auto"/>
            </w:tcBorders>
            <w:shd w:val="clear" w:color="auto" w:fill="auto"/>
            <w:vAlign w:val="center"/>
            <w:hideMark/>
          </w:tcPr>
          <w:p w14:paraId="59590264" w14:textId="77777777" w:rsidR="004C01B3" w:rsidRPr="00B13B9A" w:rsidRDefault="004C01B3" w:rsidP="004C01B3">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87135</w:t>
            </w:r>
          </w:p>
        </w:tc>
        <w:tc>
          <w:tcPr>
            <w:tcW w:w="1418" w:type="dxa"/>
            <w:gridSpan w:val="2"/>
            <w:tcBorders>
              <w:top w:val="nil"/>
              <w:left w:val="nil"/>
              <w:bottom w:val="single" w:sz="4" w:space="0" w:color="auto"/>
              <w:right w:val="nil"/>
            </w:tcBorders>
            <w:shd w:val="clear" w:color="auto" w:fill="auto"/>
            <w:vAlign w:val="center"/>
            <w:hideMark/>
          </w:tcPr>
          <w:p w14:paraId="46BD8D3F" w14:textId="77777777" w:rsidR="004C01B3" w:rsidRPr="00B13B9A" w:rsidRDefault="004C01B3" w:rsidP="004C01B3">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70E07855"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-87135</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6E755BE6"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0,00%</w:t>
            </w:r>
          </w:p>
        </w:tc>
      </w:tr>
      <w:tr w:rsidR="004C01B3" w:rsidRPr="00B13B9A" w14:paraId="3F25C83C"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467D3F3B" w14:textId="77777777" w:rsidR="004C01B3" w:rsidRPr="00B13B9A" w:rsidRDefault="004C01B3" w:rsidP="004C01B3">
            <w:pPr>
              <w:spacing w:after="0" w:line="240" w:lineRule="auto"/>
              <w:rPr>
                <w:rFonts w:asciiTheme="majorHAnsi" w:eastAsia="Times New Roman" w:hAnsiTheme="majorHAnsi" w:cstheme="majorHAnsi"/>
                <w:b/>
                <w:bCs/>
                <w:color w:val="000000"/>
                <w:sz w:val="18"/>
                <w:szCs w:val="18"/>
                <w:lang w:val="ro-MD"/>
              </w:rPr>
            </w:pPr>
            <w:r w:rsidRPr="00B13B9A">
              <w:rPr>
                <w:rFonts w:asciiTheme="majorHAnsi" w:eastAsia="Times New Roman" w:hAnsiTheme="majorHAnsi" w:cstheme="majorHAnsi"/>
                <w:b/>
                <w:bCs/>
                <w:color w:val="000000"/>
                <w:sz w:val="18"/>
                <w:szCs w:val="18"/>
                <w:lang w:val="ro-MD"/>
              </w:rPr>
              <w:t>IV. Profit (pierdere)</w:t>
            </w:r>
          </w:p>
        </w:tc>
        <w:tc>
          <w:tcPr>
            <w:tcW w:w="1418" w:type="dxa"/>
            <w:tcBorders>
              <w:top w:val="nil"/>
              <w:left w:val="nil"/>
              <w:bottom w:val="single" w:sz="4" w:space="0" w:color="auto"/>
              <w:right w:val="single" w:sz="4" w:space="0" w:color="auto"/>
            </w:tcBorders>
            <w:shd w:val="clear" w:color="auto" w:fill="auto"/>
            <w:vAlign w:val="center"/>
            <w:hideMark/>
          </w:tcPr>
          <w:p w14:paraId="4DEF831D"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417" w:type="dxa"/>
            <w:tcBorders>
              <w:top w:val="nil"/>
              <w:left w:val="nil"/>
              <w:bottom w:val="single" w:sz="4" w:space="0" w:color="auto"/>
              <w:right w:val="single" w:sz="4" w:space="0" w:color="auto"/>
            </w:tcBorders>
            <w:shd w:val="clear" w:color="auto" w:fill="auto"/>
            <w:vAlign w:val="center"/>
            <w:hideMark/>
          </w:tcPr>
          <w:p w14:paraId="7885D0B7"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418" w:type="dxa"/>
            <w:gridSpan w:val="2"/>
            <w:tcBorders>
              <w:top w:val="nil"/>
              <w:left w:val="nil"/>
              <w:bottom w:val="single" w:sz="4" w:space="0" w:color="auto"/>
              <w:right w:val="nil"/>
            </w:tcBorders>
            <w:shd w:val="clear" w:color="auto" w:fill="auto"/>
            <w:vAlign w:val="center"/>
            <w:hideMark/>
          </w:tcPr>
          <w:p w14:paraId="40A4ECE0" w14:textId="77777777" w:rsidR="004C01B3" w:rsidRPr="00B13B9A" w:rsidRDefault="004C01B3" w:rsidP="004C01B3">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 </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12201289"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7373DE58"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r>
      <w:tr w:rsidR="004C01B3" w:rsidRPr="00B13B9A" w14:paraId="48D36F79"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277F7FCA" w14:textId="77777777" w:rsidR="004C01B3" w:rsidRPr="00B13B9A" w:rsidRDefault="004C01B3" w:rsidP="004C01B3">
            <w:pPr>
              <w:spacing w:after="0" w:line="240" w:lineRule="auto"/>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1. Corectii ale rezultatelor anilor precedenti</w:t>
            </w:r>
          </w:p>
        </w:tc>
        <w:tc>
          <w:tcPr>
            <w:tcW w:w="1418" w:type="dxa"/>
            <w:tcBorders>
              <w:top w:val="nil"/>
              <w:left w:val="nil"/>
              <w:bottom w:val="single" w:sz="4" w:space="0" w:color="auto"/>
              <w:right w:val="single" w:sz="4" w:space="0" w:color="auto"/>
            </w:tcBorders>
            <w:shd w:val="clear" w:color="auto" w:fill="auto"/>
            <w:noWrap/>
            <w:vAlign w:val="center"/>
            <w:hideMark/>
          </w:tcPr>
          <w:p w14:paraId="615621A0"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c>
          <w:tcPr>
            <w:tcW w:w="1417" w:type="dxa"/>
            <w:tcBorders>
              <w:top w:val="nil"/>
              <w:left w:val="nil"/>
              <w:bottom w:val="single" w:sz="4" w:space="0" w:color="auto"/>
              <w:right w:val="single" w:sz="4" w:space="0" w:color="auto"/>
            </w:tcBorders>
            <w:shd w:val="clear" w:color="auto" w:fill="auto"/>
            <w:vAlign w:val="center"/>
            <w:hideMark/>
          </w:tcPr>
          <w:p w14:paraId="4054EEA3" w14:textId="77777777" w:rsidR="004C01B3" w:rsidRPr="00B13B9A" w:rsidRDefault="004C01B3" w:rsidP="004C01B3">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 </w:t>
            </w:r>
          </w:p>
        </w:tc>
        <w:tc>
          <w:tcPr>
            <w:tcW w:w="1418" w:type="dxa"/>
            <w:gridSpan w:val="2"/>
            <w:tcBorders>
              <w:top w:val="nil"/>
              <w:left w:val="nil"/>
              <w:bottom w:val="single" w:sz="4" w:space="0" w:color="auto"/>
              <w:right w:val="nil"/>
            </w:tcBorders>
            <w:shd w:val="clear" w:color="auto" w:fill="auto"/>
            <w:vAlign w:val="center"/>
            <w:hideMark/>
          </w:tcPr>
          <w:p w14:paraId="1553B231"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46E7C683"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4B758B8"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r>
      <w:tr w:rsidR="004C01B3" w:rsidRPr="00B13B9A" w14:paraId="2D4B8D0F"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72684C9F" w14:textId="77777777" w:rsidR="004C01B3" w:rsidRPr="00B13B9A" w:rsidRDefault="004C01B3" w:rsidP="004C01B3">
            <w:pPr>
              <w:spacing w:after="0" w:line="240" w:lineRule="auto"/>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2. Profit nerepartizat (pierdere neacoperita) al anilor precedenti</w:t>
            </w:r>
          </w:p>
        </w:tc>
        <w:tc>
          <w:tcPr>
            <w:tcW w:w="1418" w:type="dxa"/>
            <w:tcBorders>
              <w:top w:val="nil"/>
              <w:left w:val="nil"/>
              <w:bottom w:val="single" w:sz="4" w:space="0" w:color="auto"/>
              <w:right w:val="single" w:sz="4" w:space="0" w:color="auto"/>
            </w:tcBorders>
            <w:shd w:val="clear" w:color="auto" w:fill="auto"/>
            <w:vAlign w:val="center"/>
            <w:hideMark/>
          </w:tcPr>
          <w:p w14:paraId="26505D89"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87135</w:t>
            </w:r>
          </w:p>
        </w:tc>
        <w:tc>
          <w:tcPr>
            <w:tcW w:w="1417" w:type="dxa"/>
            <w:tcBorders>
              <w:top w:val="nil"/>
              <w:left w:val="nil"/>
              <w:bottom w:val="single" w:sz="4" w:space="0" w:color="auto"/>
              <w:right w:val="single" w:sz="4" w:space="0" w:color="auto"/>
            </w:tcBorders>
            <w:shd w:val="clear" w:color="auto" w:fill="auto"/>
            <w:noWrap/>
            <w:vAlign w:val="center"/>
            <w:hideMark/>
          </w:tcPr>
          <w:p w14:paraId="7421084A"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c>
          <w:tcPr>
            <w:tcW w:w="1418" w:type="dxa"/>
            <w:gridSpan w:val="2"/>
            <w:tcBorders>
              <w:top w:val="nil"/>
              <w:left w:val="nil"/>
              <w:bottom w:val="single" w:sz="4" w:space="0" w:color="auto"/>
              <w:right w:val="nil"/>
            </w:tcBorders>
            <w:shd w:val="clear" w:color="auto" w:fill="auto"/>
            <w:vAlign w:val="center"/>
            <w:hideMark/>
          </w:tcPr>
          <w:p w14:paraId="3247EF93"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0CBEBB70"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0C2973C9"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r>
      <w:tr w:rsidR="004C01B3" w:rsidRPr="00B13B9A" w14:paraId="4FD7D4AA"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466F4447" w14:textId="77777777" w:rsidR="004C01B3" w:rsidRPr="00B13B9A" w:rsidRDefault="004C01B3" w:rsidP="004C01B3">
            <w:pPr>
              <w:spacing w:after="0" w:line="240" w:lineRule="auto"/>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3. Profit net (pierdere neta) al perioadei de gestiune</w:t>
            </w:r>
          </w:p>
        </w:tc>
        <w:tc>
          <w:tcPr>
            <w:tcW w:w="1418" w:type="dxa"/>
            <w:tcBorders>
              <w:top w:val="nil"/>
              <w:left w:val="nil"/>
              <w:bottom w:val="single" w:sz="4" w:space="0" w:color="auto"/>
              <w:right w:val="single" w:sz="4" w:space="0" w:color="auto"/>
            </w:tcBorders>
            <w:shd w:val="clear" w:color="auto" w:fill="auto"/>
            <w:vAlign w:val="center"/>
            <w:hideMark/>
          </w:tcPr>
          <w:p w14:paraId="359B2ABD" w14:textId="77777777" w:rsidR="004C01B3" w:rsidRPr="00B13B9A" w:rsidRDefault="004C01B3" w:rsidP="004C01B3">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 </w:t>
            </w:r>
          </w:p>
        </w:tc>
        <w:tc>
          <w:tcPr>
            <w:tcW w:w="1417" w:type="dxa"/>
            <w:tcBorders>
              <w:top w:val="nil"/>
              <w:left w:val="nil"/>
              <w:bottom w:val="single" w:sz="4" w:space="0" w:color="auto"/>
              <w:right w:val="single" w:sz="4" w:space="0" w:color="auto"/>
            </w:tcBorders>
            <w:shd w:val="clear" w:color="auto" w:fill="auto"/>
            <w:vAlign w:val="center"/>
            <w:hideMark/>
          </w:tcPr>
          <w:p w14:paraId="1CC3716D" w14:textId="77777777" w:rsidR="004C01B3" w:rsidRPr="00B13B9A" w:rsidRDefault="004C01B3" w:rsidP="004C01B3">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 </w:t>
            </w:r>
          </w:p>
        </w:tc>
        <w:tc>
          <w:tcPr>
            <w:tcW w:w="1418" w:type="dxa"/>
            <w:gridSpan w:val="2"/>
            <w:tcBorders>
              <w:top w:val="nil"/>
              <w:left w:val="nil"/>
              <w:bottom w:val="single" w:sz="4" w:space="0" w:color="auto"/>
              <w:right w:val="nil"/>
            </w:tcBorders>
            <w:shd w:val="clear" w:color="auto" w:fill="auto"/>
            <w:vAlign w:val="center"/>
            <w:hideMark/>
          </w:tcPr>
          <w:p w14:paraId="10E31122"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7214F11B"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8729C03"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r>
      <w:tr w:rsidR="004C01B3" w:rsidRPr="00B13B9A" w14:paraId="37D61C26"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260652BA" w14:textId="77777777" w:rsidR="004C01B3" w:rsidRPr="00B13B9A" w:rsidRDefault="004C01B3" w:rsidP="004C01B3">
            <w:pPr>
              <w:spacing w:after="0" w:line="240" w:lineRule="auto"/>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4. Profit utilizat al perioadei de gestiune</w:t>
            </w:r>
          </w:p>
        </w:tc>
        <w:tc>
          <w:tcPr>
            <w:tcW w:w="1418" w:type="dxa"/>
            <w:tcBorders>
              <w:top w:val="nil"/>
              <w:left w:val="nil"/>
              <w:bottom w:val="single" w:sz="4" w:space="0" w:color="auto"/>
              <w:right w:val="single" w:sz="4" w:space="0" w:color="auto"/>
            </w:tcBorders>
            <w:shd w:val="clear" w:color="auto" w:fill="auto"/>
            <w:noWrap/>
            <w:vAlign w:val="center"/>
            <w:hideMark/>
          </w:tcPr>
          <w:p w14:paraId="5BA082A9"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c>
          <w:tcPr>
            <w:tcW w:w="1417" w:type="dxa"/>
            <w:tcBorders>
              <w:top w:val="nil"/>
              <w:left w:val="nil"/>
              <w:bottom w:val="single" w:sz="4" w:space="0" w:color="auto"/>
              <w:right w:val="single" w:sz="4" w:space="0" w:color="auto"/>
            </w:tcBorders>
            <w:shd w:val="clear" w:color="auto" w:fill="auto"/>
            <w:noWrap/>
            <w:vAlign w:val="center"/>
            <w:hideMark/>
          </w:tcPr>
          <w:p w14:paraId="37C1661C"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c>
          <w:tcPr>
            <w:tcW w:w="1418" w:type="dxa"/>
            <w:gridSpan w:val="2"/>
            <w:tcBorders>
              <w:top w:val="nil"/>
              <w:left w:val="nil"/>
              <w:bottom w:val="single" w:sz="4" w:space="0" w:color="auto"/>
              <w:right w:val="nil"/>
            </w:tcBorders>
            <w:shd w:val="clear" w:color="auto" w:fill="auto"/>
            <w:vAlign w:val="center"/>
            <w:hideMark/>
          </w:tcPr>
          <w:p w14:paraId="11771C69"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2189B2A0"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3A966CBB"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r>
      <w:tr w:rsidR="004C01B3" w:rsidRPr="00B13B9A" w14:paraId="02F3A95C"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2C02ABF5" w14:textId="77777777" w:rsidR="004C01B3" w:rsidRPr="00B13B9A" w:rsidRDefault="004C01B3" w:rsidP="004C01B3">
            <w:pPr>
              <w:spacing w:after="0" w:line="240" w:lineRule="auto"/>
              <w:rPr>
                <w:rFonts w:asciiTheme="majorHAnsi" w:eastAsia="Times New Roman" w:hAnsiTheme="majorHAnsi" w:cstheme="majorHAnsi"/>
                <w:b/>
                <w:bCs/>
                <w:color w:val="000000"/>
                <w:sz w:val="18"/>
                <w:szCs w:val="18"/>
                <w:lang w:val="ro-MD"/>
              </w:rPr>
            </w:pPr>
            <w:r w:rsidRPr="00B13B9A">
              <w:rPr>
                <w:rFonts w:asciiTheme="majorHAnsi" w:eastAsia="Times New Roman" w:hAnsiTheme="majorHAnsi" w:cstheme="majorHAnsi"/>
                <w:b/>
                <w:bCs/>
                <w:color w:val="000000"/>
                <w:sz w:val="18"/>
                <w:szCs w:val="18"/>
                <w:lang w:val="ro-MD"/>
              </w:rPr>
              <w:t>Total profit (pierdere)</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7D8B9AC9"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87135</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6FBE077B"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c>
          <w:tcPr>
            <w:tcW w:w="1418" w:type="dxa"/>
            <w:gridSpan w:val="2"/>
            <w:tcBorders>
              <w:top w:val="nil"/>
              <w:left w:val="nil"/>
              <w:bottom w:val="single" w:sz="4" w:space="0" w:color="auto"/>
              <w:right w:val="nil"/>
            </w:tcBorders>
            <w:shd w:val="clear" w:color="auto" w:fill="auto"/>
            <w:vAlign w:val="center"/>
            <w:hideMark/>
          </w:tcPr>
          <w:p w14:paraId="6831DA44" w14:textId="77777777" w:rsidR="004C01B3" w:rsidRPr="00B13B9A" w:rsidRDefault="004C01B3" w:rsidP="004C01B3">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 </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5B8F41C9"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1DBA91E"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r>
      <w:tr w:rsidR="004C01B3" w:rsidRPr="00B13B9A" w14:paraId="724C865E"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3B0FA38E" w14:textId="77777777" w:rsidR="004C01B3" w:rsidRPr="00B13B9A" w:rsidRDefault="004C01B3" w:rsidP="004C01B3">
            <w:pPr>
              <w:spacing w:after="0" w:line="240" w:lineRule="auto"/>
              <w:rPr>
                <w:rFonts w:asciiTheme="majorHAnsi" w:eastAsia="Times New Roman" w:hAnsiTheme="majorHAnsi" w:cstheme="majorHAnsi"/>
                <w:b/>
                <w:bCs/>
                <w:color w:val="000000"/>
                <w:sz w:val="18"/>
                <w:szCs w:val="18"/>
                <w:lang w:val="ro-MD"/>
              </w:rPr>
            </w:pPr>
            <w:r w:rsidRPr="00B13B9A">
              <w:rPr>
                <w:rFonts w:asciiTheme="majorHAnsi" w:eastAsia="Times New Roman" w:hAnsiTheme="majorHAnsi" w:cstheme="majorHAnsi"/>
                <w:b/>
                <w:bCs/>
                <w:color w:val="000000"/>
                <w:sz w:val="18"/>
                <w:szCs w:val="18"/>
                <w:lang w:val="ro-MD"/>
              </w:rPr>
              <w:t>V. Rezerve din reevaluare</w:t>
            </w:r>
          </w:p>
        </w:tc>
        <w:tc>
          <w:tcPr>
            <w:tcW w:w="1418" w:type="dxa"/>
            <w:tcBorders>
              <w:top w:val="nil"/>
              <w:left w:val="nil"/>
              <w:bottom w:val="single" w:sz="4" w:space="0" w:color="auto"/>
              <w:right w:val="single" w:sz="4" w:space="0" w:color="auto"/>
            </w:tcBorders>
            <w:shd w:val="clear" w:color="auto" w:fill="auto"/>
            <w:vAlign w:val="center"/>
            <w:hideMark/>
          </w:tcPr>
          <w:p w14:paraId="62026011"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417" w:type="dxa"/>
            <w:tcBorders>
              <w:top w:val="nil"/>
              <w:left w:val="nil"/>
              <w:bottom w:val="single" w:sz="4" w:space="0" w:color="auto"/>
              <w:right w:val="single" w:sz="4" w:space="0" w:color="auto"/>
            </w:tcBorders>
            <w:shd w:val="clear" w:color="auto" w:fill="auto"/>
            <w:vAlign w:val="center"/>
            <w:hideMark/>
          </w:tcPr>
          <w:p w14:paraId="102C5215"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418" w:type="dxa"/>
            <w:gridSpan w:val="2"/>
            <w:tcBorders>
              <w:top w:val="nil"/>
              <w:left w:val="nil"/>
              <w:bottom w:val="single" w:sz="4" w:space="0" w:color="auto"/>
              <w:right w:val="nil"/>
            </w:tcBorders>
            <w:shd w:val="clear" w:color="auto" w:fill="auto"/>
            <w:vAlign w:val="center"/>
            <w:hideMark/>
          </w:tcPr>
          <w:p w14:paraId="0F55A44F"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638D1269"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36082A53"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r>
      <w:tr w:rsidR="004C01B3" w:rsidRPr="00B13B9A" w14:paraId="57DA7C49"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7CCBCAA4" w14:textId="77777777" w:rsidR="004C01B3" w:rsidRPr="00B13B9A" w:rsidRDefault="004C01B3" w:rsidP="004C01B3">
            <w:pPr>
              <w:spacing w:after="0" w:line="240" w:lineRule="auto"/>
              <w:rPr>
                <w:rFonts w:asciiTheme="majorHAnsi" w:eastAsia="Times New Roman" w:hAnsiTheme="majorHAnsi" w:cstheme="majorHAnsi"/>
                <w:b/>
                <w:bCs/>
                <w:color w:val="000000"/>
                <w:sz w:val="18"/>
                <w:szCs w:val="18"/>
                <w:lang w:val="ro-MD"/>
              </w:rPr>
            </w:pPr>
            <w:r w:rsidRPr="00B13B9A">
              <w:rPr>
                <w:rFonts w:asciiTheme="majorHAnsi" w:eastAsia="Times New Roman" w:hAnsiTheme="majorHAnsi" w:cstheme="majorHAnsi"/>
                <w:b/>
                <w:bCs/>
                <w:color w:val="000000"/>
                <w:sz w:val="18"/>
                <w:szCs w:val="18"/>
                <w:lang w:val="ro-MD"/>
              </w:rPr>
              <w:t>VI. Alte elemente de capital propriu</w:t>
            </w:r>
          </w:p>
        </w:tc>
        <w:tc>
          <w:tcPr>
            <w:tcW w:w="1418" w:type="dxa"/>
            <w:tcBorders>
              <w:top w:val="nil"/>
              <w:left w:val="nil"/>
              <w:bottom w:val="single" w:sz="4" w:space="0" w:color="auto"/>
              <w:right w:val="single" w:sz="4" w:space="0" w:color="auto"/>
            </w:tcBorders>
            <w:shd w:val="clear" w:color="auto" w:fill="auto"/>
            <w:vAlign w:val="center"/>
            <w:hideMark/>
          </w:tcPr>
          <w:p w14:paraId="3129F794"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154.059.550,00</w:t>
            </w:r>
          </w:p>
        </w:tc>
        <w:tc>
          <w:tcPr>
            <w:tcW w:w="1417" w:type="dxa"/>
            <w:tcBorders>
              <w:top w:val="nil"/>
              <w:left w:val="nil"/>
              <w:bottom w:val="single" w:sz="4" w:space="0" w:color="auto"/>
              <w:right w:val="single" w:sz="4" w:space="0" w:color="auto"/>
            </w:tcBorders>
            <w:shd w:val="clear" w:color="auto" w:fill="auto"/>
            <w:vAlign w:val="center"/>
            <w:hideMark/>
          </w:tcPr>
          <w:p w14:paraId="320BC84D"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155.828.211,00</w:t>
            </w:r>
          </w:p>
        </w:tc>
        <w:tc>
          <w:tcPr>
            <w:tcW w:w="1418" w:type="dxa"/>
            <w:gridSpan w:val="2"/>
            <w:tcBorders>
              <w:top w:val="nil"/>
              <w:left w:val="nil"/>
              <w:bottom w:val="single" w:sz="4" w:space="0" w:color="auto"/>
              <w:right w:val="nil"/>
            </w:tcBorders>
            <w:shd w:val="clear" w:color="auto" w:fill="auto"/>
            <w:vAlign w:val="center"/>
            <w:hideMark/>
          </w:tcPr>
          <w:p w14:paraId="090FFC28"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154.309.848,00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45493743"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-1518363</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4D9F00A"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99,03%</w:t>
            </w:r>
          </w:p>
        </w:tc>
      </w:tr>
      <w:tr w:rsidR="004C01B3" w:rsidRPr="00B13B9A" w14:paraId="08A6A01C"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73DECF63" w14:textId="77777777" w:rsidR="004C01B3" w:rsidRPr="00B13B9A" w:rsidRDefault="004C01B3" w:rsidP="004C01B3">
            <w:pPr>
              <w:spacing w:after="0" w:line="240" w:lineRule="auto"/>
              <w:rPr>
                <w:rFonts w:asciiTheme="majorHAnsi" w:eastAsia="Times New Roman" w:hAnsiTheme="majorHAnsi" w:cstheme="majorHAnsi"/>
                <w:b/>
                <w:bCs/>
                <w:color w:val="000000"/>
                <w:sz w:val="18"/>
                <w:szCs w:val="18"/>
                <w:lang w:val="ro-MD"/>
              </w:rPr>
            </w:pPr>
            <w:r w:rsidRPr="00B13B9A">
              <w:rPr>
                <w:rFonts w:asciiTheme="majorHAnsi" w:eastAsia="Times New Roman" w:hAnsiTheme="majorHAnsi" w:cstheme="majorHAnsi"/>
                <w:b/>
                <w:bCs/>
                <w:color w:val="000000"/>
                <w:sz w:val="18"/>
                <w:szCs w:val="18"/>
                <w:lang w:val="ro-MD"/>
              </w:rPr>
              <w:t>TOTAL CAPITAL PROPRIU</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45C7051F" w14:textId="77777777" w:rsidR="004C01B3" w:rsidRPr="00B13B9A" w:rsidRDefault="004C01B3" w:rsidP="004C01B3">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227.961.172,00</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7F1C4F59" w14:textId="77777777" w:rsidR="004C01B3" w:rsidRPr="00B13B9A" w:rsidRDefault="004C01B3" w:rsidP="004C01B3">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229.729.832,00</w:t>
            </w:r>
          </w:p>
        </w:tc>
        <w:tc>
          <w:tcPr>
            <w:tcW w:w="1418" w:type="dxa"/>
            <w:gridSpan w:val="2"/>
            <w:vMerge w:val="restart"/>
            <w:tcBorders>
              <w:top w:val="nil"/>
              <w:left w:val="single" w:sz="4" w:space="0" w:color="auto"/>
              <w:bottom w:val="single" w:sz="4" w:space="0" w:color="auto"/>
              <w:right w:val="nil"/>
            </w:tcBorders>
            <w:shd w:val="clear" w:color="auto" w:fill="auto"/>
            <w:vAlign w:val="center"/>
            <w:hideMark/>
          </w:tcPr>
          <w:p w14:paraId="7C1D0868" w14:textId="77777777" w:rsidR="004C01B3" w:rsidRPr="00B13B9A" w:rsidRDefault="004C01B3" w:rsidP="004C01B3">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228.124.335,00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00D88063"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-1605497</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0CC1FA29"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99,30%</w:t>
            </w:r>
          </w:p>
        </w:tc>
      </w:tr>
      <w:tr w:rsidR="004C01B3" w:rsidRPr="00B13B9A" w14:paraId="098D9122"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7B590D66" w14:textId="0FBEE9EE" w:rsidR="004C01B3" w:rsidRPr="00B13B9A" w:rsidRDefault="004C01B3" w:rsidP="004C01B3">
            <w:pPr>
              <w:spacing w:after="0" w:line="240" w:lineRule="auto"/>
              <w:rPr>
                <w:rFonts w:asciiTheme="majorHAnsi" w:eastAsia="Times New Roman" w:hAnsiTheme="majorHAnsi" w:cstheme="majorHAnsi"/>
                <w:color w:val="000000"/>
                <w:sz w:val="18"/>
                <w:szCs w:val="18"/>
                <w:lang w:val="ro-MD"/>
              </w:rPr>
            </w:pPr>
          </w:p>
        </w:tc>
        <w:tc>
          <w:tcPr>
            <w:tcW w:w="1418" w:type="dxa"/>
            <w:vMerge/>
            <w:tcBorders>
              <w:top w:val="nil"/>
              <w:left w:val="single" w:sz="4" w:space="0" w:color="auto"/>
              <w:bottom w:val="single" w:sz="4" w:space="0" w:color="auto"/>
              <w:right w:val="single" w:sz="4" w:space="0" w:color="auto"/>
            </w:tcBorders>
            <w:vAlign w:val="center"/>
            <w:hideMark/>
          </w:tcPr>
          <w:p w14:paraId="22640598" w14:textId="77777777" w:rsidR="004C01B3" w:rsidRPr="00B13B9A" w:rsidRDefault="004C01B3" w:rsidP="004C01B3">
            <w:pPr>
              <w:spacing w:after="0" w:line="240" w:lineRule="auto"/>
              <w:jc w:val="right"/>
              <w:rPr>
                <w:rFonts w:asciiTheme="majorHAnsi" w:eastAsia="Times New Roman" w:hAnsiTheme="majorHAnsi" w:cstheme="majorHAnsi"/>
                <w:b/>
                <w:bCs/>
                <w:sz w:val="18"/>
                <w:szCs w:val="18"/>
                <w:lang w:val="ro-MD"/>
              </w:rPr>
            </w:pPr>
          </w:p>
        </w:tc>
        <w:tc>
          <w:tcPr>
            <w:tcW w:w="1417" w:type="dxa"/>
            <w:vMerge/>
            <w:tcBorders>
              <w:top w:val="nil"/>
              <w:left w:val="single" w:sz="4" w:space="0" w:color="auto"/>
              <w:bottom w:val="single" w:sz="4" w:space="0" w:color="auto"/>
              <w:right w:val="single" w:sz="4" w:space="0" w:color="auto"/>
            </w:tcBorders>
            <w:vAlign w:val="center"/>
            <w:hideMark/>
          </w:tcPr>
          <w:p w14:paraId="723759EE" w14:textId="77777777" w:rsidR="004C01B3" w:rsidRPr="00B13B9A" w:rsidRDefault="004C01B3" w:rsidP="004C01B3">
            <w:pPr>
              <w:spacing w:after="0" w:line="240" w:lineRule="auto"/>
              <w:jc w:val="right"/>
              <w:rPr>
                <w:rFonts w:asciiTheme="majorHAnsi" w:eastAsia="Times New Roman" w:hAnsiTheme="majorHAnsi" w:cstheme="majorHAnsi"/>
                <w:b/>
                <w:bCs/>
                <w:sz w:val="18"/>
                <w:szCs w:val="18"/>
                <w:lang w:val="ro-MD"/>
              </w:rPr>
            </w:pPr>
          </w:p>
        </w:tc>
        <w:tc>
          <w:tcPr>
            <w:tcW w:w="1418" w:type="dxa"/>
            <w:gridSpan w:val="2"/>
            <w:vMerge/>
            <w:tcBorders>
              <w:top w:val="nil"/>
              <w:left w:val="single" w:sz="4" w:space="0" w:color="auto"/>
              <w:bottom w:val="single" w:sz="4" w:space="0" w:color="auto"/>
              <w:right w:val="nil"/>
            </w:tcBorders>
            <w:vAlign w:val="center"/>
            <w:hideMark/>
          </w:tcPr>
          <w:p w14:paraId="5081E4C3" w14:textId="77777777" w:rsidR="004C01B3" w:rsidRPr="00B13B9A" w:rsidRDefault="004C01B3" w:rsidP="004C01B3">
            <w:pPr>
              <w:spacing w:after="0" w:line="240" w:lineRule="auto"/>
              <w:jc w:val="right"/>
              <w:rPr>
                <w:rFonts w:asciiTheme="majorHAnsi" w:eastAsia="Times New Roman" w:hAnsiTheme="majorHAnsi" w:cstheme="majorHAnsi"/>
                <w:b/>
                <w:bCs/>
                <w:sz w:val="18"/>
                <w:szCs w:val="18"/>
                <w:lang w:val="ro-MD"/>
              </w:rPr>
            </w:pP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2231FCDC"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72BE4C99"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r>
      <w:tr w:rsidR="004C01B3" w:rsidRPr="00B13B9A" w14:paraId="1CA67484"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17056918" w14:textId="77777777" w:rsidR="004C01B3" w:rsidRPr="00B13B9A" w:rsidRDefault="004C01B3" w:rsidP="004C01B3">
            <w:pPr>
              <w:spacing w:after="0" w:line="240" w:lineRule="auto"/>
              <w:rPr>
                <w:rFonts w:asciiTheme="majorHAnsi" w:eastAsia="Times New Roman" w:hAnsiTheme="majorHAnsi" w:cstheme="majorHAnsi"/>
                <w:b/>
                <w:bCs/>
                <w:color w:val="000000"/>
                <w:sz w:val="18"/>
                <w:szCs w:val="18"/>
                <w:lang w:val="ro-MD"/>
              </w:rPr>
            </w:pPr>
            <w:r w:rsidRPr="00B13B9A">
              <w:rPr>
                <w:rFonts w:asciiTheme="majorHAnsi" w:eastAsia="Times New Roman" w:hAnsiTheme="majorHAnsi" w:cstheme="majorHAnsi"/>
                <w:b/>
                <w:bCs/>
                <w:color w:val="000000"/>
                <w:sz w:val="18"/>
                <w:szCs w:val="18"/>
                <w:lang w:val="ro-MD"/>
              </w:rPr>
              <w:t>DATORII PE TERMEN LUNG</w:t>
            </w:r>
          </w:p>
        </w:tc>
        <w:tc>
          <w:tcPr>
            <w:tcW w:w="1418" w:type="dxa"/>
            <w:tcBorders>
              <w:top w:val="nil"/>
              <w:left w:val="nil"/>
              <w:bottom w:val="single" w:sz="4" w:space="0" w:color="auto"/>
              <w:right w:val="single" w:sz="4" w:space="0" w:color="auto"/>
            </w:tcBorders>
            <w:shd w:val="clear" w:color="auto" w:fill="auto"/>
            <w:vAlign w:val="center"/>
            <w:hideMark/>
          </w:tcPr>
          <w:p w14:paraId="459D89D9" w14:textId="77777777" w:rsidR="004C01B3" w:rsidRPr="00B13B9A" w:rsidRDefault="004C01B3" w:rsidP="004C01B3">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 </w:t>
            </w:r>
          </w:p>
        </w:tc>
        <w:tc>
          <w:tcPr>
            <w:tcW w:w="1417" w:type="dxa"/>
            <w:tcBorders>
              <w:top w:val="nil"/>
              <w:left w:val="nil"/>
              <w:bottom w:val="single" w:sz="4" w:space="0" w:color="auto"/>
              <w:right w:val="single" w:sz="4" w:space="0" w:color="auto"/>
            </w:tcBorders>
            <w:shd w:val="clear" w:color="auto" w:fill="auto"/>
            <w:vAlign w:val="center"/>
            <w:hideMark/>
          </w:tcPr>
          <w:p w14:paraId="47BE124A" w14:textId="77777777" w:rsidR="004C01B3" w:rsidRPr="00B13B9A" w:rsidRDefault="004C01B3" w:rsidP="004C01B3">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 </w:t>
            </w:r>
          </w:p>
        </w:tc>
        <w:tc>
          <w:tcPr>
            <w:tcW w:w="1418" w:type="dxa"/>
            <w:gridSpan w:val="2"/>
            <w:tcBorders>
              <w:top w:val="nil"/>
              <w:left w:val="nil"/>
              <w:bottom w:val="single" w:sz="4" w:space="0" w:color="auto"/>
              <w:right w:val="nil"/>
            </w:tcBorders>
            <w:shd w:val="clear" w:color="auto" w:fill="auto"/>
            <w:noWrap/>
            <w:vAlign w:val="center"/>
            <w:hideMark/>
          </w:tcPr>
          <w:p w14:paraId="61D06D28"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13F8944A"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25D9EEB"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r>
      <w:tr w:rsidR="004C01B3" w:rsidRPr="00B13B9A" w14:paraId="452D4D9B"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38D0A8F2" w14:textId="77777777" w:rsidR="004C01B3" w:rsidRPr="00B13B9A" w:rsidRDefault="004C01B3" w:rsidP="004C01B3">
            <w:pPr>
              <w:spacing w:after="0" w:line="240" w:lineRule="auto"/>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6. Venituri anticipate pe termen lung</w:t>
            </w:r>
          </w:p>
        </w:tc>
        <w:tc>
          <w:tcPr>
            <w:tcW w:w="1418" w:type="dxa"/>
            <w:tcBorders>
              <w:top w:val="nil"/>
              <w:left w:val="nil"/>
              <w:bottom w:val="single" w:sz="4" w:space="0" w:color="auto"/>
              <w:right w:val="single" w:sz="4" w:space="0" w:color="auto"/>
            </w:tcBorders>
            <w:shd w:val="clear" w:color="auto" w:fill="auto"/>
            <w:vAlign w:val="center"/>
            <w:hideMark/>
          </w:tcPr>
          <w:p w14:paraId="37EE2036"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7.637.319,00</w:t>
            </w:r>
          </w:p>
        </w:tc>
        <w:tc>
          <w:tcPr>
            <w:tcW w:w="1417" w:type="dxa"/>
            <w:tcBorders>
              <w:top w:val="nil"/>
              <w:left w:val="nil"/>
              <w:bottom w:val="single" w:sz="4" w:space="0" w:color="auto"/>
              <w:right w:val="single" w:sz="4" w:space="0" w:color="auto"/>
            </w:tcBorders>
            <w:shd w:val="clear" w:color="auto" w:fill="auto"/>
            <w:vAlign w:val="center"/>
            <w:hideMark/>
          </w:tcPr>
          <w:p w14:paraId="4556785B"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8.088.869,00</w:t>
            </w:r>
          </w:p>
        </w:tc>
        <w:tc>
          <w:tcPr>
            <w:tcW w:w="1418" w:type="dxa"/>
            <w:gridSpan w:val="2"/>
            <w:tcBorders>
              <w:top w:val="nil"/>
              <w:left w:val="nil"/>
              <w:bottom w:val="single" w:sz="4" w:space="0" w:color="auto"/>
              <w:right w:val="nil"/>
            </w:tcBorders>
            <w:shd w:val="clear" w:color="auto" w:fill="auto"/>
            <w:vAlign w:val="center"/>
            <w:hideMark/>
          </w:tcPr>
          <w:p w14:paraId="21541281"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3156915E"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-8088869</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611386F5"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0,00%</w:t>
            </w:r>
          </w:p>
        </w:tc>
      </w:tr>
      <w:tr w:rsidR="004C01B3" w:rsidRPr="00B13B9A" w14:paraId="2DEC715E"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7606FCA9" w14:textId="77777777" w:rsidR="004C01B3" w:rsidRPr="00B13B9A" w:rsidRDefault="004C01B3" w:rsidP="004C01B3">
            <w:pPr>
              <w:spacing w:after="0" w:line="240" w:lineRule="auto"/>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7. Alte datorii pe termen lung</w:t>
            </w:r>
          </w:p>
        </w:tc>
        <w:tc>
          <w:tcPr>
            <w:tcW w:w="1418" w:type="dxa"/>
            <w:tcBorders>
              <w:top w:val="nil"/>
              <w:left w:val="nil"/>
              <w:bottom w:val="single" w:sz="4" w:space="0" w:color="auto"/>
              <w:right w:val="single" w:sz="4" w:space="0" w:color="auto"/>
            </w:tcBorders>
            <w:shd w:val="clear" w:color="auto" w:fill="auto"/>
            <w:vAlign w:val="center"/>
            <w:hideMark/>
          </w:tcPr>
          <w:p w14:paraId="0517D8EF"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61.527.334,00</w:t>
            </w:r>
          </w:p>
        </w:tc>
        <w:tc>
          <w:tcPr>
            <w:tcW w:w="1417" w:type="dxa"/>
            <w:tcBorders>
              <w:top w:val="nil"/>
              <w:left w:val="nil"/>
              <w:bottom w:val="single" w:sz="4" w:space="0" w:color="auto"/>
              <w:right w:val="single" w:sz="4" w:space="0" w:color="auto"/>
            </w:tcBorders>
            <w:shd w:val="clear" w:color="auto" w:fill="auto"/>
            <w:vAlign w:val="center"/>
            <w:hideMark/>
          </w:tcPr>
          <w:p w14:paraId="7EE9EDE9"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8.507.941,00</w:t>
            </w:r>
          </w:p>
        </w:tc>
        <w:tc>
          <w:tcPr>
            <w:tcW w:w="1418" w:type="dxa"/>
            <w:gridSpan w:val="2"/>
            <w:tcBorders>
              <w:top w:val="nil"/>
              <w:left w:val="nil"/>
              <w:bottom w:val="single" w:sz="4" w:space="0" w:color="auto"/>
              <w:right w:val="nil"/>
            </w:tcBorders>
            <w:shd w:val="clear" w:color="auto" w:fill="auto"/>
            <w:vAlign w:val="center"/>
            <w:hideMark/>
          </w:tcPr>
          <w:p w14:paraId="6F590079"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12.083.778,00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44741379"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3575837</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341BE9FD"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142,03%</w:t>
            </w:r>
          </w:p>
        </w:tc>
      </w:tr>
      <w:tr w:rsidR="0042231C" w:rsidRPr="00B13B9A" w14:paraId="6AB2B34F" w14:textId="77777777" w:rsidTr="00A51C46">
        <w:trPr>
          <w:trHeight w:val="288"/>
        </w:trPr>
        <w:tc>
          <w:tcPr>
            <w:tcW w:w="368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C5F08C" w14:textId="77777777" w:rsidR="0042231C" w:rsidRPr="00B13B9A" w:rsidRDefault="0042231C" w:rsidP="004C01B3">
            <w:pPr>
              <w:spacing w:after="0" w:line="240" w:lineRule="auto"/>
              <w:rPr>
                <w:rFonts w:asciiTheme="majorHAnsi" w:eastAsia="Times New Roman" w:hAnsiTheme="majorHAnsi" w:cstheme="majorHAnsi"/>
                <w:b/>
                <w:bCs/>
                <w:color w:val="000000"/>
                <w:sz w:val="18"/>
                <w:szCs w:val="18"/>
                <w:lang w:val="ro-MD"/>
              </w:rPr>
            </w:pPr>
            <w:r w:rsidRPr="00B13B9A">
              <w:rPr>
                <w:rFonts w:asciiTheme="majorHAnsi" w:eastAsia="Times New Roman" w:hAnsiTheme="majorHAnsi" w:cstheme="majorHAnsi"/>
                <w:b/>
                <w:bCs/>
                <w:color w:val="000000"/>
                <w:sz w:val="18"/>
                <w:szCs w:val="18"/>
                <w:lang w:val="ro-MD"/>
              </w:rPr>
              <w:t>TOTAL DATORII PE TERMEN LUNG</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5EAA1D0C" w14:textId="77777777" w:rsidR="0042231C" w:rsidRPr="00B13B9A" w:rsidRDefault="0042231C" w:rsidP="004C01B3">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69.164.653,00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3F294EAB" w14:textId="77777777" w:rsidR="0042231C" w:rsidRPr="00B13B9A" w:rsidRDefault="0042231C" w:rsidP="004C01B3">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16.596.810,00</w:t>
            </w:r>
          </w:p>
        </w:tc>
        <w:tc>
          <w:tcPr>
            <w:tcW w:w="1418" w:type="dxa"/>
            <w:gridSpan w:val="2"/>
            <w:tcBorders>
              <w:top w:val="nil"/>
              <w:left w:val="single" w:sz="4" w:space="0" w:color="auto"/>
              <w:bottom w:val="single" w:sz="4" w:space="0" w:color="auto"/>
              <w:right w:val="nil"/>
            </w:tcBorders>
            <w:shd w:val="clear" w:color="auto" w:fill="auto"/>
            <w:vAlign w:val="center"/>
            <w:hideMark/>
          </w:tcPr>
          <w:p w14:paraId="2EBBD2E2" w14:textId="77777777" w:rsidR="0042231C" w:rsidRPr="00B13B9A" w:rsidRDefault="0042231C" w:rsidP="004C01B3">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12.083.778,00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95FCFE" w14:textId="210E5E4D" w:rsidR="0042231C" w:rsidRPr="00B13B9A" w:rsidRDefault="0042231C" w:rsidP="0042231C">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-4513032 </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31794C1" w14:textId="77912F43" w:rsidR="0042231C" w:rsidRPr="00B13B9A" w:rsidRDefault="0042231C" w:rsidP="0042231C">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72,81% </w:t>
            </w:r>
          </w:p>
        </w:tc>
      </w:tr>
      <w:tr w:rsidR="004C01B3" w:rsidRPr="00B13B9A" w14:paraId="45F047A9" w14:textId="77777777" w:rsidTr="00A51C46">
        <w:trPr>
          <w:trHeight w:val="20"/>
        </w:trPr>
        <w:tc>
          <w:tcPr>
            <w:tcW w:w="368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32FE3D" w14:textId="77777777" w:rsidR="004C01B3" w:rsidRPr="00B13B9A" w:rsidRDefault="004C01B3" w:rsidP="004C01B3">
            <w:pPr>
              <w:spacing w:after="0" w:line="240" w:lineRule="auto"/>
              <w:rPr>
                <w:rFonts w:asciiTheme="majorHAnsi" w:eastAsia="Times New Roman" w:hAnsiTheme="majorHAnsi" w:cstheme="majorHAnsi"/>
                <w:b/>
                <w:bCs/>
                <w:color w:val="000000"/>
                <w:sz w:val="18"/>
                <w:szCs w:val="18"/>
                <w:lang w:val="ro-MD"/>
              </w:rPr>
            </w:pPr>
            <w:r w:rsidRPr="00B13B9A">
              <w:rPr>
                <w:rFonts w:asciiTheme="majorHAnsi" w:eastAsia="Times New Roman" w:hAnsiTheme="majorHAnsi" w:cstheme="majorHAnsi"/>
                <w:b/>
                <w:bCs/>
                <w:color w:val="000000"/>
                <w:sz w:val="18"/>
                <w:szCs w:val="18"/>
                <w:lang w:val="ro-MD"/>
              </w:rPr>
              <w:t>DATORII CURENTE</w:t>
            </w:r>
          </w:p>
        </w:tc>
        <w:tc>
          <w:tcPr>
            <w:tcW w:w="1418" w:type="dxa"/>
            <w:tcBorders>
              <w:top w:val="nil"/>
              <w:left w:val="nil"/>
              <w:bottom w:val="single" w:sz="4" w:space="0" w:color="auto"/>
              <w:right w:val="single" w:sz="4" w:space="0" w:color="auto"/>
            </w:tcBorders>
            <w:shd w:val="clear" w:color="auto" w:fill="auto"/>
            <w:noWrap/>
            <w:vAlign w:val="center"/>
            <w:hideMark/>
          </w:tcPr>
          <w:p w14:paraId="6F506CFB"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c>
          <w:tcPr>
            <w:tcW w:w="1417" w:type="dxa"/>
            <w:tcBorders>
              <w:top w:val="nil"/>
              <w:left w:val="nil"/>
              <w:bottom w:val="single" w:sz="4" w:space="0" w:color="auto"/>
              <w:right w:val="single" w:sz="4" w:space="0" w:color="auto"/>
            </w:tcBorders>
            <w:shd w:val="clear" w:color="auto" w:fill="auto"/>
            <w:noWrap/>
            <w:vAlign w:val="center"/>
            <w:hideMark/>
          </w:tcPr>
          <w:p w14:paraId="7B71DF14"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c>
          <w:tcPr>
            <w:tcW w:w="1418" w:type="dxa"/>
            <w:gridSpan w:val="2"/>
            <w:tcBorders>
              <w:top w:val="nil"/>
              <w:left w:val="nil"/>
              <w:bottom w:val="single" w:sz="4" w:space="0" w:color="auto"/>
              <w:right w:val="nil"/>
            </w:tcBorders>
            <w:shd w:val="clear" w:color="auto" w:fill="auto"/>
            <w:vAlign w:val="center"/>
            <w:hideMark/>
          </w:tcPr>
          <w:p w14:paraId="5A87F2E2"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7DA23E"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AC5EBB4"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r>
      <w:tr w:rsidR="004C01B3" w:rsidRPr="00B13B9A" w14:paraId="1D3C7169"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2DF9EE32" w14:textId="77777777" w:rsidR="004C01B3" w:rsidRPr="00B13B9A" w:rsidRDefault="004C01B3" w:rsidP="004C01B3">
            <w:pPr>
              <w:spacing w:after="0" w:line="240" w:lineRule="auto"/>
              <w:rPr>
                <w:rFonts w:asciiTheme="majorHAnsi" w:eastAsia="Times New Roman" w:hAnsiTheme="majorHAnsi" w:cstheme="majorHAnsi"/>
                <w:b/>
                <w:bCs/>
                <w:color w:val="000000"/>
                <w:sz w:val="18"/>
                <w:szCs w:val="18"/>
                <w:lang w:val="ro-MD"/>
              </w:rPr>
            </w:pPr>
            <w:r w:rsidRPr="00B13B9A">
              <w:rPr>
                <w:rFonts w:asciiTheme="majorHAnsi" w:eastAsia="Times New Roman" w:hAnsiTheme="majorHAnsi" w:cstheme="majorHAnsi"/>
                <w:b/>
                <w:bCs/>
                <w:color w:val="000000"/>
                <w:sz w:val="18"/>
                <w:szCs w:val="18"/>
                <w:lang w:val="ro-MD"/>
              </w:rPr>
              <w:t>1. Credite bancare pe termen scurt</w:t>
            </w:r>
          </w:p>
        </w:tc>
        <w:tc>
          <w:tcPr>
            <w:tcW w:w="1418" w:type="dxa"/>
            <w:tcBorders>
              <w:top w:val="nil"/>
              <w:left w:val="nil"/>
              <w:bottom w:val="single" w:sz="4" w:space="0" w:color="auto"/>
              <w:right w:val="single" w:sz="4" w:space="0" w:color="auto"/>
            </w:tcBorders>
            <w:shd w:val="clear" w:color="auto" w:fill="auto"/>
            <w:noWrap/>
            <w:vAlign w:val="center"/>
            <w:hideMark/>
          </w:tcPr>
          <w:p w14:paraId="6833B8CC"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c>
          <w:tcPr>
            <w:tcW w:w="1417" w:type="dxa"/>
            <w:tcBorders>
              <w:top w:val="nil"/>
              <w:left w:val="nil"/>
              <w:bottom w:val="single" w:sz="4" w:space="0" w:color="auto"/>
              <w:right w:val="single" w:sz="4" w:space="0" w:color="auto"/>
            </w:tcBorders>
            <w:shd w:val="clear" w:color="auto" w:fill="auto"/>
            <w:noWrap/>
            <w:vAlign w:val="center"/>
            <w:hideMark/>
          </w:tcPr>
          <w:p w14:paraId="234552A3"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c>
          <w:tcPr>
            <w:tcW w:w="1418" w:type="dxa"/>
            <w:gridSpan w:val="2"/>
            <w:tcBorders>
              <w:top w:val="nil"/>
              <w:left w:val="nil"/>
              <w:bottom w:val="single" w:sz="4" w:space="0" w:color="auto"/>
              <w:right w:val="nil"/>
            </w:tcBorders>
            <w:shd w:val="clear" w:color="auto" w:fill="auto"/>
            <w:vAlign w:val="center"/>
            <w:hideMark/>
          </w:tcPr>
          <w:p w14:paraId="357FF99A"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0997603E"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0F53CF17"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r>
      <w:tr w:rsidR="004C01B3" w:rsidRPr="00B13B9A" w14:paraId="01292AB3"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32D78AA2" w14:textId="77777777" w:rsidR="004C01B3" w:rsidRPr="00B13B9A" w:rsidRDefault="004C01B3" w:rsidP="004C01B3">
            <w:pPr>
              <w:spacing w:after="0" w:line="240" w:lineRule="auto"/>
              <w:rPr>
                <w:rFonts w:asciiTheme="majorHAnsi" w:eastAsia="Times New Roman" w:hAnsiTheme="majorHAnsi" w:cstheme="majorHAnsi"/>
                <w:b/>
                <w:bCs/>
                <w:color w:val="000000"/>
                <w:sz w:val="18"/>
                <w:szCs w:val="18"/>
                <w:lang w:val="ro-MD"/>
              </w:rPr>
            </w:pPr>
            <w:r w:rsidRPr="00B13B9A">
              <w:rPr>
                <w:rFonts w:asciiTheme="majorHAnsi" w:eastAsia="Times New Roman" w:hAnsiTheme="majorHAnsi" w:cstheme="majorHAnsi"/>
                <w:b/>
                <w:bCs/>
                <w:color w:val="000000"/>
                <w:sz w:val="18"/>
                <w:szCs w:val="18"/>
                <w:lang w:val="ro-MD"/>
              </w:rPr>
              <w:t>2. Imprumuturi pe termen scurt, total</w:t>
            </w:r>
          </w:p>
        </w:tc>
        <w:tc>
          <w:tcPr>
            <w:tcW w:w="1418" w:type="dxa"/>
            <w:tcBorders>
              <w:top w:val="nil"/>
              <w:left w:val="nil"/>
              <w:bottom w:val="single" w:sz="4" w:space="0" w:color="auto"/>
              <w:right w:val="single" w:sz="4" w:space="0" w:color="auto"/>
            </w:tcBorders>
            <w:shd w:val="clear" w:color="auto" w:fill="auto"/>
            <w:vAlign w:val="center"/>
            <w:hideMark/>
          </w:tcPr>
          <w:p w14:paraId="11EE3941"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417" w:type="dxa"/>
            <w:tcBorders>
              <w:top w:val="nil"/>
              <w:left w:val="nil"/>
              <w:bottom w:val="single" w:sz="4" w:space="0" w:color="auto"/>
              <w:right w:val="single" w:sz="4" w:space="0" w:color="auto"/>
            </w:tcBorders>
            <w:shd w:val="clear" w:color="auto" w:fill="auto"/>
            <w:vAlign w:val="center"/>
            <w:hideMark/>
          </w:tcPr>
          <w:p w14:paraId="7B172244"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418" w:type="dxa"/>
            <w:gridSpan w:val="2"/>
            <w:tcBorders>
              <w:top w:val="nil"/>
              <w:left w:val="nil"/>
              <w:bottom w:val="single" w:sz="4" w:space="0" w:color="auto"/>
              <w:right w:val="nil"/>
            </w:tcBorders>
            <w:shd w:val="clear" w:color="auto" w:fill="auto"/>
            <w:vAlign w:val="center"/>
            <w:hideMark/>
          </w:tcPr>
          <w:p w14:paraId="418A78A0"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78425795"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426D795"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r>
      <w:tr w:rsidR="004C01B3" w:rsidRPr="00B13B9A" w14:paraId="2A32180F"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2357D804" w14:textId="77777777" w:rsidR="004C01B3" w:rsidRPr="00B13B9A" w:rsidRDefault="004C01B3" w:rsidP="004C01B3">
            <w:pPr>
              <w:spacing w:after="0" w:line="240" w:lineRule="auto"/>
              <w:rPr>
                <w:rFonts w:asciiTheme="majorHAnsi" w:eastAsia="Times New Roman" w:hAnsiTheme="majorHAnsi" w:cstheme="majorHAnsi"/>
                <w:b/>
                <w:bCs/>
                <w:color w:val="000000"/>
                <w:sz w:val="18"/>
                <w:szCs w:val="18"/>
                <w:lang w:val="ro-MD"/>
              </w:rPr>
            </w:pPr>
            <w:r w:rsidRPr="00B13B9A">
              <w:rPr>
                <w:rFonts w:asciiTheme="majorHAnsi" w:eastAsia="Times New Roman" w:hAnsiTheme="majorHAnsi" w:cstheme="majorHAnsi"/>
                <w:b/>
                <w:bCs/>
                <w:color w:val="000000"/>
                <w:sz w:val="18"/>
                <w:szCs w:val="18"/>
                <w:lang w:val="ro-MD"/>
              </w:rPr>
              <w:t>din care:</w:t>
            </w:r>
          </w:p>
        </w:tc>
        <w:tc>
          <w:tcPr>
            <w:tcW w:w="1418" w:type="dxa"/>
            <w:tcBorders>
              <w:top w:val="nil"/>
              <w:left w:val="nil"/>
              <w:bottom w:val="single" w:sz="4" w:space="0" w:color="auto"/>
              <w:right w:val="single" w:sz="4" w:space="0" w:color="auto"/>
            </w:tcBorders>
            <w:shd w:val="clear" w:color="auto" w:fill="auto"/>
            <w:vAlign w:val="center"/>
            <w:hideMark/>
          </w:tcPr>
          <w:p w14:paraId="7C06D3C3"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417" w:type="dxa"/>
            <w:tcBorders>
              <w:top w:val="nil"/>
              <w:left w:val="nil"/>
              <w:bottom w:val="single" w:sz="4" w:space="0" w:color="auto"/>
              <w:right w:val="single" w:sz="4" w:space="0" w:color="auto"/>
            </w:tcBorders>
            <w:shd w:val="clear" w:color="auto" w:fill="auto"/>
            <w:vAlign w:val="center"/>
            <w:hideMark/>
          </w:tcPr>
          <w:p w14:paraId="2CF6E207"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418" w:type="dxa"/>
            <w:gridSpan w:val="2"/>
            <w:tcBorders>
              <w:top w:val="nil"/>
              <w:left w:val="nil"/>
              <w:bottom w:val="single" w:sz="4" w:space="0" w:color="auto"/>
              <w:right w:val="nil"/>
            </w:tcBorders>
            <w:shd w:val="clear" w:color="auto" w:fill="auto"/>
            <w:noWrap/>
            <w:vAlign w:val="center"/>
            <w:hideMark/>
          </w:tcPr>
          <w:p w14:paraId="164A0448"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3092FA8D"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11A2B623"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r>
      <w:tr w:rsidR="004C01B3" w:rsidRPr="00B13B9A" w14:paraId="7DF88D59"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5ED1CBE4" w14:textId="77777777" w:rsidR="004C01B3" w:rsidRPr="00B13B9A" w:rsidRDefault="004C01B3" w:rsidP="004C01B3">
            <w:pPr>
              <w:spacing w:after="0" w:line="240" w:lineRule="auto"/>
              <w:rPr>
                <w:rFonts w:asciiTheme="majorHAnsi" w:eastAsia="Times New Roman" w:hAnsiTheme="majorHAnsi" w:cstheme="majorHAnsi"/>
                <w:b/>
                <w:bCs/>
                <w:color w:val="000000"/>
                <w:sz w:val="18"/>
                <w:szCs w:val="18"/>
                <w:lang w:val="ro-MD"/>
              </w:rPr>
            </w:pPr>
            <w:r w:rsidRPr="00B13B9A">
              <w:rPr>
                <w:rFonts w:asciiTheme="majorHAnsi" w:eastAsia="Times New Roman" w:hAnsiTheme="majorHAnsi" w:cstheme="majorHAnsi"/>
                <w:b/>
                <w:bCs/>
                <w:color w:val="000000"/>
                <w:sz w:val="18"/>
                <w:szCs w:val="18"/>
                <w:lang w:val="ro-MD"/>
              </w:rPr>
              <w:t>3. Datorii comerciale curente</w:t>
            </w:r>
          </w:p>
        </w:tc>
        <w:tc>
          <w:tcPr>
            <w:tcW w:w="1418" w:type="dxa"/>
            <w:tcBorders>
              <w:top w:val="nil"/>
              <w:left w:val="nil"/>
              <w:bottom w:val="single" w:sz="4" w:space="0" w:color="auto"/>
              <w:right w:val="single" w:sz="4" w:space="0" w:color="auto"/>
            </w:tcBorders>
            <w:shd w:val="clear" w:color="auto" w:fill="auto"/>
            <w:vAlign w:val="center"/>
            <w:hideMark/>
          </w:tcPr>
          <w:p w14:paraId="3187DEDE"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7.662,00</w:t>
            </w:r>
          </w:p>
        </w:tc>
        <w:tc>
          <w:tcPr>
            <w:tcW w:w="1417" w:type="dxa"/>
            <w:tcBorders>
              <w:top w:val="nil"/>
              <w:left w:val="nil"/>
              <w:bottom w:val="single" w:sz="4" w:space="0" w:color="auto"/>
              <w:right w:val="single" w:sz="4" w:space="0" w:color="auto"/>
            </w:tcBorders>
            <w:shd w:val="clear" w:color="auto" w:fill="auto"/>
            <w:vAlign w:val="center"/>
            <w:hideMark/>
          </w:tcPr>
          <w:p w14:paraId="447DB9D9"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2.785.250,00</w:t>
            </w:r>
          </w:p>
        </w:tc>
        <w:tc>
          <w:tcPr>
            <w:tcW w:w="1418" w:type="dxa"/>
            <w:gridSpan w:val="2"/>
            <w:tcBorders>
              <w:top w:val="nil"/>
              <w:left w:val="nil"/>
              <w:bottom w:val="single" w:sz="4" w:space="0" w:color="auto"/>
              <w:right w:val="nil"/>
            </w:tcBorders>
            <w:shd w:val="clear" w:color="auto" w:fill="auto"/>
            <w:vAlign w:val="center"/>
            <w:hideMark/>
          </w:tcPr>
          <w:p w14:paraId="264F9373"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1.503.750,00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55D85F8B"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-1281500</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68D63D3F"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53,99%</w:t>
            </w:r>
          </w:p>
        </w:tc>
      </w:tr>
      <w:tr w:rsidR="004C01B3" w:rsidRPr="00B13B9A" w14:paraId="4F91B5C5"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43538C03" w14:textId="77777777" w:rsidR="004C01B3" w:rsidRPr="00B13B9A" w:rsidRDefault="004C01B3" w:rsidP="004C01B3">
            <w:pPr>
              <w:spacing w:after="0" w:line="240" w:lineRule="auto"/>
              <w:rPr>
                <w:rFonts w:asciiTheme="majorHAnsi" w:eastAsia="Times New Roman" w:hAnsiTheme="majorHAnsi" w:cstheme="majorHAnsi"/>
                <w:b/>
                <w:bCs/>
                <w:color w:val="000000"/>
                <w:sz w:val="18"/>
                <w:szCs w:val="18"/>
                <w:lang w:val="ro-MD"/>
              </w:rPr>
            </w:pPr>
            <w:r w:rsidRPr="00B13B9A">
              <w:rPr>
                <w:rFonts w:asciiTheme="majorHAnsi" w:eastAsia="Times New Roman" w:hAnsiTheme="majorHAnsi" w:cstheme="majorHAnsi"/>
                <w:b/>
                <w:bCs/>
                <w:color w:val="000000"/>
                <w:sz w:val="18"/>
                <w:szCs w:val="18"/>
                <w:lang w:val="ro-MD"/>
              </w:rPr>
              <w:t>4. Datorii fata de partile afiliate curente</w:t>
            </w:r>
          </w:p>
        </w:tc>
        <w:tc>
          <w:tcPr>
            <w:tcW w:w="1418" w:type="dxa"/>
            <w:tcBorders>
              <w:top w:val="nil"/>
              <w:left w:val="nil"/>
              <w:bottom w:val="single" w:sz="4" w:space="0" w:color="auto"/>
              <w:right w:val="single" w:sz="4" w:space="0" w:color="auto"/>
            </w:tcBorders>
            <w:shd w:val="clear" w:color="auto" w:fill="auto"/>
            <w:vAlign w:val="center"/>
            <w:hideMark/>
          </w:tcPr>
          <w:p w14:paraId="772F3284"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417" w:type="dxa"/>
            <w:tcBorders>
              <w:top w:val="nil"/>
              <w:left w:val="nil"/>
              <w:bottom w:val="single" w:sz="4" w:space="0" w:color="auto"/>
              <w:right w:val="single" w:sz="4" w:space="0" w:color="auto"/>
            </w:tcBorders>
            <w:shd w:val="clear" w:color="auto" w:fill="auto"/>
            <w:vAlign w:val="center"/>
            <w:hideMark/>
          </w:tcPr>
          <w:p w14:paraId="68B1F394"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418" w:type="dxa"/>
            <w:gridSpan w:val="2"/>
            <w:tcBorders>
              <w:top w:val="nil"/>
              <w:left w:val="nil"/>
              <w:bottom w:val="single" w:sz="4" w:space="0" w:color="auto"/>
              <w:right w:val="nil"/>
            </w:tcBorders>
            <w:shd w:val="clear" w:color="000000" w:fill="FFFFFF"/>
            <w:vAlign w:val="center"/>
            <w:hideMark/>
          </w:tcPr>
          <w:p w14:paraId="0DDA57E6"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0C6AD1F3"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7904FE03"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r>
      <w:tr w:rsidR="004C01B3" w:rsidRPr="00B13B9A" w14:paraId="39B1C62C"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23F72A00" w14:textId="77777777" w:rsidR="004C01B3" w:rsidRPr="00B13B9A" w:rsidRDefault="004C01B3" w:rsidP="004C01B3">
            <w:pPr>
              <w:spacing w:after="0" w:line="240" w:lineRule="auto"/>
              <w:rPr>
                <w:rFonts w:asciiTheme="majorHAnsi" w:eastAsia="Times New Roman" w:hAnsiTheme="majorHAnsi" w:cstheme="majorHAnsi"/>
                <w:b/>
                <w:bCs/>
                <w:color w:val="000000"/>
                <w:sz w:val="18"/>
                <w:szCs w:val="18"/>
                <w:lang w:val="ro-MD"/>
              </w:rPr>
            </w:pPr>
            <w:r w:rsidRPr="00B13B9A">
              <w:rPr>
                <w:rFonts w:asciiTheme="majorHAnsi" w:eastAsia="Times New Roman" w:hAnsiTheme="majorHAnsi" w:cstheme="majorHAnsi"/>
                <w:b/>
                <w:bCs/>
                <w:color w:val="000000"/>
                <w:sz w:val="18"/>
                <w:szCs w:val="18"/>
                <w:lang w:val="ro-MD"/>
              </w:rPr>
              <w:t>5. Avansuri primite curente</w:t>
            </w:r>
          </w:p>
        </w:tc>
        <w:tc>
          <w:tcPr>
            <w:tcW w:w="1418" w:type="dxa"/>
            <w:tcBorders>
              <w:top w:val="nil"/>
              <w:left w:val="nil"/>
              <w:bottom w:val="single" w:sz="4" w:space="0" w:color="auto"/>
              <w:right w:val="single" w:sz="4" w:space="0" w:color="auto"/>
            </w:tcBorders>
            <w:shd w:val="clear" w:color="auto" w:fill="auto"/>
            <w:vAlign w:val="center"/>
            <w:hideMark/>
          </w:tcPr>
          <w:p w14:paraId="5C12F6E6"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9.592,00</w:t>
            </w:r>
          </w:p>
        </w:tc>
        <w:tc>
          <w:tcPr>
            <w:tcW w:w="1417" w:type="dxa"/>
            <w:tcBorders>
              <w:top w:val="nil"/>
              <w:left w:val="nil"/>
              <w:bottom w:val="single" w:sz="4" w:space="0" w:color="auto"/>
              <w:right w:val="single" w:sz="4" w:space="0" w:color="auto"/>
            </w:tcBorders>
            <w:shd w:val="clear" w:color="auto" w:fill="auto"/>
            <w:vAlign w:val="center"/>
            <w:hideMark/>
          </w:tcPr>
          <w:p w14:paraId="5E96B889"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132.862,00</w:t>
            </w:r>
          </w:p>
        </w:tc>
        <w:tc>
          <w:tcPr>
            <w:tcW w:w="1418" w:type="dxa"/>
            <w:gridSpan w:val="2"/>
            <w:tcBorders>
              <w:top w:val="nil"/>
              <w:left w:val="nil"/>
              <w:bottom w:val="single" w:sz="4" w:space="0" w:color="auto"/>
              <w:right w:val="nil"/>
            </w:tcBorders>
            <w:shd w:val="clear" w:color="auto" w:fill="auto"/>
            <w:vAlign w:val="center"/>
            <w:hideMark/>
          </w:tcPr>
          <w:p w14:paraId="57323796"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1.160.549,00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3C8B4AD6"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1027687</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6C2C94F"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873,50%</w:t>
            </w:r>
          </w:p>
        </w:tc>
      </w:tr>
      <w:tr w:rsidR="004C01B3" w:rsidRPr="00B13B9A" w14:paraId="69C27406"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740C6417" w14:textId="77777777" w:rsidR="004C01B3" w:rsidRPr="00B13B9A" w:rsidRDefault="004C01B3" w:rsidP="004C01B3">
            <w:pPr>
              <w:spacing w:after="0" w:line="240" w:lineRule="auto"/>
              <w:rPr>
                <w:rFonts w:asciiTheme="majorHAnsi" w:eastAsia="Times New Roman" w:hAnsiTheme="majorHAnsi" w:cstheme="majorHAnsi"/>
                <w:b/>
                <w:bCs/>
                <w:color w:val="000000"/>
                <w:sz w:val="18"/>
                <w:szCs w:val="18"/>
                <w:lang w:val="ro-MD"/>
              </w:rPr>
            </w:pPr>
            <w:r w:rsidRPr="00B13B9A">
              <w:rPr>
                <w:rFonts w:asciiTheme="majorHAnsi" w:eastAsia="Times New Roman" w:hAnsiTheme="majorHAnsi" w:cstheme="majorHAnsi"/>
                <w:b/>
                <w:bCs/>
                <w:color w:val="000000"/>
                <w:sz w:val="18"/>
                <w:szCs w:val="18"/>
                <w:lang w:val="ro-MD"/>
              </w:rPr>
              <w:t>6. Datorii fata de personal</w:t>
            </w:r>
          </w:p>
        </w:tc>
        <w:tc>
          <w:tcPr>
            <w:tcW w:w="1418" w:type="dxa"/>
            <w:tcBorders>
              <w:top w:val="nil"/>
              <w:left w:val="nil"/>
              <w:bottom w:val="single" w:sz="4" w:space="0" w:color="auto"/>
              <w:right w:val="single" w:sz="4" w:space="0" w:color="auto"/>
            </w:tcBorders>
            <w:shd w:val="clear" w:color="auto" w:fill="auto"/>
            <w:vAlign w:val="center"/>
            <w:hideMark/>
          </w:tcPr>
          <w:p w14:paraId="1A68CBF5"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195.958,00</w:t>
            </w:r>
          </w:p>
        </w:tc>
        <w:tc>
          <w:tcPr>
            <w:tcW w:w="1417" w:type="dxa"/>
            <w:tcBorders>
              <w:top w:val="nil"/>
              <w:left w:val="nil"/>
              <w:bottom w:val="single" w:sz="4" w:space="0" w:color="auto"/>
              <w:right w:val="single" w:sz="4" w:space="0" w:color="auto"/>
            </w:tcBorders>
            <w:shd w:val="clear" w:color="auto" w:fill="auto"/>
            <w:vAlign w:val="center"/>
            <w:hideMark/>
          </w:tcPr>
          <w:p w14:paraId="41652462"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796.772,00</w:t>
            </w:r>
          </w:p>
        </w:tc>
        <w:tc>
          <w:tcPr>
            <w:tcW w:w="1418" w:type="dxa"/>
            <w:gridSpan w:val="2"/>
            <w:tcBorders>
              <w:top w:val="nil"/>
              <w:left w:val="nil"/>
              <w:bottom w:val="single" w:sz="4" w:space="0" w:color="auto"/>
              <w:right w:val="nil"/>
            </w:tcBorders>
            <w:shd w:val="clear" w:color="auto" w:fill="auto"/>
            <w:vAlign w:val="center"/>
            <w:hideMark/>
          </w:tcPr>
          <w:p w14:paraId="6031AE26"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96.343,00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6CF2CCE1"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-700429</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39AAD537"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12,09%</w:t>
            </w:r>
          </w:p>
        </w:tc>
      </w:tr>
      <w:tr w:rsidR="004C01B3" w:rsidRPr="00B13B9A" w14:paraId="3F881398"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63E9EA3C" w14:textId="77777777" w:rsidR="004C01B3" w:rsidRPr="00B13B9A" w:rsidRDefault="004C01B3" w:rsidP="004C01B3">
            <w:pPr>
              <w:spacing w:after="0" w:line="240" w:lineRule="auto"/>
              <w:rPr>
                <w:rFonts w:asciiTheme="majorHAnsi" w:eastAsia="Times New Roman" w:hAnsiTheme="majorHAnsi" w:cstheme="majorHAnsi"/>
                <w:b/>
                <w:bCs/>
                <w:color w:val="000000"/>
                <w:sz w:val="18"/>
                <w:szCs w:val="18"/>
                <w:lang w:val="ro-MD"/>
              </w:rPr>
            </w:pPr>
            <w:r w:rsidRPr="00B13B9A">
              <w:rPr>
                <w:rFonts w:asciiTheme="majorHAnsi" w:eastAsia="Times New Roman" w:hAnsiTheme="majorHAnsi" w:cstheme="majorHAnsi"/>
                <w:b/>
                <w:bCs/>
                <w:color w:val="000000"/>
                <w:sz w:val="18"/>
                <w:szCs w:val="18"/>
                <w:lang w:val="ro-MD"/>
              </w:rPr>
              <w:t>7. Datorii privind asigurarile sociale si medicale</w:t>
            </w:r>
          </w:p>
        </w:tc>
        <w:tc>
          <w:tcPr>
            <w:tcW w:w="1418" w:type="dxa"/>
            <w:tcBorders>
              <w:top w:val="nil"/>
              <w:left w:val="nil"/>
              <w:bottom w:val="single" w:sz="4" w:space="0" w:color="auto"/>
              <w:right w:val="single" w:sz="4" w:space="0" w:color="auto"/>
            </w:tcBorders>
            <w:shd w:val="clear" w:color="auto" w:fill="auto"/>
            <w:vAlign w:val="center"/>
            <w:hideMark/>
          </w:tcPr>
          <w:p w14:paraId="1FCBFAC2"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47.030,00</w:t>
            </w:r>
          </w:p>
        </w:tc>
        <w:tc>
          <w:tcPr>
            <w:tcW w:w="1417" w:type="dxa"/>
            <w:tcBorders>
              <w:top w:val="nil"/>
              <w:left w:val="nil"/>
              <w:bottom w:val="single" w:sz="4" w:space="0" w:color="auto"/>
              <w:right w:val="single" w:sz="4" w:space="0" w:color="auto"/>
            </w:tcBorders>
            <w:shd w:val="clear" w:color="auto" w:fill="auto"/>
            <w:vAlign w:val="center"/>
            <w:hideMark/>
          </w:tcPr>
          <w:p w14:paraId="6F5F9AB9"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251.636,00</w:t>
            </w:r>
          </w:p>
        </w:tc>
        <w:tc>
          <w:tcPr>
            <w:tcW w:w="1418" w:type="dxa"/>
            <w:gridSpan w:val="2"/>
            <w:tcBorders>
              <w:top w:val="nil"/>
              <w:left w:val="nil"/>
              <w:bottom w:val="single" w:sz="4" w:space="0" w:color="auto"/>
              <w:right w:val="nil"/>
            </w:tcBorders>
            <w:shd w:val="clear" w:color="auto" w:fill="auto"/>
            <w:vAlign w:val="center"/>
            <w:hideMark/>
          </w:tcPr>
          <w:p w14:paraId="41BF9887"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33.066,00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6E4B4D7B"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-218570</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59E84ABD"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13,14%</w:t>
            </w:r>
          </w:p>
        </w:tc>
      </w:tr>
      <w:tr w:rsidR="004C01B3" w:rsidRPr="00B13B9A" w14:paraId="3CBCCCAD"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62648D60" w14:textId="77777777" w:rsidR="004C01B3" w:rsidRPr="00B13B9A" w:rsidRDefault="004C01B3" w:rsidP="004C01B3">
            <w:pPr>
              <w:spacing w:after="0" w:line="240" w:lineRule="auto"/>
              <w:rPr>
                <w:rFonts w:asciiTheme="majorHAnsi" w:eastAsia="Times New Roman" w:hAnsiTheme="majorHAnsi" w:cstheme="majorHAnsi"/>
                <w:b/>
                <w:bCs/>
                <w:color w:val="000000"/>
                <w:sz w:val="18"/>
                <w:szCs w:val="18"/>
                <w:lang w:val="ro-MD"/>
              </w:rPr>
            </w:pPr>
            <w:r w:rsidRPr="00B13B9A">
              <w:rPr>
                <w:rFonts w:asciiTheme="majorHAnsi" w:eastAsia="Times New Roman" w:hAnsiTheme="majorHAnsi" w:cstheme="majorHAnsi"/>
                <w:b/>
                <w:bCs/>
                <w:color w:val="000000"/>
                <w:sz w:val="18"/>
                <w:szCs w:val="18"/>
                <w:lang w:val="ro-MD"/>
              </w:rPr>
              <w:t>8. Datorii fata de buget</w:t>
            </w:r>
          </w:p>
        </w:tc>
        <w:tc>
          <w:tcPr>
            <w:tcW w:w="1418" w:type="dxa"/>
            <w:tcBorders>
              <w:top w:val="nil"/>
              <w:left w:val="nil"/>
              <w:bottom w:val="single" w:sz="4" w:space="0" w:color="auto"/>
              <w:right w:val="single" w:sz="4" w:space="0" w:color="auto"/>
            </w:tcBorders>
            <w:shd w:val="clear" w:color="auto" w:fill="auto"/>
            <w:vAlign w:val="center"/>
            <w:hideMark/>
          </w:tcPr>
          <w:p w14:paraId="46908FF0"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417" w:type="dxa"/>
            <w:tcBorders>
              <w:top w:val="nil"/>
              <w:left w:val="nil"/>
              <w:bottom w:val="single" w:sz="4" w:space="0" w:color="auto"/>
              <w:right w:val="single" w:sz="4" w:space="0" w:color="auto"/>
            </w:tcBorders>
            <w:shd w:val="clear" w:color="auto" w:fill="auto"/>
            <w:vAlign w:val="center"/>
            <w:hideMark/>
          </w:tcPr>
          <w:p w14:paraId="32EED1E4"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875,00</w:t>
            </w:r>
          </w:p>
        </w:tc>
        <w:tc>
          <w:tcPr>
            <w:tcW w:w="1418" w:type="dxa"/>
            <w:gridSpan w:val="2"/>
            <w:tcBorders>
              <w:top w:val="nil"/>
              <w:left w:val="nil"/>
              <w:bottom w:val="single" w:sz="4" w:space="0" w:color="auto"/>
              <w:right w:val="nil"/>
            </w:tcBorders>
            <w:shd w:val="clear" w:color="auto" w:fill="auto"/>
            <w:vAlign w:val="center"/>
            <w:hideMark/>
          </w:tcPr>
          <w:p w14:paraId="0EF6DA4B"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2F212725"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-875</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5E77D40"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0,00%</w:t>
            </w:r>
          </w:p>
        </w:tc>
      </w:tr>
      <w:tr w:rsidR="004C01B3" w:rsidRPr="00B13B9A" w14:paraId="19B63D7E"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3204ED2E" w14:textId="77777777" w:rsidR="004C01B3" w:rsidRPr="00B13B9A" w:rsidRDefault="004C01B3" w:rsidP="004C01B3">
            <w:pPr>
              <w:spacing w:after="0" w:line="240" w:lineRule="auto"/>
              <w:rPr>
                <w:rFonts w:asciiTheme="majorHAnsi" w:eastAsia="Times New Roman" w:hAnsiTheme="majorHAnsi" w:cstheme="majorHAnsi"/>
                <w:b/>
                <w:bCs/>
                <w:color w:val="000000"/>
                <w:sz w:val="18"/>
                <w:szCs w:val="18"/>
                <w:lang w:val="ro-MD"/>
              </w:rPr>
            </w:pPr>
            <w:r w:rsidRPr="00B13B9A">
              <w:rPr>
                <w:rFonts w:asciiTheme="majorHAnsi" w:eastAsia="Times New Roman" w:hAnsiTheme="majorHAnsi" w:cstheme="majorHAnsi"/>
                <w:b/>
                <w:bCs/>
                <w:color w:val="000000"/>
                <w:sz w:val="18"/>
                <w:szCs w:val="18"/>
                <w:lang w:val="ro-MD"/>
              </w:rPr>
              <w:t>9. Datorii fata de proprietari</w:t>
            </w:r>
          </w:p>
        </w:tc>
        <w:tc>
          <w:tcPr>
            <w:tcW w:w="1418" w:type="dxa"/>
            <w:tcBorders>
              <w:top w:val="nil"/>
              <w:left w:val="nil"/>
              <w:bottom w:val="single" w:sz="4" w:space="0" w:color="auto"/>
              <w:right w:val="single" w:sz="4" w:space="0" w:color="auto"/>
            </w:tcBorders>
            <w:shd w:val="clear" w:color="auto" w:fill="auto"/>
            <w:vAlign w:val="center"/>
            <w:hideMark/>
          </w:tcPr>
          <w:p w14:paraId="020BB982"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417" w:type="dxa"/>
            <w:tcBorders>
              <w:top w:val="nil"/>
              <w:left w:val="nil"/>
              <w:bottom w:val="single" w:sz="4" w:space="0" w:color="auto"/>
              <w:right w:val="single" w:sz="4" w:space="0" w:color="auto"/>
            </w:tcBorders>
            <w:shd w:val="clear" w:color="auto" w:fill="auto"/>
            <w:vAlign w:val="center"/>
            <w:hideMark/>
          </w:tcPr>
          <w:p w14:paraId="16D861C2"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418" w:type="dxa"/>
            <w:gridSpan w:val="2"/>
            <w:tcBorders>
              <w:top w:val="nil"/>
              <w:left w:val="nil"/>
              <w:bottom w:val="single" w:sz="4" w:space="0" w:color="auto"/>
              <w:right w:val="nil"/>
            </w:tcBorders>
            <w:shd w:val="clear" w:color="auto" w:fill="auto"/>
            <w:vAlign w:val="center"/>
            <w:hideMark/>
          </w:tcPr>
          <w:p w14:paraId="062B056E"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3B7C0F0C"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15A2125"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r>
      <w:tr w:rsidR="004C01B3" w:rsidRPr="00B13B9A" w14:paraId="006E5AAE"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7F61D553" w14:textId="77777777" w:rsidR="004C01B3" w:rsidRPr="00B13B9A" w:rsidRDefault="004C01B3" w:rsidP="004C01B3">
            <w:pPr>
              <w:spacing w:after="0" w:line="240" w:lineRule="auto"/>
              <w:rPr>
                <w:rFonts w:asciiTheme="majorHAnsi" w:eastAsia="Times New Roman" w:hAnsiTheme="majorHAnsi" w:cstheme="majorHAnsi"/>
                <w:b/>
                <w:bCs/>
                <w:color w:val="000000"/>
                <w:sz w:val="18"/>
                <w:szCs w:val="18"/>
                <w:lang w:val="ro-MD"/>
              </w:rPr>
            </w:pPr>
            <w:r w:rsidRPr="00B13B9A">
              <w:rPr>
                <w:rFonts w:asciiTheme="majorHAnsi" w:eastAsia="Times New Roman" w:hAnsiTheme="majorHAnsi" w:cstheme="majorHAnsi"/>
                <w:b/>
                <w:bCs/>
                <w:color w:val="000000"/>
                <w:sz w:val="18"/>
                <w:szCs w:val="18"/>
                <w:lang w:val="ro-MD"/>
              </w:rPr>
              <w:t>10. Venituri anticipate curente</w:t>
            </w:r>
          </w:p>
        </w:tc>
        <w:tc>
          <w:tcPr>
            <w:tcW w:w="1418" w:type="dxa"/>
            <w:tcBorders>
              <w:top w:val="nil"/>
              <w:left w:val="nil"/>
              <w:bottom w:val="single" w:sz="4" w:space="0" w:color="auto"/>
              <w:right w:val="single" w:sz="4" w:space="0" w:color="auto"/>
            </w:tcBorders>
            <w:shd w:val="clear" w:color="auto" w:fill="auto"/>
            <w:vAlign w:val="center"/>
            <w:hideMark/>
          </w:tcPr>
          <w:p w14:paraId="6741C716"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120735</w:t>
            </w:r>
          </w:p>
        </w:tc>
        <w:tc>
          <w:tcPr>
            <w:tcW w:w="1417" w:type="dxa"/>
            <w:tcBorders>
              <w:top w:val="nil"/>
              <w:left w:val="nil"/>
              <w:bottom w:val="single" w:sz="4" w:space="0" w:color="auto"/>
              <w:right w:val="single" w:sz="4" w:space="0" w:color="auto"/>
            </w:tcBorders>
            <w:shd w:val="clear" w:color="auto" w:fill="auto"/>
            <w:vAlign w:val="center"/>
            <w:hideMark/>
          </w:tcPr>
          <w:p w14:paraId="617F9399"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34.184.685,00</w:t>
            </w:r>
          </w:p>
        </w:tc>
        <w:tc>
          <w:tcPr>
            <w:tcW w:w="1418" w:type="dxa"/>
            <w:gridSpan w:val="2"/>
            <w:tcBorders>
              <w:top w:val="nil"/>
              <w:left w:val="nil"/>
              <w:bottom w:val="single" w:sz="4" w:space="0" w:color="auto"/>
              <w:right w:val="nil"/>
            </w:tcBorders>
            <w:shd w:val="clear" w:color="auto" w:fill="auto"/>
            <w:vAlign w:val="center"/>
            <w:hideMark/>
          </w:tcPr>
          <w:p w14:paraId="764E310A"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21.932.835,00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30BC5262"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-12251850</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3B135EB"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64,16%</w:t>
            </w:r>
          </w:p>
        </w:tc>
      </w:tr>
      <w:tr w:rsidR="004C01B3" w:rsidRPr="00B13B9A" w14:paraId="1394D86B"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249984AD" w14:textId="77777777" w:rsidR="004C01B3" w:rsidRPr="00B13B9A" w:rsidRDefault="004C01B3" w:rsidP="004C01B3">
            <w:pPr>
              <w:spacing w:after="0" w:line="240" w:lineRule="auto"/>
              <w:rPr>
                <w:rFonts w:asciiTheme="majorHAnsi" w:eastAsia="Times New Roman" w:hAnsiTheme="majorHAnsi" w:cstheme="majorHAnsi"/>
                <w:b/>
                <w:bCs/>
                <w:color w:val="000000"/>
                <w:sz w:val="18"/>
                <w:szCs w:val="18"/>
                <w:lang w:val="ro-MD"/>
              </w:rPr>
            </w:pPr>
            <w:r w:rsidRPr="00B13B9A">
              <w:rPr>
                <w:rFonts w:asciiTheme="majorHAnsi" w:eastAsia="Times New Roman" w:hAnsiTheme="majorHAnsi" w:cstheme="majorHAnsi"/>
                <w:b/>
                <w:bCs/>
                <w:color w:val="000000"/>
                <w:sz w:val="18"/>
                <w:szCs w:val="18"/>
                <w:lang w:val="ro-MD"/>
              </w:rPr>
              <w:t>11. Alte datorii curente</w:t>
            </w:r>
          </w:p>
        </w:tc>
        <w:tc>
          <w:tcPr>
            <w:tcW w:w="1418" w:type="dxa"/>
            <w:tcBorders>
              <w:top w:val="nil"/>
              <w:left w:val="nil"/>
              <w:bottom w:val="single" w:sz="4" w:space="0" w:color="auto"/>
              <w:right w:val="single" w:sz="4" w:space="0" w:color="auto"/>
            </w:tcBorders>
            <w:shd w:val="clear" w:color="auto" w:fill="auto"/>
            <w:vAlign w:val="center"/>
            <w:hideMark/>
          </w:tcPr>
          <w:p w14:paraId="3083B4EB"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8.818,00</w:t>
            </w:r>
          </w:p>
        </w:tc>
        <w:tc>
          <w:tcPr>
            <w:tcW w:w="1417" w:type="dxa"/>
            <w:tcBorders>
              <w:top w:val="nil"/>
              <w:left w:val="nil"/>
              <w:bottom w:val="single" w:sz="4" w:space="0" w:color="auto"/>
              <w:right w:val="single" w:sz="4" w:space="0" w:color="auto"/>
            </w:tcBorders>
            <w:shd w:val="clear" w:color="auto" w:fill="auto"/>
            <w:vAlign w:val="center"/>
            <w:hideMark/>
          </w:tcPr>
          <w:p w14:paraId="47C07912"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210.635,00</w:t>
            </w:r>
          </w:p>
        </w:tc>
        <w:tc>
          <w:tcPr>
            <w:tcW w:w="1418" w:type="dxa"/>
            <w:gridSpan w:val="2"/>
            <w:tcBorders>
              <w:top w:val="nil"/>
              <w:left w:val="nil"/>
              <w:bottom w:val="single" w:sz="4" w:space="0" w:color="auto"/>
              <w:right w:val="nil"/>
            </w:tcBorders>
            <w:shd w:val="clear" w:color="auto" w:fill="auto"/>
            <w:vAlign w:val="center"/>
            <w:hideMark/>
          </w:tcPr>
          <w:p w14:paraId="3DF173A1"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8.197.291,00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72EDBF9A"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7986656</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5DC682A"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3891,70%</w:t>
            </w:r>
          </w:p>
        </w:tc>
      </w:tr>
      <w:tr w:rsidR="004C01B3" w:rsidRPr="00B13B9A" w14:paraId="0AEBE8AF"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503F4D72" w14:textId="6121E2B6" w:rsidR="004C01B3" w:rsidRPr="00B13B9A" w:rsidRDefault="004C01B3" w:rsidP="0042231C">
            <w:pPr>
              <w:spacing w:after="0" w:line="240" w:lineRule="auto"/>
              <w:rPr>
                <w:rFonts w:asciiTheme="majorHAnsi" w:eastAsia="Times New Roman" w:hAnsiTheme="majorHAnsi" w:cstheme="majorHAnsi"/>
                <w:b/>
                <w:bCs/>
                <w:color w:val="000000"/>
                <w:sz w:val="18"/>
                <w:szCs w:val="18"/>
                <w:lang w:val="ro-MD"/>
              </w:rPr>
            </w:pPr>
            <w:r w:rsidRPr="00B13B9A">
              <w:rPr>
                <w:rFonts w:asciiTheme="majorHAnsi" w:eastAsia="Times New Roman" w:hAnsiTheme="majorHAnsi" w:cstheme="majorHAnsi"/>
                <w:b/>
                <w:bCs/>
                <w:color w:val="000000"/>
                <w:sz w:val="18"/>
                <w:szCs w:val="18"/>
                <w:lang w:val="ro-MD"/>
              </w:rPr>
              <w:t xml:space="preserve">TOTAL DATORII CURENTE </w:t>
            </w:r>
          </w:p>
        </w:tc>
        <w:tc>
          <w:tcPr>
            <w:tcW w:w="1418" w:type="dxa"/>
            <w:tcBorders>
              <w:top w:val="nil"/>
              <w:left w:val="nil"/>
              <w:bottom w:val="single" w:sz="4" w:space="0" w:color="auto"/>
              <w:right w:val="single" w:sz="4" w:space="0" w:color="auto"/>
            </w:tcBorders>
            <w:shd w:val="clear" w:color="auto" w:fill="auto"/>
            <w:vAlign w:val="center"/>
            <w:hideMark/>
          </w:tcPr>
          <w:p w14:paraId="278B00AE" w14:textId="77777777" w:rsidR="004C01B3" w:rsidRPr="00B13B9A" w:rsidRDefault="004C01B3" w:rsidP="004C01B3">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389.795,00</w:t>
            </w:r>
          </w:p>
        </w:tc>
        <w:tc>
          <w:tcPr>
            <w:tcW w:w="1417" w:type="dxa"/>
            <w:tcBorders>
              <w:top w:val="nil"/>
              <w:left w:val="nil"/>
              <w:bottom w:val="single" w:sz="4" w:space="0" w:color="auto"/>
              <w:right w:val="single" w:sz="4" w:space="0" w:color="auto"/>
            </w:tcBorders>
            <w:shd w:val="clear" w:color="auto" w:fill="auto"/>
            <w:vAlign w:val="center"/>
            <w:hideMark/>
          </w:tcPr>
          <w:p w14:paraId="1AA5ED21" w14:textId="77777777" w:rsidR="004C01B3" w:rsidRPr="00B13B9A" w:rsidRDefault="004C01B3" w:rsidP="004C01B3">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38.362.715,00</w:t>
            </w:r>
          </w:p>
        </w:tc>
        <w:tc>
          <w:tcPr>
            <w:tcW w:w="1418" w:type="dxa"/>
            <w:gridSpan w:val="2"/>
            <w:tcBorders>
              <w:top w:val="nil"/>
              <w:left w:val="nil"/>
              <w:bottom w:val="single" w:sz="4" w:space="0" w:color="auto"/>
              <w:right w:val="nil"/>
            </w:tcBorders>
            <w:shd w:val="clear" w:color="auto" w:fill="auto"/>
            <w:vAlign w:val="center"/>
            <w:hideMark/>
          </w:tcPr>
          <w:p w14:paraId="6A86BD43" w14:textId="77777777" w:rsidR="004C01B3" w:rsidRPr="00B13B9A" w:rsidRDefault="004C01B3" w:rsidP="004C01B3">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32.923.834,00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4E17AEF9" w14:textId="77777777" w:rsidR="004C01B3" w:rsidRPr="00B13B9A" w:rsidRDefault="004C01B3" w:rsidP="004C01B3">
            <w:pPr>
              <w:spacing w:after="0" w:line="240" w:lineRule="auto"/>
              <w:jc w:val="right"/>
              <w:rPr>
                <w:rFonts w:asciiTheme="majorHAnsi" w:eastAsia="Times New Roman" w:hAnsiTheme="majorHAnsi" w:cstheme="majorHAnsi"/>
                <w:b/>
                <w:bCs/>
                <w:color w:val="000000"/>
                <w:sz w:val="18"/>
                <w:szCs w:val="18"/>
                <w:lang w:val="ro-MD"/>
              </w:rPr>
            </w:pPr>
            <w:r w:rsidRPr="00B13B9A">
              <w:rPr>
                <w:rFonts w:asciiTheme="majorHAnsi" w:eastAsia="Times New Roman" w:hAnsiTheme="majorHAnsi" w:cstheme="majorHAnsi"/>
                <w:b/>
                <w:bCs/>
                <w:color w:val="000000"/>
                <w:sz w:val="18"/>
                <w:szCs w:val="18"/>
                <w:lang w:val="ro-MD"/>
              </w:rPr>
              <w:t>-5438881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7DA0550E" w14:textId="77777777" w:rsidR="004C01B3" w:rsidRPr="00B13B9A" w:rsidRDefault="004C01B3" w:rsidP="004C01B3">
            <w:pPr>
              <w:spacing w:after="0" w:line="240" w:lineRule="auto"/>
              <w:jc w:val="right"/>
              <w:rPr>
                <w:rFonts w:asciiTheme="majorHAnsi" w:eastAsia="Times New Roman" w:hAnsiTheme="majorHAnsi" w:cstheme="majorHAnsi"/>
                <w:b/>
                <w:bCs/>
                <w:color w:val="000000"/>
                <w:sz w:val="18"/>
                <w:szCs w:val="18"/>
                <w:lang w:val="ro-MD"/>
              </w:rPr>
            </w:pPr>
            <w:r w:rsidRPr="00B13B9A">
              <w:rPr>
                <w:rFonts w:asciiTheme="majorHAnsi" w:eastAsia="Times New Roman" w:hAnsiTheme="majorHAnsi" w:cstheme="majorHAnsi"/>
                <w:b/>
                <w:bCs/>
                <w:color w:val="000000"/>
                <w:sz w:val="18"/>
                <w:szCs w:val="18"/>
                <w:lang w:val="ro-MD"/>
              </w:rPr>
              <w:t>85,82%</w:t>
            </w:r>
          </w:p>
        </w:tc>
      </w:tr>
      <w:tr w:rsidR="004C01B3" w:rsidRPr="00B13B9A" w14:paraId="2924CE8C"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174A38F3" w14:textId="77777777" w:rsidR="004C01B3" w:rsidRPr="00B13B9A" w:rsidRDefault="004C01B3" w:rsidP="004C01B3">
            <w:pPr>
              <w:spacing w:after="0" w:line="240" w:lineRule="auto"/>
              <w:rPr>
                <w:rFonts w:asciiTheme="majorHAnsi" w:eastAsia="Times New Roman" w:hAnsiTheme="majorHAnsi" w:cstheme="majorHAnsi"/>
                <w:b/>
                <w:bCs/>
                <w:color w:val="000000"/>
                <w:sz w:val="18"/>
                <w:szCs w:val="18"/>
                <w:lang w:val="ro-MD"/>
              </w:rPr>
            </w:pPr>
            <w:r w:rsidRPr="00B13B9A">
              <w:rPr>
                <w:rFonts w:asciiTheme="majorHAnsi" w:eastAsia="Times New Roman" w:hAnsiTheme="majorHAnsi" w:cstheme="majorHAnsi"/>
                <w:b/>
                <w:bCs/>
                <w:color w:val="000000"/>
                <w:sz w:val="18"/>
                <w:szCs w:val="18"/>
                <w:lang w:val="ro-MD"/>
              </w:rPr>
              <w:t>PROVIZIOANE</w:t>
            </w:r>
          </w:p>
        </w:tc>
        <w:tc>
          <w:tcPr>
            <w:tcW w:w="1418" w:type="dxa"/>
            <w:tcBorders>
              <w:top w:val="nil"/>
              <w:left w:val="nil"/>
              <w:bottom w:val="single" w:sz="4" w:space="0" w:color="auto"/>
              <w:right w:val="single" w:sz="4" w:space="0" w:color="auto"/>
            </w:tcBorders>
            <w:shd w:val="clear" w:color="auto" w:fill="auto"/>
            <w:vAlign w:val="center"/>
            <w:hideMark/>
          </w:tcPr>
          <w:p w14:paraId="15777EAC" w14:textId="77777777" w:rsidR="004C01B3" w:rsidRPr="00B13B9A" w:rsidRDefault="004C01B3" w:rsidP="004C01B3">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 </w:t>
            </w:r>
          </w:p>
        </w:tc>
        <w:tc>
          <w:tcPr>
            <w:tcW w:w="1417" w:type="dxa"/>
            <w:tcBorders>
              <w:top w:val="nil"/>
              <w:left w:val="nil"/>
              <w:bottom w:val="single" w:sz="4" w:space="0" w:color="auto"/>
              <w:right w:val="single" w:sz="4" w:space="0" w:color="auto"/>
            </w:tcBorders>
            <w:shd w:val="clear" w:color="auto" w:fill="auto"/>
            <w:vAlign w:val="center"/>
            <w:hideMark/>
          </w:tcPr>
          <w:p w14:paraId="24434F66" w14:textId="77777777" w:rsidR="004C01B3" w:rsidRPr="00B13B9A" w:rsidRDefault="004C01B3" w:rsidP="004C01B3">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 </w:t>
            </w:r>
          </w:p>
        </w:tc>
        <w:tc>
          <w:tcPr>
            <w:tcW w:w="1418" w:type="dxa"/>
            <w:gridSpan w:val="2"/>
            <w:tcBorders>
              <w:top w:val="nil"/>
              <w:left w:val="nil"/>
              <w:bottom w:val="single" w:sz="4" w:space="0" w:color="auto"/>
              <w:right w:val="nil"/>
            </w:tcBorders>
            <w:shd w:val="clear" w:color="auto" w:fill="auto"/>
            <w:vAlign w:val="center"/>
            <w:hideMark/>
          </w:tcPr>
          <w:p w14:paraId="4549B766" w14:textId="77777777" w:rsidR="004C01B3" w:rsidRPr="00B13B9A" w:rsidRDefault="004C01B3" w:rsidP="004C01B3">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 </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380D9880"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7CA0352C"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r>
      <w:tr w:rsidR="004C01B3" w:rsidRPr="00B13B9A" w14:paraId="395EA36B"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0414AA8D" w14:textId="77777777" w:rsidR="004C01B3" w:rsidRPr="00B13B9A" w:rsidRDefault="004C01B3" w:rsidP="004C01B3">
            <w:pPr>
              <w:spacing w:after="0" w:line="240" w:lineRule="auto"/>
              <w:rPr>
                <w:rFonts w:asciiTheme="majorHAnsi" w:eastAsia="Times New Roman" w:hAnsiTheme="majorHAnsi" w:cstheme="majorHAnsi"/>
                <w:b/>
                <w:bCs/>
                <w:color w:val="000000"/>
                <w:sz w:val="18"/>
                <w:szCs w:val="18"/>
                <w:lang w:val="ro-MD"/>
              </w:rPr>
            </w:pPr>
            <w:r w:rsidRPr="00B13B9A">
              <w:rPr>
                <w:rFonts w:asciiTheme="majorHAnsi" w:eastAsia="Times New Roman" w:hAnsiTheme="majorHAnsi" w:cstheme="majorHAnsi"/>
                <w:b/>
                <w:bCs/>
                <w:color w:val="000000"/>
                <w:sz w:val="18"/>
                <w:szCs w:val="18"/>
                <w:lang w:val="ro-MD"/>
              </w:rPr>
              <w:t>1. Provizioane pentru beneficiile angajatilor</w:t>
            </w:r>
          </w:p>
        </w:tc>
        <w:tc>
          <w:tcPr>
            <w:tcW w:w="1418" w:type="dxa"/>
            <w:tcBorders>
              <w:top w:val="nil"/>
              <w:left w:val="nil"/>
              <w:bottom w:val="single" w:sz="4" w:space="0" w:color="auto"/>
              <w:right w:val="single" w:sz="4" w:space="0" w:color="auto"/>
            </w:tcBorders>
            <w:shd w:val="clear" w:color="auto" w:fill="auto"/>
            <w:vAlign w:val="center"/>
            <w:hideMark/>
          </w:tcPr>
          <w:p w14:paraId="27DFA6F6"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417" w:type="dxa"/>
            <w:tcBorders>
              <w:top w:val="nil"/>
              <w:left w:val="nil"/>
              <w:bottom w:val="single" w:sz="4" w:space="0" w:color="auto"/>
              <w:right w:val="single" w:sz="4" w:space="0" w:color="auto"/>
            </w:tcBorders>
            <w:shd w:val="clear" w:color="auto" w:fill="auto"/>
            <w:vAlign w:val="center"/>
            <w:hideMark/>
          </w:tcPr>
          <w:p w14:paraId="4A14E6A3"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418" w:type="dxa"/>
            <w:gridSpan w:val="2"/>
            <w:tcBorders>
              <w:top w:val="nil"/>
              <w:left w:val="nil"/>
              <w:bottom w:val="single" w:sz="4" w:space="0" w:color="auto"/>
              <w:right w:val="nil"/>
            </w:tcBorders>
            <w:shd w:val="clear" w:color="000000" w:fill="FFFFFF"/>
            <w:vAlign w:val="center"/>
            <w:hideMark/>
          </w:tcPr>
          <w:p w14:paraId="1EE0C8B1"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30800119"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39B6EAE8"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r>
      <w:tr w:rsidR="004C01B3" w:rsidRPr="00B13B9A" w14:paraId="35EF70EF"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7EB0113D" w14:textId="77777777" w:rsidR="004C01B3" w:rsidRPr="00B13B9A" w:rsidRDefault="004C01B3" w:rsidP="004C01B3">
            <w:pPr>
              <w:spacing w:after="0" w:line="240" w:lineRule="auto"/>
              <w:rPr>
                <w:rFonts w:asciiTheme="majorHAnsi" w:eastAsia="Times New Roman" w:hAnsiTheme="majorHAnsi" w:cstheme="majorHAnsi"/>
                <w:b/>
                <w:bCs/>
                <w:color w:val="000000"/>
                <w:sz w:val="18"/>
                <w:szCs w:val="18"/>
                <w:lang w:val="ro-MD"/>
              </w:rPr>
            </w:pPr>
            <w:r w:rsidRPr="00B13B9A">
              <w:rPr>
                <w:rFonts w:asciiTheme="majorHAnsi" w:eastAsia="Times New Roman" w:hAnsiTheme="majorHAnsi" w:cstheme="majorHAnsi"/>
                <w:b/>
                <w:bCs/>
                <w:color w:val="000000"/>
                <w:sz w:val="18"/>
                <w:szCs w:val="18"/>
                <w:lang w:val="ro-MD"/>
              </w:rPr>
              <w:t>2. Provizioane pentru garantii acordate cumparatorilor/clientilor</w:t>
            </w:r>
          </w:p>
        </w:tc>
        <w:tc>
          <w:tcPr>
            <w:tcW w:w="1418" w:type="dxa"/>
            <w:tcBorders>
              <w:top w:val="nil"/>
              <w:left w:val="nil"/>
              <w:bottom w:val="single" w:sz="4" w:space="0" w:color="auto"/>
              <w:right w:val="single" w:sz="4" w:space="0" w:color="auto"/>
            </w:tcBorders>
            <w:shd w:val="clear" w:color="auto" w:fill="auto"/>
            <w:vAlign w:val="center"/>
            <w:hideMark/>
          </w:tcPr>
          <w:p w14:paraId="43925B67"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417" w:type="dxa"/>
            <w:tcBorders>
              <w:top w:val="nil"/>
              <w:left w:val="nil"/>
              <w:bottom w:val="single" w:sz="4" w:space="0" w:color="auto"/>
              <w:right w:val="single" w:sz="4" w:space="0" w:color="auto"/>
            </w:tcBorders>
            <w:shd w:val="clear" w:color="auto" w:fill="auto"/>
            <w:vAlign w:val="center"/>
            <w:hideMark/>
          </w:tcPr>
          <w:p w14:paraId="60C95D33"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418" w:type="dxa"/>
            <w:gridSpan w:val="2"/>
            <w:tcBorders>
              <w:top w:val="nil"/>
              <w:left w:val="nil"/>
              <w:bottom w:val="single" w:sz="4" w:space="0" w:color="auto"/>
              <w:right w:val="nil"/>
            </w:tcBorders>
            <w:shd w:val="clear" w:color="auto" w:fill="auto"/>
            <w:vAlign w:val="center"/>
            <w:hideMark/>
          </w:tcPr>
          <w:p w14:paraId="2809651D" w14:textId="77777777" w:rsidR="004C01B3" w:rsidRPr="00B13B9A" w:rsidRDefault="004C01B3" w:rsidP="004C01B3">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0B78DF7B"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37223246"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r>
      <w:tr w:rsidR="004C01B3" w:rsidRPr="00B13B9A" w14:paraId="61E73BB8"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3DCC61EF" w14:textId="77777777" w:rsidR="004C01B3" w:rsidRPr="00B13B9A" w:rsidRDefault="004C01B3" w:rsidP="004C01B3">
            <w:pPr>
              <w:spacing w:after="0" w:line="240" w:lineRule="auto"/>
              <w:rPr>
                <w:rFonts w:asciiTheme="majorHAnsi" w:eastAsia="Times New Roman" w:hAnsiTheme="majorHAnsi" w:cstheme="majorHAnsi"/>
                <w:b/>
                <w:bCs/>
                <w:color w:val="000000"/>
                <w:sz w:val="18"/>
                <w:szCs w:val="18"/>
                <w:lang w:val="ro-MD"/>
              </w:rPr>
            </w:pPr>
            <w:r w:rsidRPr="00B13B9A">
              <w:rPr>
                <w:rFonts w:asciiTheme="majorHAnsi" w:eastAsia="Times New Roman" w:hAnsiTheme="majorHAnsi" w:cstheme="majorHAnsi"/>
                <w:b/>
                <w:bCs/>
                <w:color w:val="000000"/>
                <w:sz w:val="18"/>
                <w:szCs w:val="18"/>
                <w:lang w:val="ro-MD"/>
              </w:rPr>
              <w:t>3. Provizioane pentru impozite</w:t>
            </w:r>
          </w:p>
        </w:tc>
        <w:tc>
          <w:tcPr>
            <w:tcW w:w="1418" w:type="dxa"/>
            <w:tcBorders>
              <w:top w:val="nil"/>
              <w:left w:val="nil"/>
              <w:bottom w:val="single" w:sz="4" w:space="0" w:color="auto"/>
              <w:right w:val="single" w:sz="4" w:space="0" w:color="auto"/>
            </w:tcBorders>
            <w:shd w:val="clear" w:color="000000" w:fill="FFFFFF"/>
            <w:vAlign w:val="center"/>
            <w:hideMark/>
          </w:tcPr>
          <w:p w14:paraId="64D5D0E2" w14:textId="77777777" w:rsidR="004C01B3" w:rsidRPr="00B13B9A" w:rsidRDefault="004C01B3" w:rsidP="004C01B3">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 </w:t>
            </w:r>
          </w:p>
        </w:tc>
        <w:tc>
          <w:tcPr>
            <w:tcW w:w="1417" w:type="dxa"/>
            <w:tcBorders>
              <w:top w:val="nil"/>
              <w:left w:val="nil"/>
              <w:bottom w:val="single" w:sz="4" w:space="0" w:color="auto"/>
              <w:right w:val="single" w:sz="4" w:space="0" w:color="auto"/>
            </w:tcBorders>
            <w:shd w:val="clear" w:color="000000" w:fill="FFFFFF"/>
            <w:vAlign w:val="center"/>
            <w:hideMark/>
          </w:tcPr>
          <w:p w14:paraId="79BB5DBE" w14:textId="77777777" w:rsidR="004C01B3" w:rsidRPr="00B13B9A" w:rsidRDefault="004C01B3" w:rsidP="004C01B3">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 </w:t>
            </w:r>
          </w:p>
        </w:tc>
        <w:tc>
          <w:tcPr>
            <w:tcW w:w="1418" w:type="dxa"/>
            <w:gridSpan w:val="2"/>
            <w:tcBorders>
              <w:top w:val="nil"/>
              <w:left w:val="nil"/>
              <w:bottom w:val="single" w:sz="4" w:space="0" w:color="auto"/>
              <w:right w:val="nil"/>
            </w:tcBorders>
            <w:shd w:val="clear" w:color="000000" w:fill="FFFFFF"/>
            <w:vAlign w:val="center"/>
            <w:hideMark/>
          </w:tcPr>
          <w:p w14:paraId="24083497" w14:textId="77777777" w:rsidR="004C01B3" w:rsidRPr="00B13B9A" w:rsidRDefault="004C01B3" w:rsidP="004C01B3">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 </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69D6545A"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5E6EF62E"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r>
      <w:tr w:rsidR="004C01B3" w:rsidRPr="00B13B9A" w14:paraId="0F4EDF5C"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7EEAE917" w14:textId="77777777" w:rsidR="004C01B3" w:rsidRPr="00B13B9A" w:rsidRDefault="004C01B3" w:rsidP="004C01B3">
            <w:pPr>
              <w:spacing w:after="0" w:line="240" w:lineRule="auto"/>
              <w:rPr>
                <w:rFonts w:asciiTheme="majorHAnsi" w:eastAsia="Times New Roman" w:hAnsiTheme="majorHAnsi" w:cstheme="majorHAnsi"/>
                <w:b/>
                <w:bCs/>
                <w:color w:val="000000"/>
                <w:sz w:val="18"/>
                <w:szCs w:val="18"/>
                <w:lang w:val="ro-MD"/>
              </w:rPr>
            </w:pPr>
            <w:r w:rsidRPr="00B13B9A">
              <w:rPr>
                <w:rFonts w:asciiTheme="majorHAnsi" w:eastAsia="Times New Roman" w:hAnsiTheme="majorHAnsi" w:cstheme="majorHAnsi"/>
                <w:b/>
                <w:bCs/>
                <w:color w:val="000000"/>
                <w:sz w:val="18"/>
                <w:szCs w:val="18"/>
                <w:lang w:val="ro-MD"/>
              </w:rPr>
              <w:t>4. Alte provizioane</w:t>
            </w:r>
          </w:p>
        </w:tc>
        <w:tc>
          <w:tcPr>
            <w:tcW w:w="1418" w:type="dxa"/>
            <w:tcBorders>
              <w:top w:val="nil"/>
              <w:left w:val="nil"/>
              <w:bottom w:val="single" w:sz="4" w:space="0" w:color="auto"/>
              <w:right w:val="single" w:sz="4" w:space="0" w:color="auto"/>
            </w:tcBorders>
            <w:shd w:val="clear" w:color="000000" w:fill="FFFFFF"/>
            <w:vAlign w:val="center"/>
            <w:hideMark/>
          </w:tcPr>
          <w:p w14:paraId="14FD231A" w14:textId="77777777" w:rsidR="004C01B3" w:rsidRPr="00B13B9A" w:rsidRDefault="004C01B3" w:rsidP="004C01B3">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 </w:t>
            </w:r>
          </w:p>
        </w:tc>
        <w:tc>
          <w:tcPr>
            <w:tcW w:w="1417" w:type="dxa"/>
            <w:tcBorders>
              <w:top w:val="nil"/>
              <w:left w:val="nil"/>
              <w:bottom w:val="single" w:sz="4" w:space="0" w:color="auto"/>
              <w:right w:val="single" w:sz="4" w:space="0" w:color="auto"/>
            </w:tcBorders>
            <w:shd w:val="clear" w:color="000000" w:fill="FFFFFF"/>
            <w:vAlign w:val="center"/>
            <w:hideMark/>
          </w:tcPr>
          <w:p w14:paraId="4E3846C7" w14:textId="77777777" w:rsidR="004C01B3" w:rsidRPr="00B13B9A" w:rsidRDefault="004C01B3" w:rsidP="004C01B3">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 </w:t>
            </w:r>
          </w:p>
        </w:tc>
        <w:tc>
          <w:tcPr>
            <w:tcW w:w="1418" w:type="dxa"/>
            <w:gridSpan w:val="2"/>
            <w:tcBorders>
              <w:top w:val="nil"/>
              <w:left w:val="nil"/>
              <w:bottom w:val="single" w:sz="4" w:space="0" w:color="auto"/>
              <w:right w:val="nil"/>
            </w:tcBorders>
            <w:shd w:val="clear" w:color="000000" w:fill="FFFFFF"/>
            <w:vAlign w:val="center"/>
            <w:hideMark/>
          </w:tcPr>
          <w:p w14:paraId="6000322F" w14:textId="77777777" w:rsidR="004C01B3" w:rsidRPr="00B13B9A" w:rsidRDefault="004C01B3" w:rsidP="004C01B3">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 </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02921284"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38DCF279"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r>
      <w:tr w:rsidR="004C01B3" w:rsidRPr="00B13B9A" w14:paraId="51069C71"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5FDB76E8" w14:textId="3A3574E3" w:rsidR="004C01B3" w:rsidRPr="00B13B9A" w:rsidRDefault="004C01B3" w:rsidP="0042231C">
            <w:pPr>
              <w:spacing w:after="0" w:line="240" w:lineRule="auto"/>
              <w:rPr>
                <w:rFonts w:asciiTheme="majorHAnsi" w:eastAsia="Times New Roman" w:hAnsiTheme="majorHAnsi" w:cstheme="majorHAnsi"/>
                <w:b/>
                <w:bCs/>
                <w:color w:val="000000"/>
                <w:sz w:val="18"/>
                <w:szCs w:val="18"/>
                <w:lang w:val="ro-MD"/>
              </w:rPr>
            </w:pPr>
            <w:r w:rsidRPr="00B13B9A">
              <w:rPr>
                <w:rFonts w:asciiTheme="majorHAnsi" w:eastAsia="Times New Roman" w:hAnsiTheme="majorHAnsi" w:cstheme="majorHAnsi"/>
                <w:b/>
                <w:bCs/>
                <w:color w:val="000000"/>
                <w:sz w:val="18"/>
                <w:szCs w:val="18"/>
                <w:lang w:val="ro-MD"/>
              </w:rPr>
              <w:t>TOTAL PROVIZIOANE</w:t>
            </w:r>
          </w:p>
        </w:tc>
        <w:tc>
          <w:tcPr>
            <w:tcW w:w="1418" w:type="dxa"/>
            <w:tcBorders>
              <w:top w:val="nil"/>
              <w:left w:val="nil"/>
              <w:bottom w:val="single" w:sz="4" w:space="0" w:color="auto"/>
              <w:right w:val="single" w:sz="4" w:space="0" w:color="auto"/>
            </w:tcBorders>
            <w:shd w:val="clear" w:color="auto" w:fill="auto"/>
            <w:noWrap/>
            <w:vAlign w:val="center"/>
            <w:hideMark/>
          </w:tcPr>
          <w:p w14:paraId="016D7BC0"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c>
          <w:tcPr>
            <w:tcW w:w="1417" w:type="dxa"/>
            <w:tcBorders>
              <w:top w:val="nil"/>
              <w:left w:val="nil"/>
              <w:bottom w:val="single" w:sz="4" w:space="0" w:color="auto"/>
              <w:right w:val="single" w:sz="4" w:space="0" w:color="auto"/>
            </w:tcBorders>
            <w:shd w:val="clear" w:color="auto" w:fill="auto"/>
            <w:noWrap/>
            <w:vAlign w:val="center"/>
            <w:hideMark/>
          </w:tcPr>
          <w:p w14:paraId="60312394"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c>
          <w:tcPr>
            <w:tcW w:w="1418" w:type="dxa"/>
            <w:gridSpan w:val="2"/>
            <w:tcBorders>
              <w:top w:val="nil"/>
              <w:left w:val="nil"/>
              <w:bottom w:val="single" w:sz="4" w:space="0" w:color="auto"/>
              <w:right w:val="nil"/>
            </w:tcBorders>
            <w:shd w:val="clear" w:color="auto" w:fill="auto"/>
            <w:noWrap/>
            <w:vAlign w:val="center"/>
            <w:hideMark/>
          </w:tcPr>
          <w:p w14:paraId="582ED2C3"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17585AA9"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339AB460" w14:textId="77777777" w:rsidR="004C01B3" w:rsidRPr="00B13B9A" w:rsidRDefault="004C01B3" w:rsidP="004C01B3">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r>
      <w:tr w:rsidR="004C01B3" w:rsidRPr="00B13B9A" w14:paraId="7F1654CC" w14:textId="77777777" w:rsidTr="00A51C46">
        <w:trPr>
          <w:trHeight w:val="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05AC8587" w14:textId="6F512CD0" w:rsidR="004C01B3" w:rsidRPr="00B13B9A" w:rsidRDefault="004C01B3" w:rsidP="0042231C">
            <w:pPr>
              <w:spacing w:after="0" w:line="240" w:lineRule="auto"/>
              <w:rPr>
                <w:rFonts w:asciiTheme="majorHAnsi" w:eastAsia="Times New Roman" w:hAnsiTheme="majorHAnsi" w:cstheme="majorHAnsi"/>
                <w:b/>
                <w:bCs/>
                <w:color w:val="000000"/>
                <w:sz w:val="18"/>
                <w:szCs w:val="18"/>
                <w:lang w:val="ro-MD"/>
              </w:rPr>
            </w:pPr>
            <w:r w:rsidRPr="00B13B9A">
              <w:rPr>
                <w:rFonts w:asciiTheme="majorHAnsi" w:eastAsia="Times New Roman" w:hAnsiTheme="majorHAnsi" w:cstheme="majorHAnsi"/>
                <w:b/>
                <w:bCs/>
                <w:color w:val="000000"/>
                <w:sz w:val="18"/>
                <w:szCs w:val="18"/>
                <w:lang w:val="ro-MD"/>
              </w:rPr>
              <w:t xml:space="preserve">TOTAL PASIVE </w:t>
            </w:r>
          </w:p>
        </w:tc>
        <w:tc>
          <w:tcPr>
            <w:tcW w:w="1418" w:type="dxa"/>
            <w:tcBorders>
              <w:top w:val="nil"/>
              <w:left w:val="nil"/>
              <w:bottom w:val="single" w:sz="4" w:space="0" w:color="auto"/>
              <w:right w:val="single" w:sz="4" w:space="0" w:color="auto"/>
            </w:tcBorders>
            <w:shd w:val="clear" w:color="000000" w:fill="FFFFFF"/>
            <w:vAlign w:val="center"/>
            <w:hideMark/>
          </w:tcPr>
          <w:p w14:paraId="468B43CA" w14:textId="77777777" w:rsidR="004C01B3" w:rsidRPr="00B13B9A" w:rsidRDefault="004C01B3" w:rsidP="004C01B3">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297.515.620,00</w:t>
            </w:r>
          </w:p>
        </w:tc>
        <w:tc>
          <w:tcPr>
            <w:tcW w:w="1417" w:type="dxa"/>
            <w:tcBorders>
              <w:top w:val="nil"/>
              <w:left w:val="nil"/>
              <w:bottom w:val="single" w:sz="4" w:space="0" w:color="auto"/>
              <w:right w:val="single" w:sz="4" w:space="0" w:color="auto"/>
            </w:tcBorders>
            <w:shd w:val="clear" w:color="000000" w:fill="FFFFFF"/>
            <w:vAlign w:val="center"/>
            <w:hideMark/>
          </w:tcPr>
          <w:p w14:paraId="67B47B9D" w14:textId="77777777" w:rsidR="004C01B3" w:rsidRPr="00B13B9A" w:rsidRDefault="004C01B3" w:rsidP="004C01B3">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284.689.358,00</w:t>
            </w:r>
          </w:p>
        </w:tc>
        <w:tc>
          <w:tcPr>
            <w:tcW w:w="1418" w:type="dxa"/>
            <w:gridSpan w:val="2"/>
            <w:tcBorders>
              <w:top w:val="nil"/>
              <w:left w:val="nil"/>
              <w:bottom w:val="single" w:sz="4" w:space="0" w:color="auto"/>
              <w:right w:val="nil"/>
            </w:tcBorders>
            <w:shd w:val="clear" w:color="000000" w:fill="FFFFFF"/>
            <w:vAlign w:val="center"/>
            <w:hideMark/>
          </w:tcPr>
          <w:p w14:paraId="11F73112" w14:textId="77777777" w:rsidR="004C01B3" w:rsidRPr="00B13B9A" w:rsidRDefault="004C01B3" w:rsidP="004C01B3">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273.131.947,00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53223CC1" w14:textId="77777777" w:rsidR="004C01B3" w:rsidRPr="00B13B9A" w:rsidRDefault="004C01B3" w:rsidP="004C01B3">
            <w:pPr>
              <w:spacing w:after="0" w:line="240" w:lineRule="auto"/>
              <w:jc w:val="right"/>
              <w:rPr>
                <w:rFonts w:asciiTheme="majorHAnsi" w:eastAsia="Times New Roman" w:hAnsiTheme="majorHAnsi" w:cstheme="majorHAnsi"/>
                <w:b/>
                <w:bCs/>
                <w:color w:val="000000"/>
                <w:sz w:val="18"/>
                <w:szCs w:val="18"/>
                <w:lang w:val="ro-MD"/>
              </w:rPr>
            </w:pPr>
            <w:r w:rsidRPr="00B13B9A">
              <w:rPr>
                <w:rFonts w:asciiTheme="majorHAnsi" w:eastAsia="Times New Roman" w:hAnsiTheme="majorHAnsi" w:cstheme="majorHAnsi"/>
                <w:b/>
                <w:bCs/>
                <w:color w:val="000000"/>
                <w:sz w:val="18"/>
                <w:szCs w:val="18"/>
                <w:lang w:val="ro-MD"/>
              </w:rPr>
              <w:t>-11557411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6381A150" w14:textId="77777777" w:rsidR="004C01B3" w:rsidRPr="00B13B9A" w:rsidRDefault="004C01B3" w:rsidP="004C01B3">
            <w:pPr>
              <w:spacing w:after="0" w:line="240" w:lineRule="auto"/>
              <w:jc w:val="right"/>
              <w:rPr>
                <w:rFonts w:asciiTheme="majorHAnsi" w:eastAsia="Times New Roman" w:hAnsiTheme="majorHAnsi" w:cstheme="majorHAnsi"/>
                <w:b/>
                <w:bCs/>
                <w:color w:val="000000"/>
                <w:sz w:val="18"/>
                <w:szCs w:val="18"/>
                <w:lang w:val="ro-MD"/>
              </w:rPr>
            </w:pPr>
            <w:r w:rsidRPr="00B13B9A">
              <w:rPr>
                <w:rFonts w:asciiTheme="majorHAnsi" w:eastAsia="Times New Roman" w:hAnsiTheme="majorHAnsi" w:cstheme="majorHAnsi"/>
                <w:b/>
                <w:bCs/>
                <w:color w:val="000000"/>
                <w:sz w:val="18"/>
                <w:szCs w:val="18"/>
                <w:lang w:val="ro-MD"/>
              </w:rPr>
              <w:t>95,94%</w:t>
            </w:r>
          </w:p>
        </w:tc>
      </w:tr>
    </w:tbl>
    <w:p w14:paraId="16C0150A" w14:textId="77777777" w:rsidR="00FB1833" w:rsidRPr="00B13B9A" w:rsidRDefault="00FB1833" w:rsidP="001A0E43">
      <w:pPr>
        <w:spacing w:after="0" w:line="240" w:lineRule="auto"/>
        <w:jc w:val="right"/>
        <w:rPr>
          <w:rFonts w:asciiTheme="majorHAnsi" w:hAnsiTheme="majorHAnsi" w:cstheme="majorHAnsi"/>
          <w:i/>
          <w:iCs/>
          <w:sz w:val="24"/>
          <w:szCs w:val="24"/>
          <w:lang w:val="ro-MD"/>
        </w:rPr>
      </w:pPr>
    </w:p>
    <w:p w14:paraId="61F3EF15" w14:textId="4F4C5557" w:rsidR="00FB1833" w:rsidRPr="00B13B9A" w:rsidRDefault="00FB1833" w:rsidP="00FB1833">
      <w:pPr>
        <w:pStyle w:val="3"/>
        <w:jc w:val="right"/>
        <w:rPr>
          <w:rFonts w:eastAsiaTheme="minorEastAsia"/>
          <w:b/>
          <w:bCs/>
          <w:color w:val="auto"/>
          <w:kern w:val="24"/>
          <w:szCs w:val="28"/>
        </w:rPr>
      </w:pPr>
      <w:bookmarkStart w:id="60" w:name="_Toc83634212"/>
      <w:bookmarkStart w:id="61" w:name="_Toc154562531"/>
      <w:r w:rsidRPr="00B13B9A">
        <w:rPr>
          <w:rFonts w:eastAsiaTheme="minorEastAsia"/>
          <w:b/>
          <w:bCs/>
          <w:color w:val="auto"/>
          <w:kern w:val="24"/>
          <w:szCs w:val="28"/>
        </w:rPr>
        <w:t xml:space="preserve">Anexa nr. </w:t>
      </w:r>
      <w:bookmarkEnd w:id="60"/>
      <w:r w:rsidRPr="00B13B9A">
        <w:rPr>
          <w:rFonts w:eastAsiaTheme="minorEastAsia"/>
          <w:b/>
          <w:bCs/>
          <w:color w:val="auto"/>
          <w:kern w:val="24"/>
          <w:szCs w:val="28"/>
        </w:rPr>
        <w:t>8</w:t>
      </w:r>
      <w:bookmarkEnd w:id="61"/>
    </w:p>
    <w:p w14:paraId="62C90834" w14:textId="2CCEB2D6" w:rsidR="002C339A" w:rsidRPr="00B13B9A" w:rsidRDefault="002C339A" w:rsidP="002C339A">
      <w:pPr>
        <w:pStyle w:val="cn"/>
        <w:spacing w:line="276" w:lineRule="auto"/>
        <w:ind w:right="71"/>
        <w:rPr>
          <w:rFonts w:asciiTheme="majorHAnsi" w:eastAsiaTheme="minorHAnsi" w:hAnsiTheme="majorHAnsi" w:cstheme="minorHAnsi"/>
          <w:b/>
          <w:lang w:val="ro-MD" w:eastAsia="en-US"/>
        </w:rPr>
      </w:pPr>
      <w:r w:rsidRPr="00B13B9A">
        <w:rPr>
          <w:rFonts w:asciiTheme="majorHAnsi" w:eastAsiaTheme="minorHAnsi" w:hAnsiTheme="majorHAnsi" w:cstheme="minorHAnsi"/>
          <w:b/>
          <w:lang w:val="ro-MD" w:eastAsia="en-US"/>
        </w:rPr>
        <w:t>Balan</w:t>
      </w:r>
      <w:r w:rsidR="00B13B9A" w:rsidRPr="00B13B9A">
        <w:rPr>
          <w:rFonts w:asciiTheme="majorHAnsi" w:eastAsiaTheme="minorHAnsi" w:hAnsiTheme="majorHAnsi" w:cstheme="minorHAnsi"/>
          <w:b/>
          <w:lang w:val="ro-MD" w:eastAsia="en-US"/>
        </w:rPr>
        <w:t>ț</w:t>
      </w:r>
      <w:r w:rsidRPr="00B13B9A">
        <w:rPr>
          <w:rFonts w:asciiTheme="majorHAnsi" w:eastAsiaTheme="minorHAnsi" w:hAnsiTheme="majorHAnsi" w:cstheme="minorHAnsi"/>
          <w:b/>
          <w:lang w:val="ro-MD" w:eastAsia="en-US"/>
        </w:rPr>
        <w:t xml:space="preserve">a de solduri, la 30.06.2023                        </w:t>
      </w:r>
    </w:p>
    <w:p w14:paraId="554CAE4C" w14:textId="77777777" w:rsidR="002C339A" w:rsidRPr="00B13B9A" w:rsidRDefault="002C339A" w:rsidP="002C339A">
      <w:pPr>
        <w:pStyle w:val="cn"/>
        <w:spacing w:line="276" w:lineRule="auto"/>
        <w:ind w:right="71"/>
        <w:jc w:val="right"/>
        <w:rPr>
          <w:rFonts w:asciiTheme="majorHAnsi" w:eastAsiaTheme="minorHAnsi" w:hAnsiTheme="majorHAnsi" w:cstheme="minorHAnsi"/>
          <w:b/>
          <w:lang w:val="ro-MD" w:eastAsia="en-US"/>
        </w:rPr>
      </w:pPr>
      <w:r w:rsidRPr="00B13B9A">
        <w:rPr>
          <w:rFonts w:asciiTheme="majorHAnsi" w:eastAsiaTheme="minorHAnsi" w:hAnsiTheme="majorHAnsi" w:cstheme="minorHAnsi"/>
          <w:b/>
          <w:lang w:val="ro-MD" w:eastAsia="en-US"/>
        </w:rPr>
        <w:t>(mii lei)</w:t>
      </w:r>
    </w:p>
    <w:tbl>
      <w:tblPr>
        <w:tblW w:w="1022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982"/>
        <w:gridCol w:w="1144"/>
        <w:gridCol w:w="1035"/>
        <w:gridCol w:w="6"/>
        <w:gridCol w:w="1085"/>
        <w:gridCol w:w="1134"/>
        <w:gridCol w:w="6"/>
        <w:gridCol w:w="1128"/>
        <w:gridCol w:w="1134"/>
        <w:gridCol w:w="6"/>
      </w:tblGrid>
      <w:tr w:rsidR="002C339A" w:rsidRPr="00B13B9A" w14:paraId="4FEBF1F9" w14:textId="77777777" w:rsidTr="005B5F6E">
        <w:trPr>
          <w:trHeight w:val="20"/>
        </w:trPr>
        <w:tc>
          <w:tcPr>
            <w:tcW w:w="3549" w:type="dxa"/>
            <w:gridSpan w:val="2"/>
            <w:shd w:val="clear" w:color="auto" w:fill="auto"/>
            <w:noWrap/>
            <w:vAlign w:val="bottom"/>
            <w:hideMark/>
          </w:tcPr>
          <w:p w14:paraId="79C779AA" w14:textId="77777777" w:rsidR="002C339A" w:rsidRPr="00B13B9A" w:rsidRDefault="002C339A" w:rsidP="005B5F6E">
            <w:pPr>
              <w:spacing w:after="0" w:line="240" w:lineRule="auto"/>
              <w:jc w:val="center"/>
              <w:rPr>
                <w:rFonts w:asciiTheme="majorHAnsi" w:eastAsia="Times New Roman" w:hAnsiTheme="majorHAnsi" w:cstheme="majorHAnsi"/>
                <w:b/>
                <w:sz w:val="18"/>
                <w:szCs w:val="18"/>
                <w:lang w:val="ro-MD"/>
              </w:rPr>
            </w:pPr>
            <w:r w:rsidRPr="00B13B9A">
              <w:rPr>
                <w:rFonts w:asciiTheme="majorHAnsi" w:eastAsia="Times New Roman" w:hAnsiTheme="majorHAnsi" w:cstheme="majorHAnsi"/>
                <w:b/>
                <w:sz w:val="18"/>
                <w:szCs w:val="18"/>
                <w:lang w:val="ro-MD"/>
              </w:rPr>
              <w:t>Contul</w:t>
            </w:r>
          </w:p>
        </w:tc>
        <w:tc>
          <w:tcPr>
            <w:tcW w:w="2185" w:type="dxa"/>
            <w:gridSpan w:val="3"/>
            <w:shd w:val="clear" w:color="auto" w:fill="auto"/>
            <w:noWrap/>
            <w:vAlign w:val="bottom"/>
            <w:hideMark/>
          </w:tcPr>
          <w:p w14:paraId="749369B6" w14:textId="77777777" w:rsidR="002C339A" w:rsidRPr="00B13B9A" w:rsidRDefault="002C339A" w:rsidP="005B5F6E">
            <w:pPr>
              <w:spacing w:after="0" w:line="240" w:lineRule="auto"/>
              <w:jc w:val="center"/>
              <w:rPr>
                <w:rFonts w:asciiTheme="majorHAnsi" w:eastAsia="Times New Roman" w:hAnsiTheme="majorHAnsi" w:cstheme="majorHAnsi"/>
                <w:b/>
                <w:sz w:val="18"/>
                <w:szCs w:val="18"/>
                <w:lang w:val="ro-MD"/>
              </w:rPr>
            </w:pPr>
            <w:r w:rsidRPr="00B13B9A">
              <w:rPr>
                <w:rFonts w:asciiTheme="majorHAnsi" w:eastAsia="Times New Roman" w:hAnsiTheme="majorHAnsi" w:cstheme="majorHAnsi"/>
                <w:b/>
                <w:sz w:val="18"/>
                <w:szCs w:val="18"/>
                <w:lang w:val="ro-MD"/>
              </w:rPr>
              <w:t>Sold la începutul perioadei</w:t>
            </w:r>
          </w:p>
        </w:tc>
        <w:tc>
          <w:tcPr>
            <w:tcW w:w="2225" w:type="dxa"/>
            <w:gridSpan w:val="3"/>
            <w:shd w:val="clear" w:color="auto" w:fill="auto"/>
            <w:noWrap/>
            <w:vAlign w:val="bottom"/>
            <w:hideMark/>
          </w:tcPr>
          <w:p w14:paraId="564B6E2A" w14:textId="77777777" w:rsidR="002C339A" w:rsidRPr="00B13B9A" w:rsidRDefault="002C339A" w:rsidP="005B5F6E">
            <w:pPr>
              <w:spacing w:after="0" w:line="240" w:lineRule="auto"/>
              <w:jc w:val="center"/>
              <w:rPr>
                <w:rFonts w:asciiTheme="majorHAnsi" w:eastAsia="Times New Roman" w:hAnsiTheme="majorHAnsi" w:cstheme="majorHAnsi"/>
                <w:b/>
                <w:sz w:val="18"/>
                <w:szCs w:val="18"/>
                <w:lang w:val="ro-MD"/>
              </w:rPr>
            </w:pPr>
            <w:r w:rsidRPr="00B13B9A">
              <w:rPr>
                <w:rFonts w:asciiTheme="majorHAnsi" w:eastAsia="Times New Roman" w:hAnsiTheme="majorHAnsi" w:cstheme="majorHAnsi"/>
                <w:b/>
                <w:sz w:val="18"/>
                <w:szCs w:val="18"/>
                <w:lang w:val="ro-MD"/>
              </w:rPr>
              <w:t>Rulaje pe perioada</w:t>
            </w:r>
          </w:p>
        </w:tc>
        <w:tc>
          <w:tcPr>
            <w:tcW w:w="2268" w:type="dxa"/>
            <w:gridSpan w:val="3"/>
            <w:shd w:val="clear" w:color="auto" w:fill="auto"/>
            <w:noWrap/>
            <w:vAlign w:val="bottom"/>
            <w:hideMark/>
          </w:tcPr>
          <w:p w14:paraId="26CE35A0" w14:textId="1E70755E" w:rsidR="002C339A" w:rsidRPr="00B13B9A" w:rsidRDefault="002C339A" w:rsidP="00E10604">
            <w:pPr>
              <w:spacing w:after="0" w:line="240" w:lineRule="auto"/>
              <w:jc w:val="center"/>
              <w:rPr>
                <w:rFonts w:asciiTheme="majorHAnsi" w:eastAsia="Times New Roman" w:hAnsiTheme="majorHAnsi" w:cstheme="majorHAnsi"/>
                <w:b/>
                <w:sz w:val="18"/>
                <w:szCs w:val="18"/>
                <w:lang w:val="ro-MD"/>
              </w:rPr>
            </w:pPr>
            <w:r w:rsidRPr="00B13B9A">
              <w:rPr>
                <w:rFonts w:asciiTheme="majorHAnsi" w:eastAsia="Times New Roman" w:hAnsiTheme="majorHAnsi" w:cstheme="majorHAnsi"/>
                <w:b/>
                <w:sz w:val="18"/>
                <w:szCs w:val="18"/>
                <w:lang w:val="ro-MD"/>
              </w:rPr>
              <w:t>Sold la sf</w:t>
            </w:r>
            <w:r w:rsidR="00E10604">
              <w:rPr>
                <w:rFonts w:asciiTheme="majorHAnsi" w:eastAsia="Times New Roman" w:hAnsiTheme="majorHAnsi" w:cstheme="majorHAnsi"/>
                <w:b/>
                <w:sz w:val="18"/>
                <w:szCs w:val="18"/>
                <w:lang w:val="ro-MD"/>
              </w:rPr>
              <w:t>â</w:t>
            </w:r>
            <w:r w:rsidRPr="00B13B9A">
              <w:rPr>
                <w:rFonts w:asciiTheme="majorHAnsi" w:eastAsia="Times New Roman" w:hAnsiTheme="majorHAnsi" w:cstheme="majorHAnsi"/>
                <w:b/>
                <w:sz w:val="18"/>
                <w:szCs w:val="18"/>
                <w:lang w:val="ro-MD"/>
              </w:rPr>
              <w:t>r</w:t>
            </w:r>
            <w:r w:rsidR="00B13B9A" w:rsidRPr="00B13B9A">
              <w:rPr>
                <w:rFonts w:asciiTheme="majorHAnsi" w:eastAsia="Times New Roman" w:hAnsiTheme="majorHAnsi" w:cstheme="majorHAnsi"/>
                <w:b/>
                <w:sz w:val="18"/>
                <w:szCs w:val="18"/>
                <w:lang w:val="ro-MD"/>
              </w:rPr>
              <w:t>ș</w:t>
            </w:r>
            <w:r w:rsidRPr="00B13B9A">
              <w:rPr>
                <w:rFonts w:asciiTheme="majorHAnsi" w:eastAsia="Times New Roman" w:hAnsiTheme="majorHAnsi" w:cstheme="majorHAnsi"/>
                <w:b/>
                <w:sz w:val="18"/>
                <w:szCs w:val="18"/>
                <w:lang w:val="ro-MD"/>
              </w:rPr>
              <w:t>itul perioadei</w:t>
            </w:r>
          </w:p>
        </w:tc>
      </w:tr>
      <w:tr w:rsidR="002C339A" w:rsidRPr="00B13B9A" w14:paraId="15C11723" w14:textId="77777777" w:rsidTr="005B5F6E">
        <w:trPr>
          <w:gridAfter w:val="1"/>
          <w:wAfter w:w="6" w:type="dxa"/>
          <w:trHeight w:val="20"/>
        </w:trPr>
        <w:tc>
          <w:tcPr>
            <w:tcW w:w="567" w:type="dxa"/>
            <w:shd w:val="clear" w:color="auto" w:fill="auto"/>
            <w:noWrap/>
            <w:vAlign w:val="bottom"/>
            <w:hideMark/>
          </w:tcPr>
          <w:p w14:paraId="29AEB5CD" w14:textId="77777777" w:rsidR="002C339A" w:rsidRPr="00B13B9A" w:rsidRDefault="002C339A" w:rsidP="005B5F6E">
            <w:pPr>
              <w:spacing w:after="0" w:line="240" w:lineRule="auto"/>
              <w:jc w:val="center"/>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Cod</w:t>
            </w:r>
          </w:p>
        </w:tc>
        <w:tc>
          <w:tcPr>
            <w:tcW w:w="2982" w:type="dxa"/>
            <w:shd w:val="clear" w:color="auto" w:fill="auto"/>
            <w:noWrap/>
            <w:vAlign w:val="bottom"/>
            <w:hideMark/>
          </w:tcPr>
          <w:p w14:paraId="2E8132DE" w14:textId="77777777" w:rsidR="002C339A" w:rsidRPr="00B13B9A" w:rsidRDefault="002C339A" w:rsidP="005B5F6E">
            <w:pPr>
              <w:spacing w:after="0" w:line="240" w:lineRule="auto"/>
              <w:jc w:val="center"/>
              <w:rPr>
                <w:rFonts w:asciiTheme="majorHAnsi" w:eastAsia="Times New Roman" w:hAnsiTheme="majorHAnsi" w:cstheme="majorHAnsi"/>
                <w:b/>
                <w:sz w:val="18"/>
                <w:szCs w:val="18"/>
                <w:lang w:val="ro-MD"/>
              </w:rPr>
            </w:pPr>
            <w:r w:rsidRPr="00B13B9A">
              <w:rPr>
                <w:rFonts w:asciiTheme="majorHAnsi" w:eastAsia="Times New Roman" w:hAnsiTheme="majorHAnsi" w:cstheme="majorHAnsi"/>
                <w:b/>
                <w:sz w:val="18"/>
                <w:szCs w:val="18"/>
                <w:lang w:val="ro-MD"/>
              </w:rPr>
              <w:t>Denumire</w:t>
            </w:r>
          </w:p>
        </w:tc>
        <w:tc>
          <w:tcPr>
            <w:tcW w:w="1144" w:type="dxa"/>
            <w:shd w:val="clear" w:color="auto" w:fill="auto"/>
            <w:noWrap/>
            <w:vAlign w:val="bottom"/>
            <w:hideMark/>
          </w:tcPr>
          <w:p w14:paraId="2D894DBC" w14:textId="77777777" w:rsidR="002C339A" w:rsidRPr="00B13B9A" w:rsidRDefault="002C339A" w:rsidP="005B5F6E">
            <w:pPr>
              <w:spacing w:after="0" w:line="240" w:lineRule="auto"/>
              <w:jc w:val="center"/>
              <w:rPr>
                <w:rFonts w:asciiTheme="majorHAnsi" w:eastAsia="Times New Roman" w:hAnsiTheme="majorHAnsi" w:cstheme="majorHAnsi"/>
                <w:b/>
                <w:sz w:val="18"/>
                <w:szCs w:val="18"/>
                <w:lang w:val="ro-MD"/>
              </w:rPr>
            </w:pPr>
            <w:r w:rsidRPr="00B13B9A">
              <w:rPr>
                <w:rFonts w:asciiTheme="majorHAnsi" w:eastAsia="Times New Roman" w:hAnsiTheme="majorHAnsi" w:cstheme="majorHAnsi"/>
                <w:b/>
                <w:sz w:val="18"/>
                <w:szCs w:val="18"/>
                <w:lang w:val="ro-MD"/>
              </w:rPr>
              <w:t>Debit</w:t>
            </w:r>
          </w:p>
        </w:tc>
        <w:tc>
          <w:tcPr>
            <w:tcW w:w="1035" w:type="dxa"/>
            <w:shd w:val="clear" w:color="auto" w:fill="auto"/>
            <w:noWrap/>
            <w:vAlign w:val="bottom"/>
            <w:hideMark/>
          </w:tcPr>
          <w:p w14:paraId="0777EC08" w14:textId="77777777" w:rsidR="002C339A" w:rsidRPr="00B13B9A" w:rsidRDefault="002C339A" w:rsidP="005B5F6E">
            <w:pPr>
              <w:spacing w:after="0" w:line="240" w:lineRule="auto"/>
              <w:jc w:val="center"/>
              <w:rPr>
                <w:rFonts w:asciiTheme="majorHAnsi" w:eastAsia="Times New Roman" w:hAnsiTheme="majorHAnsi" w:cstheme="majorHAnsi"/>
                <w:b/>
                <w:sz w:val="18"/>
                <w:szCs w:val="18"/>
                <w:lang w:val="ro-MD"/>
              </w:rPr>
            </w:pPr>
            <w:r w:rsidRPr="00B13B9A">
              <w:rPr>
                <w:rFonts w:asciiTheme="majorHAnsi" w:eastAsia="Times New Roman" w:hAnsiTheme="majorHAnsi" w:cstheme="majorHAnsi"/>
                <w:b/>
                <w:sz w:val="18"/>
                <w:szCs w:val="18"/>
                <w:lang w:val="ro-MD"/>
              </w:rPr>
              <w:t>Credit</w:t>
            </w:r>
          </w:p>
        </w:tc>
        <w:tc>
          <w:tcPr>
            <w:tcW w:w="1091" w:type="dxa"/>
            <w:gridSpan w:val="2"/>
            <w:shd w:val="clear" w:color="auto" w:fill="auto"/>
            <w:noWrap/>
            <w:vAlign w:val="bottom"/>
            <w:hideMark/>
          </w:tcPr>
          <w:p w14:paraId="1EA6B45E" w14:textId="77777777" w:rsidR="002C339A" w:rsidRPr="00B13B9A" w:rsidRDefault="002C339A" w:rsidP="005B5F6E">
            <w:pPr>
              <w:spacing w:after="0" w:line="240" w:lineRule="auto"/>
              <w:jc w:val="center"/>
              <w:rPr>
                <w:rFonts w:asciiTheme="majorHAnsi" w:eastAsia="Times New Roman" w:hAnsiTheme="majorHAnsi" w:cstheme="majorHAnsi"/>
                <w:b/>
                <w:sz w:val="18"/>
                <w:szCs w:val="18"/>
                <w:lang w:val="ro-MD"/>
              </w:rPr>
            </w:pPr>
            <w:r w:rsidRPr="00B13B9A">
              <w:rPr>
                <w:rFonts w:asciiTheme="majorHAnsi" w:eastAsia="Times New Roman" w:hAnsiTheme="majorHAnsi" w:cstheme="majorHAnsi"/>
                <w:b/>
                <w:sz w:val="18"/>
                <w:szCs w:val="18"/>
                <w:lang w:val="ro-MD"/>
              </w:rPr>
              <w:t>Debit</w:t>
            </w:r>
          </w:p>
        </w:tc>
        <w:tc>
          <w:tcPr>
            <w:tcW w:w="1134" w:type="dxa"/>
            <w:shd w:val="clear" w:color="auto" w:fill="auto"/>
            <w:noWrap/>
            <w:vAlign w:val="bottom"/>
            <w:hideMark/>
          </w:tcPr>
          <w:p w14:paraId="7C623C3B" w14:textId="77777777" w:rsidR="002C339A" w:rsidRPr="00B13B9A" w:rsidRDefault="002C339A" w:rsidP="005B5F6E">
            <w:pPr>
              <w:spacing w:after="0" w:line="240" w:lineRule="auto"/>
              <w:jc w:val="center"/>
              <w:rPr>
                <w:rFonts w:asciiTheme="majorHAnsi" w:eastAsia="Times New Roman" w:hAnsiTheme="majorHAnsi" w:cstheme="majorHAnsi"/>
                <w:b/>
                <w:sz w:val="18"/>
                <w:szCs w:val="18"/>
                <w:lang w:val="ro-MD"/>
              </w:rPr>
            </w:pPr>
            <w:r w:rsidRPr="00B13B9A">
              <w:rPr>
                <w:rFonts w:asciiTheme="majorHAnsi" w:eastAsia="Times New Roman" w:hAnsiTheme="majorHAnsi" w:cstheme="majorHAnsi"/>
                <w:b/>
                <w:sz w:val="18"/>
                <w:szCs w:val="18"/>
                <w:lang w:val="ro-MD"/>
              </w:rPr>
              <w:t>Credit</w:t>
            </w:r>
          </w:p>
        </w:tc>
        <w:tc>
          <w:tcPr>
            <w:tcW w:w="1134" w:type="dxa"/>
            <w:gridSpan w:val="2"/>
            <w:shd w:val="clear" w:color="auto" w:fill="auto"/>
            <w:noWrap/>
            <w:vAlign w:val="bottom"/>
            <w:hideMark/>
          </w:tcPr>
          <w:p w14:paraId="5FADAB94" w14:textId="77777777" w:rsidR="002C339A" w:rsidRPr="00B13B9A" w:rsidRDefault="002C339A" w:rsidP="005B5F6E">
            <w:pPr>
              <w:spacing w:after="0" w:line="240" w:lineRule="auto"/>
              <w:jc w:val="center"/>
              <w:rPr>
                <w:rFonts w:asciiTheme="majorHAnsi" w:eastAsia="Times New Roman" w:hAnsiTheme="majorHAnsi" w:cstheme="majorHAnsi"/>
                <w:b/>
                <w:sz w:val="18"/>
                <w:szCs w:val="18"/>
                <w:lang w:val="ro-MD"/>
              </w:rPr>
            </w:pPr>
            <w:r w:rsidRPr="00B13B9A">
              <w:rPr>
                <w:rFonts w:asciiTheme="majorHAnsi" w:eastAsia="Times New Roman" w:hAnsiTheme="majorHAnsi" w:cstheme="majorHAnsi"/>
                <w:b/>
                <w:sz w:val="18"/>
                <w:szCs w:val="18"/>
                <w:lang w:val="ro-MD"/>
              </w:rPr>
              <w:t>Debit</w:t>
            </w:r>
          </w:p>
        </w:tc>
        <w:tc>
          <w:tcPr>
            <w:tcW w:w="1134" w:type="dxa"/>
            <w:shd w:val="clear" w:color="auto" w:fill="auto"/>
            <w:noWrap/>
            <w:vAlign w:val="bottom"/>
            <w:hideMark/>
          </w:tcPr>
          <w:p w14:paraId="249C2841" w14:textId="77777777" w:rsidR="002C339A" w:rsidRPr="00B13B9A" w:rsidRDefault="002C339A" w:rsidP="005B5F6E">
            <w:pPr>
              <w:spacing w:after="0" w:line="240" w:lineRule="auto"/>
              <w:jc w:val="center"/>
              <w:rPr>
                <w:rFonts w:asciiTheme="majorHAnsi" w:eastAsia="Times New Roman" w:hAnsiTheme="majorHAnsi" w:cstheme="majorHAnsi"/>
                <w:b/>
                <w:sz w:val="18"/>
                <w:szCs w:val="18"/>
                <w:lang w:val="ro-MD"/>
              </w:rPr>
            </w:pPr>
            <w:r w:rsidRPr="00B13B9A">
              <w:rPr>
                <w:rFonts w:asciiTheme="majorHAnsi" w:eastAsia="Times New Roman" w:hAnsiTheme="majorHAnsi" w:cstheme="majorHAnsi"/>
                <w:b/>
                <w:sz w:val="18"/>
                <w:szCs w:val="18"/>
                <w:lang w:val="ro-MD"/>
              </w:rPr>
              <w:t>Credit</w:t>
            </w:r>
          </w:p>
        </w:tc>
      </w:tr>
      <w:tr w:rsidR="002C339A" w:rsidRPr="00B13B9A" w14:paraId="30C5E78C" w14:textId="77777777" w:rsidTr="005B5F6E">
        <w:trPr>
          <w:gridAfter w:val="1"/>
          <w:wAfter w:w="6" w:type="dxa"/>
          <w:trHeight w:val="20"/>
        </w:trPr>
        <w:tc>
          <w:tcPr>
            <w:tcW w:w="567" w:type="dxa"/>
            <w:shd w:val="clear" w:color="auto" w:fill="auto"/>
            <w:hideMark/>
          </w:tcPr>
          <w:p w14:paraId="2BA1652B" w14:textId="77777777"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112</w:t>
            </w:r>
          </w:p>
        </w:tc>
        <w:tc>
          <w:tcPr>
            <w:tcW w:w="2982" w:type="dxa"/>
            <w:shd w:val="clear" w:color="auto" w:fill="auto"/>
            <w:hideMark/>
          </w:tcPr>
          <w:p w14:paraId="69B2F916" w14:textId="77777777"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Imobilizări necorporale în exploatare</w:t>
            </w:r>
          </w:p>
        </w:tc>
        <w:tc>
          <w:tcPr>
            <w:tcW w:w="1144" w:type="dxa"/>
            <w:shd w:val="clear" w:color="auto" w:fill="auto"/>
            <w:hideMark/>
          </w:tcPr>
          <w:p w14:paraId="120AB25D"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1.681,26</w:t>
            </w:r>
          </w:p>
        </w:tc>
        <w:tc>
          <w:tcPr>
            <w:tcW w:w="1035" w:type="dxa"/>
            <w:shd w:val="clear" w:color="auto" w:fill="auto"/>
            <w:hideMark/>
          </w:tcPr>
          <w:p w14:paraId="3F694671"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091" w:type="dxa"/>
            <w:gridSpan w:val="2"/>
            <w:shd w:val="clear" w:color="auto" w:fill="auto"/>
            <w:hideMark/>
          </w:tcPr>
          <w:p w14:paraId="44C040C8"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134" w:type="dxa"/>
            <w:shd w:val="clear" w:color="auto" w:fill="auto"/>
            <w:hideMark/>
          </w:tcPr>
          <w:p w14:paraId="1E82096E"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134" w:type="dxa"/>
            <w:gridSpan w:val="2"/>
            <w:shd w:val="clear" w:color="auto" w:fill="auto"/>
            <w:hideMark/>
          </w:tcPr>
          <w:p w14:paraId="7DB09374"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1.681,26</w:t>
            </w:r>
          </w:p>
        </w:tc>
        <w:tc>
          <w:tcPr>
            <w:tcW w:w="1134" w:type="dxa"/>
            <w:shd w:val="clear" w:color="auto" w:fill="auto"/>
            <w:hideMark/>
          </w:tcPr>
          <w:p w14:paraId="7A15C8D1"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r>
      <w:tr w:rsidR="002C339A" w:rsidRPr="00B13B9A" w14:paraId="17E6DEB0" w14:textId="77777777" w:rsidTr="005B5F6E">
        <w:trPr>
          <w:gridAfter w:val="1"/>
          <w:wAfter w:w="6" w:type="dxa"/>
          <w:trHeight w:val="20"/>
        </w:trPr>
        <w:tc>
          <w:tcPr>
            <w:tcW w:w="567" w:type="dxa"/>
            <w:shd w:val="clear" w:color="auto" w:fill="auto"/>
            <w:hideMark/>
          </w:tcPr>
          <w:p w14:paraId="3350B5CF" w14:textId="77777777"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113</w:t>
            </w:r>
          </w:p>
        </w:tc>
        <w:tc>
          <w:tcPr>
            <w:tcW w:w="2982" w:type="dxa"/>
            <w:shd w:val="clear" w:color="auto" w:fill="auto"/>
            <w:hideMark/>
          </w:tcPr>
          <w:p w14:paraId="3A5B98C5" w14:textId="77777777"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Amortizarea imobilizărilor necorporale</w:t>
            </w:r>
          </w:p>
        </w:tc>
        <w:tc>
          <w:tcPr>
            <w:tcW w:w="1144" w:type="dxa"/>
            <w:shd w:val="clear" w:color="auto" w:fill="auto"/>
            <w:hideMark/>
          </w:tcPr>
          <w:p w14:paraId="67009DD9"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035" w:type="dxa"/>
            <w:shd w:val="clear" w:color="auto" w:fill="auto"/>
            <w:hideMark/>
          </w:tcPr>
          <w:p w14:paraId="1DB47755"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1.102,84</w:t>
            </w:r>
          </w:p>
        </w:tc>
        <w:tc>
          <w:tcPr>
            <w:tcW w:w="1091" w:type="dxa"/>
            <w:gridSpan w:val="2"/>
            <w:shd w:val="clear" w:color="auto" w:fill="auto"/>
            <w:hideMark/>
          </w:tcPr>
          <w:p w14:paraId="2F52C821"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134" w:type="dxa"/>
            <w:shd w:val="clear" w:color="auto" w:fill="auto"/>
            <w:hideMark/>
          </w:tcPr>
          <w:p w14:paraId="15D46212"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139,53</w:t>
            </w:r>
          </w:p>
        </w:tc>
        <w:tc>
          <w:tcPr>
            <w:tcW w:w="1134" w:type="dxa"/>
            <w:gridSpan w:val="2"/>
            <w:shd w:val="clear" w:color="auto" w:fill="auto"/>
            <w:hideMark/>
          </w:tcPr>
          <w:p w14:paraId="0FC31C57"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134" w:type="dxa"/>
            <w:shd w:val="clear" w:color="auto" w:fill="auto"/>
            <w:hideMark/>
          </w:tcPr>
          <w:p w14:paraId="4B22FA3D"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1.242,37</w:t>
            </w:r>
          </w:p>
        </w:tc>
      </w:tr>
      <w:tr w:rsidR="002C339A" w:rsidRPr="00B13B9A" w14:paraId="499A71DC" w14:textId="77777777" w:rsidTr="005B5F6E">
        <w:trPr>
          <w:gridAfter w:val="1"/>
          <w:wAfter w:w="6" w:type="dxa"/>
          <w:trHeight w:val="20"/>
        </w:trPr>
        <w:tc>
          <w:tcPr>
            <w:tcW w:w="567" w:type="dxa"/>
            <w:shd w:val="clear" w:color="auto" w:fill="auto"/>
            <w:hideMark/>
          </w:tcPr>
          <w:p w14:paraId="0EF9C854" w14:textId="77777777"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121</w:t>
            </w:r>
          </w:p>
        </w:tc>
        <w:tc>
          <w:tcPr>
            <w:tcW w:w="2982" w:type="dxa"/>
            <w:shd w:val="clear" w:color="auto" w:fill="auto"/>
            <w:hideMark/>
          </w:tcPr>
          <w:p w14:paraId="1F86EF72" w14:textId="39105D90"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Imobilizări corporale în curs de execu</w:t>
            </w:r>
            <w:r w:rsidR="00B13B9A" w:rsidRPr="00B13B9A">
              <w:rPr>
                <w:rFonts w:asciiTheme="majorHAnsi" w:eastAsia="Times New Roman" w:hAnsiTheme="majorHAnsi" w:cstheme="majorHAnsi"/>
                <w:sz w:val="18"/>
                <w:szCs w:val="18"/>
                <w:lang w:val="ro-MD"/>
              </w:rPr>
              <w:t>ț</w:t>
            </w:r>
            <w:r w:rsidRPr="00B13B9A">
              <w:rPr>
                <w:rFonts w:asciiTheme="majorHAnsi" w:eastAsia="Times New Roman" w:hAnsiTheme="majorHAnsi" w:cstheme="majorHAnsi"/>
                <w:sz w:val="18"/>
                <w:szCs w:val="18"/>
                <w:lang w:val="ro-MD"/>
              </w:rPr>
              <w:t>ie</w:t>
            </w:r>
          </w:p>
        </w:tc>
        <w:tc>
          <w:tcPr>
            <w:tcW w:w="1144" w:type="dxa"/>
            <w:shd w:val="clear" w:color="auto" w:fill="auto"/>
            <w:hideMark/>
          </w:tcPr>
          <w:p w14:paraId="169CB358"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79.115,14</w:t>
            </w:r>
          </w:p>
        </w:tc>
        <w:tc>
          <w:tcPr>
            <w:tcW w:w="1035" w:type="dxa"/>
            <w:shd w:val="clear" w:color="auto" w:fill="auto"/>
            <w:hideMark/>
          </w:tcPr>
          <w:p w14:paraId="14990306"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091" w:type="dxa"/>
            <w:gridSpan w:val="2"/>
            <w:shd w:val="clear" w:color="auto" w:fill="auto"/>
            <w:hideMark/>
          </w:tcPr>
          <w:p w14:paraId="4D15BEAB"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78.356,99</w:t>
            </w:r>
          </w:p>
        </w:tc>
        <w:tc>
          <w:tcPr>
            <w:tcW w:w="1134" w:type="dxa"/>
            <w:shd w:val="clear" w:color="auto" w:fill="auto"/>
            <w:hideMark/>
          </w:tcPr>
          <w:p w14:paraId="56407685"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77.039,82</w:t>
            </w:r>
          </w:p>
        </w:tc>
        <w:tc>
          <w:tcPr>
            <w:tcW w:w="1134" w:type="dxa"/>
            <w:gridSpan w:val="2"/>
            <w:shd w:val="clear" w:color="auto" w:fill="auto"/>
            <w:hideMark/>
          </w:tcPr>
          <w:p w14:paraId="020FA257"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80.432,32</w:t>
            </w:r>
          </w:p>
        </w:tc>
        <w:tc>
          <w:tcPr>
            <w:tcW w:w="1134" w:type="dxa"/>
            <w:shd w:val="clear" w:color="auto" w:fill="auto"/>
            <w:hideMark/>
          </w:tcPr>
          <w:p w14:paraId="2CD384CD"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r>
      <w:tr w:rsidR="002C339A" w:rsidRPr="00B13B9A" w14:paraId="29C406E4" w14:textId="77777777" w:rsidTr="005B5F6E">
        <w:trPr>
          <w:gridAfter w:val="1"/>
          <w:wAfter w:w="6" w:type="dxa"/>
          <w:trHeight w:val="20"/>
        </w:trPr>
        <w:tc>
          <w:tcPr>
            <w:tcW w:w="567" w:type="dxa"/>
            <w:shd w:val="clear" w:color="auto" w:fill="auto"/>
            <w:hideMark/>
          </w:tcPr>
          <w:p w14:paraId="450ED70B" w14:textId="77777777"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122</w:t>
            </w:r>
          </w:p>
        </w:tc>
        <w:tc>
          <w:tcPr>
            <w:tcW w:w="2982" w:type="dxa"/>
            <w:shd w:val="clear" w:color="auto" w:fill="auto"/>
            <w:hideMark/>
          </w:tcPr>
          <w:p w14:paraId="655C9DD5" w14:textId="77777777"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Terenuri</w:t>
            </w:r>
          </w:p>
        </w:tc>
        <w:tc>
          <w:tcPr>
            <w:tcW w:w="1144" w:type="dxa"/>
            <w:shd w:val="clear" w:color="auto" w:fill="auto"/>
            <w:hideMark/>
          </w:tcPr>
          <w:p w14:paraId="2D1FD03E"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8.088,87</w:t>
            </w:r>
          </w:p>
        </w:tc>
        <w:tc>
          <w:tcPr>
            <w:tcW w:w="1035" w:type="dxa"/>
            <w:shd w:val="clear" w:color="auto" w:fill="auto"/>
            <w:hideMark/>
          </w:tcPr>
          <w:p w14:paraId="3884A886"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091" w:type="dxa"/>
            <w:gridSpan w:val="2"/>
            <w:shd w:val="clear" w:color="auto" w:fill="auto"/>
            <w:hideMark/>
          </w:tcPr>
          <w:p w14:paraId="5441F9E4"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134" w:type="dxa"/>
            <w:shd w:val="clear" w:color="auto" w:fill="auto"/>
            <w:hideMark/>
          </w:tcPr>
          <w:p w14:paraId="021C782C"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134" w:type="dxa"/>
            <w:gridSpan w:val="2"/>
            <w:shd w:val="clear" w:color="auto" w:fill="auto"/>
            <w:hideMark/>
          </w:tcPr>
          <w:p w14:paraId="193AE962"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8.088,87</w:t>
            </w:r>
          </w:p>
        </w:tc>
        <w:tc>
          <w:tcPr>
            <w:tcW w:w="1134" w:type="dxa"/>
            <w:shd w:val="clear" w:color="auto" w:fill="auto"/>
            <w:hideMark/>
          </w:tcPr>
          <w:p w14:paraId="04180D54"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r>
      <w:tr w:rsidR="002C339A" w:rsidRPr="00B13B9A" w14:paraId="2AAA236C" w14:textId="77777777" w:rsidTr="005B5F6E">
        <w:trPr>
          <w:gridAfter w:val="1"/>
          <w:wAfter w:w="6" w:type="dxa"/>
          <w:trHeight w:val="20"/>
        </w:trPr>
        <w:tc>
          <w:tcPr>
            <w:tcW w:w="567" w:type="dxa"/>
            <w:shd w:val="clear" w:color="auto" w:fill="auto"/>
            <w:hideMark/>
          </w:tcPr>
          <w:p w14:paraId="60491538" w14:textId="77777777"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123</w:t>
            </w:r>
          </w:p>
        </w:tc>
        <w:tc>
          <w:tcPr>
            <w:tcW w:w="2982" w:type="dxa"/>
            <w:shd w:val="clear" w:color="auto" w:fill="auto"/>
            <w:hideMark/>
          </w:tcPr>
          <w:p w14:paraId="6EBFEE9E" w14:textId="77777777"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Mijloace fixe</w:t>
            </w:r>
          </w:p>
        </w:tc>
        <w:tc>
          <w:tcPr>
            <w:tcW w:w="1144" w:type="dxa"/>
            <w:shd w:val="clear" w:color="auto" w:fill="auto"/>
            <w:hideMark/>
          </w:tcPr>
          <w:p w14:paraId="5432051B"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291.197,27</w:t>
            </w:r>
          </w:p>
        </w:tc>
        <w:tc>
          <w:tcPr>
            <w:tcW w:w="1035" w:type="dxa"/>
            <w:shd w:val="clear" w:color="auto" w:fill="auto"/>
            <w:hideMark/>
          </w:tcPr>
          <w:p w14:paraId="1DFAB141"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091" w:type="dxa"/>
            <w:gridSpan w:val="2"/>
            <w:shd w:val="clear" w:color="auto" w:fill="auto"/>
            <w:hideMark/>
          </w:tcPr>
          <w:p w14:paraId="356ED94A"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4.970,49</w:t>
            </w:r>
          </w:p>
        </w:tc>
        <w:tc>
          <w:tcPr>
            <w:tcW w:w="1134" w:type="dxa"/>
            <w:shd w:val="clear" w:color="auto" w:fill="auto"/>
            <w:hideMark/>
          </w:tcPr>
          <w:p w14:paraId="7892BB14"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2.275,32</w:t>
            </w:r>
          </w:p>
        </w:tc>
        <w:tc>
          <w:tcPr>
            <w:tcW w:w="1134" w:type="dxa"/>
            <w:gridSpan w:val="2"/>
            <w:shd w:val="clear" w:color="auto" w:fill="auto"/>
            <w:hideMark/>
          </w:tcPr>
          <w:p w14:paraId="301FEE3F"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293.892,43</w:t>
            </w:r>
          </w:p>
        </w:tc>
        <w:tc>
          <w:tcPr>
            <w:tcW w:w="1134" w:type="dxa"/>
            <w:shd w:val="clear" w:color="auto" w:fill="auto"/>
            <w:hideMark/>
          </w:tcPr>
          <w:p w14:paraId="5403A3A7"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r>
      <w:tr w:rsidR="002C339A" w:rsidRPr="00B13B9A" w14:paraId="252141A7" w14:textId="77777777" w:rsidTr="005B5F6E">
        <w:trPr>
          <w:gridAfter w:val="1"/>
          <w:wAfter w:w="6" w:type="dxa"/>
          <w:trHeight w:val="20"/>
        </w:trPr>
        <w:tc>
          <w:tcPr>
            <w:tcW w:w="567" w:type="dxa"/>
            <w:shd w:val="clear" w:color="auto" w:fill="auto"/>
            <w:hideMark/>
          </w:tcPr>
          <w:p w14:paraId="5C1DB356" w14:textId="77777777"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124</w:t>
            </w:r>
          </w:p>
        </w:tc>
        <w:tc>
          <w:tcPr>
            <w:tcW w:w="2982" w:type="dxa"/>
            <w:shd w:val="clear" w:color="auto" w:fill="auto"/>
            <w:hideMark/>
          </w:tcPr>
          <w:p w14:paraId="7A75C08E" w14:textId="77777777"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Amortizarea mijloacelor fixe</w:t>
            </w:r>
          </w:p>
        </w:tc>
        <w:tc>
          <w:tcPr>
            <w:tcW w:w="1144" w:type="dxa"/>
            <w:shd w:val="clear" w:color="auto" w:fill="auto"/>
            <w:hideMark/>
          </w:tcPr>
          <w:p w14:paraId="12691162"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035" w:type="dxa"/>
            <w:shd w:val="clear" w:color="auto" w:fill="auto"/>
            <w:hideMark/>
          </w:tcPr>
          <w:p w14:paraId="63CC9193"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162.849,26</w:t>
            </w:r>
          </w:p>
        </w:tc>
        <w:tc>
          <w:tcPr>
            <w:tcW w:w="1091" w:type="dxa"/>
            <w:gridSpan w:val="2"/>
            <w:shd w:val="clear" w:color="auto" w:fill="auto"/>
            <w:hideMark/>
          </w:tcPr>
          <w:p w14:paraId="39F99E5A"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22,39</w:t>
            </w:r>
          </w:p>
        </w:tc>
        <w:tc>
          <w:tcPr>
            <w:tcW w:w="1134" w:type="dxa"/>
            <w:shd w:val="clear" w:color="auto" w:fill="auto"/>
            <w:hideMark/>
          </w:tcPr>
          <w:p w14:paraId="383CB664"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4.183,12</w:t>
            </w:r>
          </w:p>
        </w:tc>
        <w:tc>
          <w:tcPr>
            <w:tcW w:w="1134" w:type="dxa"/>
            <w:gridSpan w:val="2"/>
            <w:shd w:val="clear" w:color="auto" w:fill="auto"/>
            <w:hideMark/>
          </w:tcPr>
          <w:p w14:paraId="0C2DF00D"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134" w:type="dxa"/>
            <w:shd w:val="clear" w:color="auto" w:fill="auto"/>
            <w:hideMark/>
          </w:tcPr>
          <w:p w14:paraId="595ECE68"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167.009,99</w:t>
            </w:r>
          </w:p>
        </w:tc>
      </w:tr>
      <w:tr w:rsidR="002C339A" w:rsidRPr="00B13B9A" w14:paraId="4047661E" w14:textId="77777777" w:rsidTr="005B5F6E">
        <w:trPr>
          <w:gridAfter w:val="1"/>
          <w:wAfter w:w="6" w:type="dxa"/>
          <w:trHeight w:val="20"/>
        </w:trPr>
        <w:tc>
          <w:tcPr>
            <w:tcW w:w="567" w:type="dxa"/>
            <w:shd w:val="clear" w:color="auto" w:fill="auto"/>
            <w:hideMark/>
          </w:tcPr>
          <w:p w14:paraId="07E05D4B" w14:textId="77777777"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211</w:t>
            </w:r>
          </w:p>
        </w:tc>
        <w:tc>
          <w:tcPr>
            <w:tcW w:w="2982" w:type="dxa"/>
            <w:shd w:val="clear" w:color="auto" w:fill="auto"/>
            <w:hideMark/>
          </w:tcPr>
          <w:p w14:paraId="4567AD82" w14:textId="77777777"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Materiale</w:t>
            </w:r>
          </w:p>
        </w:tc>
        <w:tc>
          <w:tcPr>
            <w:tcW w:w="1144" w:type="dxa"/>
            <w:shd w:val="clear" w:color="auto" w:fill="auto"/>
            <w:hideMark/>
          </w:tcPr>
          <w:p w14:paraId="357834F6"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39.655,56</w:t>
            </w:r>
          </w:p>
        </w:tc>
        <w:tc>
          <w:tcPr>
            <w:tcW w:w="1035" w:type="dxa"/>
            <w:shd w:val="clear" w:color="auto" w:fill="auto"/>
            <w:hideMark/>
          </w:tcPr>
          <w:p w14:paraId="5F9487F3"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091" w:type="dxa"/>
            <w:gridSpan w:val="2"/>
            <w:shd w:val="clear" w:color="auto" w:fill="auto"/>
            <w:hideMark/>
          </w:tcPr>
          <w:p w14:paraId="60305329"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52.542,39</w:t>
            </w:r>
          </w:p>
        </w:tc>
        <w:tc>
          <w:tcPr>
            <w:tcW w:w="1134" w:type="dxa"/>
            <w:shd w:val="clear" w:color="auto" w:fill="auto"/>
            <w:hideMark/>
          </w:tcPr>
          <w:p w14:paraId="38F33C96"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55.713,40</w:t>
            </w:r>
          </w:p>
        </w:tc>
        <w:tc>
          <w:tcPr>
            <w:tcW w:w="1134" w:type="dxa"/>
            <w:gridSpan w:val="2"/>
            <w:shd w:val="clear" w:color="auto" w:fill="auto"/>
            <w:hideMark/>
          </w:tcPr>
          <w:p w14:paraId="66682786"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36.484,55</w:t>
            </w:r>
          </w:p>
        </w:tc>
        <w:tc>
          <w:tcPr>
            <w:tcW w:w="1134" w:type="dxa"/>
            <w:shd w:val="clear" w:color="auto" w:fill="auto"/>
            <w:hideMark/>
          </w:tcPr>
          <w:p w14:paraId="44C12223"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r>
      <w:tr w:rsidR="002C339A" w:rsidRPr="00B13B9A" w14:paraId="3118FD18" w14:textId="77777777" w:rsidTr="005B5F6E">
        <w:trPr>
          <w:gridAfter w:val="1"/>
          <w:wAfter w:w="6" w:type="dxa"/>
          <w:trHeight w:val="20"/>
        </w:trPr>
        <w:tc>
          <w:tcPr>
            <w:tcW w:w="567" w:type="dxa"/>
            <w:shd w:val="clear" w:color="auto" w:fill="auto"/>
            <w:hideMark/>
          </w:tcPr>
          <w:p w14:paraId="0E2558BB" w14:textId="77777777"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213</w:t>
            </w:r>
          </w:p>
        </w:tc>
        <w:tc>
          <w:tcPr>
            <w:tcW w:w="2982" w:type="dxa"/>
            <w:shd w:val="clear" w:color="auto" w:fill="auto"/>
            <w:hideMark/>
          </w:tcPr>
          <w:p w14:paraId="49C9AA84" w14:textId="4AA9230F"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xml:space="preserve">Obiecte de mică valoare </w:t>
            </w:r>
            <w:r w:rsidR="00B13B9A" w:rsidRPr="00B13B9A">
              <w:rPr>
                <w:rFonts w:asciiTheme="majorHAnsi" w:eastAsia="Times New Roman" w:hAnsiTheme="majorHAnsi" w:cstheme="majorHAnsi"/>
                <w:sz w:val="18"/>
                <w:szCs w:val="18"/>
                <w:lang w:val="ro-MD"/>
              </w:rPr>
              <w:t>ș</w:t>
            </w:r>
            <w:r w:rsidRPr="00B13B9A">
              <w:rPr>
                <w:rFonts w:asciiTheme="majorHAnsi" w:eastAsia="Times New Roman" w:hAnsiTheme="majorHAnsi" w:cstheme="majorHAnsi"/>
                <w:sz w:val="18"/>
                <w:szCs w:val="18"/>
                <w:lang w:val="ro-MD"/>
              </w:rPr>
              <w:t>i scurtă durată</w:t>
            </w:r>
          </w:p>
        </w:tc>
        <w:tc>
          <w:tcPr>
            <w:tcW w:w="1144" w:type="dxa"/>
            <w:shd w:val="clear" w:color="auto" w:fill="auto"/>
            <w:hideMark/>
          </w:tcPr>
          <w:p w14:paraId="589F66B7"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17.990,88</w:t>
            </w:r>
          </w:p>
        </w:tc>
        <w:tc>
          <w:tcPr>
            <w:tcW w:w="1035" w:type="dxa"/>
            <w:shd w:val="clear" w:color="auto" w:fill="auto"/>
            <w:hideMark/>
          </w:tcPr>
          <w:p w14:paraId="76344F5F"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091" w:type="dxa"/>
            <w:gridSpan w:val="2"/>
            <w:shd w:val="clear" w:color="auto" w:fill="auto"/>
            <w:hideMark/>
          </w:tcPr>
          <w:p w14:paraId="4FD5E7FF"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887,81</w:t>
            </w:r>
          </w:p>
        </w:tc>
        <w:tc>
          <w:tcPr>
            <w:tcW w:w="1134" w:type="dxa"/>
            <w:shd w:val="clear" w:color="auto" w:fill="auto"/>
            <w:hideMark/>
          </w:tcPr>
          <w:p w14:paraId="5C31FE79"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730,05</w:t>
            </w:r>
          </w:p>
        </w:tc>
        <w:tc>
          <w:tcPr>
            <w:tcW w:w="1134" w:type="dxa"/>
            <w:gridSpan w:val="2"/>
            <w:shd w:val="clear" w:color="auto" w:fill="auto"/>
            <w:hideMark/>
          </w:tcPr>
          <w:p w14:paraId="04FC43D3"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18.148,64</w:t>
            </w:r>
          </w:p>
        </w:tc>
        <w:tc>
          <w:tcPr>
            <w:tcW w:w="1134" w:type="dxa"/>
            <w:shd w:val="clear" w:color="auto" w:fill="auto"/>
            <w:hideMark/>
          </w:tcPr>
          <w:p w14:paraId="5CC29D4A"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r>
      <w:tr w:rsidR="002C339A" w:rsidRPr="00B13B9A" w14:paraId="7FEC0D66" w14:textId="77777777" w:rsidTr="005B5F6E">
        <w:trPr>
          <w:gridAfter w:val="1"/>
          <w:wAfter w:w="6" w:type="dxa"/>
          <w:trHeight w:val="20"/>
        </w:trPr>
        <w:tc>
          <w:tcPr>
            <w:tcW w:w="567" w:type="dxa"/>
            <w:shd w:val="clear" w:color="auto" w:fill="auto"/>
            <w:hideMark/>
          </w:tcPr>
          <w:p w14:paraId="26B25A10" w14:textId="77777777"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214</w:t>
            </w:r>
          </w:p>
        </w:tc>
        <w:tc>
          <w:tcPr>
            <w:tcW w:w="2982" w:type="dxa"/>
            <w:shd w:val="clear" w:color="auto" w:fill="auto"/>
            <w:hideMark/>
          </w:tcPr>
          <w:p w14:paraId="2335D136" w14:textId="4968E77C"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xml:space="preserve">Uzura obiectelor de mică valoare </w:t>
            </w:r>
            <w:r w:rsidR="00B13B9A" w:rsidRPr="00B13B9A">
              <w:rPr>
                <w:rFonts w:asciiTheme="majorHAnsi" w:eastAsia="Times New Roman" w:hAnsiTheme="majorHAnsi" w:cstheme="majorHAnsi"/>
                <w:sz w:val="18"/>
                <w:szCs w:val="18"/>
                <w:lang w:val="ro-MD"/>
              </w:rPr>
              <w:t>ș</w:t>
            </w:r>
            <w:r w:rsidRPr="00B13B9A">
              <w:rPr>
                <w:rFonts w:asciiTheme="majorHAnsi" w:eastAsia="Times New Roman" w:hAnsiTheme="majorHAnsi" w:cstheme="majorHAnsi"/>
                <w:sz w:val="18"/>
                <w:szCs w:val="18"/>
                <w:lang w:val="ro-MD"/>
              </w:rPr>
              <w:t>i scurtă durată</w:t>
            </w:r>
          </w:p>
        </w:tc>
        <w:tc>
          <w:tcPr>
            <w:tcW w:w="1144" w:type="dxa"/>
            <w:shd w:val="clear" w:color="auto" w:fill="auto"/>
            <w:hideMark/>
          </w:tcPr>
          <w:p w14:paraId="62A7BD56"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035" w:type="dxa"/>
            <w:shd w:val="clear" w:color="auto" w:fill="auto"/>
            <w:hideMark/>
          </w:tcPr>
          <w:p w14:paraId="58177956"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11.942,11</w:t>
            </w:r>
          </w:p>
        </w:tc>
        <w:tc>
          <w:tcPr>
            <w:tcW w:w="1091" w:type="dxa"/>
            <w:gridSpan w:val="2"/>
            <w:shd w:val="clear" w:color="auto" w:fill="auto"/>
            <w:hideMark/>
          </w:tcPr>
          <w:p w14:paraId="1796C411"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428,83</w:t>
            </w:r>
          </w:p>
        </w:tc>
        <w:tc>
          <w:tcPr>
            <w:tcW w:w="1134" w:type="dxa"/>
            <w:shd w:val="clear" w:color="auto" w:fill="auto"/>
            <w:hideMark/>
          </w:tcPr>
          <w:p w14:paraId="0DEC8244"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676,55</w:t>
            </w:r>
          </w:p>
        </w:tc>
        <w:tc>
          <w:tcPr>
            <w:tcW w:w="1134" w:type="dxa"/>
            <w:gridSpan w:val="2"/>
            <w:shd w:val="clear" w:color="auto" w:fill="auto"/>
            <w:hideMark/>
          </w:tcPr>
          <w:p w14:paraId="454E261F"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134" w:type="dxa"/>
            <w:shd w:val="clear" w:color="auto" w:fill="auto"/>
            <w:hideMark/>
          </w:tcPr>
          <w:p w14:paraId="62194EAC"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12.189,83</w:t>
            </w:r>
          </w:p>
        </w:tc>
      </w:tr>
      <w:tr w:rsidR="002C339A" w:rsidRPr="00B13B9A" w14:paraId="47F93F8D" w14:textId="77777777" w:rsidTr="005B5F6E">
        <w:trPr>
          <w:gridAfter w:val="1"/>
          <w:wAfter w:w="6" w:type="dxa"/>
          <w:trHeight w:val="20"/>
        </w:trPr>
        <w:tc>
          <w:tcPr>
            <w:tcW w:w="567" w:type="dxa"/>
            <w:shd w:val="clear" w:color="auto" w:fill="auto"/>
            <w:hideMark/>
          </w:tcPr>
          <w:p w14:paraId="1DCAF7FF" w14:textId="77777777"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221</w:t>
            </w:r>
          </w:p>
        </w:tc>
        <w:tc>
          <w:tcPr>
            <w:tcW w:w="2982" w:type="dxa"/>
            <w:shd w:val="clear" w:color="auto" w:fill="auto"/>
            <w:hideMark/>
          </w:tcPr>
          <w:p w14:paraId="0E98A185" w14:textId="57CF6BD3"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Crean</w:t>
            </w:r>
            <w:r w:rsidR="00B13B9A" w:rsidRPr="00B13B9A">
              <w:rPr>
                <w:rFonts w:asciiTheme="majorHAnsi" w:eastAsia="Times New Roman" w:hAnsiTheme="majorHAnsi" w:cstheme="majorHAnsi"/>
                <w:sz w:val="18"/>
                <w:szCs w:val="18"/>
                <w:lang w:val="ro-MD"/>
              </w:rPr>
              <w:t>ț</w:t>
            </w:r>
            <w:r w:rsidRPr="00B13B9A">
              <w:rPr>
                <w:rFonts w:asciiTheme="majorHAnsi" w:eastAsia="Times New Roman" w:hAnsiTheme="majorHAnsi" w:cstheme="majorHAnsi"/>
                <w:sz w:val="18"/>
                <w:szCs w:val="18"/>
                <w:lang w:val="ro-MD"/>
              </w:rPr>
              <w:t xml:space="preserve">e comerciale </w:t>
            </w:r>
          </w:p>
        </w:tc>
        <w:tc>
          <w:tcPr>
            <w:tcW w:w="1144" w:type="dxa"/>
            <w:shd w:val="clear" w:color="auto" w:fill="auto"/>
            <w:hideMark/>
          </w:tcPr>
          <w:p w14:paraId="1079216B"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2.984,66</w:t>
            </w:r>
          </w:p>
        </w:tc>
        <w:tc>
          <w:tcPr>
            <w:tcW w:w="1035" w:type="dxa"/>
            <w:shd w:val="clear" w:color="auto" w:fill="auto"/>
            <w:hideMark/>
          </w:tcPr>
          <w:p w14:paraId="1203BEE5"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091" w:type="dxa"/>
            <w:gridSpan w:val="2"/>
            <w:shd w:val="clear" w:color="auto" w:fill="auto"/>
            <w:hideMark/>
          </w:tcPr>
          <w:p w14:paraId="34BF136F"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69.692,00</w:t>
            </w:r>
          </w:p>
        </w:tc>
        <w:tc>
          <w:tcPr>
            <w:tcW w:w="1134" w:type="dxa"/>
            <w:shd w:val="clear" w:color="auto" w:fill="auto"/>
            <w:hideMark/>
          </w:tcPr>
          <w:p w14:paraId="215964AA"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65.276,40</w:t>
            </w:r>
          </w:p>
        </w:tc>
        <w:tc>
          <w:tcPr>
            <w:tcW w:w="1134" w:type="dxa"/>
            <w:gridSpan w:val="2"/>
            <w:shd w:val="clear" w:color="auto" w:fill="auto"/>
            <w:hideMark/>
          </w:tcPr>
          <w:p w14:paraId="7D779157"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7.400,26</w:t>
            </w:r>
          </w:p>
        </w:tc>
        <w:tc>
          <w:tcPr>
            <w:tcW w:w="1134" w:type="dxa"/>
            <w:shd w:val="clear" w:color="auto" w:fill="auto"/>
            <w:hideMark/>
          </w:tcPr>
          <w:p w14:paraId="6F0FB0A9"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r>
      <w:tr w:rsidR="002C339A" w:rsidRPr="00B13B9A" w14:paraId="0649F283" w14:textId="77777777" w:rsidTr="005B5F6E">
        <w:trPr>
          <w:gridAfter w:val="1"/>
          <w:wAfter w:w="6" w:type="dxa"/>
          <w:trHeight w:val="20"/>
        </w:trPr>
        <w:tc>
          <w:tcPr>
            <w:tcW w:w="567" w:type="dxa"/>
            <w:shd w:val="clear" w:color="auto" w:fill="auto"/>
            <w:hideMark/>
          </w:tcPr>
          <w:p w14:paraId="4007DD50" w14:textId="77777777"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223</w:t>
            </w:r>
          </w:p>
        </w:tc>
        <w:tc>
          <w:tcPr>
            <w:tcW w:w="2982" w:type="dxa"/>
            <w:shd w:val="clear" w:color="auto" w:fill="auto"/>
            <w:hideMark/>
          </w:tcPr>
          <w:p w14:paraId="08C21EC8" w14:textId="74398B3C"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Crean</w:t>
            </w:r>
            <w:r w:rsidR="00B13B9A" w:rsidRPr="00B13B9A">
              <w:rPr>
                <w:rFonts w:asciiTheme="majorHAnsi" w:eastAsia="Times New Roman" w:hAnsiTheme="majorHAnsi" w:cstheme="majorHAnsi"/>
                <w:sz w:val="18"/>
                <w:szCs w:val="18"/>
                <w:lang w:val="ro-MD"/>
              </w:rPr>
              <w:t>ț</w:t>
            </w:r>
            <w:r w:rsidRPr="00B13B9A">
              <w:rPr>
                <w:rFonts w:asciiTheme="majorHAnsi" w:eastAsia="Times New Roman" w:hAnsiTheme="majorHAnsi" w:cstheme="majorHAnsi"/>
                <w:sz w:val="18"/>
                <w:szCs w:val="18"/>
                <w:lang w:val="ro-MD"/>
              </w:rPr>
              <w:t>e ale păr</w:t>
            </w:r>
            <w:r w:rsidR="00B13B9A" w:rsidRPr="00B13B9A">
              <w:rPr>
                <w:rFonts w:asciiTheme="majorHAnsi" w:eastAsia="Times New Roman" w:hAnsiTheme="majorHAnsi" w:cstheme="majorHAnsi"/>
                <w:sz w:val="18"/>
                <w:szCs w:val="18"/>
                <w:lang w:val="ro-MD"/>
              </w:rPr>
              <w:t>ț</w:t>
            </w:r>
            <w:r w:rsidRPr="00B13B9A">
              <w:rPr>
                <w:rFonts w:asciiTheme="majorHAnsi" w:eastAsia="Times New Roman" w:hAnsiTheme="majorHAnsi" w:cstheme="majorHAnsi"/>
                <w:sz w:val="18"/>
                <w:szCs w:val="18"/>
                <w:lang w:val="ro-MD"/>
              </w:rPr>
              <w:t>ilor afiliate</w:t>
            </w:r>
          </w:p>
        </w:tc>
        <w:tc>
          <w:tcPr>
            <w:tcW w:w="1144" w:type="dxa"/>
            <w:shd w:val="clear" w:color="auto" w:fill="auto"/>
            <w:hideMark/>
          </w:tcPr>
          <w:p w14:paraId="1A239488"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035" w:type="dxa"/>
            <w:shd w:val="clear" w:color="auto" w:fill="auto"/>
            <w:hideMark/>
          </w:tcPr>
          <w:p w14:paraId="6205EFE2"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091" w:type="dxa"/>
            <w:gridSpan w:val="2"/>
            <w:shd w:val="clear" w:color="auto" w:fill="auto"/>
            <w:hideMark/>
          </w:tcPr>
          <w:p w14:paraId="18D0A013"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10.665,92</w:t>
            </w:r>
          </w:p>
        </w:tc>
        <w:tc>
          <w:tcPr>
            <w:tcW w:w="1134" w:type="dxa"/>
            <w:shd w:val="clear" w:color="auto" w:fill="auto"/>
            <w:hideMark/>
          </w:tcPr>
          <w:p w14:paraId="1699ACC1"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10.665,92</w:t>
            </w:r>
          </w:p>
        </w:tc>
        <w:tc>
          <w:tcPr>
            <w:tcW w:w="1134" w:type="dxa"/>
            <w:gridSpan w:val="2"/>
            <w:shd w:val="clear" w:color="auto" w:fill="auto"/>
            <w:hideMark/>
          </w:tcPr>
          <w:p w14:paraId="20853644"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134" w:type="dxa"/>
            <w:shd w:val="clear" w:color="auto" w:fill="auto"/>
            <w:hideMark/>
          </w:tcPr>
          <w:p w14:paraId="317F937D"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r>
      <w:tr w:rsidR="002C339A" w:rsidRPr="00B13B9A" w14:paraId="45CA615D" w14:textId="77777777" w:rsidTr="005B5F6E">
        <w:trPr>
          <w:gridAfter w:val="1"/>
          <w:wAfter w:w="6" w:type="dxa"/>
          <w:trHeight w:val="20"/>
        </w:trPr>
        <w:tc>
          <w:tcPr>
            <w:tcW w:w="567" w:type="dxa"/>
            <w:shd w:val="clear" w:color="auto" w:fill="auto"/>
            <w:hideMark/>
          </w:tcPr>
          <w:p w14:paraId="5DE945BC" w14:textId="77777777"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224</w:t>
            </w:r>
          </w:p>
        </w:tc>
        <w:tc>
          <w:tcPr>
            <w:tcW w:w="2982" w:type="dxa"/>
            <w:shd w:val="clear" w:color="auto" w:fill="auto"/>
            <w:hideMark/>
          </w:tcPr>
          <w:p w14:paraId="59251556" w14:textId="77777777"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Avansuri acordate curente</w:t>
            </w:r>
          </w:p>
        </w:tc>
        <w:tc>
          <w:tcPr>
            <w:tcW w:w="1144" w:type="dxa"/>
            <w:shd w:val="clear" w:color="auto" w:fill="auto"/>
            <w:hideMark/>
          </w:tcPr>
          <w:p w14:paraId="7EB06E7D"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035" w:type="dxa"/>
            <w:shd w:val="clear" w:color="auto" w:fill="auto"/>
            <w:hideMark/>
          </w:tcPr>
          <w:p w14:paraId="518BA0FA"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091" w:type="dxa"/>
            <w:gridSpan w:val="2"/>
            <w:shd w:val="clear" w:color="auto" w:fill="auto"/>
            <w:hideMark/>
          </w:tcPr>
          <w:p w14:paraId="74AB827D"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921,01</w:t>
            </w:r>
          </w:p>
        </w:tc>
        <w:tc>
          <w:tcPr>
            <w:tcW w:w="1134" w:type="dxa"/>
            <w:shd w:val="clear" w:color="auto" w:fill="auto"/>
            <w:hideMark/>
          </w:tcPr>
          <w:p w14:paraId="72B9F649"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921,01</w:t>
            </w:r>
          </w:p>
        </w:tc>
        <w:tc>
          <w:tcPr>
            <w:tcW w:w="1134" w:type="dxa"/>
            <w:gridSpan w:val="2"/>
            <w:shd w:val="clear" w:color="auto" w:fill="auto"/>
            <w:hideMark/>
          </w:tcPr>
          <w:p w14:paraId="632A388B"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134" w:type="dxa"/>
            <w:shd w:val="clear" w:color="auto" w:fill="auto"/>
            <w:hideMark/>
          </w:tcPr>
          <w:p w14:paraId="65C8073B"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r>
      <w:tr w:rsidR="002C339A" w:rsidRPr="00B13B9A" w14:paraId="52617742" w14:textId="77777777" w:rsidTr="005B5F6E">
        <w:trPr>
          <w:gridAfter w:val="1"/>
          <w:wAfter w:w="6" w:type="dxa"/>
          <w:trHeight w:val="20"/>
        </w:trPr>
        <w:tc>
          <w:tcPr>
            <w:tcW w:w="567" w:type="dxa"/>
            <w:shd w:val="clear" w:color="auto" w:fill="auto"/>
            <w:hideMark/>
          </w:tcPr>
          <w:p w14:paraId="0005FB17" w14:textId="77777777"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225</w:t>
            </w:r>
          </w:p>
        </w:tc>
        <w:tc>
          <w:tcPr>
            <w:tcW w:w="2982" w:type="dxa"/>
            <w:shd w:val="clear" w:color="auto" w:fill="auto"/>
            <w:hideMark/>
          </w:tcPr>
          <w:p w14:paraId="007E4DB8" w14:textId="25FBACA6"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Crean</w:t>
            </w:r>
            <w:r w:rsidR="00B13B9A" w:rsidRPr="00B13B9A">
              <w:rPr>
                <w:rFonts w:asciiTheme="majorHAnsi" w:eastAsia="Times New Roman" w:hAnsiTheme="majorHAnsi" w:cstheme="majorHAnsi"/>
                <w:sz w:val="18"/>
                <w:szCs w:val="18"/>
                <w:lang w:val="ro-MD"/>
              </w:rPr>
              <w:t>ț</w:t>
            </w:r>
            <w:r w:rsidRPr="00B13B9A">
              <w:rPr>
                <w:rFonts w:asciiTheme="majorHAnsi" w:eastAsia="Times New Roman" w:hAnsiTheme="majorHAnsi" w:cstheme="majorHAnsi"/>
                <w:sz w:val="18"/>
                <w:szCs w:val="18"/>
                <w:lang w:val="ro-MD"/>
              </w:rPr>
              <w:t>e ale bugetului</w:t>
            </w:r>
          </w:p>
        </w:tc>
        <w:tc>
          <w:tcPr>
            <w:tcW w:w="1144" w:type="dxa"/>
            <w:shd w:val="clear" w:color="auto" w:fill="auto"/>
            <w:hideMark/>
          </w:tcPr>
          <w:p w14:paraId="08782D58"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9,87</w:t>
            </w:r>
          </w:p>
        </w:tc>
        <w:tc>
          <w:tcPr>
            <w:tcW w:w="1035" w:type="dxa"/>
            <w:shd w:val="clear" w:color="auto" w:fill="auto"/>
            <w:hideMark/>
          </w:tcPr>
          <w:p w14:paraId="05702B28"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091" w:type="dxa"/>
            <w:gridSpan w:val="2"/>
            <w:shd w:val="clear" w:color="auto" w:fill="auto"/>
            <w:hideMark/>
          </w:tcPr>
          <w:p w14:paraId="3B34632D"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134" w:type="dxa"/>
            <w:shd w:val="clear" w:color="auto" w:fill="auto"/>
            <w:hideMark/>
          </w:tcPr>
          <w:p w14:paraId="63CD9C09"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9,87</w:t>
            </w:r>
          </w:p>
        </w:tc>
        <w:tc>
          <w:tcPr>
            <w:tcW w:w="1134" w:type="dxa"/>
            <w:gridSpan w:val="2"/>
            <w:shd w:val="clear" w:color="auto" w:fill="auto"/>
            <w:hideMark/>
          </w:tcPr>
          <w:p w14:paraId="61E7EFF7"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134" w:type="dxa"/>
            <w:shd w:val="clear" w:color="auto" w:fill="auto"/>
            <w:hideMark/>
          </w:tcPr>
          <w:p w14:paraId="19EDC9BF"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r>
      <w:tr w:rsidR="002C339A" w:rsidRPr="00B13B9A" w14:paraId="12824CD3" w14:textId="77777777" w:rsidTr="005B5F6E">
        <w:trPr>
          <w:gridAfter w:val="1"/>
          <w:wAfter w:w="6" w:type="dxa"/>
          <w:trHeight w:val="20"/>
        </w:trPr>
        <w:tc>
          <w:tcPr>
            <w:tcW w:w="567" w:type="dxa"/>
            <w:shd w:val="clear" w:color="auto" w:fill="auto"/>
            <w:hideMark/>
          </w:tcPr>
          <w:p w14:paraId="0028F4C6" w14:textId="77777777"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226</w:t>
            </w:r>
          </w:p>
        </w:tc>
        <w:tc>
          <w:tcPr>
            <w:tcW w:w="2982" w:type="dxa"/>
            <w:shd w:val="clear" w:color="auto" w:fill="auto"/>
            <w:hideMark/>
          </w:tcPr>
          <w:p w14:paraId="3E430295" w14:textId="0583206B"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Crean</w:t>
            </w:r>
            <w:r w:rsidR="00B13B9A" w:rsidRPr="00B13B9A">
              <w:rPr>
                <w:rFonts w:asciiTheme="majorHAnsi" w:eastAsia="Times New Roman" w:hAnsiTheme="majorHAnsi" w:cstheme="majorHAnsi"/>
                <w:sz w:val="18"/>
                <w:szCs w:val="18"/>
                <w:lang w:val="ro-MD"/>
              </w:rPr>
              <w:t>ț</w:t>
            </w:r>
            <w:r w:rsidRPr="00B13B9A">
              <w:rPr>
                <w:rFonts w:asciiTheme="majorHAnsi" w:eastAsia="Times New Roman" w:hAnsiTheme="majorHAnsi" w:cstheme="majorHAnsi"/>
                <w:sz w:val="18"/>
                <w:szCs w:val="18"/>
                <w:lang w:val="ro-MD"/>
              </w:rPr>
              <w:t>e ale personalului</w:t>
            </w:r>
          </w:p>
        </w:tc>
        <w:tc>
          <w:tcPr>
            <w:tcW w:w="1144" w:type="dxa"/>
            <w:shd w:val="clear" w:color="auto" w:fill="auto"/>
            <w:hideMark/>
          </w:tcPr>
          <w:p w14:paraId="2BC6DFE1"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035" w:type="dxa"/>
            <w:shd w:val="clear" w:color="auto" w:fill="auto"/>
            <w:hideMark/>
          </w:tcPr>
          <w:p w14:paraId="0787831F"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091" w:type="dxa"/>
            <w:gridSpan w:val="2"/>
            <w:shd w:val="clear" w:color="auto" w:fill="auto"/>
            <w:hideMark/>
          </w:tcPr>
          <w:p w14:paraId="74BE0191"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13,61</w:t>
            </w:r>
          </w:p>
        </w:tc>
        <w:tc>
          <w:tcPr>
            <w:tcW w:w="1134" w:type="dxa"/>
            <w:shd w:val="clear" w:color="auto" w:fill="auto"/>
            <w:hideMark/>
          </w:tcPr>
          <w:p w14:paraId="384F188E"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13,61</w:t>
            </w:r>
          </w:p>
        </w:tc>
        <w:tc>
          <w:tcPr>
            <w:tcW w:w="1134" w:type="dxa"/>
            <w:gridSpan w:val="2"/>
            <w:shd w:val="clear" w:color="auto" w:fill="auto"/>
            <w:hideMark/>
          </w:tcPr>
          <w:p w14:paraId="4D6DC33F"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134" w:type="dxa"/>
            <w:shd w:val="clear" w:color="auto" w:fill="auto"/>
            <w:hideMark/>
          </w:tcPr>
          <w:p w14:paraId="06E8228E"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r>
      <w:tr w:rsidR="002C339A" w:rsidRPr="00B13B9A" w14:paraId="3E819878" w14:textId="77777777" w:rsidTr="005B5F6E">
        <w:trPr>
          <w:gridAfter w:val="1"/>
          <w:wAfter w:w="6" w:type="dxa"/>
          <w:trHeight w:val="20"/>
        </w:trPr>
        <w:tc>
          <w:tcPr>
            <w:tcW w:w="567" w:type="dxa"/>
            <w:shd w:val="clear" w:color="auto" w:fill="auto"/>
            <w:hideMark/>
          </w:tcPr>
          <w:p w14:paraId="2BC9E6B6" w14:textId="77777777"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234</w:t>
            </w:r>
          </w:p>
        </w:tc>
        <w:tc>
          <w:tcPr>
            <w:tcW w:w="2982" w:type="dxa"/>
            <w:shd w:val="clear" w:color="auto" w:fill="auto"/>
            <w:hideMark/>
          </w:tcPr>
          <w:p w14:paraId="7BA4A676" w14:textId="3D485A03"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Alte crean</w:t>
            </w:r>
            <w:r w:rsidR="00B13B9A" w:rsidRPr="00B13B9A">
              <w:rPr>
                <w:rFonts w:asciiTheme="majorHAnsi" w:eastAsia="Times New Roman" w:hAnsiTheme="majorHAnsi" w:cstheme="majorHAnsi"/>
                <w:sz w:val="18"/>
                <w:szCs w:val="18"/>
                <w:lang w:val="ro-MD"/>
              </w:rPr>
              <w:t>ț</w:t>
            </w:r>
            <w:r w:rsidRPr="00B13B9A">
              <w:rPr>
                <w:rFonts w:asciiTheme="majorHAnsi" w:eastAsia="Times New Roman" w:hAnsiTheme="majorHAnsi" w:cstheme="majorHAnsi"/>
                <w:sz w:val="18"/>
                <w:szCs w:val="18"/>
                <w:lang w:val="ro-MD"/>
              </w:rPr>
              <w:t>e curente</w:t>
            </w:r>
          </w:p>
        </w:tc>
        <w:tc>
          <w:tcPr>
            <w:tcW w:w="1144" w:type="dxa"/>
            <w:shd w:val="clear" w:color="auto" w:fill="auto"/>
            <w:hideMark/>
          </w:tcPr>
          <w:p w14:paraId="7692EE9B"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148,02</w:t>
            </w:r>
          </w:p>
        </w:tc>
        <w:tc>
          <w:tcPr>
            <w:tcW w:w="1035" w:type="dxa"/>
            <w:shd w:val="clear" w:color="auto" w:fill="auto"/>
            <w:hideMark/>
          </w:tcPr>
          <w:p w14:paraId="7DD8A651"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091" w:type="dxa"/>
            <w:gridSpan w:val="2"/>
            <w:shd w:val="clear" w:color="auto" w:fill="auto"/>
            <w:hideMark/>
          </w:tcPr>
          <w:p w14:paraId="7B7174EC"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134" w:type="dxa"/>
            <w:shd w:val="clear" w:color="auto" w:fill="auto"/>
            <w:hideMark/>
          </w:tcPr>
          <w:p w14:paraId="4A9F798B"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134" w:type="dxa"/>
            <w:gridSpan w:val="2"/>
            <w:shd w:val="clear" w:color="auto" w:fill="auto"/>
            <w:hideMark/>
          </w:tcPr>
          <w:p w14:paraId="6306B46B"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148,02</w:t>
            </w:r>
          </w:p>
        </w:tc>
        <w:tc>
          <w:tcPr>
            <w:tcW w:w="1134" w:type="dxa"/>
            <w:shd w:val="clear" w:color="auto" w:fill="auto"/>
            <w:hideMark/>
          </w:tcPr>
          <w:p w14:paraId="13444E6E"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r>
      <w:tr w:rsidR="002C339A" w:rsidRPr="00B13B9A" w14:paraId="6E7BDD1D" w14:textId="77777777" w:rsidTr="005B5F6E">
        <w:trPr>
          <w:gridAfter w:val="1"/>
          <w:wAfter w:w="6" w:type="dxa"/>
          <w:trHeight w:val="20"/>
        </w:trPr>
        <w:tc>
          <w:tcPr>
            <w:tcW w:w="567" w:type="dxa"/>
            <w:shd w:val="clear" w:color="auto" w:fill="auto"/>
            <w:hideMark/>
          </w:tcPr>
          <w:p w14:paraId="0CC30A84" w14:textId="77777777"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241</w:t>
            </w:r>
          </w:p>
        </w:tc>
        <w:tc>
          <w:tcPr>
            <w:tcW w:w="2982" w:type="dxa"/>
            <w:shd w:val="clear" w:color="auto" w:fill="auto"/>
            <w:hideMark/>
          </w:tcPr>
          <w:p w14:paraId="3177120A" w14:textId="77777777"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Casa</w:t>
            </w:r>
          </w:p>
        </w:tc>
        <w:tc>
          <w:tcPr>
            <w:tcW w:w="1144" w:type="dxa"/>
            <w:shd w:val="clear" w:color="auto" w:fill="auto"/>
            <w:hideMark/>
          </w:tcPr>
          <w:p w14:paraId="3FFBEA4A"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1,26</w:t>
            </w:r>
          </w:p>
        </w:tc>
        <w:tc>
          <w:tcPr>
            <w:tcW w:w="1035" w:type="dxa"/>
            <w:shd w:val="clear" w:color="auto" w:fill="auto"/>
            <w:hideMark/>
          </w:tcPr>
          <w:p w14:paraId="3E57FEDC"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091" w:type="dxa"/>
            <w:gridSpan w:val="2"/>
            <w:shd w:val="clear" w:color="auto" w:fill="auto"/>
            <w:hideMark/>
          </w:tcPr>
          <w:p w14:paraId="50D91FED"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456,07</w:t>
            </w:r>
          </w:p>
        </w:tc>
        <w:tc>
          <w:tcPr>
            <w:tcW w:w="1134" w:type="dxa"/>
            <w:shd w:val="clear" w:color="auto" w:fill="auto"/>
            <w:hideMark/>
          </w:tcPr>
          <w:p w14:paraId="34AAB76B"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456,66</w:t>
            </w:r>
          </w:p>
        </w:tc>
        <w:tc>
          <w:tcPr>
            <w:tcW w:w="1134" w:type="dxa"/>
            <w:gridSpan w:val="2"/>
            <w:shd w:val="clear" w:color="auto" w:fill="auto"/>
            <w:hideMark/>
          </w:tcPr>
          <w:p w14:paraId="144B4211"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0,68</w:t>
            </w:r>
          </w:p>
        </w:tc>
        <w:tc>
          <w:tcPr>
            <w:tcW w:w="1134" w:type="dxa"/>
            <w:shd w:val="clear" w:color="auto" w:fill="auto"/>
            <w:hideMark/>
          </w:tcPr>
          <w:p w14:paraId="26323083"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r>
      <w:tr w:rsidR="002C339A" w:rsidRPr="00B13B9A" w14:paraId="6CB5B781" w14:textId="77777777" w:rsidTr="005B5F6E">
        <w:trPr>
          <w:gridAfter w:val="1"/>
          <w:wAfter w:w="6" w:type="dxa"/>
          <w:trHeight w:val="20"/>
        </w:trPr>
        <w:tc>
          <w:tcPr>
            <w:tcW w:w="567" w:type="dxa"/>
            <w:shd w:val="clear" w:color="auto" w:fill="auto"/>
            <w:hideMark/>
          </w:tcPr>
          <w:p w14:paraId="20DEA556" w14:textId="77777777"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242</w:t>
            </w:r>
          </w:p>
        </w:tc>
        <w:tc>
          <w:tcPr>
            <w:tcW w:w="2982" w:type="dxa"/>
            <w:shd w:val="clear" w:color="auto" w:fill="auto"/>
            <w:hideMark/>
          </w:tcPr>
          <w:p w14:paraId="18799B34" w14:textId="13158A19"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Conturi curente în monedă na</w:t>
            </w:r>
            <w:r w:rsidR="00B13B9A" w:rsidRPr="00B13B9A">
              <w:rPr>
                <w:rFonts w:asciiTheme="majorHAnsi" w:eastAsia="Times New Roman" w:hAnsiTheme="majorHAnsi" w:cstheme="majorHAnsi"/>
                <w:sz w:val="18"/>
                <w:szCs w:val="18"/>
                <w:lang w:val="ro-MD"/>
              </w:rPr>
              <w:t>ț</w:t>
            </w:r>
            <w:r w:rsidRPr="00B13B9A">
              <w:rPr>
                <w:rFonts w:asciiTheme="majorHAnsi" w:eastAsia="Times New Roman" w:hAnsiTheme="majorHAnsi" w:cstheme="majorHAnsi"/>
                <w:sz w:val="18"/>
                <w:szCs w:val="18"/>
                <w:lang w:val="ro-MD"/>
              </w:rPr>
              <w:t>ională</w:t>
            </w:r>
          </w:p>
        </w:tc>
        <w:tc>
          <w:tcPr>
            <w:tcW w:w="1144" w:type="dxa"/>
            <w:shd w:val="clear" w:color="auto" w:fill="auto"/>
            <w:hideMark/>
          </w:tcPr>
          <w:p w14:paraId="0C43CDE5"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4.322,55</w:t>
            </w:r>
          </w:p>
        </w:tc>
        <w:tc>
          <w:tcPr>
            <w:tcW w:w="1035" w:type="dxa"/>
            <w:shd w:val="clear" w:color="auto" w:fill="auto"/>
            <w:hideMark/>
          </w:tcPr>
          <w:p w14:paraId="203E7FEB"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091" w:type="dxa"/>
            <w:gridSpan w:val="2"/>
            <w:shd w:val="clear" w:color="auto" w:fill="auto"/>
            <w:hideMark/>
          </w:tcPr>
          <w:p w14:paraId="18BE16EA"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70.831,71</w:t>
            </w:r>
          </w:p>
        </w:tc>
        <w:tc>
          <w:tcPr>
            <w:tcW w:w="1134" w:type="dxa"/>
            <w:shd w:val="clear" w:color="auto" w:fill="auto"/>
            <w:hideMark/>
          </w:tcPr>
          <w:p w14:paraId="4F81DFDB"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70.246,91</w:t>
            </w:r>
          </w:p>
        </w:tc>
        <w:tc>
          <w:tcPr>
            <w:tcW w:w="1134" w:type="dxa"/>
            <w:gridSpan w:val="2"/>
            <w:shd w:val="clear" w:color="auto" w:fill="auto"/>
            <w:hideMark/>
          </w:tcPr>
          <w:p w14:paraId="4475AE06"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4.907,34</w:t>
            </w:r>
          </w:p>
        </w:tc>
        <w:tc>
          <w:tcPr>
            <w:tcW w:w="1134" w:type="dxa"/>
            <w:shd w:val="clear" w:color="auto" w:fill="auto"/>
            <w:hideMark/>
          </w:tcPr>
          <w:p w14:paraId="71A1F15F"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r>
      <w:tr w:rsidR="002C339A" w:rsidRPr="00B13B9A" w14:paraId="2730106E" w14:textId="77777777" w:rsidTr="005B5F6E">
        <w:trPr>
          <w:gridAfter w:val="1"/>
          <w:wAfter w:w="6" w:type="dxa"/>
          <w:trHeight w:val="20"/>
        </w:trPr>
        <w:tc>
          <w:tcPr>
            <w:tcW w:w="567" w:type="dxa"/>
            <w:shd w:val="clear" w:color="auto" w:fill="auto"/>
            <w:hideMark/>
          </w:tcPr>
          <w:p w14:paraId="124DC295" w14:textId="77777777"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243</w:t>
            </w:r>
          </w:p>
        </w:tc>
        <w:tc>
          <w:tcPr>
            <w:tcW w:w="2982" w:type="dxa"/>
            <w:shd w:val="clear" w:color="auto" w:fill="auto"/>
            <w:hideMark/>
          </w:tcPr>
          <w:p w14:paraId="4C2E8533" w14:textId="77777777"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Conturi curente în valută străină</w:t>
            </w:r>
          </w:p>
        </w:tc>
        <w:tc>
          <w:tcPr>
            <w:tcW w:w="1144" w:type="dxa"/>
            <w:shd w:val="clear" w:color="auto" w:fill="auto"/>
            <w:hideMark/>
          </w:tcPr>
          <w:p w14:paraId="2FB8E2C6"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3.770,67</w:t>
            </w:r>
          </w:p>
        </w:tc>
        <w:tc>
          <w:tcPr>
            <w:tcW w:w="1035" w:type="dxa"/>
            <w:shd w:val="clear" w:color="auto" w:fill="auto"/>
            <w:hideMark/>
          </w:tcPr>
          <w:p w14:paraId="62E09953"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091" w:type="dxa"/>
            <w:gridSpan w:val="2"/>
            <w:shd w:val="clear" w:color="auto" w:fill="auto"/>
            <w:hideMark/>
          </w:tcPr>
          <w:p w14:paraId="5D66E55C"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1.817,46</w:t>
            </w:r>
          </w:p>
        </w:tc>
        <w:tc>
          <w:tcPr>
            <w:tcW w:w="1134" w:type="dxa"/>
            <w:shd w:val="clear" w:color="auto" w:fill="auto"/>
            <w:hideMark/>
          </w:tcPr>
          <w:p w14:paraId="4F79DCF4"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1.774,63</w:t>
            </w:r>
          </w:p>
        </w:tc>
        <w:tc>
          <w:tcPr>
            <w:tcW w:w="1134" w:type="dxa"/>
            <w:gridSpan w:val="2"/>
            <w:shd w:val="clear" w:color="auto" w:fill="auto"/>
            <w:hideMark/>
          </w:tcPr>
          <w:p w14:paraId="111E5103"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3.813,50</w:t>
            </w:r>
          </w:p>
        </w:tc>
        <w:tc>
          <w:tcPr>
            <w:tcW w:w="1134" w:type="dxa"/>
            <w:shd w:val="clear" w:color="auto" w:fill="auto"/>
            <w:hideMark/>
          </w:tcPr>
          <w:p w14:paraId="5316A7CC"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r>
      <w:tr w:rsidR="002C339A" w:rsidRPr="00B13B9A" w14:paraId="3AC8172F" w14:textId="77777777" w:rsidTr="005B5F6E">
        <w:trPr>
          <w:gridAfter w:val="1"/>
          <w:wAfter w:w="6" w:type="dxa"/>
          <w:trHeight w:val="20"/>
        </w:trPr>
        <w:tc>
          <w:tcPr>
            <w:tcW w:w="567" w:type="dxa"/>
            <w:shd w:val="clear" w:color="auto" w:fill="auto"/>
            <w:hideMark/>
          </w:tcPr>
          <w:p w14:paraId="79F32533" w14:textId="77777777"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261</w:t>
            </w:r>
          </w:p>
        </w:tc>
        <w:tc>
          <w:tcPr>
            <w:tcW w:w="2982" w:type="dxa"/>
            <w:shd w:val="clear" w:color="auto" w:fill="auto"/>
            <w:hideMark/>
          </w:tcPr>
          <w:p w14:paraId="7FE6FC2D" w14:textId="77777777"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Cheltuieli anticipate curente</w:t>
            </w:r>
          </w:p>
        </w:tc>
        <w:tc>
          <w:tcPr>
            <w:tcW w:w="1144" w:type="dxa"/>
            <w:shd w:val="clear" w:color="auto" w:fill="auto"/>
            <w:hideMark/>
          </w:tcPr>
          <w:p w14:paraId="5B6544DB"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6,17</w:t>
            </w:r>
          </w:p>
        </w:tc>
        <w:tc>
          <w:tcPr>
            <w:tcW w:w="1035" w:type="dxa"/>
            <w:shd w:val="clear" w:color="auto" w:fill="auto"/>
            <w:hideMark/>
          </w:tcPr>
          <w:p w14:paraId="570F5ECC"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091" w:type="dxa"/>
            <w:gridSpan w:val="2"/>
            <w:shd w:val="clear" w:color="auto" w:fill="auto"/>
            <w:hideMark/>
          </w:tcPr>
          <w:p w14:paraId="03B49EC4"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134" w:type="dxa"/>
            <w:shd w:val="clear" w:color="auto" w:fill="auto"/>
            <w:hideMark/>
          </w:tcPr>
          <w:p w14:paraId="433B72D6"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134" w:type="dxa"/>
            <w:gridSpan w:val="2"/>
            <w:shd w:val="clear" w:color="auto" w:fill="auto"/>
            <w:hideMark/>
          </w:tcPr>
          <w:p w14:paraId="5AB146F8"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6,17</w:t>
            </w:r>
          </w:p>
        </w:tc>
        <w:tc>
          <w:tcPr>
            <w:tcW w:w="1134" w:type="dxa"/>
            <w:shd w:val="clear" w:color="auto" w:fill="auto"/>
            <w:hideMark/>
          </w:tcPr>
          <w:p w14:paraId="5DFC8005"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r>
      <w:tr w:rsidR="002C339A" w:rsidRPr="00B13B9A" w14:paraId="089DECD2" w14:textId="77777777" w:rsidTr="005B5F6E">
        <w:trPr>
          <w:gridAfter w:val="1"/>
          <w:wAfter w:w="6" w:type="dxa"/>
          <w:trHeight w:val="20"/>
        </w:trPr>
        <w:tc>
          <w:tcPr>
            <w:tcW w:w="567" w:type="dxa"/>
            <w:shd w:val="clear" w:color="auto" w:fill="auto"/>
            <w:hideMark/>
          </w:tcPr>
          <w:p w14:paraId="292E37F9" w14:textId="77777777"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262</w:t>
            </w:r>
          </w:p>
        </w:tc>
        <w:tc>
          <w:tcPr>
            <w:tcW w:w="2982" w:type="dxa"/>
            <w:shd w:val="clear" w:color="auto" w:fill="auto"/>
            <w:hideMark/>
          </w:tcPr>
          <w:p w14:paraId="6D261363" w14:textId="77777777"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Alte active circulante</w:t>
            </w:r>
          </w:p>
        </w:tc>
        <w:tc>
          <w:tcPr>
            <w:tcW w:w="1144" w:type="dxa"/>
            <w:shd w:val="clear" w:color="auto" w:fill="auto"/>
            <w:hideMark/>
          </w:tcPr>
          <w:p w14:paraId="68C2A530"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53,97</w:t>
            </w:r>
          </w:p>
        </w:tc>
        <w:tc>
          <w:tcPr>
            <w:tcW w:w="1035" w:type="dxa"/>
            <w:shd w:val="clear" w:color="auto" w:fill="auto"/>
            <w:hideMark/>
          </w:tcPr>
          <w:p w14:paraId="0E4815C1"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091" w:type="dxa"/>
            <w:gridSpan w:val="2"/>
            <w:shd w:val="clear" w:color="auto" w:fill="auto"/>
            <w:hideMark/>
          </w:tcPr>
          <w:p w14:paraId="7E77557E"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105,18</w:t>
            </w:r>
          </w:p>
        </w:tc>
        <w:tc>
          <w:tcPr>
            <w:tcW w:w="1134" w:type="dxa"/>
            <w:shd w:val="clear" w:color="auto" w:fill="auto"/>
            <w:hideMark/>
          </w:tcPr>
          <w:p w14:paraId="4317AE72"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112,13</w:t>
            </w:r>
          </w:p>
        </w:tc>
        <w:tc>
          <w:tcPr>
            <w:tcW w:w="1134" w:type="dxa"/>
            <w:gridSpan w:val="2"/>
            <w:shd w:val="clear" w:color="auto" w:fill="auto"/>
            <w:hideMark/>
          </w:tcPr>
          <w:p w14:paraId="7E8C2600"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47,01</w:t>
            </w:r>
          </w:p>
        </w:tc>
        <w:tc>
          <w:tcPr>
            <w:tcW w:w="1134" w:type="dxa"/>
            <w:shd w:val="clear" w:color="auto" w:fill="auto"/>
            <w:hideMark/>
          </w:tcPr>
          <w:p w14:paraId="619ABEFD"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r>
      <w:tr w:rsidR="002C339A" w:rsidRPr="00B13B9A" w14:paraId="4A4C0FCF" w14:textId="77777777" w:rsidTr="005B5F6E">
        <w:trPr>
          <w:gridAfter w:val="1"/>
          <w:wAfter w:w="6" w:type="dxa"/>
          <w:trHeight w:val="20"/>
        </w:trPr>
        <w:tc>
          <w:tcPr>
            <w:tcW w:w="567" w:type="dxa"/>
            <w:shd w:val="clear" w:color="auto" w:fill="auto"/>
            <w:hideMark/>
          </w:tcPr>
          <w:p w14:paraId="2D92DFE6" w14:textId="77777777"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311</w:t>
            </w:r>
          </w:p>
        </w:tc>
        <w:tc>
          <w:tcPr>
            <w:tcW w:w="2982" w:type="dxa"/>
            <w:shd w:val="clear" w:color="auto" w:fill="auto"/>
            <w:hideMark/>
          </w:tcPr>
          <w:p w14:paraId="76A44973" w14:textId="77777777"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Capital social</w:t>
            </w:r>
          </w:p>
        </w:tc>
        <w:tc>
          <w:tcPr>
            <w:tcW w:w="1144" w:type="dxa"/>
            <w:shd w:val="clear" w:color="auto" w:fill="auto"/>
            <w:hideMark/>
          </w:tcPr>
          <w:p w14:paraId="17A2CB3F"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035" w:type="dxa"/>
            <w:shd w:val="clear" w:color="auto" w:fill="auto"/>
            <w:hideMark/>
          </w:tcPr>
          <w:p w14:paraId="5B5BFD23"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73.814,49</w:t>
            </w:r>
          </w:p>
        </w:tc>
        <w:tc>
          <w:tcPr>
            <w:tcW w:w="1091" w:type="dxa"/>
            <w:gridSpan w:val="2"/>
            <w:shd w:val="clear" w:color="auto" w:fill="auto"/>
            <w:hideMark/>
          </w:tcPr>
          <w:p w14:paraId="730B0BF7"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134" w:type="dxa"/>
            <w:shd w:val="clear" w:color="auto" w:fill="auto"/>
            <w:hideMark/>
          </w:tcPr>
          <w:p w14:paraId="09D70449"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134" w:type="dxa"/>
            <w:gridSpan w:val="2"/>
            <w:shd w:val="clear" w:color="auto" w:fill="auto"/>
            <w:hideMark/>
          </w:tcPr>
          <w:p w14:paraId="18CC1A3F"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134" w:type="dxa"/>
            <w:shd w:val="clear" w:color="auto" w:fill="auto"/>
            <w:hideMark/>
          </w:tcPr>
          <w:p w14:paraId="69179F6D"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73.814,49</w:t>
            </w:r>
          </w:p>
        </w:tc>
      </w:tr>
      <w:tr w:rsidR="002C339A" w:rsidRPr="00B13B9A" w14:paraId="5A5B8F6D" w14:textId="77777777" w:rsidTr="005B5F6E">
        <w:trPr>
          <w:gridAfter w:val="1"/>
          <w:wAfter w:w="6" w:type="dxa"/>
          <w:trHeight w:val="20"/>
        </w:trPr>
        <w:tc>
          <w:tcPr>
            <w:tcW w:w="567" w:type="dxa"/>
            <w:shd w:val="clear" w:color="auto" w:fill="auto"/>
            <w:hideMark/>
          </w:tcPr>
          <w:p w14:paraId="630751A9" w14:textId="77777777"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342</w:t>
            </w:r>
          </w:p>
        </w:tc>
        <w:tc>
          <w:tcPr>
            <w:tcW w:w="2982" w:type="dxa"/>
            <w:shd w:val="clear" w:color="auto" w:fill="auto"/>
            <w:hideMark/>
          </w:tcPr>
          <w:p w14:paraId="2AD4BBF4" w14:textId="1D800FBB"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Subven</w:t>
            </w:r>
            <w:r w:rsidR="00B13B9A" w:rsidRPr="00B13B9A">
              <w:rPr>
                <w:rFonts w:asciiTheme="majorHAnsi" w:eastAsia="Times New Roman" w:hAnsiTheme="majorHAnsi" w:cstheme="majorHAnsi"/>
                <w:sz w:val="18"/>
                <w:szCs w:val="18"/>
                <w:lang w:val="ro-MD"/>
              </w:rPr>
              <w:t>ț</w:t>
            </w:r>
            <w:r w:rsidRPr="00B13B9A">
              <w:rPr>
                <w:rFonts w:asciiTheme="majorHAnsi" w:eastAsia="Times New Roman" w:hAnsiTheme="majorHAnsi" w:cstheme="majorHAnsi"/>
                <w:sz w:val="18"/>
                <w:szCs w:val="18"/>
                <w:lang w:val="ro-MD"/>
              </w:rPr>
              <w:t>ii aferente activelor</w:t>
            </w:r>
            <w:r w:rsidR="00E10604">
              <w:rPr>
                <w:rFonts w:asciiTheme="majorHAnsi" w:eastAsia="Times New Roman" w:hAnsiTheme="majorHAnsi" w:cstheme="majorHAnsi"/>
                <w:sz w:val="18"/>
                <w:szCs w:val="18"/>
                <w:lang w:val="ro-MD"/>
              </w:rPr>
              <w:t xml:space="preserve"> </w:t>
            </w:r>
            <w:r w:rsidRPr="00B13B9A">
              <w:rPr>
                <w:rFonts w:asciiTheme="majorHAnsi" w:eastAsia="Times New Roman" w:hAnsiTheme="majorHAnsi" w:cstheme="majorHAnsi"/>
                <w:sz w:val="18"/>
                <w:szCs w:val="18"/>
                <w:lang w:val="ro-MD"/>
              </w:rPr>
              <w:t>entită</w:t>
            </w:r>
            <w:r w:rsidR="00B13B9A" w:rsidRPr="00B13B9A">
              <w:rPr>
                <w:rFonts w:asciiTheme="majorHAnsi" w:eastAsia="Times New Roman" w:hAnsiTheme="majorHAnsi" w:cstheme="majorHAnsi"/>
                <w:sz w:val="18"/>
                <w:szCs w:val="18"/>
                <w:lang w:val="ro-MD"/>
              </w:rPr>
              <w:t>ț</w:t>
            </w:r>
            <w:r w:rsidRPr="00B13B9A">
              <w:rPr>
                <w:rFonts w:asciiTheme="majorHAnsi" w:eastAsia="Times New Roman" w:hAnsiTheme="majorHAnsi" w:cstheme="majorHAnsi"/>
                <w:sz w:val="18"/>
                <w:szCs w:val="18"/>
                <w:lang w:val="ro-MD"/>
              </w:rPr>
              <w:t>ilor cu proprietate publică</w:t>
            </w:r>
          </w:p>
        </w:tc>
        <w:tc>
          <w:tcPr>
            <w:tcW w:w="1144" w:type="dxa"/>
            <w:shd w:val="clear" w:color="auto" w:fill="auto"/>
            <w:hideMark/>
          </w:tcPr>
          <w:p w14:paraId="3E3B4746"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035" w:type="dxa"/>
            <w:shd w:val="clear" w:color="auto" w:fill="auto"/>
            <w:hideMark/>
          </w:tcPr>
          <w:p w14:paraId="032A14C9"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69.240,07</w:t>
            </w:r>
          </w:p>
        </w:tc>
        <w:tc>
          <w:tcPr>
            <w:tcW w:w="1091" w:type="dxa"/>
            <w:gridSpan w:val="2"/>
            <w:shd w:val="clear" w:color="auto" w:fill="auto"/>
            <w:hideMark/>
          </w:tcPr>
          <w:p w14:paraId="006C1A05"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2.556,43</w:t>
            </w:r>
          </w:p>
        </w:tc>
        <w:tc>
          <w:tcPr>
            <w:tcW w:w="1134" w:type="dxa"/>
            <w:shd w:val="clear" w:color="auto" w:fill="auto"/>
            <w:hideMark/>
          </w:tcPr>
          <w:p w14:paraId="4E2EF1BB"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1.607,94</w:t>
            </w:r>
          </w:p>
        </w:tc>
        <w:tc>
          <w:tcPr>
            <w:tcW w:w="1134" w:type="dxa"/>
            <w:gridSpan w:val="2"/>
            <w:shd w:val="clear" w:color="auto" w:fill="auto"/>
            <w:hideMark/>
          </w:tcPr>
          <w:p w14:paraId="79FC8172"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134" w:type="dxa"/>
            <w:shd w:val="clear" w:color="auto" w:fill="auto"/>
            <w:hideMark/>
          </w:tcPr>
          <w:p w14:paraId="66FEDC70"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68.291,58</w:t>
            </w:r>
          </w:p>
        </w:tc>
      </w:tr>
      <w:tr w:rsidR="002C339A" w:rsidRPr="00B13B9A" w14:paraId="6BCDAA5F" w14:textId="77777777" w:rsidTr="005B5F6E">
        <w:trPr>
          <w:gridAfter w:val="1"/>
          <w:wAfter w:w="6" w:type="dxa"/>
          <w:trHeight w:val="20"/>
        </w:trPr>
        <w:tc>
          <w:tcPr>
            <w:tcW w:w="567" w:type="dxa"/>
            <w:shd w:val="clear" w:color="auto" w:fill="auto"/>
            <w:hideMark/>
          </w:tcPr>
          <w:p w14:paraId="059A212B" w14:textId="77777777"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344</w:t>
            </w:r>
          </w:p>
        </w:tc>
        <w:tc>
          <w:tcPr>
            <w:tcW w:w="2982" w:type="dxa"/>
            <w:shd w:val="clear" w:color="auto" w:fill="auto"/>
            <w:hideMark/>
          </w:tcPr>
          <w:p w14:paraId="04F71690" w14:textId="77777777"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Alte elemente de capital propriu</w:t>
            </w:r>
          </w:p>
        </w:tc>
        <w:tc>
          <w:tcPr>
            <w:tcW w:w="1144" w:type="dxa"/>
            <w:shd w:val="clear" w:color="auto" w:fill="auto"/>
            <w:hideMark/>
          </w:tcPr>
          <w:p w14:paraId="16293EAC"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035" w:type="dxa"/>
            <w:shd w:val="clear" w:color="auto" w:fill="auto"/>
            <w:hideMark/>
          </w:tcPr>
          <w:p w14:paraId="47561457"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85.069,78</w:t>
            </w:r>
          </w:p>
        </w:tc>
        <w:tc>
          <w:tcPr>
            <w:tcW w:w="1091" w:type="dxa"/>
            <w:gridSpan w:val="2"/>
            <w:shd w:val="clear" w:color="auto" w:fill="auto"/>
            <w:hideMark/>
          </w:tcPr>
          <w:p w14:paraId="4C572EDD"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134" w:type="dxa"/>
            <w:shd w:val="clear" w:color="auto" w:fill="auto"/>
            <w:hideMark/>
          </w:tcPr>
          <w:p w14:paraId="47ADA548"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134" w:type="dxa"/>
            <w:gridSpan w:val="2"/>
            <w:shd w:val="clear" w:color="auto" w:fill="auto"/>
            <w:hideMark/>
          </w:tcPr>
          <w:p w14:paraId="6BAAA28E"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134" w:type="dxa"/>
            <w:shd w:val="clear" w:color="auto" w:fill="auto"/>
            <w:hideMark/>
          </w:tcPr>
          <w:p w14:paraId="0C2B14E7"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85.069,78</w:t>
            </w:r>
          </w:p>
        </w:tc>
      </w:tr>
      <w:tr w:rsidR="002C339A" w:rsidRPr="00B13B9A" w14:paraId="24D254F5" w14:textId="77777777" w:rsidTr="005B5F6E">
        <w:trPr>
          <w:gridAfter w:val="1"/>
          <w:wAfter w:w="6" w:type="dxa"/>
          <w:trHeight w:val="20"/>
        </w:trPr>
        <w:tc>
          <w:tcPr>
            <w:tcW w:w="567" w:type="dxa"/>
            <w:shd w:val="clear" w:color="auto" w:fill="auto"/>
            <w:hideMark/>
          </w:tcPr>
          <w:p w14:paraId="4C0DF127" w14:textId="77777777"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425</w:t>
            </w:r>
          </w:p>
        </w:tc>
        <w:tc>
          <w:tcPr>
            <w:tcW w:w="2982" w:type="dxa"/>
            <w:shd w:val="clear" w:color="auto" w:fill="auto"/>
            <w:hideMark/>
          </w:tcPr>
          <w:p w14:paraId="4DE93BB6" w14:textId="431DA030"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Finan</w:t>
            </w:r>
            <w:r w:rsidR="00B13B9A" w:rsidRPr="00B13B9A">
              <w:rPr>
                <w:rFonts w:asciiTheme="majorHAnsi" w:eastAsia="Times New Roman" w:hAnsiTheme="majorHAnsi" w:cstheme="majorHAnsi"/>
                <w:sz w:val="18"/>
                <w:szCs w:val="18"/>
                <w:lang w:val="ro-MD"/>
              </w:rPr>
              <w:t>ț</w:t>
            </w:r>
            <w:r w:rsidRPr="00B13B9A">
              <w:rPr>
                <w:rFonts w:asciiTheme="majorHAnsi" w:eastAsia="Times New Roman" w:hAnsiTheme="majorHAnsi" w:cstheme="majorHAnsi"/>
                <w:sz w:val="18"/>
                <w:szCs w:val="18"/>
                <w:lang w:val="ro-MD"/>
              </w:rPr>
              <w:t xml:space="preserve">ări </w:t>
            </w:r>
            <w:r w:rsidR="00B13B9A" w:rsidRPr="00B13B9A">
              <w:rPr>
                <w:rFonts w:asciiTheme="majorHAnsi" w:eastAsia="Times New Roman" w:hAnsiTheme="majorHAnsi" w:cstheme="majorHAnsi"/>
                <w:sz w:val="18"/>
                <w:szCs w:val="18"/>
                <w:lang w:val="ro-MD"/>
              </w:rPr>
              <w:t>ș</w:t>
            </w:r>
            <w:r w:rsidRPr="00B13B9A">
              <w:rPr>
                <w:rFonts w:asciiTheme="majorHAnsi" w:eastAsia="Times New Roman" w:hAnsiTheme="majorHAnsi" w:cstheme="majorHAnsi"/>
                <w:sz w:val="18"/>
                <w:szCs w:val="18"/>
                <w:lang w:val="ro-MD"/>
              </w:rPr>
              <w:t>i încasări cu destina</w:t>
            </w:r>
            <w:r w:rsidR="00B13B9A" w:rsidRPr="00B13B9A">
              <w:rPr>
                <w:rFonts w:asciiTheme="majorHAnsi" w:eastAsia="Times New Roman" w:hAnsiTheme="majorHAnsi" w:cstheme="majorHAnsi"/>
                <w:sz w:val="18"/>
                <w:szCs w:val="18"/>
                <w:lang w:val="ro-MD"/>
              </w:rPr>
              <w:t>ț</w:t>
            </w:r>
            <w:r w:rsidRPr="00B13B9A">
              <w:rPr>
                <w:rFonts w:asciiTheme="majorHAnsi" w:eastAsia="Times New Roman" w:hAnsiTheme="majorHAnsi" w:cstheme="majorHAnsi"/>
                <w:sz w:val="18"/>
                <w:szCs w:val="18"/>
                <w:lang w:val="ro-MD"/>
              </w:rPr>
              <w:t>ie specială pe termen lung</w:t>
            </w:r>
          </w:p>
        </w:tc>
        <w:tc>
          <w:tcPr>
            <w:tcW w:w="1144" w:type="dxa"/>
            <w:shd w:val="clear" w:color="auto" w:fill="auto"/>
            <w:hideMark/>
          </w:tcPr>
          <w:p w14:paraId="07A48718"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035" w:type="dxa"/>
            <w:shd w:val="clear" w:color="auto" w:fill="auto"/>
            <w:hideMark/>
          </w:tcPr>
          <w:p w14:paraId="4DDF4C41"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12.083,78</w:t>
            </w:r>
          </w:p>
        </w:tc>
        <w:tc>
          <w:tcPr>
            <w:tcW w:w="1091" w:type="dxa"/>
            <w:gridSpan w:val="2"/>
            <w:shd w:val="clear" w:color="auto" w:fill="auto"/>
            <w:hideMark/>
          </w:tcPr>
          <w:p w14:paraId="0A7D3DB9"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3.281,73</w:t>
            </w:r>
          </w:p>
        </w:tc>
        <w:tc>
          <w:tcPr>
            <w:tcW w:w="1134" w:type="dxa"/>
            <w:shd w:val="clear" w:color="auto" w:fill="auto"/>
            <w:hideMark/>
          </w:tcPr>
          <w:p w14:paraId="01B58919"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4.904,89</w:t>
            </w:r>
          </w:p>
        </w:tc>
        <w:tc>
          <w:tcPr>
            <w:tcW w:w="1134" w:type="dxa"/>
            <w:gridSpan w:val="2"/>
            <w:shd w:val="clear" w:color="auto" w:fill="auto"/>
            <w:hideMark/>
          </w:tcPr>
          <w:p w14:paraId="2C5941F9"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134" w:type="dxa"/>
            <w:shd w:val="clear" w:color="auto" w:fill="auto"/>
            <w:hideMark/>
          </w:tcPr>
          <w:p w14:paraId="7744C8A5"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13.706,94</w:t>
            </w:r>
          </w:p>
        </w:tc>
      </w:tr>
      <w:tr w:rsidR="002C339A" w:rsidRPr="00B13B9A" w14:paraId="14B58ADF" w14:textId="77777777" w:rsidTr="005B5F6E">
        <w:trPr>
          <w:gridAfter w:val="1"/>
          <w:wAfter w:w="6" w:type="dxa"/>
          <w:trHeight w:val="20"/>
        </w:trPr>
        <w:tc>
          <w:tcPr>
            <w:tcW w:w="567" w:type="dxa"/>
            <w:shd w:val="clear" w:color="auto" w:fill="auto"/>
            <w:hideMark/>
          </w:tcPr>
          <w:p w14:paraId="34120DF3" w14:textId="77777777"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521</w:t>
            </w:r>
          </w:p>
        </w:tc>
        <w:tc>
          <w:tcPr>
            <w:tcW w:w="2982" w:type="dxa"/>
            <w:shd w:val="clear" w:color="auto" w:fill="auto"/>
            <w:hideMark/>
          </w:tcPr>
          <w:p w14:paraId="33AE000A" w14:textId="77777777"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Datorii comerciale curente</w:t>
            </w:r>
          </w:p>
        </w:tc>
        <w:tc>
          <w:tcPr>
            <w:tcW w:w="1144" w:type="dxa"/>
            <w:shd w:val="clear" w:color="auto" w:fill="auto"/>
            <w:hideMark/>
          </w:tcPr>
          <w:p w14:paraId="35445487"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035" w:type="dxa"/>
            <w:shd w:val="clear" w:color="auto" w:fill="auto"/>
            <w:hideMark/>
          </w:tcPr>
          <w:p w14:paraId="196B912B"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1.503,75</w:t>
            </w:r>
          </w:p>
        </w:tc>
        <w:tc>
          <w:tcPr>
            <w:tcW w:w="1091" w:type="dxa"/>
            <w:gridSpan w:val="2"/>
            <w:shd w:val="clear" w:color="auto" w:fill="auto"/>
            <w:hideMark/>
          </w:tcPr>
          <w:p w14:paraId="4EACD518"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15.317,08</w:t>
            </w:r>
          </w:p>
        </w:tc>
        <w:tc>
          <w:tcPr>
            <w:tcW w:w="1134" w:type="dxa"/>
            <w:shd w:val="clear" w:color="auto" w:fill="auto"/>
            <w:hideMark/>
          </w:tcPr>
          <w:p w14:paraId="5777D594"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15.485,71</w:t>
            </w:r>
          </w:p>
        </w:tc>
        <w:tc>
          <w:tcPr>
            <w:tcW w:w="1134" w:type="dxa"/>
            <w:gridSpan w:val="2"/>
            <w:shd w:val="clear" w:color="auto" w:fill="auto"/>
            <w:hideMark/>
          </w:tcPr>
          <w:p w14:paraId="2B498321"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134" w:type="dxa"/>
            <w:shd w:val="clear" w:color="auto" w:fill="auto"/>
            <w:hideMark/>
          </w:tcPr>
          <w:p w14:paraId="3E386633"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1.672,38</w:t>
            </w:r>
          </w:p>
        </w:tc>
      </w:tr>
      <w:tr w:rsidR="002C339A" w:rsidRPr="00B13B9A" w14:paraId="68AA4016" w14:textId="77777777" w:rsidTr="005B5F6E">
        <w:trPr>
          <w:gridAfter w:val="1"/>
          <w:wAfter w:w="6" w:type="dxa"/>
          <w:trHeight w:val="20"/>
        </w:trPr>
        <w:tc>
          <w:tcPr>
            <w:tcW w:w="567" w:type="dxa"/>
            <w:shd w:val="clear" w:color="auto" w:fill="auto"/>
            <w:hideMark/>
          </w:tcPr>
          <w:p w14:paraId="139D4669" w14:textId="77777777"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523</w:t>
            </w:r>
          </w:p>
        </w:tc>
        <w:tc>
          <w:tcPr>
            <w:tcW w:w="2982" w:type="dxa"/>
            <w:shd w:val="clear" w:color="auto" w:fill="auto"/>
            <w:hideMark/>
          </w:tcPr>
          <w:p w14:paraId="13A2E2DE" w14:textId="77777777"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Avansuri primite curente</w:t>
            </w:r>
          </w:p>
        </w:tc>
        <w:tc>
          <w:tcPr>
            <w:tcW w:w="1144" w:type="dxa"/>
            <w:shd w:val="clear" w:color="auto" w:fill="auto"/>
            <w:hideMark/>
          </w:tcPr>
          <w:p w14:paraId="6AE62561"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035" w:type="dxa"/>
            <w:shd w:val="clear" w:color="auto" w:fill="auto"/>
            <w:hideMark/>
          </w:tcPr>
          <w:p w14:paraId="1A34E610"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1.160,55</w:t>
            </w:r>
          </w:p>
        </w:tc>
        <w:tc>
          <w:tcPr>
            <w:tcW w:w="1091" w:type="dxa"/>
            <w:gridSpan w:val="2"/>
            <w:shd w:val="clear" w:color="auto" w:fill="auto"/>
            <w:hideMark/>
          </w:tcPr>
          <w:p w14:paraId="7A6AB5F9"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65.200,22</w:t>
            </w:r>
          </w:p>
        </w:tc>
        <w:tc>
          <w:tcPr>
            <w:tcW w:w="1134" w:type="dxa"/>
            <w:shd w:val="clear" w:color="auto" w:fill="auto"/>
            <w:hideMark/>
          </w:tcPr>
          <w:p w14:paraId="6AD3FA34"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66.288,65</w:t>
            </w:r>
          </w:p>
        </w:tc>
        <w:tc>
          <w:tcPr>
            <w:tcW w:w="1134" w:type="dxa"/>
            <w:gridSpan w:val="2"/>
            <w:shd w:val="clear" w:color="auto" w:fill="auto"/>
            <w:hideMark/>
          </w:tcPr>
          <w:p w14:paraId="61329AB2"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134" w:type="dxa"/>
            <w:shd w:val="clear" w:color="auto" w:fill="auto"/>
            <w:hideMark/>
          </w:tcPr>
          <w:p w14:paraId="6D65779A"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2.248,99</w:t>
            </w:r>
          </w:p>
        </w:tc>
      </w:tr>
      <w:tr w:rsidR="002C339A" w:rsidRPr="00B13B9A" w14:paraId="613A7710" w14:textId="77777777" w:rsidTr="005B5F6E">
        <w:trPr>
          <w:gridAfter w:val="1"/>
          <w:wAfter w:w="6" w:type="dxa"/>
          <w:trHeight w:val="20"/>
        </w:trPr>
        <w:tc>
          <w:tcPr>
            <w:tcW w:w="567" w:type="dxa"/>
            <w:shd w:val="clear" w:color="auto" w:fill="auto"/>
            <w:hideMark/>
          </w:tcPr>
          <w:p w14:paraId="6669709E" w14:textId="77777777"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531</w:t>
            </w:r>
          </w:p>
        </w:tc>
        <w:tc>
          <w:tcPr>
            <w:tcW w:w="2982" w:type="dxa"/>
            <w:shd w:val="clear" w:color="auto" w:fill="auto"/>
            <w:hideMark/>
          </w:tcPr>
          <w:p w14:paraId="76125B6D" w14:textId="5CA35D15"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Datorii fa</w:t>
            </w:r>
            <w:r w:rsidR="00B13B9A" w:rsidRPr="00B13B9A">
              <w:rPr>
                <w:rFonts w:asciiTheme="majorHAnsi" w:eastAsia="Times New Roman" w:hAnsiTheme="majorHAnsi" w:cstheme="majorHAnsi"/>
                <w:sz w:val="18"/>
                <w:szCs w:val="18"/>
                <w:lang w:val="ro-MD"/>
              </w:rPr>
              <w:t>ț</w:t>
            </w:r>
            <w:r w:rsidRPr="00B13B9A">
              <w:rPr>
                <w:rFonts w:asciiTheme="majorHAnsi" w:eastAsia="Times New Roman" w:hAnsiTheme="majorHAnsi" w:cstheme="majorHAnsi"/>
                <w:sz w:val="18"/>
                <w:szCs w:val="18"/>
                <w:lang w:val="ro-MD"/>
              </w:rPr>
              <w:t>ă de personal privind retribuirea muncii</w:t>
            </w:r>
          </w:p>
        </w:tc>
        <w:tc>
          <w:tcPr>
            <w:tcW w:w="1144" w:type="dxa"/>
            <w:shd w:val="clear" w:color="auto" w:fill="auto"/>
            <w:hideMark/>
          </w:tcPr>
          <w:p w14:paraId="394A525E"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035" w:type="dxa"/>
            <w:shd w:val="clear" w:color="auto" w:fill="auto"/>
            <w:hideMark/>
          </w:tcPr>
          <w:p w14:paraId="7346BE08"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96,34</w:t>
            </w:r>
          </w:p>
        </w:tc>
        <w:tc>
          <w:tcPr>
            <w:tcW w:w="1091" w:type="dxa"/>
            <w:gridSpan w:val="2"/>
            <w:shd w:val="clear" w:color="auto" w:fill="auto"/>
            <w:hideMark/>
          </w:tcPr>
          <w:p w14:paraId="7BF52998"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42.385,64</w:t>
            </w:r>
          </w:p>
        </w:tc>
        <w:tc>
          <w:tcPr>
            <w:tcW w:w="1134" w:type="dxa"/>
            <w:shd w:val="clear" w:color="auto" w:fill="auto"/>
            <w:hideMark/>
          </w:tcPr>
          <w:p w14:paraId="0749B39E"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42.445,68</w:t>
            </w:r>
          </w:p>
        </w:tc>
        <w:tc>
          <w:tcPr>
            <w:tcW w:w="1134" w:type="dxa"/>
            <w:gridSpan w:val="2"/>
            <w:shd w:val="clear" w:color="auto" w:fill="auto"/>
            <w:hideMark/>
          </w:tcPr>
          <w:p w14:paraId="317C7091"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134" w:type="dxa"/>
            <w:shd w:val="clear" w:color="auto" w:fill="auto"/>
            <w:hideMark/>
          </w:tcPr>
          <w:p w14:paraId="0DF73F0C"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156,38</w:t>
            </w:r>
          </w:p>
        </w:tc>
      </w:tr>
      <w:tr w:rsidR="002C339A" w:rsidRPr="00B13B9A" w14:paraId="1FF406FD" w14:textId="77777777" w:rsidTr="005B5F6E">
        <w:trPr>
          <w:gridAfter w:val="1"/>
          <w:wAfter w:w="6" w:type="dxa"/>
          <w:trHeight w:val="20"/>
        </w:trPr>
        <w:tc>
          <w:tcPr>
            <w:tcW w:w="567" w:type="dxa"/>
            <w:shd w:val="clear" w:color="auto" w:fill="auto"/>
            <w:hideMark/>
          </w:tcPr>
          <w:p w14:paraId="1AF69A80" w14:textId="77777777"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532</w:t>
            </w:r>
          </w:p>
        </w:tc>
        <w:tc>
          <w:tcPr>
            <w:tcW w:w="2982" w:type="dxa"/>
            <w:shd w:val="clear" w:color="auto" w:fill="auto"/>
            <w:hideMark/>
          </w:tcPr>
          <w:p w14:paraId="0191D361" w14:textId="4743B820"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Datorii fa</w:t>
            </w:r>
            <w:r w:rsidR="00B13B9A" w:rsidRPr="00B13B9A">
              <w:rPr>
                <w:rFonts w:asciiTheme="majorHAnsi" w:eastAsia="Times New Roman" w:hAnsiTheme="majorHAnsi" w:cstheme="majorHAnsi"/>
                <w:sz w:val="18"/>
                <w:szCs w:val="18"/>
                <w:lang w:val="ro-MD"/>
              </w:rPr>
              <w:t>ț</w:t>
            </w:r>
            <w:r w:rsidRPr="00B13B9A">
              <w:rPr>
                <w:rFonts w:asciiTheme="majorHAnsi" w:eastAsia="Times New Roman" w:hAnsiTheme="majorHAnsi" w:cstheme="majorHAnsi"/>
                <w:sz w:val="18"/>
                <w:szCs w:val="18"/>
                <w:lang w:val="ro-MD"/>
              </w:rPr>
              <w:t>ă de personal privind alte opera</w:t>
            </w:r>
            <w:r w:rsidR="00B13B9A" w:rsidRPr="00B13B9A">
              <w:rPr>
                <w:rFonts w:asciiTheme="majorHAnsi" w:eastAsia="Times New Roman" w:hAnsiTheme="majorHAnsi" w:cstheme="majorHAnsi"/>
                <w:sz w:val="18"/>
                <w:szCs w:val="18"/>
                <w:lang w:val="ro-MD"/>
              </w:rPr>
              <w:t>ț</w:t>
            </w:r>
            <w:r w:rsidRPr="00B13B9A">
              <w:rPr>
                <w:rFonts w:asciiTheme="majorHAnsi" w:eastAsia="Times New Roman" w:hAnsiTheme="majorHAnsi" w:cstheme="majorHAnsi"/>
                <w:sz w:val="18"/>
                <w:szCs w:val="18"/>
                <w:lang w:val="ro-MD"/>
              </w:rPr>
              <w:t>ii</w:t>
            </w:r>
          </w:p>
        </w:tc>
        <w:tc>
          <w:tcPr>
            <w:tcW w:w="1144" w:type="dxa"/>
            <w:shd w:val="clear" w:color="auto" w:fill="auto"/>
            <w:hideMark/>
          </w:tcPr>
          <w:p w14:paraId="5266F087"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035" w:type="dxa"/>
            <w:shd w:val="clear" w:color="auto" w:fill="auto"/>
            <w:hideMark/>
          </w:tcPr>
          <w:p w14:paraId="52263F0A"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091" w:type="dxa"/>
            <w:gridSpan w:val="2"/>
            <w:shd w:val="clear" w:color="auto" w:fill="auto"/>
            <w:hideMark/>
          </w:tcPr>
          <w:p w14:paraId="204D3954"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93,91</w:t>
            </w:r>
          </w:p>
        </w:tc>
        <w:tc>
          <w:tcPr>
            <w:tcW w:w="1134" w:type="dxa"/>
            <w:shd w:val="clear" w:color="auto" w:fill="auto"/>
            <w:hideMark/>
          </w:tcPr>
          <w:p w14:paraId="4D9D050F"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93,91</w:t>
            </w:r>
          </w:p>
        </w:tc>
        <w:tc>
          <w:tcPr>
            <w:tcW w:w="1134" w:type="dxa"/>
            <w:gridSpan w:val="2"/>
            <w:shd w:val="clear" w:color="auto" w:fill="auto"/>
            <w:hideMark/>
          </w:tcPr>
          <w:p w14:paraId="1BD7FD79"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134" w:type="dxa"/>
            <w:shd w:val="clear" w:color="auto" w:fill="auto"/>
            <w:hideMark/>
          </w:tcPr>
          <w:p w14:paraId="4823C972"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r>
      <w:tr w:rsidR="002C339A" w:rsidRPr="00B13B9A" w14:paraId="49889F6C" w14:textId="77777777" w:rsidTr="005B5F6E">
        <w:trPr>
          <w:gridAfter w:val="1"/>
          <w:wAfter w:w="6" w:type="dxa"/>
          <w:trHeight w:val="20"/>
        </w:trPr>
        <w:tc>
          <w:tcPr>
            <w:tcW w:w="567" w:type="dxa"/>
            <w:shd w:val="clear" w:color="auto" w:fill="auto"/>
            <w:hideMark/>
          </w:tcPr>
          <w:p w14:paraId="6FBCD2F3" w14:textId="77777777"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533</w:t>
            </w:r>
          </w:p>
        </w:tc>
        <w:tc>
          <w:tcPr>
            <w:tcW w:w="2982" w:type="dxa"/>
            <w:shd w:val="clear" w:color="auto" w:fill="auto"/>
            <w:hideMark/>
          </w:tcPr>
          <w:p w14:paraId="39F5B993" w14:textId="35E3A12A"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xml:space="preserve">Datorii privind asigurările sociale </w:t>
            </w:r>
            <w:r w:rsidR="00B13B9A" w:rsidRPr="00B13B9A">
              <w:rPr>
                <w:rFonts w:asciiTheme="majorHAnsi" w:eastAsia="Times New Roman" w:hAnsiTheme="majorHAnsi" w:cstheme="majorHAnsi"/>
                <w:sz w:val="18"/>
                <w:szCs w:val="18"/>
                <w:lang w:val="ro-MD"/>
              </w:rPr>
              <w:t>ș</w:t>
            </w:r>
            <w:r w:rsidRPr="00B13B9A">
              <w:rPr>
                <w:rFonts w:asciiTheme="majorHAnsi" w:eastAsia="Times New Roman" w:hAnsiTheme="majorHAnsi" w:cstheme="majorHAnsi"/>
                <w:sz w:val="18"/>
                <w:szCs w:val="18"/>
                <w:lang w:val="ro-MD"/>
              </w:rPr>
              <w:t>i medicale</w:t>
            </w:r>
          </w:p>
        </w:tc>
        <w:tc>
          <w:tcPr>
            <w:tcW w:w="1144" w:type="dxa"/>
            <w:shd w:val="clear" w:color="auto" w:fill="auto"/>
            <w:hideMark/>
          </w:tcPr>
          <w:p w14:paraId="22DD1BA3"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035" w:type="dxa"/>
            <w:shd w:val="clear" w:color="auto" w:fill="auto"/>
            <w:hideMark/>
          </w:tcPr>
          <w:p w14:paraId="177A10E3"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33,07</w:t>
            </w:r>
          </w:p>
        </w:tc>
        <w:tc>
          <w:tcPr>
            <w:tcW w:w="1091" w:type="dxa"/>
            <w:gridSpan w:val="2"/>
            <w:shd w:val="clear" w:color="auto" w:fill="auto"/>
            <w:hideMark/>
          </w:tcPr>
          <w:p w14:paraId="40E691AE"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14.215,78</w:t>
            </w:r>
          </w:p>
        </w:tc>
        <w:tc>
          <w:tcPr>
            <w:tcW w:w="1134" w:type="dxa"/>
            <w:shd w:val="clear" w:color="auto" w:fill="auto"/>
            <w:hideMark/>
          </w:tcPr>
          <w:p w14:paraId="686FA968"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14.219,39</w:t>
            </w:r>
          </w:p>
        </w:tc>
        <w:tc>
          <w:tcPr>
            <w:tcW w:w="1134" w:type="dxa"/>
            <w:gridSpan w:val="2"/>
            <w:shd w:val="clear" w:color="auto" w:fill="auto"/>
            <w:hideMark/>
          </w:tcPr>
          <w:p w14:paraId="1EC2FBE3"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134" w:type="dxa"/>
            <w:shd w:val="clear" w:color="auto" w:fill="auto"/>
            <w:hideMark/>
          </w:tcPr>
          <w:p w14:paraId="3945E5AB"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36,68</w:t>
            </w:r>
          </w:p>
        </w:tc>
      </w:tr>
      <w:tr w:rsidR="002C339A" w:rsidRPr="00B13B9A" w14:paraId="04FC10C0" w14:textId="77777777" w:rsidTr="005B5F6E">
        <w:trPr>
          <w:gridAfter w:val="1"/>
          <w:wAfter w:w="6" w:type="dxa"/>
          <w:trHeight w:val="20"/>
        </w:trPr>
        <w:tc>
          <w:tcPr>
            <w:tcW w:w="567" w:type="dxa"/>
            <w:shd w:val="clear" w:color="auto" w:fill="auto"/>
            <w:hideMark/>
          </w:tcPr>
          <w:p w14:paraId="1958C4F5" w14:textId="77777777"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534</w:t>
            </w:r>
          </w:p>
        </w:tc>
        <w:tc>
          <w:tcPr>
            <w:tcW w:w="2982" w:type="dxa"/>
            <w:shd w:val="clear" w:color="auto" w:fill="auto"/>
            <w:hideMark/>
          </w:tcPr>
          <w:p w14:paraId="7D88B2DB" w14:textId="4C99E250"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Datorii fa</w:t>
            </w:r>
            <w:r w:rsidR="00B13B9A" w:rsidRPr="00B13B9A">
              <w:rPr>
                <w:rFonts w:asciiTheme="majorHAnsi" w:eastAsia="Times New Roman" w:hAnsiTheme="majorHAnsi" w:cstheme="majorHAnsi"/>
                <w:sz w:val="18"/>
                <w:szCs w:val="18"/>
                <w:lang w:val="ro-MD"/>
              </w:rPr>
              <w:t>ț</w:t>
            </w:r>
            <w:r w:rsidRPr="00B13B9A">
              <w:rPr>
                <w:rFonts w:asciiTheme="majorHAnsi" w:eastAsia="Times New Roman" w:hAnsiTheme="majorHAnsi" w:cstheme="majorHAnsi"/>
                <w:sz w:val="18"/>
                <w:szCs w:val="18"/>
                <w:lang w:val="ro-MD"/>
              </w:rPr>
              <w:t xml:space="preserve">ă de buget </w:t>
            </w:r>
          </w:p>
        </w:tc>
        <w:tc>
          <w:tcPr>
            <w:tcW w:w="1144" w:type="dxa"/>
            <w:shd w:val="clear" w:color="auto" w:fill="auto"/>
            <w:hideMark/>
          </w:tcPr>
          <w:p w14:paraId="0042832F"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035" w:type="dxa"/>
            <w:shd w:val="clear" w:color="auto" w:fill="auto"/>
            <w:hideMark/>
          </w:tcPr>
          <w:p w14:paraId="12AF4CDD"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091" w:type="dxa"/>
            <w:gridSpan w:val="2"/>
            <w:shd w:val="clear" w:color="auto" w:fill="auto"/>
            <w:hideMark/>
          </w:tcPr>
          <w:p w14:paraId="6A2462E5"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3.808,87</w:t>
            </w:r>
          </w:p>
        </w:tc>
        <w:tc>
          <w:tcPr>
            <w:tcW w:w="1134" w:type="dxa"/>
            <w:shd w:val="clear" w:color="auto" w:fill="auto"/>
            <w:hideMark/>
          </w:tcPr>
          <w:p w14:paraId="10F2E4A2"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3.808,88</w:t>
            </w:r>
          </w:p>
        </w:tc>
        <w:tc>
          <w:tcPr>
            <w:tcW w:w="1134" w:type="dxa"/>
            <w:gridSpan w:val="2"/>
            <w:shd w:val="clear" w:color="auto" w:fill="auto"/>
            <w:hideMark/>
          </w:tcPr>
          <w:p w14:paraId="5139E70E"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134" w:type="dxa"/>
            <w:shd w:val="clear" w:color="auto" w:fill="auto"/>
            <w:hideMark/>
          </w:tcPr>
          <w:p w14:paraId="3561D383"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0,01</w:t>
            </w:r>
          </w:p>
        </w:tc>
      </w:tr>
      <w:tr w:rsidR="002C339A" w:rsidRPr="00B13B9A" w14:paraId="0E45F431" w14:textId="77777777" w:rsidTr="005B5F6E">
        <w:trPr>
          <w:gridAfter w:val="1"/>
          <w:wAfter w:w="6" w:type="dxa"/>
          <w:trHeight w:val="20"/>
        </w:trPr>
        <w:tc>
          <w:tcPr>
            <w:tcW w:w="567" w:type="dxa"/>
            <w:shd w:val="clear" w:color="auto" w:fill="auto"/>
            <w:hideMark/>
          </w:tcPr>
          <w:p w14:paraId="551B4627" w14:textId="77777777"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535</w:t>
            </w:r>
          </w:p>
        </w:tc>
        <w:tc>
          <w:tcPr>
            <w:tcW w:w="2982" w:type="dxa"/>
            <w:shd w:val="clear" w:color="auto" w:fill="auto"/>
            <w:hideMark/>
          </w:tcPr>
          <w:p w14:paraId="125F2D0C" w14:textId="77777777"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Venituri anticipate curente</w:t>
            </w:r>
          </w:p>
        </w:tc>
        <w:tc>
          <w:tcPr>
            <w:tcW w:w="1144" w:type="dxa"/>
            <w:shd w:val="clear" w:color="auto" w:fill="auto"/>
            <w:hideMark/>
          </w:tcPr>
          <w:p w14:paraId="684FE7E5"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035" w:type="dxa"/>
            <w:shd w:val="clear" w:color="auto" w:fill="auto"/>
            <w:hideMark/>
          </w:tcPr>
          <w:p w14:paraId="5C80216B"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21.932,84</w:t>
            </w:r>
          </w:p>
        </w:tc>
        <w:tc>
          <w:tcPr>
            <w:tcW w:w="1091" w:type="dxa"/>
            <w:gridSpan w:val="2"/>
            <w:shd w:val="clear" w:color="auto" w:fill="auto"/>
            <w:hideMark/>
          </w:tcPr>
          <w:p w14:paraId="3A8EEEEC"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34.340,33</w:t>
            </w:r>
          </w:p>
        </w:tc>
        <w:tc>
          <w:tcPr>
            <w:tcW w:w="1134" w:type="dxa"/>
            <w:shd w:val="clear" w:color="auto" w:fill="auto"/>
            <w:hideMark/>
          </w:tcPr>
          <w:p w14:paraId="1870A08A"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33.816,17</w:t>
            </w:r>
          </w:p>
        </w:tc>
        <w:tc>
          <w:tcPr>
            <w:tcW w:w="1134" w:type="dxa"/>
            <w:gridSpan w:val="2"/>
            <w:shd w:val="clear" w:color="auto" w:fill="auto"/>
            <w:hideMark/>
          </w:tcPr>
          <w:p w14:paraId="33CB8894"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134" w:type="dxa"/>
            <w:shd w:val="clear" w:color="auto" w:fill="auto"/>
            <w:hideMark/>
          </w:tcPr>
          <w:p w14:paraId="22436352"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21.408,67</w:t>
            </w:r>
          </w:p>
        </w:tc>
      </w:tr>
      <w:tr w:rsidR="002C339A" w:rsidRPr="00B13B9A" w14:paraId="52F1E77F" w14:textId="77777777" w:rsidTr="005B5F6E">
        <w:trPr>
          <w:gridAfter w:val="1"/>
          <w:wAfter w:w="6" w:type="dxa"/>
          <w:trHeight w:val="20"/>
        </w:trPr>
        <w:tc>
          <w:tcPr>
            <w:tcW w:w="567" w:type="dxa"/>
            <w:shd w:val="clear" w:color="auto" w:fill="auto"/>
            <w:hideMark/>
          </w:tcPr>
          <w:p w14:paraId="2CB5C681" w14:textId="77777777"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537</w:t>
            </w:r>
          </w:p>
        </w:tc>
        <w:tc>
          <w:tcPr>
            <w:tcW w:w="2982" w:type="dxa"/>
            <w:shd w:val="clear" w:color="auto" w:fill="auto"/>
            <w:hideMark/>
          </w:tcPr>
          <w:p w14:paraId="548D205F" w14:textId="3F2ACC9C"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Finan</w:t>
            </w:r>
            <w:r w:rsidR="00B13B9A" w:rsidRPr="00B13B9A">
              <w:rPr>
                <w:rFonts w:asciiTheme="majorHAnsi" w:eastAsia="Times New Roman" w:hAnsiTheme="majorHAnsi" w:cstheme="majorHAnsi"/>
                <w:sz w:val="18"/>
                <w:szCs w:val="18"/>
                <w:lang w:val="ro-MD"/>
              </w:rPr>
              <w:t>ț</w:t>
            </w:r>
            <w:r w:rsidRPr="00B13B9A">
              <w:rPr>
                <w:rFonts w:asciiTheme="majorHAnsi" w:eastAsia="Times New Roman" w:hAnsiTheme="majorHAnsi" w:cstheme="majorHAnsi"/>
                <w:sz w:val="18"/>
                <w:szCs w:val="18"/>
                <w:lang w:val="ro-MD"/>
              </w:rPr>
              <w:t xml:space="preserve">ări </w:t>
            </w:r>
            <w:r w:rsidR="00B13B9A" w:rsidRPr="00B13B9A">
              <w:rPr>
                <w:rFonts w:asciiTheme="majorHAnsi" w:eastAsia="Times New Roman" w:hAnsiTheme="majorHAnsi" w:cstheme="majorHAnsi"/>
                <w:sz w:val="18"/>
                <w:szCs w:val="18"/>
                <w:lang w:val="ro-MD"/>
              </w:rPr>
              <w:t>ș</w:t>
            </w:r>
            <w:r w:rsidRPr="00B13B9A">
              <w:rPr>
                <w:rFonts w:asciiTheme="majorHAnsi" w:eastAsia="Times New Roman" w:hAnsiTheme="majorHAnsi" w:cstheme="majorHAnsi"/>
                <w:sz w:val="18"/>
                <w:szCs w:val="18"/>
                <w:lang w:val="ro-MD"/>
              </w:rPr>
              <w:t>i încasări cu destina</w:t>
            </w:r>
            <w:r w:rsidR="00B13B9A" w:rsidRPr="00B13B9A">
              <w:rPr>
                <w:rFonts w:asciiTheme="majorHAnsi" w:eastAsia="Times New Roman" w:hAnsiTheme="majorHAnsi" w:cstheme="majorHAnsi"/>
                <w:sz w:val="18"/>
                <w:szCs w:val="18"/>
                <w:lang w:val="ro-MD"/>
              </w:rPr>
              <w:t>ț</w:t>
            </w:r>
            <w:r w:rsidRPr="00B13B9A">
              <w:rPr>
                <w:rFonts w:asciiTheme="majorHAnsi" w:eastAsia="Times New Roman" w:hAnsiTheme="majorHAnsi" w:cstheme="majorHAnsi"/>
                <w:sz w:val="18"/>
                <w:szCs w:val="18"/>
                <w:lang w:val="ro-MD"/>
              </w:rPr>
              <w:t>ie specială curente</w:t>
            </w:r>
          </w:p>
        </w:tc>
        <w:tc>
          <w:tcPr>
            <w:tcW w:w="1144" w:type="dxa"/>
            <w:shd w:val="clear" w:color="auto" w:fill="auto"/>
            <w:hideMark/>
          </w:tcPr>
          <w:p w14:paraId="451FD0BA"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035" w:type="dxa"/>
            <w:shd w:val="clear" w:color="auto" w:fill="auto"/>
            <w:hideMark/>
          </w:tcPr>
          <w:p w14:paraId="70973ED8"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8.197,29</w:t>
            </w:r>
          </w:p>
        </w:tc>
        <w:tc>
          <w:tcPr>
            <w:tcW w:w="1091" w:type="dxa"/>
            <w:gridSpan w:val="2"/>
            <w:shd w:val="clear" w:color="auto" w:fill="auto"/>
            <w:hideMark/>
          </w:tcPr>
          <w:p w14:paraId="7552C50C"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79,51</w:t>
            </w:r>
          </w:p>
        </w:tc>
        <w:tc>
          <w:tcPr>
            <w:tcW w:w="1134" w:type="dxa"/>
            <w:shd w:val="clear" w:color="auto" w:fill="auto"/>
            <w:hideMark/>
          </w:tcPr>
          <w:p w14:paraId="035E62D0"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300,31</w:t>
            </w:r>
          </w:p>
        </w:tc>
        <w:tc>
          <w:tcPr>
            <w:tcW w:w="1134" w:type="dxa"/>
            <w:gridSpan w:val="2"/>
            <w:shd w:val="clear" w:color="auto" w:fill="auto"/>
            <w:hideMark/>
          </w:tcPr>
          <w:p w14:paraId="57016601"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134" w:type="dxa"/>
            <w:shd w:val="clear" w:color="auto" w:fill="auto"/>
            <w:hideMark/>
          </w:tcPr>
          <w:p w14:paraId="6BB32727"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8.418,09</w:t>
            </w:r>
          </w:p>
        </w:tc>
      </w:tr>
      <w:tr w:rsidR="002C339A" w:rsidRPr="00B13B9A" w14:paraId="30972702" w14:textId="77777777" w:rsidTr="005B5F6E">
        <w:trPr>
          <w:gridAfter w:val="1"/>
          <w:wAfter w:w="6" w:type="dxa"/>
          <w:trHeight w:val="20"/>
        </w:trPr>
        <w:tc>
          <w:tcPr>
            <w:tcW w:w="567" w:type="dxa"/>
            <w:shd w:val="clear" w:color="auto" w:fill="auto"/>
            <w:hideMark/>
          </w:tcPr>
          <w:p w14:paraId="254AD55F" w14:textId="77777777"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611</w:t>
            </w:r>
          </w:p>
        </w:tc>
        <w:tc>
          <w:tcPr>
            <w:tcW w:w="2982" w:type="dxa"/>
            <w:shd w:val="clear" w:color="auto" w:fill="auto"/>
            <w:hideMark/>
          </w:tcPr>
          <w:p w14:paraId="42E85602" w14:textId="744F9B6D" w:rsidR="002C339A" w:rsidRPr="00B13B9A" w:rsidRDefault="002C339A">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Venituri din v</w:t>
            </w:r>
            <w:r w:rsidR="00E10604">
              <w:rPr>
                <w:rFonts w:asciiTheme="majorHAnsi" w:eastAsia="Times New Roman" w:hAnsiTheme="majorHAnsi" w:cstheme="majorHAnsi"/>
                <w:sz w:val="18"/>
                <w:szCs w:val="18"/>
                <w:lang w:val="ro-MD"/>
              </w:rPr>
              <w:t>â</w:t>
            </w:r>
            <w:r w:rsidRPr="00B13B9A">
              <w:rPr>
                <w:rFonts w:asciiTheme="majorHAnsi" w:eastAsia="Times New Roman" w:hAnsiTheme="majorHAnsi" w:cstheme="majorHAnsi"/>
                <w:sz w:val="18"/>
                <w:szCs w:val="18"/>
                <w:lang w:val="ro-MD"/>
              </w:rPr>
              <w:t>nzări</w:t>
            </w:r>
          </w:p>
        </w:tc>
        <w:tc>
          <w:tcPr>
            <w:tcW w:w="1144" w:type="dxa"/>
            <w:shd w:val="clear" w:color="auto" w:fill="auto"/>
            <w:hideMark/>
          </w:tcPr>
          <w:p w14:paraId="663862EA"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035" w:type="dxa"/>
            <w:shd w:val="clear" w:color="auto" w:fill="auto"/>
            <w:hideMark/>
          </w:tcPr>
          <w:p w14:paraId="1C37A332"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091" w:type="dxa"/>
            <w:gridSpan w:val="2"/>
            <w:shd w:val="clear" w:color="auto" w:fill="auto"/>
            <w:hideMark/>
          </w:tcPr>
          <w:p w14:paraId="1D7C7621"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134" w:type="dxa"/>
            <w:shd w:val="clear" w:color="auto" w:fill="auto"/>
            <w:hideMark/>
          </w:tcPr>
          <w:p w14:paraId="4ACC95F9"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84.485,21</w:t>
            </w:r>
          </w:p>
        </w:tc>
        <w:tc>
          <w:tcPr>
            <w:tcW w:w="1134" w:type="dxa"/>
            <w:gridSpan w:val="2"/>
            <w:shd w:val="clear" w:color="auto" w:fill="auto"/>
            <w:hideMark/>
          </w:tcPr>
          <w:p w14:paraId="25A23DF6"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134" w:type="dxa"/>
            <w:shd w:val="clear" w:color="auto" w:fill="auto"/>
            <w:hideMark/>
          </w:tcPr>
          <w:p w14:paraId="5C2FCB4D"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84.485,21</w:t>
            </w:r>
          </w:p>
        </w:tc>
      </w:tr>
      <w:tr w:rsidR="002C339A" w:rsidRPr="00B13B9A" w14:paraId="679A8EDC" w14:textId="77777777" w:rsidTr="005B5F6E">
        <w:trPr>
          <w:gridAfter w:val="1"/>
          <w:wAfter w:w="6" w:type="dxa"/>
          <w:trHeight w:val="20"/>
        </w:trPr>
        <w:tc>
          <w:tcPr>
            <w:tcW w:w="567" w:type="dxa"/>
            <w:shd w:val="clear" w:color="auto" w:fill="auto"/>
            <w:hideMark/>
          </w:tcPr>
          <w:p w14:paraId="31C04FFE" w14:textId="77777777"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612</w:t>
            </w:r>
          </w:p>
        </w:tc>
        <w:tc>
          <w:tcPr>
            <w:tcW w:w="2982" w:type="dxa"/>
            <w:shd w:val="clear" w:color="auto" w:fill="auto"/>
            <w:hideMark/>
          </w:tcPr>
          <w:p w14:paraId="39C99C10" w14:textId="3DBCAA05"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Alte venituri din activitatea opera</w:t>
            </w:r>
            <w:r w:rsidR="00B13B9A" w:rsidRPr="00B13B9A">
              <w:rPr>
                <w:rFonts w:asciiTheme="majorHAnsi" w:eastAsia="Times New Roman" w:hAnsiTheme="majorHAnsi" w:cstheme="majorHAnsi"/>
                <w:sz w:val="18"/>
                <w:szCs w:val="18"/>
                <w:lang w:val="ro-MD"/>
              </w:rPr>
              <w:t>ț</w:t>
            </w:r>
            <w:r w:rsidRPr="00B13B9A">
              <w:rPr>
                <w:rFonts w:asciiTheme="majorHAnsi" w:eastAsia="Times New Roman" w:hAnsiTheme="majorHAnsi" w:cstheme="majorHAnsi"/>
                <w:sz w:val="18"/>
                <w:szCs w:val="18"/>
                <w:lang w:val="ro-MD"/>
              </w:rPr>
              <w:t>ională</w:t>
            </w:r>
          </w:p>
        </w:tc>
        <w:tc>
          <w:tcPr>
            <w:tcW w:w="1144" w:type="dxa"/>
            <w:shd w:val="clear" w:color="auto" w:fill="auto"/>
            <w:hideMark/>
          </w:tcPr>
          <w:p w14:paraId="0674F505"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035" w:type="dxa"/>
            <w:shd w:val="clear" w:color="auto" w:fill="auto"/>
            <w:hideMark/>
          </w:tcPr>
          <w:p w14:paraId="4FE8872C"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091" w:type="dxa"/>
            <w:gridSpan w:val="2"/>
            <w:shd w:val="clear" w:color="auto" w:fill="auto"/>
            <w:hideMark/>
          </w:tcPr>
          <w:p w14:paraId="26969254"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134" w:type="dxa"/>
            <w:shd w:val="clear" w:color="auto" w:fill="auto"/>
            <w:hideMark/>
          </w:tcPr>
          <w:p w14:paraId="79787734"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0,03</w:t>
            </w:r>
          </w:p>
        </w:tc>
        <w:tc>
          <w:tcPr>
            <w:tcW w:w="1134" w:type="dxa"/>
            <w:gridSpan w:val="2"/>
            <w:shd w:val="clear" w:color="auto" w:fill="auto"/>
            <w:hideMark/>
          </w:tcPr>
          <w:p w14:paraId="1D820C2A"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134" w:type="dxa"/>
            <w:shd w:val="clear" w:color="auto" w:fill="auto"/>
            <w:hideMark/>
          </w:tcPr>
          <w:p w14:paraId="21196DEB"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0,03</w:t>
            </w:r>
          </w:p>
        </w:tc>
      </w:tr>
      <w:tr w:rsidR="002C339A" w:rsidRPr="00B13B9A" w14:paraId="7B6F47B8" w14:textId="77777777" w:rsidTr="005B5F6E">
        <w:trPr>
          <w:gridAfter w:val="1"/>
          <w:wAfter w:w="6" w:type="dxa"/>
          <w:trHeight w:val="20"/>
        </w:trPr>
        <w:tc>
          <w:tcPr>
            <w:tcW w:w="567" w:type="dxa"/>
            <w:shd w:val="clear" w:color="auto" w:fill="auto"/>
            <w:hideMark/>
          </w:tcPr>
          <w:p w14:paraId="2F677A7F" w14:textId="77777777"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621</w:t>
            </w:r>
          </w:p>
        </w:tc>
        <w:tc>
          <w:tcPr>
            <w:tcW w:w="2982" w:type="dxa"/>
            <w:shd w:val="clear" w:color="auto" w:fill="auto"/>
            <w:hideMark/>
          </w:tcPr>
          <w:p w14:paraId="2FD3152E" w14:textId="0C47CF84"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Venituri din opera</w:t>
            </w:r>
            <w:r w:rsidR="00B13B9A" w:rsidRPr="00B13B9A">
              <w:rPr>
                <w:rFonts w:asciiTheme="majorHAnsi" w:eastAsia="Times New Roman" w:hAnsiTheme="majorHAnsi" w:cstheme="majorHAnsi"/>
                <w:sz w:val="18"/>
                <w:szCs w:val="18"/>
                <w:lang w:val="ro-MD"/>
              </w:rPr>
              <w:t>ț</w:t>
            </w:r>
            <w:r w:rsidRPr="00B13B9A">
              <w:rPr>
                <w:rFonts w:asciiTheme="majorHAnsi" w:eastAsia="Times New Roman" w:hAnsiTheme="majorHAnsi" w:cstheme="majorHAnsi"/>
                <w:sz w:val="18"/>
                <w:szCs w:val="18"/>
                <w:lang w:val="ro-MD"/>
              </w:rPr>
              <w:t>iuni cu active imobilizate</w:t>
            </w:r>
          </w:p>
        </w:tc>
        <w:tc>
          <w:tcPr>
            <w:tcW w:w="1144" w:type="dxa"/>
            <w:shd w:val="clear" w:color="auto" w:fill="auto"/>
            <w:hideMark/>
          </w:tcPr>
          <w:p w14:paraId="4FE064A5"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035" w:type="dxa"/>
            <w:shd w:val="clear" w:color="auto" w:fill="auto"/>
            <w:hideMark/>
          </w:tcPr>
          <w:p w14:paraId="6E81ED19"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091" w:type="dxa"/>
            <w:gridSpan w:val="2"/>
            <w:shd w:val="clear" w:color="auto" w:fill="auto"/>
            <w:hideMark/>
          </w:tcPr>
          <w:p w14:paraId="0971CC26"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134" w:type="dxa"/>
            <w:shd w:val="clear" w:color="auto" w:fill="auto"/>
            <w:hideMark/>
          </w:tcPr>
          <w:p w14:paraId="6DB18F37"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6,60</w:t>
            </w:r>
          </w:p>
        </w:tc>
        <w:tc>
          <w:tcPr>
            <w:tcW w:w="1134" w:type="dxa"/>
            <w:gridSpan w:val="2"/>
            <w:shd w:val="clear" w:color="auto" w:fill="auto"/>
            <w:hideMark/>
          </w:tcPr>
          <w:p w14:paraId="4FD020C6"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134" w:type="dxa"/>
            <w:shd w:val="clear" w:color="auto" w:fill="auto"/>
            <w:hideMark/>
          </w:tcPr>
          <w:p w14:paraId="7E862611"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6,60</w:t>
            </w:r>
          </w:p>
        </w:tc>
      </w:tr>
      <w:tr w:rsidR="002C339A" w:rsidRPr="00B13B9A" w14:paraId="78681312" w14:textId="77777777" w:rsidTr="005B5F6E">
        <w:trPr>
          <w:gridAfter w:val="1"/>
          <w:wAfter w:w="6" w:type="dxa"/>
          <w:trHeight w:val="20"/>
        </w:trPr>
        <w:tc>
          <w:tcPr>
            <w:tcW w:w="567" w:type="dxa"/>
            <w:shd w:val="clear" w:color="auto" w:fill="auto"/>
            <w:hideMark/>
          </w:tcPr>
          <w:p w14:paraId="771F4D42" w14:textId="77777777"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622</w:t>
            </w:r>
          </w:p>
        </w:tc>
        <w:tc>
          <w:tcPr>
            <w:tcW w:w="2982" w:type="dxa"/>
            <w:shd w:val="clear" w:color="auto" w:fill="auto"/>
            <w:hideMark/>
          </w:tcPr>
          <w:p w14:paraId="06E3E114" w14:textId="77777777"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Venituri financiare</w:t>
            </w:r>
          </w:p>
        </w:tc>
        <w:tc>
          <w:tcPr>
            <w:tcW w:w="1144" w:type="dxa"/>
            <w:shd w:val="clear" w:color="auto" w:fill="auto"/>
            <w:hideMark/>
          </w:tcPr>
          <w:p w14:paraId="6F3E78BB"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035" w:type="dxa"/>
            <w:shd w:val="clear" w:color="auto" w:fill="auto"/>
            <w:hideMark/>
          </w:tcPr>
          <w:p w14:paraId="4AAA8E2D"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091" w:type="dxa"/>
            <w:gridSpan w:val="2"/>
            <w:shd w:val="clear" w:color="auto" w:fill="auto"/>
            <w:hideMark/>
          </w:tcPr>
          <w:p w14:paraId="0C1D3216"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134" w:type="dxa"/>
            <w:shd w:val="clear" w:color="auto" w:fill="auto"/>
            <w:hideMark/>
          </w:tcPr>
          <w:p w14:paraId="57173262"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283,83</w:t>
            </w:r>
          </w:p>
        </w:tc>
        <w:tc>
          <w:tcPr>
            <w:tcW w:w="1134" w:type="dxa"/>
            <w:gridSpan w:val="2"/>
            <w:shd w:val="clear" w:color="auto" w:fill="auto"/>
            <w:hideMark/>
          </w:tcPr>
          <w:p w14:paraId="2FF4C2E1"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134" w:type="dxa"/>
            <w:shd w:val="clear" w:color="auto" w:fill="auto"/>
            <w:hideMark/>
          </w:tcPr>
          <w:p w14:paraId="5BE4ED15"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283,83</w:t>
            </w:r>
          </w:p>
        </w:tc>
      </w:tr>
      <w:tr w:rsidR="002C339A" w:rsidRPr="00B13B9A" w14:paraId="66EF5EE2" w14:textId="77777777" w:rsidTr="005B5F6E">
        <w:trPr>
          <w:gridAfter w:val="1"/>
          <w:wAfter w:w="6" w:type="dxa"/>
          <w:trHeight w:val="20"/>
        </w:trPr>
        <w:tc>
          <w:tcPr>
            <w:tcW w:w="567" w:type="dxa"/>
            <w:shd w:val="clear" w:color="auto" w:fill="auto"/>
            <w:hideMark/>
          </w:tcPr>
          <w:p w14:paraId="4BB08E94" w14:textId="77777777"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711</w:t>
            </w:r>
          </w:p>
        </w:tc>
        <w:tc>
          <w:tcPr>
            <w:tcW w:w="2982" w:type="dxa"/>
            <w:shd w:val="clear" w:color="auto" w:fill="auto"/>
            <w:hideMark/>
          </w:tcPr>
          <w:p w14:paraId="4F5A931D" w14:textId="2D0AA5C7" w:rsidR="002C339A" w:rsidRPr="00B13B9A" w:rsidRDefault="002C339A">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Costul v</w:t>
            </w:r>
            <w:r w:rsidR="00E10604">
              <w:rPr>
                <w:rFonts w:asciiTheme="majorHAnsi" w:eastAsia="Times New Roman" w:hAnsiTheme="majorHAnsi" w:cstheme="majorHAnsi"/>
                <w:sz w:val="18"/>
                <w:szCs w:val="18"/>
                <w:lang w:val="ro-MD"/>
              </w:rPr>
              <w:t>â</w:t>
            </w:r>
            <w:r w:rsidRPr="00B13B9A">
              <w:rPr>
                <w:rFonts w:asciiTheme="majorHAnsi" w:eastAsia="Times New Roman" w:hAnsiTheme="majorHAnsi" w:cstheme="majorHAnsi"/>
                <w:sz w:val="18"/>
                <w:szCs w:val="18"/>
                <w:lang w:val="ro-MD"/>
              </w:rPr>
              <w:t>nzărilor</w:t>
            </w:r>
          </w:p>
        </w:tc>
        <w:tc>
          <w:tcPr>
            <w:tcW w:w="1144" w:type="dxa"/>
            <w:shd w:val="clear" w:color="auto" w:fill="auto"/>
            <w:hideMark/>
          </w:tcPr>
          <w:p w14:paraId="60CAA716"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035" w:type="dxa"/>
            <w:shd w:val="clear" w:color="auto" w:fill="auto"/>
            <w:hideMark/>
          </w:tcPr>
          <w:p w14:paraId="5978D1E1"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091" w:type="dxa"/>
            <w:gridSpan w:val="2"/>
            <w:shd w:val="clear" w:color="auto" w:fill="auto"/>
            <w:hideMark/>
          </w:tcPr>
          <w:p w14:paraId="0B188B3E"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76.275,70</w:t>
            </w:r>
          </w:p>
        </w:tc>
        <w:tc>
          <w:tcPr>
            <w:tcW w:w="1134" w:type="dxa"/>
            <w:shd w:val="clear" w:color="auto" w:fill="auto"/>
            <w:hideMark/>
          </w:tcPr>
          <w:p w14:paraId="47A28F95"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134" w:type="dxa"/>
            <w:gridSpan w:val="2"/>
            <w:shd w:val="clear" w:color="auto" w:fill="auto"/>
            <w:hideMark/>
          </w:tcPr>
          <w:p w14:paraId="426B1A99"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76.275,70</w:t>
            </w:r>
          </w:p>
        </w:tc>
        <w:tc>
          <w:tcPr>
            <w:tcW w:w="1134" w:type="dxa"/>
            <w:shd w:val="clear" w:color="auto" w:fill="auto"/>
            <w:hideMark/>
          </w:tcPr>
          <w:p w14:paraId="21E846C3"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r>
      <w:tr w:rsidR="002C339A" w:rsidRPr="00B13B9A" w14:paraId="413B1F19" w14:textId="77777777" w:rsidTr="005B5F6E">
        <w:trPr>
          <w:gridAfter w:val="1"/>
          <w:wAfter w:w="6" w:type="dxa"/>
          <w:trHeight w:val="20"/>
        </w:trPr>
        <w:tc>
          <w:tcPr>
            <w:tcW w:w="567" w:type="dxa"/>
            <w:shd w:val="clear" w:color="auto" w:fill="auto"/>
            <w:hideMark/>
          </w:tcPr>
          <w:p w14:paraId="0817FF36" w14:textId="77777777"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713</w:t>
            </w:r>
          </w:p>
        </w:tc>
        <w:tc>
          <w:tcPr>
            <w:tcW w:w="2982" w:type="dxa"/>
            <w:shd w:val="clear" w:color="auto" w:fill="auto"/>
            <w:hideMark/>
          </w:tcPr>
          <w:p w14:paraId="1BA67ECE" w14:textId="77777777"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Cheltuieli administrative</w:t>
            </w:r>
          </w:p>
        </w:tc>
        <w:tc>
          <w:tcPr>
            <w:tcW w:w="1144" w:type="dxa"/>
            <w:shd w:val="clear" w:color="auto" w:fill="auto"/>
            <w:hideMark/>
          </w:tcPr>
          <w:p w14:paraId="5D5B638D"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035" w:type="dxa"/>
            <w:shd w:val="clear" w:color="auto" w:fill="auto"/>
            <w:hideMark/>
          </w:tcPr>
          <w:p w14:paraId="1606F357"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091" w:type="dxa"/>
            <w:gridSpan w:val="2"/>
            <w:shd w:val="clear" w:color="auto" w:fill="auto"/>
            <w:hideMark/>
          </w:tcPr>
          <w:p w14:paraId="23B1FF4A"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8.155,06</w:t>
            </w:r>
          </w:p>
        </w:tc>
        <w:tc>
          <w:tcPr>
            <w:tcW w:w="1134" w:type="dxa"/>
            <w:shd w:val="clear" w:color="auto" w:fill="auto"/>
            <w:hideMark/>
          </w:tcPr>
          <w:p w14:paraId="7E9B7393"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134" w:type="dxa"/>
            <w:gridSpan w:val="2"/>
            <w:shd w:val="clear" w:color="auto" w:fill="auto"/>
            <w:hideMark/>
          </w:tcPr>
          <w:p w14:paraId="2CADC95C"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8.155,06</w:t>
            </w:r>
          </w:p>
        </w:tc>
        <w:tc>
          <w:tcPr>
            <w:tcW w:w="1134" w:type="dxa"/>
            <w:shd w:val="clear" w:color="auto" w:fill="auto"/>
            <w:hideMark/>
          </w:tcPr>
          <w:p w14:paraId="2212AB1C"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r>
      <w:tr w:rsidR="002C339A" w:rsidRPr="00B13B9A" w14:paraId="2A691D8D" w14:textId="77777777" w:rsidTr="005B5F6E">
        <w:trPr>
          <w:gridAfter w:val="1"/>
          <w:wAfter w:w="6" w:type="dxa"/>
          <w:trHeight w:val="20"/>
        </w:trPr>
        <w:tc>
          <w:tcPr>
            <w:tcW w:w="567" w:type="dxa"/>
            <w:shd w:val="clear" w:color="auto" w:fill="auto"/>
            <w:hideMark/>
          </w:tcPr>
          <w:p w14:paraId="1424D854" w14:textId="77777777"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714</w:t>
            </w:r>
          </w:p>
        </w:tc>
        <w:tc>
          <w:tcPr>
            <w:tcW w:w="2982" w:type="dxa"/>
            <w:shd w:val="clear" w:color="auto" w:fill="auto"/>
            <w:hideMark/>
          </w:tcPr>
          <w:p w14:paraId="648BC49D" w14:textId="6434E30A"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Alte cheltuieli din activitatea opera</w:t>
            </w:r>
            <w:r w:rsidR="00B13B9A" w:rsidRPr="00B13B9A">
              <w:rPr>
                <w:rFonts w:asciiTheme="majorHAnsi" w:eastAsia="Times New Roman" w:hAnsiTheme="majorHAnsi" w:cstheme="majorHAnsi"/>
                <w:sz w:val="18"/>
                <w:szCs w:val="18"/>
                <w:lang w:val="ro-MD"/>
              </w:rPr>
              <w:t>ț</w:t>
            </w:r>
            <w:r w:rsidRPr="00B13B9A">
              <w:rPr>
                <w:rFonts w:asciiTheme="majorHAnsi" w:eastAsia="Times New Roman" w:hAnsiTheme="majorHAnsi" w:cstheme="majorHAnsi"/>
                <w:sz w:val="18"/>
                <w:szCs w:val="18"/>
                <w:lang w:val="ro-MD"/>
              </w:rPr>
              <w:t>ională</w:t>
            </w:r>
          </w:p>
        </w:tc>
        <w:tc>
          <w:tcPr>
            <w:tcW w:w="1144" w:type="dxa"/>
            <w:shd w:val="clear" w:color="auto" w:fill="auto"/>
            <w:hideMark/>
          </w:tcPr>
          <w:p w14:paraId="61029A6B"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035" w:type="dxa"/>
            <w:shd w:val="clear" w:color="auto" w:fill="auto"/>
            <w:hideMark/>
          </w:tcPr>
          <w:p w14:paraId="3BEADD7A"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091" w:type="dxa"/>
            <w:gridSpan w:val="2"/>
            <w:shd w:val="clear" w:color="auto" w:fill="auto"/>
            <w:hideMark/>
          </w:tcPr>
          <w:p w14:paraId="3C3F6CA9"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91,17</w:t>
            </w:r>
          </w:p>
        </w:tc>
        <w:tc>
          <w:tcPr>
            <w:tcW w:w="1134" w:type="dxa"/>
            <w:shd w:val="clear" w:color="auto" w:fill="auto"/>
            <w:hideMark/>
          </w:tcPr>
          <w:p w14:paraId="683852FA"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134" w:type="dxa"/>
            <w:gridSpan w:val="2"/>
            <w:shd w:val="clear" w:color="auto" w:fill="auto"/>
            <w:hideMark/>
          </w:tcPr>
          <w:p w14:paraId="53D43AE1"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91,17</w:t>
            </w:r>
          </w:p>
        </w:tc>
        <w:tc>
          <w:tcPr>
            <w:tcW w:w="1134" w:type="dxa"/>
            <w:shd w:val="clear" w:color="auto" w:fill="auto"/>
            <w:hideMark/>
          </w:tcPr>
          <w:p w14:paraId="0FE39F76"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r>
      <w:tr w:rsidR="002C339A" w:rsidRPr="00B13B9A" w14:paraId="7BB75F9B" w14:textId="77777777" w:rsidTr="005B5F6E">
        <w:trPr>
          <w:gridAfter w:val="1"/>
          <w:wAfter w:w="6" w:type="dxa"/>
          <w:trHeight w:val="20"/>
        </w:trPr>
        <w:tc>
          <w:tcPr>
            <w:tcW w:w="567" w:type="dxa"/>
            <w:shd w:val="clear" w:color="auto" w:fill="auto"/>
            <w:hideMark/>
          </w:tcPr>
          <w:p w14:paraId="1D9F8018" w14:textId="77777777"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722</w:t>
            </w:r>
          </w:p>
        </w:tc>
        <w:tc>
          <w:tcPr>
            <w:tcW w:w="2982" w:type="dxa"/>
            <w:shd w:val="clear" w:color="auto" w:fill="auto"/>
            <w:hideMark/>
          </w:tcPr>
          <w:p w14:paraId="0B01D258" w14:textId="77777777" w:rsidR="002C339A" w:rsidRPr="00B13B9A" w:rsidRDefault="002C339A" w:rsidP="005B5F6E">
            <w:pPr>
              <w:spacing w:after="0" w:line="240" w:lineRule="auto"/>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Cheltuieli financiare</w:t>
            </w:r>
          </w:p>
        </w:tc>
        <w:tc>
          <w:tcPr>
            <w:tcW w:w="1144" w:type="dxa"/>
            <w:shd w:val="clear" w:color="auto" w:fill="auto"/>
            <w:hideMark/>
          </w:tcPr>
          <w:p w14:paraId="5FEF213B"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035" w:type="dxa"/>
            <w:shd w:val="clear" w:color="auto" w:fill="auto"/>
            <w:hideMark/>
          </w:tcPr>
          <w:p w14:paraId="73DAB52A"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091" w:type="dxa"/>
            <w:gridSpan w:val="2"/>
            <w:shd w:val="clear" w:color="auto" w:fill="auto"/>
            <w:hideMark/>
          </w:tcPr>
          <w:p w14:paraId="2864F935"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468,83</w:t>
            </w:r>
          </w:p>
        </w:tc>
        <w:tc>
          <w:tcPr>
            <w:tcW w:w="1134" w:type="dxa"/>
            <w:shd w:val="clear" w:color="auto" w:fill="auto"/>
            <w:hideMark/>
          </w:tcPr>
          <w:p w14:paraId="44B91DED"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c>
          <w:tcPr>
            <w:tcW w:w="1134" w:type="dxa"/>
            <w:gridSpan w:val="2"/>
            <w:shd w:val="clear" w:color="auto" w:fill="auto"/>
            <w:hideMark/>
          </w:tcPr>
          <w:p w14:paraId="0CBDE55E"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468,83</w:t>
            </w:r>
          </w:p>
        </w:tc>
        <w:tc>
          <w:tcPr>
            <w:tcW w:w="1134" w:type="dxa"/>
            <w:shd w:val="clear" w:color="auto" w:fill="auto"/>
            <w:hideMark/>
          </w:tcPr>
          <w:p w14:paraId="6C14F993"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 </w:t>
            </w:r>
          </w:p>
        </w:tc>
      </w:tr>
      <w:tr w:rsidR="002C339A" w:rsidRPr="00B13B9A" w14:paraId="7064C54C" w14:textId="77777777" w:rsidTr="005B5F6E">
        <w:trPr>
          <w:gridAfter w:val="1"/>
          <w:wAfter w:w="6" w:type="dxa"/>
          <w:trHeight w:val="20"/>
        </w:trPr>
        <w:tc>
          <w:tcPr>
            <w:tcW w:w="567" w:type="dxa"/>
            <w:shd w:val="clear" w:color="auto" w:fill="auto"/>
            <w:noWrap/>
            <w:hideMark/>
          </w:tcPr>
          <w:p w14:paraId="44DBAA08" w14:textId="77777777" w:rsidR="002C339A" w:rsidRPr="00B13B9A" w:rsidRDefault="002C339A" w:rsidP="005B5F6E">
            <w:pPr>
              <w:spacing w:after="0" w:line="240" w:lineRule="auto"/>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 </w:t>
            </w:r>
          </w:p>
        </w:tc>
        <w:tc>
          <w:tcPr>
            <w:tcW w:w="2982" w:type="dxa"/>
            <w:shd w:val="clear" w:color="auto" w:fill="auto"/>
            <w:noWrap/>
            <w:hideMark/>
          </w:tcPr>
          <w:p w14:paraId="3A16BDF6" w14:textId="77777777" w:rsidR="002C339A" w:rsidRPr="00B13B9A" w:rsidRDefault="002C339A" w:rsidP="005B5F6E">
            <w:pPr>
              <w:spacing w:after="0" w:line="240" w:lineRule="auto"/>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 </w:t>
            </w:r>
          </w:p>
        </w:tc>
        <w:tc>
          <w:tcPr>
            <w:tcW w:w="1144" w:type="dxa"/>
            <w:shd w:val="clear" w:color="auto" w:fill="auto"/>
            <w:hideMark/>
          </w:tcPr>
          <w:p w14:paraId="15826408" w14:textId="77777777" w:rsidR="002C339A" w:rsidRPr="00B13B9A" w:rsidRDefault="002C339A" w:rsidP="005B5F6E">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449.026,16</w:t>
            </w:r>
          </w:p>
        </w:tc>
        <w:tc>
          <w:tcPr>
            <w:tcW w:w="1035" w:type="dxa"/>
            <w:shd w:val="clear" w:color="auto" w:fill="auto"/>
            <w:hideMark/>
          </w:tcPr>
          <w:p w14:paraId="46443C54" w14:textId="77777777" w:rsidR="002C339A" w:rsidRPr="00B13B9A" w:rsidRDefault="002C339A" w:rsidP="005B5F6E">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449.026,16</w:t>
            </w:r>
          </w:p>
        </w:tc>
        <w:tc>
          <w:tcPr>
            <w:tcW w:w="1091" w:type="dxa"/>
            <w:gridSpan w:val="2"/>
            <w:shd w:val="clear" w:color="auto" w:fill="auto"/>
            <w:hideMark/>
          </w:tcPr>
          <w:p w14:paraId="42CB4FE9" w14:textId="77777777" w:rsidR="002C339A" w:rsidRPr="00B13B9A" w:rsidRDefault="002C339A" w:rsidP="005B5F6E">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557.982,09</w:t>
            </w:r>
          </w:p>
        </w:tc>
        <w:tc>
          <w:tcPr>
            <w:tcW w:w="1134" w:type="dxa"/>
            <w:shd w:val="clear" w:color="auto" w:fill="auto"/>
            <w:hideMark/>
          </w:tcPr>
          <w:p w14:paraId="0CC57EFB" w14:textId="77777777" w:rsidR="002C339A" w:rsidRPr="00B13B9A" w:rsidRDefault="002C339A" w:rsidP="005B5F6E">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557.982,09</w:t>
            </w:r>
          </w:p>
        </w:tc>
        <w:tc>
          <w:tcPr>
            <w:tcW w:w="1134" w:type="dxa"/>
            <w:gridSpan w:val="2"/>
            <w:shd w:val="clear" w:color="auto" w:fill="auto"/>
            <w:hideMark/>
          </w:tcPr>
          <w:p w14:paraId="0FA514CA" w14:textId="77777777" w:rsidR="002C339A" w:rsidRPr="00B13B9A" w:rsidRDefault="002C339A" w:rsidP="005B5F6E">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540.041,81</w:t>
            </w:r>
          </w:p>
        </w:tc>
        <w:tc>
          <w:tcPr>
            <w:tcW w:w="1134" w:type="dxa"/>
            <w:shd w:val="clear" w:color="auto" w:fill="auto"/>
            <w:hideMark/>
          </w:tcPr>
          <w:p w14:paraId="4B1B464D" w14:textId="77777777" w:rsidR="002C339A" w:rsidRPr="00B13B9A" w:rsidRDefault="002C339A" w:rsidP="005B5F6E">
            <w:pPr>
              <w:spacing w:after="0" w:line="240" w:lineRule="auto"/>
              <w:jc w:val="right"/>
              <w:rPr>
                <w:rFonts w:asciiTheme="majorHAnsi" w:eastAsia="Times New Roman" w:hAnsiTheme="majorHAnsi" w:cstheme="majorHAnsi"/>
                <w:b/>
                <w:bCs/>
                <w:sz w:val="18"/>
                <w:szCs w:val="18"/>
                <w:lang w:val="ro-MD"/>
              </w:rPr>
            </w:pPr>
            <w:r w:rsidRPr="00B13B9A">
              <w:rPr>
                <w:rFonts w:asciiTheme="majorHAnsi" w:eastAsia="Times New Roman" w:hAnsiTheme="majorHAnsi" w:cstheme="majorHAnsi"/>
                <w:b/>
                <w:bCs/>
                <w:sz w:val="18"/>
                <w:szCs w:val="18"/>
                <w:lang w:val="ro-MD"/>
              </w:rPr>
              <w:t>540.041,81</w:t>
            </w:r>
          </w:p>
        </w:tc>
      </w:tr>
    </w:tbl>
    <w:p w14:paraId="2E24C586" w14:textId="2BEF86D9" w:rsidR="002C339A" w:rsidRPr="00B13B9A" w:rsidRDefault="002C339A" w:rsidP="002C339A">
      <w:pPr>
        <w:pStyle w:val="cn"/>
        <w:spacing w:line="276" w:lineRule="auto"/>
        <w:ind w:right="71"/>
        <w:jc w:val="both"/>
        <w:rPr>
          <w:rFonts w:asciiTheme="majorHAnsi" w:eastAsiaTheme="minorHAnsi" w:hAnsiTheme="majorHAnsi" w:cstheme="majorHAnsi"/>
          <w:i/>
          <w:sz w:val="20"/>
          <w:szCs w:val="20"/>
          <w:lang w:val="ro-MD" w:eastAsia="en-US"/>
        </w:rPr>
      </w:pPr>
      <w:r w:rsidRPr="00B13B9A">
        <w:rPr>
          <w:rFonts w:asciiTheme="majorHAnsi" w:eastAsiaTheme="minorHAnsi" w:hAnsiTheme="majorHAnsi" w:cstheme="majorHAnsi"/>
          <w:b/>
          <w:i/>
          <w:sz w:val="20"/>
          <w:szCs w:val="20"/>
          <w:lang w:val="ro-MD" w:eastAsia="en-US"/>
        </w:rPr>
        <w:t>Sursa:</w:t>
      </w:r>
      <w:r w:rsidRPr="00B13B9A">
        <w:rPr>
          <w:rFonts w:asciiTheme="majorHAnsi" w:eastAsiaTheme="minorHAnsi" w:hAnsiTheme="majorHAnsi" w:cstheme="majorHAnsi"/>
          <w:i/>
          <w:sz w:val="20"/>
          <w:szCs w:val="20"/>
          <w:lang w:val="ro-MD" w:eastAsia="en-US"/>
        </w:rPr>
        <w:t xml:space="preserve"> Informa</w:t>
      </w:r>
      <w:r w:rsidR="00B13B9A" w:rsidRPr="00B13B9A">
        <w:rPr>
          <w:rFonts w:asciiTheme="majorHAnsi" w:eastAsiaTheme="minorHAnsi" w:hAnsiTheme="majorHAnsi" w:cstheme="majorHAnsi"/>
          <w:i/>
          <w:sz w:val="20"/>
          <w:szCs w:val="20"/>
          <w:lang w:val="ro-MD" w:eastAsia="en-US"/>
        </w:rPr>
        <w:t>ț</w:t>
      </w:r>
      <w:r w:rsidRPr="00B13B9A">
        <w:rPr>
          <w:rFonts w:asciiTheme="majorHAnsi" w:eastAsiaTheme="minorHAnsi" w:hAnsiTheme="majorHAnsi" w:cstheme="majorHAnsi"/>
          <w:i/>
          <w:sz w:val="20"/>
          <w:szCs w:val="20"/>
          <w:lang w:val="ro-MD" w:eastAsia="en-US"/>
        </w:rPr>
        <w:t>ii prezentate de entitate.</w:t>
      </w:r>
    </w:p>
    <w:p w14:paraId="2B11DDD5" w14:textId="77777777" w:rsidR="00332FF7" w:rsidRDefault="00332FF7" w:rsidP="002C339A">
      <w:pPr>
        <w:pStyle w:val="cn"/>
        <w:spacing w:line="276" w:lineRule="auto"/>
        <w:ind w:right="71"/>
        <w:jc w:val="both"/>
        <w:rPr>
          <w:rFonts w:asciiTheme="majorHAnsi" w:eastAsiaTheme="minorHAnsi" w:hAnsiTheme="majorHAnsi" w:cstheme="majorHAnsi"/>
          <w:i/>
          <w:sz w:val="20"/>
          <w:szCs w:val="20"/>
          <w:lang w:val="ro-MD" w:eastAsia="en-US"/>
        </w:rPr>
        <w:sectPr w:rsidR="00332FF7" w:rsidSect="00DB333D">
          <w:pgSz w:w="12240" w:h="15840"/>
          <w:pgMar w:top="851" w:right="758" w:bottom="1134" w:left="1701" w:header="708" w:footer="708" w:gutter="0"/>
          <w:cols w:space="708"/>
          <w:titlePg/>
          <w:docGrid w:linePitch="360"/>
        </w:sectPr>
      </w:pPr>
    </w:p>
    <w:p w14:paraId="05A35525" w14:textId="2F4E9E33" w:rsidR="002C339A" w:rsidRPr="00B13B9A" w:rsidRDefault="002C339A" w:rsidP="002C339A">
      <w:pPr>
        <w:pStyle w:val="3"/>
        <w:jc w:val="right"/>
        <w:rPr>
          <w:rFonts w:cstheme="majorHAnsi"/>
          <w:b/>
          <w:iCs/>
          <w:color w:val="auto"/>
        </w:rPr>
      </w:pPr>
      <w:bookmarkStart w:id="62" w:name="_Toc154562532"/>
      <w:r w:rsidRPr="00B13B9A">
        <w:rPr>
          <w:rFonts w:cstheme="majorHAnsi"/>
          <w:b/>
          <w:iCs/>
          <w:color w:val="auto"/>
        </w:rPr>
        <w:t>Anexa nr. 9</w:t>
      </w:r>
      <w:bookmarkEnd w:id="62"/>
    </w:p>
    <w:p w14:paraId="6627D949" w14:textId="77777777" w:rsidR="00FB1833" w:rsidRPr="00B13B9A" w:rsidRDefault="00FB1833" w:rsidP="00FB1833">
      <w:pPr>
        <w:jc w:val="center"/>
        <w:rPr>
          <w:rFonts w:asciiTheme="majorHAnsi" w:eastAsiaTheme="minorEastAsia" w:hAnsiTheme="majorHAnsi"/>
          <w:b/>
          <w:bCs/>
          <w:kern w:val="24"/>
          <w:sz w:val="24"/>
          <w:szCs w:val="28"/>
          <w:lang w:val="ro-MD"/>
        </w:rPr>
      </w:pPr>
      <w:r w:rsidRPr="00B13B9A">
        <w:rPr>
          <w:rFonts w:asciiTheme="majorHAnsi" w:eastAsiaTheme="minorEastAsia" w:hAnsiTheme="majorHAnsi"/>
          <w:b/>
          <w:bCs/>
          <w:kern w:val="24"/>
          <w:sz w:val="24"/>
          <w:szCs w:val="28"/>
          <w:lang w:val="ro-MD"/>
        </w:rPr>
        <w:t>Sursele criteriilor de audit</w:t>
      </w:r>
    </w:p>
    <w:tbl>
      <w:tblPr>
        <w:tblStyle w:val="a3"/>
        <w:tblW w:w="9918" w:type="dxa"/>
        <w:tblLook w:val="04A0" w:firstRow="1" w:lastRow="0" w:firstColumn="1" w:lastColumn="0" w:noHBand="0" w:noVBand="1"/>
      </w:tblPr>
      <w:tblGrid>
        <w:gridCol w:w="3539"/>
        <w:gridCol w:w="6379"/>
      </w:tblGrid>
      <w:tr w:rsidR="00FB1833" w:rsidRPr="00B13B9A" w14:paraId="366A9A66" w14:textId="77777777" w:rsidTr="00046446">
        <w:trPr>
          <w:trHeight w:val="20"/>
        </w:trPr>
        <w:tc>
          <w:tcPr>
            <w:tcW w:w="3539" w:type="dxa"/>
            <w:shd w:val="clear" w:color="auto" w:fill="9CC2E5" w:themeFill="accent1" w:themeFillTint="99"/>
            <w:vAlign w:val="center"/>
          </w:tcPr>
          <w:p w14:paraId="21C7AB80" w14:textId="77777777" w:rsidR="00FB1833" w:rsidRPr="00B13B9A" w:rsidRDefault="00FB1833" w:rsidP="001457CE">
            <w:pPr>
              <w:jc w:val="center"/>
              <w:rPr>
                <w:rFonts w:asciiTheme="majorHAnsi" w:hAnsiTheme="majorHAnsi" w:cstheme="majorHAnsi"/>
                <w:b/>
                <w:sz w:val="20"/>
                <w:szCs w:val="20"/>
                <w:lang w:val="ro-MD"/>
              </w:rPr>
            </w:pPr>
            <w:r w:rsidRPr="00B13B9A">
              <w:rPr>
                <w:rFonts w:asciiTheme="majorHAnsi" w:hAnsiTheme="majorHAnsi" w:cstheme="majorHAnsi"/>
                <w:b/>
                <w:sz w:val="20"/>
                <w:szCs w:val="20"/>
                <w:lang w:val="ro-MD"/>
              </w:rPr>
              <w:t>Acte legislative</w:t>
            </w:r>
          </w:p>
        </w:tc>
        <w:tc>
          <w:tcPr>
            <w:tcW w:w="6379" w:type="dxa"/>
            <w:shd w:val="clear" w:color="auto" w:fill="9CC2E5" w:themeFill="accent1" w:themeFillTint="99"/>
            <w:vAlign w:val="center"/>
          </w:tcPr>
          <w:p w14:paraId="040B0926" w14:textId="77777777" w:rsidR="00FB1833" w:rsidRPr="00B13B9A" w:rsidRDefault="00FB1833" w:rsidP="001457CE">
            <w:pPr>
              <w:jc w:val="center"/>
              <w:rPr>
                <w:rFonts w:asciiTheme="majorHAnsi" w:hAnsiTheme="majorHAnsi" w:cstheme="majorHAnsi"/>
                <w:b/>
                <w:sz w:val="20"/>
                <w:szCs w:val="20"/>
                <w:lang w:val="ro-MD"/>
              </w:rPr>
            </w:pPr>
            <w:r w:rsidRPr="00B13B9A">
              <w:rPr>
                <w:rFonts w:asciiTheme="majorHAnsi" w:hAnsiTheme="majorHAnsi" w:cstheme="majorHAnsi"/>
                <w:b/>
                <w:sz w:val="20"/>
                <w:szCs w:val="20"/>
                <w:lang w:val="ro-MD"/>
              </w:rPr>
              <w:t>Prevederi</w:t>
            </w:r>
          </w:p>
        </w:tc>
      </w:tr>
      <w:tr w:rsidR="00FB1833" w:rsidRPr="00B13B9A" w14:paraId="39706405" w14:textId="77777777" w:rsidTr="00046446">
        <w:trPr>
          <w:trHeight w:val="20"/>
        </w:trPr>
        <w:tc>
          <w:tcPr>
            <w:tcW w:w="3539" w:type="dxa"/>
            <w:shd w:val="clear" w:color="auto" w:fill="auto"/>
            <w:vAlign w:val="center"/>
          </w:tcPr>
          <w:p w14:paraId="32B1F93F" w14:textId="02B41545" w:rsidR="00FB1833" w:rsidRPr="00B13B9A" w:rsidRDefault="00FB1833" w:rsidP="001457CE">
            <w:pPr>
              <w:rPr>
                <w:rFonts w:asciiTheme="majorHAnsi" w:hAnsiTheme="majorHAnsi" w:cstheme="majorHAnsi"/>
                <w:sz w:val="20"/>
                <w:szCs w:val="20"/>
                <w:lang w:val="ro-MD"/>
              </w:rPr>
            </w:pPr>
            <w:r w:rsidRPr="00B13B9A">
              <w:rPr>
                <w:rFonts w:asciiTheme="majorHAnsi" w:hAnsiTheme="majorHAnsi" w:cstheme="majorHAnsi"/>
                <w:sz w:val="20"/>
                <w:szCs w:val="20"/>
                <w:lang w:val="ro-MD"/>
              </w:rPr>
              <w:t>Legea ocrotirii sănătă</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ii nr. 411 din 28.03.1995</w:t>
            </w:r>
          </w:p>
        </w:tc>
        <w:tc>
          <w:tcPr>
            <w:tcW w:w="6379" w:type="dxa"/>
            <w:shd w:val="clear" w:color="auto" w:fill="auto"/>
            <w:vAlign w:val="center"/>
          </w:tcPr>
          <w:p w14:paraId="70B3B695" w14:textId="18F0A70E" w:rsidR="00FB1833" w:rsidRPr="00B13B9A" w:rsidRDefault="00FB1833" w:rsidP="001457CE">
            <w:pPr>
              <w:rPr>
                <w:rFonts w:asciiTheme="majorHAnsi" w:hAnsiTheme="majorHAnsi" w:cstheme="majorHAnsi"/>
                <w:sz w:val="20"/>
                <w:szCs w:val="20"/>
                <w:lang w:val="ro-MD"/>
              </w:rPr>
            </w:pPr>
            <w:r w:rsidRPr="00B13B9A">
              <w:rPr>
                <w:rFonts w:asciiTheme="majorHAnsi" w:hAnsiTheme="majorHAnsi" w:cstheme="majorHAnsi"/>
                <w:sz w:val="20"/>
                <w:szCs w:val="20"/>
                <w:lang w:val="ro-MD"/>
              </w:rPr>
              <w:t>Reglementează dreptul persoanei fizice la ocrotirea sănătă</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ii</w:t>
            </w:r>
          </w:p>
        </w:tc>
      </w:tr>
      <w:tr w:rsidR="00FB1833" w:rsidRPr="00B13B9A" w14:paraId="64E64E90" w14:textId="77777777" w:rsidTr="00046446">
        <w:trPr>
          <w:trHeight w:val="20"/>
        </w:trPr>
        <w:tc>
          <w:tcPr>
            <w:tcW w:w="3539" w:type="dxa"/>
            <w:shd w:val="clear" w:color="auto" w:fill="auto"/>
            <w:vAlign w:val="center"/>
          </w:tcPr>
          <w:p w14:paraId="27B9F141" w14:textId="7F3E907C" w:rsidR="00FB1833" w:rsidRPr="00B13B9A" w:rsidRDefault="00FB1833" w:rsidP="001457CE">
            <w:pPr>
              <w:rPr>
                <w:rFonts w:asciiTheme="majorHAnsi" w:hAnsiTheme="majorHAnsi" w:cstheme="majorHAnsi"/>
                <w:sz w:val="20"/>
                <w:szCs w:val="20"/>
                <w:lang w:val="ro-MD"/>
              </w:rPr>
            </w:pPr>
            <w:r w:rsidRPr="00B13B9A">
              <w:rPr>
                <w:rFonts w:asciiTheme="majorHAnsi" w:hAnsiTheme="majorHAnsi" w:cstheme="majorHAnsi"/>
                <w:sz w:val="20"/>
                <w:szCs w:val="20"/>
                <w:lang w:val="ro-MD"/>
              </w:rPr>
              <w:t>Legea nr. 10 din 03.02.2009 privind supravegherea de stat a sănătă</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ii publice</w:t>
            </w:r>
          </w:p>
          <w:p w14:paraId="2369117F" w14:textId="77777777" w:rsidR="00FB1833" w:rsidRPr="00B13B9A" w:rsidRDefault="00FB1833" w:rsidP="001457CE">
            <w:pPr>
              <w:rPr>
                <w:rFonts w:asciiTheme="majorHAnsi" w:hAnsiTheme="majorHAnsi" w:cstheme="majorHAnsi"/>
                <w:sz w:val="20"/>
                <w:szCs w:val="20"/>
                <w:lang w:val="ro-MD"/>
              </w:rPr>
            </w:pPr>
          </w:p>
          <w:p w14:paraId="10D10889" w14:textId="77777777" w:rsidR="00FB1833" w:rsidRPr="00B13B9A" w:rsidRDefault="00FB1833" w:rsidP="001457CE">
            <w:pPr>
              <w:rPr>
                <w:rFonts w:asciiTheme="majorHAnsi" w:hAnsiTheme="majorHAnsi" w:cstheme="majorHAnsi"/>
                <w:sz w:val="20"/>
                <w:szCs w:val="20"/>
                <w:lang w:val="ro-MD"/>
              </w:rPr>
            </w:pPr>
          </w:p>
        </w:tc>
        <w:tc>
          <w:tcPr>
            <w:tcW w:w="6379" w:type="dxa"/>
            <w:shd w:val="clear" w:color="auto" w:fill="auto"/>
            <w:vAlign w:val="center"/>
          </w:tcPr>
          <w:p w14:paraId="3E41299D" w14:textId="4C329C23" w:rsidR="00FB1833" w:rsidRPr="00B13B9A" w:rsidRDefault="00FB1833" w:rsidP="001457CE">
            <w:pPr>
              <w:rPr>
                <w:rFonts w:asciiTheme="majorHAnsi" w:hAnsiTheme="majorHAnsi" w:cstheme="majorHAnsi"/>
                <w:sz w:val="20"/>
                <w:szCs w:val="20"/>
                <w:lang w:val="ro-MD"/>
              </w:rPr>
            </w:pPr>
            <w:r w:rsidRPr="00B13B9A">
              <w:rPr>
                <w:rFonts w:asciiTheme="majorHAnsi" w:hAnsiTheme="majorHAnsi" w:cstheme="majorHAnsi"/>
                <w:sz w:val="20"/>
                <w:szCs w:val="20"/>
                <w:lang w:val="ro-MD"/>
              </w:rPr>
              <w:t>Reglementează organizarea supravegherii de stat a sănătă</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ii publice, stabilind cerin</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 xml:space="preserve">e generale de sănătate publică, drepturile </w:t>
            </w:r>
            <w:r w:rsidR="00B13B9A" w:rsidRPr="00B13B9A">
              <w:rPr>
                <w:rFonts w:asciiTheme="majorHAnsi" w:hAnsiTheme="majorHAnsi" w:cstheme="majorHAnsi"/>
                <w:sz w:val="20"/>
                <w:szCs w:val="20"/>
                <w:lang w:val="ro-MD"/>
              </w:rPr>
              <w:t>ș</w:t>
            </w:r>
            <w:r w:rsidRPr="00B13B9A">
              <w:rPr>
                <w:rFonts w:asciiTheme="majorHAnsi" w:hAnsiTheme="majorHAnsi" w:cstheme="majorHAnsi"/>
                <w:sz w:val="20"/>
                <w:szCs w:val="20"/>
                <w:lang w:val="ro-MD"/>
              </w:rPr>
              <w:t>i obliga</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 xml:space="preserve">iile persoanelor fizice </w:t>
            </w:r>
            <w:r w:rsidR="00B13B9A" w:rsidRPr="00B13B9A">
              <w:rPr>
                <w:rFonts w:asciiTheme="majorHAnsi" w:hAnsiTheme="majorHAnsi" w:cstheme="majorHAnsi"/>
                <w:sz w:val="20"/>
                <w:szCs w:val="20"/>
                <w:lang w:val="ro-MD"/>
              </w:rPr>
              <w:t>ș</w:t>
            </w:r>
            <w:r w:rsidRPr="00B13B9A">
              <w:rPr>
                <w:rFonts w:asciiTheme="majorHAnsi" w:hAnsiTheme="majorHAnsi" w:cstheme="majorHAnsi"/>
                <w:sz w:val="20"/>
                <w:szCs w:val="20"/>
                <w:lang w:val="ro-MD"/>
              </w:rPr>
              <w:t xml:space="preserve">i juridice </w:t>
            </w:r>
            <w:r w:rsidR="00B13B9A" w:rsidRPr="00B13B9A">
              <w:rPr>
                <w:rFonts w:asciiTheme="majorHAnsi" w:hAnsiTheme="majorHAnsi" w:cstheme="majorHAnsi"/>
                <w:sz w:val="20"/>
                <w:szCs w:val="20"/>
                <w:lang w:val="ro-MD"/>
              </w:rPr>
              <w:t>ș</w:t>
            </w:r>
            <w:r w:rsidRPr="00B13B9A">
              <w:rPr>
                <w:rFonts w:asciiTheme="majorHAnsi" w:hAnsiTheme="majorHAnsi" w:cstheme="majorHAnsi"/>
                <w:sz w:val="20"/>
                <w:szCs w:val="20"/>
                <w:lang w:val="ro-MD"/>
              </w:rPr>
              <w:t>i modul de organizare a sistemului de supraveghere de stat a sănătă</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ii publice.</w:t>
            </w:r>
          </w:p>
        </w:tc>
      </w:tr>
      <w:tr w:rsidR="00FB1833" w:rsidRPr="00B13B9A" w14:paraId="4B77F092" w14:textId="77777777" w:rsidTr="00046446">
        <w:trPr>
          <w:trHeight w:val="20"/>
        </w:trPr>
        <w:tc>
          <w:tcPr>
            <w:tcW w:w="3539" w:type="dxa"/>
          </w:tcPr>
          <w:p w14:paraId="7260E50B" w14:textId="36E7F958" w:rsidR="00FB1833" w:rsidRPr="00B13B9A" w:rsidRDefault="00FB1833" w:rsidP="001457CE">
            <w:pPr>
              <w:jc w:val="both"/>
              <w:rPr>
                <w:rFonts w:asciiTheme="majorHAnsi" w:hAnsiTheme="majorHAnsi" w:cstheme="majorHAnsi"/>
                <w:i/>
                <w:noProof/>
                <w:color w:val="000000" w:themeColor="text1"/>
                <w:sz w:val="20"/>
                <w:szCs w:val="20"/>
                <w:lang w:val="ro-MD" w:eastAsia="ru-RU"/>
              </w:rPr>
            </w:pPr>
            <w:r w:rsidRPr="00B13B9A">
              <w:rPr>
                <w:rFonts w:asciiTheme="majorHAnsi" w:hAnsiTheme="majorHAnsi" w:cstheme="majorHAnsi"/>
                <w:bCs/>
                <w:iCs/>
                <w:sz w:val="20"/>
                <w:szCs w:val="20"/>
                <w:lang w:val="ro-MD"/>
              </w:rPr>
              <w:t>Legea contabilită</w:t>
            </w:r>
            <w:r w:rsidR="00B13B9A" w:rsidRPr="00B13B9A">
              <w:rPr>
                <w:rFonts w:asciiTheme="majorHAnsi" w:hAnsiTheme="majorHAnsi" w:cstheme="majorHAnsi"/>
                <w:bCs/>
                <w:iCs/>
                <w:sz w:val="20"/>
                <w:szCs w:val="20"/>
                <w:lang w:val="ro-MD"/>
              </w:rPr>
              <w:t>ț</w:t>
            </w:r>
            <w:r w:rsidRPr="00B13B9A">
              <w:rPr>
                <w:rFonts w:asciiTheme="majorHAnsi" w:hAnsiTheme="majorHAnsi" w:cstheme="majorHAnsi"/>
                <w:bCs/>
                <w:iCs/>
                <w:sz w:val="20"/>
                <w:szCs w:val="20"/>
                <w:lang w:val="ro-MD"/>
              </w:rPr>
              <w:t xml:space="preserve">ii </w:t>
            </w:r>
            <w:r w:rsidR="00B13B9A" w:rsidRPr="00B13B9A">
              <w:rPr>
                <w:rFonts w:asciiTheme="majorHAnsi" w:hAnsiTheme="majorHAnsi" w:cstheme="majorHAnsi"/>
                <w:bCs/>
                <w:iCs/>
                <w:sz w:val="20"/>
                <w:szCs w:val="20"/>
                <w:lang w:val="ro-MD"/>
              </w:rPr>
              <w:t>ș</w:t>
            </w:r>
            <w:r w:rsidRPr="00B13B9A">
              <w:rPr>
                <w:rFonts w:asciiTheme="majorHAnsi" w:hAnsiTheme="majorHAnsi" w:cstheme="majorHAnsi"/>
                <w:bCs/>
                <w:iCs/>
                <w:sz w:val="20"/>
                <w:szCs w:val="20"/>
                <w:lang w:val="ro-MD"/>
              </w:rPr>
              <w:t>i raportării financiare nr. 287 din 15.12.2017</w:t>
            </w:r>
          </w:p>
        </w:tc>
        <w:tc>
          <w:tcPr>
            <w:tcW w:w="6379" w:type="dxa"/>
          </w:tcPr>
          <w:p w14:paraId="0A3FC512" w14:textId="1EE433E0" w:rsidR="00FB1833" w:rsidRPr="00B13B9A" w:rsidRDefault="00FB1833" w:rsidP="001457CE">
            <w:pPr>
              <w:jc w:val="both"/>
              <w:rPr>
                <w:rFonts w:asciiTheme="majorHAnsi" w:hAnsiTheme="majorHAnsi" w:cstheme="majorHAnsi"/>
                <w:noProof/>
                <w:color w:val="000000" w:themeColor="text1"/>
                <w:sz w:val="20"/>
                <w:szCs w:val="20"/>
                <w:lang w:val="ro-MD" w:eastAsia="ru-RU"/>
              </w:rPr>
            </w:pPr>
            <w:r w:rsidRPr="00B13B9A">
              <w:rPr>
                <w:rFonts w:asciiTheme="majorHAnsi" w:hAnsiTheme="majorHAnsi" w:cstheme="majorHAnsi"/>
                <w:noProof/>
                <w:color w:val="000000" w:themeColor="text1"/>
                <w:sz w:val="20"/>
                <w:szCs w:val="20"/>
                <w:lang w:val="ro-MD" w:eastAsia="ru-RU"/>
              </w:rPr>
              <w:t>Stabile</w:t>
            </w:r>
            <w:r w:rsidR="00B13B9A" w:rsidRPr="00B13B9A">
              <w:rPr>
                <w:rFonts w:asciiTheme="majorHAnsi" w:hAnsiTheme="majorHAnsi" w:cstheme="majorHAnsi"/>
                <w:noProof/>
                <w:color w:val="000000" w:themeColor="text1"/>
                <w:sz w:val="20"/>
                <w:szCs w:val="20"/>
                <w:lang w:val="ro-MD" w:eastAsia="ru-RU"/>
              </w:rPr>
              <w:t>ș</w:t>
            </w:r>
            <w:r w:rsidRPr="00B13B9A">
              <w:rPr>
                <w:rFonts w:asciiTheme="majorHAnsi" w:hAnsiTheme="majorHAnsi" w:cstheme="majorHAnsi"/>
                <w:noProof/>
                <w:color w:val="000000" w:themeColor="text1"/>
                <w:sz w:val="20"/>
                <w:szCs w:val="20"/>
                <w:lang w:val="ro-MD" w:eastAsia="ru-RU"/>
              </w:rPr>
              <w:t xml:space="preserve">te cadrul normativ de bază, principiile </w:t>
            </w:r>
            <w:r w:rsidR="00B13B9A" w:rsidRPr="00B13B9A">
              <w:rPr>
                <w:rFonts w:asciiTheme="majorHAnsi" w:hAnsiTheme="majorHAnsi" w:cstheme="majorHAnsi"/>
                <w:noProof/>
                <w:color w:val="000000" w:themeColor="text1"/>
                <w:sz w:val="20"/>
                <w:szCs w:val="20"/>
                <w:lang w:val="ro-MD" w:eastAsia="ru-RU"/>
              </w:rPr>
              <w:t>ș</w:t>
            </w:r>
            <w:r w:rsidRPr="00B13B9A">
              <w:rPr>
                <w:rFonts w:asciiTheme="majorHAnsi" w:hAnsiTheme="majorHAnsi" w:cstheme="majorHAnsi"/>
                <w:noProof/>
                <w:color w:val="000000" w:themeColor="text1"/>
                <w:sz w:val="20"/>
                <w:szCs w:val="20"/>
                <w:lang w:val="ro-MD" w:eastAsia="ru-RU"/>
              </w:rPr>
              <w:t>i cerin</w:t>
            </w:r>
            <w:r w:rsidR="00B13B9A" w:rsidRPr="00B13B9A">
              <w:rPr>
                <w:rFonts w:asciiTheme="majorHAnsi" w:hAnsiTheme="majorHAnsi" w:cstheme="majorHAnsi"/>
                <w:noProof/>
                <w:color w:val="000000" w:themeColor="text1"/>
                <w:sz w:val="20"/>
                <w:szCs w:val="20"/>
                <w:lang w:val="ro-MD" w:eastAsia="ru-RU"/>
              </w:rPr>
              <w:t>ț</w:t>
            </w:r>
            <w:r w:rsidRPr="00B13B9A">
              <w:rPr>
                <w:rFonts w:asciiTheme="majorHAnsi" w:hAnsiTheme="majorHAnsi" w:cstheme="majorHAnsi"/>
                <w:noProof/>
                <w:color w:val="000000" w:themeColor="text1"/>
                <w:sz w:val="20"/>
                <w:szCs w:val="20"/>
                <w:lang w:val="ro-MD" w:eastAsia="ru-RU"/>
              </w:rPr>
              <w:t xml:space="preserve">ele generale </w:t>
            </w:r>
            <w:r w:rsidR="00B13B9A" w:rsidRPr="00B13B9A">
              <w:rPr>
                <w:rFonts w:asciiTheme="majorHAnsi" w:hAnsiTheme="majorHAnsi" w:cstheme="majorHAnsi"/>
                <w:noProof/>
                <w:color w:val="000000" w:themeColor="text1"/>
                <w:sz w:val="20"/>
                <w:szCs w:val="20"/>
                <w:lang w:val="ro-MD" w:eastAsia="ru-RU"/>
              </w:rPr>
              <w:t>ș</w:t>
            </w:r>
            <w:r w:rsidRPr="00B13B9A">
              <w:rPr>
                <w:rFonts w:asciiTheme="majorHAnsi" w:hAnsiTheme="majorHAnsi" w:cstheme="majorHAnsi"/>
                <w:noProof/>
                <w:color w:val="000000" w:themeColor="text1"/>
                <w:sz w:val="20"/>
                <w:szCs w:val="20"/>
                <w:lang w:val="ro-MD" w:eastAsia="ru-RU"/>
              </w:rPr>
              <w:t>i mecanismul de reglementare în domeniul contabilită</w:t>
            </w:r>
            <w:r w:rsidR="00B13B9A" w:rsidRPr="00B13B9A">
              <w:rPr>
                <w:rFonts w:asciiTheme="majorHAnsi" w:hAnsiTheme="majorHAnsi" w:cstheme="majorHAnsi"/>
                <w:noProof/>
                <w:color w:val="000000" w:themeColor="text1"/>
                <w:sz w:val="20"/>
                <w:szCs w:val="20"/>
                <w:lang w:val="ro-MD" w:eastAsia="ru-RU"/>
              </w:rPr>
              <w:t>ț</w:t>
            </w:r>
            <w:r w:rsidRPr="00B13B9A">
              <w:rPr>
                <w:rFonts w:asciiTheme="majorHAnsi" w:hAnsiTheme="majorHAnsi" w:cstheme="majorHAnsi"/>
                <w:noProof/>
                <w:color w:val="000000" w:themeColor="text1"/>
                <w:sz w:val="20"/>
                <w:szCs w:val="20"/>
                <w:lang w:val="ro-MD" w:eastAsia="ru-RU"/>
              </w:rPr>
              <w:t xml:space="preserve">ii </w:t>
            </w:r>
            <w:r w:rsidR="00B13B9A" w:rsidRPr="00B13B9A">
              <w:rPr>
                <w:rFonts w:asciiTheme="majorHAnsi" w:hAnsiTheme="majorHAnsi" w:cstheme="majorHAnsi"/>
                <w:noProof/>
                <w:color w:val="000000" w:themeColor="text1"/>
                <w:sz w:val="20"/>
                <w:szCs w:val="20"/>
                <w:lang w:val="ro-MD" w:eastAsia="ru-RU"/>
              </w:rPr>
              <w:t>ș</w:t>
            </w:r>
            <w:r w:rsidRPr="00B13B9A">
              <w:rPr>
                <w:rFonts w:asciiTheme="majorHAnsi" w:hAnsiTheme="majorHAnsi" w:cstheme="majorHAnsi"/>
                <w:noProof/>
                <w:color w:val="000000" w:themeColor="text1"/>
                <w:sz w:val="20"/>
                <w:szCs w:val="20"/>
                <w:lang w:val="ro-MD" w:eastAsia="ru-RU"/>
              </w:rPr>
              <w:t>i raportării financiare.</w:t>
            </w:r>
          </w:p>
        </w:tc>
      </w:tr>
      <w:tr w:rsidR="00FB1833" w:rsidRPr="00B13B9A" w14:paraId="35293D3E" w14:textId="77777777" w:rsidTr="00046446">
        <w:trPr>
          <w:trHeight w:val="20"/>
        </w:trPr>
        <w:tc>
          <w:tcPr>
            <w:tcW w:w="3539" w:type="dxa"/>
          </w:tcPr>
          <w:p w14:paraId="5354F13F" w14:textId="24C12F83" w:rsidR="00FB1833" w:rsidRPr="00B13B9A" w:rsidRDefault="00FB1833" w:rsidP="001457CE">
            <w:pPr>
              <w:jc w:val="both"/>
              <w:rPr>
                <w:rFonts w:asciiTheme="majorHAnsi" w:hAnsiTheme="majorHAnsi" w:cstheme="majorHAnsi"/>
                <w:i/>
                <w:noProof/>
                <w:color w:val="000000" w:themeColor="text1"/>
                <w:sz w:val="20"/>
                <w:szCs w:val="20"/>
                <w:lang w:val="ro-MD" w:eastAsia="ru-RU"/>
              </w:rPr>
            </w:pPr>
            <w:r w:rsidRPr="00B13B9A">
              <w:rPr>
                <w:rFonts w:asciiTheme="majorHAnsi" w:hAnsiTheme="majorHAnsi" w:cstheme="majorHAnsi"/>
                <w:sz w:val="20"/>
                <w:szCs w:val="20"/>
                <w:lang w:val="ro-MD"/>
              </w:rPr>
              <w:t>Legea privind achizi</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iile publice nr. 131 din 03.07.2015</w:t>
            </w:r>
          </w:p>
        </w:tc>
        <w:tc>
          <w:tcPr>
            <w:tcW w:w="6379" w:type="dxa"/>
          </w:tcPr>
          <w:p w14:paraId="7CB7E06A" w14:textId="1A2C2196" w:rsidR="00FB1833" w:rsidRPr="00B13B9A" w:rsidRDefault="00FB1833" w:rsidP="001457CE">
            <w:pPr>
              <w:jc w:val="both"/>
              <w:rPr>
                <w:rFonts w:asciiTheme="majorHAnsi" w:hAnsiTheme="majorHAnsi" w:cstheme="majorHAnsi"/>
                <w:noProof/>
                <w:color w:val="000000" w:themeColor="text1"/>
                <w:sz w:val="20"/>
                <w:szCs w:val="20"/>
                <w:lang w:val="ro-MD" w:eastAsia="ru-RU"/>
              </w:rPr>
            </w:pPr>
            <w:r w:rsidRPr="00B13B9A">
              <w:rPr>
                <w:rFonts w:asciiTheme="majorHAnsi" w:hAnsiTheme="majorHAnsi" w:cstheme="majorHAnsi"/>
                <w:noProof/>
                <w:color w:val="000000" w:themeColor="text1"/>
                <w:sz w:val="20"/>
                <w:szCs w:val="20"/>
                <w:lang w:val="ro-MD" w:eastAsia="ru-RU"/>
              </w:rPr>
              <w:t>Reglementează ini</w:t>
            </w:r>
            <w:r w:rsidR="00B13B9A" w:rsidRPr="00B13B9A">
              <w:rPr>
                <w:rFonts w:asciiTheme="majorHAnsi" w:hAnsiTheme="majorHAnsi" w:cstheme="majorHAnsi"/>
                <w:noProof/>
                <w:color w:val="000000" w:themeColor="text1"/>
                <w:sz w:val="20"/>
                <w:szCs w:val="20"/>
                <w:lang w:val="ro-MD" w:eastAsia="ru-RU"/>
              </w:rPr>
              <w:t>ț</w:t>
            </w:r>
            <w:r w:rsidRPr="00B13B9A">
              <w:rPr>
                <w:rFonts w:asciiTheme="majorHAnsi" w:hAnsiTheme="majorHAnsi" w:cstheme="majorHAnsi"/>
                <w:noProof/>
                <w:color w:val="000000" w:themeColor="text1"/>
                <w:sz w:val="20"/>
                <w:szCs w:val="20"/>
                <w:lang w:val="ro-MD" w:eastAsia="ru-RU"/>
              </w:rPr>
              <w:t xml:space="preserve">ierea </w:t>
            </w:r>
            <w:r w:rsidR="00B13B9A" w:rsidRPr="00B13B9A">
              <w:rPr>
                <w:rFonts w:asciiTheme="majorHAnsi" w:hAnsiTheme="majorHAnsi" w:cstheme="majorHAnsi"/>
                <w:noProof/>
                <w:color w:val="000000" w:themeColor="text1"/>
                <w:sz w:val="20"/>
                <w:szCs w:val="20"/>
                <w:lang w:val="ro-MD" w:eastAsia="ru-RU"/>
              </w:rPr>
              <w:t>ș</w:t>
            </w:r>
            <w:r w:rsidRPr="00B13B9A">
              <w:rPr>
                <w:rFonts w:asciiTheme="majorHAnsi" w:hAnsiTheme="majorHAnsi" w:cstheme="majorHAnsi"/>
                <w:noProof/>
                <w:color w:val="000000" w:themeColor="text1"/>
                <w:sz w:val="20"/>
                <w:szCs w:val="20"/>
                <w:lang w:val="ro-MD" w:eastAsia="ru-RU"/>
              </w:rPr>
              <w:t>i desfă</w:t>
            </w:r>
            <w:r w:rsidR="00B13B9A" w:rsidRPr="00B13B9A">
              <w:rPr>
                <w:rFonts w:asciiTheme="majorHAnsi" w:hAnsiTheme="majorHAnsi" w:cstheme="majorHAnsi"/>
                <w:noProof/>
                <w:color w:val="000000" w:themeColor="text1"/>
                <w:sz w:val="20"/>
                <w:szCs w:val="20"/>
                <w:lang w:val="ro-MD" w:eastAsia="ru-RU"/>
              </w:rPr>
              <w:t>ș</w:t>
            </w:r>
            <w:r w:rsidRPr="00B13B9A">
              <w:rPr>
                <w:rFonts w:asciiTheme="majorHAnsi" w:hAnsiTheme="majorHAnsi" w:cstheme="majorHAnsi"/>
                <w:noProof/>
                <w:color w:val="000000" w:themeColor="text1"/>
                <w:sz w:val="20"/>
                <w:szCs w:val="20"/>
                <w:lang w:val="ro-MD" w:eastAsia="ru-RU"/>
              </w:rPr>
              <w:t>urarea procedurilor de achizi</w:t>
            </w:r>
            <w:r w:rsidR="00B13B9A" w:rsidRPr="00B13B9A">
              <w:rPr>
                <w:rFonts w:asciiTheme="majorHAnsi" w:hAnsiTheme="majorHAnsi" w:cstheme="majorHAnsi"/>
                <w:noProof/>
                <w:color w:val="000000" w:themeColor="text1"/>
                <w:sz w:val="20"/>
                <w:szCs w:val="20"/>
                <w:lang w:val="ro-MD" w:eastAsia="ru-RU"/>
              </w:rPr>
              <w:t>ț</w:t>
            </w:r>
            <w:r w:rsidRPr="00B13B9A">
              <w:rPr>
                <w:rFonts w:asciiTheme="majorHAnsi" w:hAnsiTheme="majorHAnsi" w:cstheme="majorHAnsi"/>
                <w:noProof/>
                <w:color w:val="000000" w:themeColor="text1"/>
                <w:sz w:val="20"/>
                <w:szCs w:val="20"/>
                <w:lang w:val="ro-MD" w:eastAsia="ru-RU"/>
              </w:rPr>
              <w:t>ie publică de către autorită</w:t>
            </w:r>
            <w:r w:rsidR="00B13B9A" w:rsidRPr="00B13B9A">
              <w:rPr>
                <w:rFonts w:asciiTheme="majorHAnsi" w:hAnsiTheme="majorHAnsi" w:cstheme="majorHAnsi"/>
                <w:noProof/>
                <w:color w:val="000000" w:themeColor="text1"/>
                <w:sz w:val="20"/>
                <w:szCs w:val="20"/>
                <w:lang w:val="ro-MD" w:eastAsia="ru-RU"/>
              </w:rPr>
              <w:t>ț</w:t>
            </w:r>
            <w:r w:rsidRPr="00B13B9A">
              <w:rPr>
                <w:rFonts w:asciiTheme="majorHAnsi" w:hAnsiTheme="majorHAnsi" w:cstheme="majorHAnsi"/>
                <w:noProof/>
                <w:color w:val="000000" w:themeColor="text1"/>
                <w:sz w:val="20"/>
                <w:szCs w:val="20"/>
                <w:lang w:val="ro-MD" w:eastAsia="ru-RU"/>
              </w:rPr>
              <w:t>ile contractante, avînd ca scop primordial utilizarea eficientă a resurselor financiare publice de către autorită</w:t>
            </w:r>
            <w:r w:rsidR="00B13B9A" w:rsidRPr="00B13B9A">
              <w:rPr>
                <w:rFonts w:asciiTheme="majorHAnsi" w:hAnsiTheme="majorHAnsi" w:cstheme="majorHAnsi"/>
                <w:noProof/>
                <w:color w:val="000000" w:themeColor="text1"/>
                <w:sz w:val="20"/>
                <w:szCs w:val="20"/>
                <w:lang w:val="ro-MD" w:eastAsia="ru-RU"/>
              </w:rPr>
              <w:t>ț</w:t>
            </w:r>
            <w:r w:rsidRPr="00B13B9A">
              <w:rPr>
                <w:rFonts w:asciiTheme="majorHAnsi" w:hAnsiTheme="majorHAnsi" w:cstheme="majorHAnsi"/>
                <w:noProof/>
                <w:color w:val="000000" w:themeColor="text1"/>
                <w:sz w:val="20"/>
                <w:szCs w:val="20"/>
                <w:lang w:val="ro-MD" w:eastAsia="ru-RU"/>
              </w:rPr>
              <w:t>ile contractante prin asigurarea concuren</w:t>
            </w:r>
            <w:r w:rsidR="00B13B9A" w:rsidRPr="00B13B9A">
              <w:rPr>
                <w:rFonts w:asciiTheme="majorHAnsi" w:hAnsiTheme="majorHAnsi" w:cstheme="majorHAnsi"/>
                <w:noProof/>
                <w:color w:val="000000" w:themeColor="text1"/>
                <w:sz w:val="20"/>
                <w:szCs w:val="20"/>
                <w:lang w:val="ro-MD" w:eastAsia="ru-RU"/>
              </w:rPr>
              <w:t>ț</w:t>
            </w:r>
            <w:r w:rsidRPr="00B13B9A">
              <w:rPr>
                <w:rFonts w:asciiTheme="majorHAnsi" w:hAnsiTheme="majorHAnsi" w:cstheme="majorHAnsi"/>
                <w:noProof/>
                <w:color w:val="000000" w:themeColor="text1"/>
                <w:sz w:val="20"/>
                <w:szCs w:val="20"/>
                <w:lang w:val="ro-MD" w:eastAsia="ru-RU"/>
              </w:rPr>
              <w:t>ei, tratarea tuturor operatorilor economici în egală masură prin asigurararea transparen</w:t>
            </w:r>
            <w:r w:rsidR="00B13B9A" w:rsidRPr="00B13B9A">
              <w:rPr>
                <w:rFonts w:asciiTheme="majorHAnsi" w:hAnsiTheme="majorHAnsi" w:cstheme="majorHAnsi"/>
                <w:noProof/>
                <w:color w:val="000000" w:themeColor="text1"/>
                <w:sz w:val="20"/>
                <w:szCs w:val="20"/>
                <w:lang w:val="ro-MD" w:eastAsia="ru-RU"/>
              </w:rPr>
              <w:t>ț</w:t>
            </w:r>
            <w:r w:rsidRPr="00B13B9A">
              <w:rPr>
                <w:rFonts w:asciiTheme="majorHAnsi" w:hAnsiTheme="majorHAnsi" w:cstheme="majorHAnsi"/>
                <w:noProof/>
                <w:color w:val="000000" w:themeColor="text1"/>
                <w:sz w:val="20"/>
                <w:szCs w:val="20"/>
                <w:lang w:val="ro-MD" w:eastAsia="ru-RU"/>
              </w:rPr>
              <w:t>ei achizi</w:t>
            </w:r>
            <w:r w:rsidR="00B13B9A" w:rsidRPr="00B13B9A">
              <w:rPr>
                <w:rFonts w:asciiTheme="majorHAnsi" w:hAnsiTheme="majorHAnsi" w:cstheme="majorHAnsi"/>
                <w:noProof/>
                <w:color w:val="000000" w:themeColor="text1"/>
                <w:sz w:val="20"/>
                <w:szCs w:val="20"/>
                <w:lang w:val="ro-MD" w:eastAsia="ru-RU"/>
              </w:rPr>
              <w:t>ț</w:t>
            </w:r>
            <w:r w:rsidRPr="00B13B9A">
              <w:rPr>
                <w:rFonts w:asciiTheme="majorHAnsi" w:hAnsiTheme="majorHAnsi" w:cstheme="majorHAnsi"/>
                <w:noProof/>
                <w:color w:val="000000" w:themeColor="text1"/>
                <w:sz w:val="20"/>
                <w:szCs w:val="20"/>
                <w:lang w:val="ro-MD" w:eastAsia="ru-RU"/>
              </w:rPr>
              <w:t xml:space="preserve">iilor publice. </w:t>
            </w:r>
          </w:p>
        </w:tc>
      </w:tr>
      <w:tr w:rsidR="00FB1833" w:rsidRPr="00B13B9A" w14:paraId="0BE5AE23" w14:textId="77777777" w:rsidTr="00046446">
        <w:trPr>
          <w:trHeight w:val="20"/>
        </w:trPr>
        <w:tc>
          <w:tcPr>
            <w:tcW w:w="3539" w:type="dxa"/>
          </w:tcPr>
          <w:p w14:paraId="0A1F3B62" w14:textId="054FE728" w:rsidR="00FB1833" w:rsidRPr="00B13B9A" w:rsidRDefault="00FB1833" w:rsidP="00585605">
            <w:pPr>
              <w:jc w:val="both"/>
              <w:rPr>
                <w:rFonts w:asciiTheme="majorHAnsi" w:hAnsiTheme="majorHAnsi" w:cstheme="majorHAnsi"/>
                <w:sz w:val="20"/>
                <w:szCs w:val="20"/>
                <w:lang w:val="ro-MD"/>
              </w:rPr>
            </w:pPr>
            <w:r w:rsidRPr="00B13B9A">
              <w:rPr>
                <w:rFonts w:asciiTheme="majorHAnsi" w:hAnsiTheme="majorHAnsi" w:cstheme="majorHAnsi"/>
                <w:sz w:val="20"/>
                <w:szCs w:val="20"/>
                <w:lang w:val="ro-MD"/>
              </w:rPr>
              <w:t>Legea nr.270 din 23.11.2018 privind sistemul unitar de salarizare în sectorul bugetar</w:t>
            </w:r>
          </w:p>
        </w:tc>
        <w:tc>
          <w:tcPr>
            <w:tcW w:w="6379" w:type="dxa"/>
          </w:tcPr>
          <w:p w14:paraId="6B35D97E" w14:textId="7419AAAE" w:rsidR="00FB1833" w:rsidRPr="00B13B9A" w:rsidRDefault="00FB1833" w:rsidP="001457CE">
            <w:pPr>
              <w:jc w:val="both"/>
              <w:rPr>
                <w:rFonts w:asciiTheme="majorHAnsi" w:hAnsiTheme="majorHAnsi" w:cstheme="majorHAnsi"/>
                <w:noProof/>
                <w:color w:val="000000" w:themeColor="text1"/>
                <w:sz w:val="20"/>
                <w:szCs w:val="20"/>
                <w:lang w:val="ro-MD" w:eastAsia="ru-RU"/>
              </w:rPr>
            </w:pPr>
            <w:r w:rsidRPr="00B13B9A">
              <w:rPr>
                <w:rFonts w:asciiTheme="majorHAnsi" w:hAnsiTheme="majorHAnsi" w:cstheme="majorHAnsi"/>
                <w:noProof/>
                <w:color w:val="000000" w:themeColor="text1"/>
                <w:sz w:val="20"/>
                <w:szCs w:val="20"/>
                <w:lang w:val="ro-MD" w:eastAsia="ru-RU"/>
              </w:rPr>
              <w:t xml:space="preserve">Reglementează stabilirea unui sistem unitar de salarizare în sectorul bugetar </w:t>
            </w:r>
            <w:r w:rsidR="00B13B9A" w:rsidRPr="00B13B9A">
              <w:rPr>
                <w:rFonts w:asciiTheme="majorHAnsi" w:hAnsiTheme="majorHAnsi" w:cstheme="majorHAnsi"/>
                <w:noProof/>
                <w:color w:val="000000" w:themeColor="text1"/>
                <w:sz w:val="20"/>
                <w:szCs w:val="20"/>
                <w:lang w:val="ro-MD" w:eastAsia="ru-RU"/>
              </w:rPr>
              <w:t>ș</w:t>
            </w:r>
            <w:r w:rsidRPr="00B13B9A">
              <w:rPr>
                <w:rFonts w:asciiTheme="majorHAnsi" w:hAnsiTheme="majorHAnsi" w:cstheme="majorHAnsi"/>
                <w:noProof/>
                <w:color w:val="000000" w:themeColor="text1"/>
                <w:sz w:val="20"/>
                <w:szCs w:val="20"/>
                <w:lang w:val="ro-MD" w:eastAsia="ru-RU"/>
              </w:rPr>
              <w:t xml:space="preserve">i reprezintă un cadru general ce cuprinde principiile, regulile </w:t>
            </w:r>
            <w:r w:rsidR="00B13B9A" w:rsidRPr="00B13B9A">
              <w:rPr>
                <w:rFonts w:asciiTheme="majorHAnsi" w:hAnsiTheme="majorHAnsi" w:cstheme="majorHAnsi"/>
                <w:noProof/>
                <w:color w:val="000000" w:themeColor="text1"/>
                <w:sz w:val="20"/>
                <w:szCs w:val="20"/>
                <w:lang w:val="ro-MD" w:eastAsia="ru-RU"/>
              </w:rPr>
              <w:t>ș</w:t>
            </w:r>
            <w:r w:rsidRPr="00B13B9A">
              <w:rPr>
                <w:rFonts w:asciiTheme="majorHAnsi" w:hAnsiTheme="majorHAnsi" w:cstheme="majorHAnsi"/>
                <w:noProof/>
                <w:color w:val="000000" w:themeColor="text1"/>
                <w:sz w:val="20"/>
                <w:szCs w:val="20"/>
                <w:lang w:val="ro-MD" w:eastAsia="ru-RU"/>
              </w:rPr>
              <w:t>i procedurile de stabilire a drepturilor salariale în raport cu ierarhia func</w:t>
            </w:r>
            <w:r w:rsidR="00B13B9A" w:rsidRPr="00B13B9A">
              <w:rPr>
                <w:rFonts w:asciiTheme="majorHAnsi" w:hAnsiTheme="majorHAnsi" w:cstheme="majorHAnsi"/>
                <w:noProof/>
                <w:color w:val="000000" w:themeColor="text1"/>
                <w:sz w:val="20"/>
                <w:szCs w:val="20"/>
                <w:lang w:val="ro-MD" w:eastAsia="ru-RU"/>
              </w:rPr>
              <w:t>ț</w:t>
            </w:r>
            <w:r w:rsidRPr="00B13B9A">
              <w:rPr>
                <w:rFonts w:asciiTheme="majorHAnsi" w:hAnsiTheme="majorHAnsi" w:cstheme="majorHAnsi"/>
                <w:noProof/>
                <w:color w:val="000000" w:themeColor="text1"/>
                <w:sz w:val="20"/>
                <w:szCs w:val="20"/>
                <w:lang w:val="ro-MD" w:eastAsia="ru-RU"/>
              </w:rPr>
              <w:t>iilor din sectorul bugetar.</w:t>
            </w:r>
          </w:p>
        </w:tc>
      </w:tr>
      <w:tr w:rsidR="00FB1833" w:rsidRPr="00B13B9A" w14:paraId="79C49072" w14:textId="77777777" w:rsidTr="00046446">
        <w:trPr>
          <w:trHeight w:val="20"/>
        </w:trPr>
        <w:tc>
          <w:tcPr>
            <w:tcW w:w="3539" w:type="dxa"/>
          </w:tcPr>
          <w:p w14:paraId="055635D5" w14:textId="333C928A" w:rsidR="00FB1833" w:rsidRPr="00B13B9A" w:rsidRDefault="00FB1833" w:rsidP="001457CE">
            <w:pPr>
              <w:jc w:val="both"/>
              <w:rPr>
                <w:rFonts w:asciiTheme="majorHAnsi" w:hAnsiTheme="majorHAnsi" w:cstheme="majorHAnsi"/>
                <w:sz w:val="20"/>
                <w:szCs w:val="20"/>
                <w:lang w:val="ro-MD"/>
              </w:rPr>
            </w:pPr>
            <w:r w:rsidRPr="00B13B9A">
              <w:rPr>
                <w:rFonts w:asciiTheme="majorHAnsi" w:hAnsiTheme="majorHAnsi" w:cstheme="majorHAnsi"/>
                <w:sz w:val="20"/>
                <w:szCs w:val="20"/>
                <w:lang w:val="ro-MD"/>
              </w:rPr>
              <w:t xml:space="preserve">Legea nr.121 din 04.05.2007 privind administrarea </w:t>
            </w:r>
            <w:r w:rsidR="00B13B9A" w:rsidRPr="00B13B9A">
              <w:rPr>
                <w:rFonts w:asciiTheme="majorHAnsi" w:hAnsiTheme="majorHAnsi" w:cstheme="majorHAnsi"/>
                <w:sz w:val="20"/>
                <w:szCs w:val="20"/>
                <w:lang w:val="ro-MD"/>
              </w:rPr>
              <w:t>ș</w:t>
            </w:r>
            <w:r w:rsidRPr="00B13B9A">
              <w:rPr>
                <w:rFonts w:asciiTheme="majorHAnsi" w:hAnsiTheme="majorHAnsi" w:cstheme="majorHAnsi"/>
                <w:sz w:val="20"/>
                <w:szCs w:val="20"/>
                <w:lang w:val="ro-MD"/>
              </w:rPr>
              <w:t>i deetatizarea proprietă</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ii publice</w:t>
            </w:r>
          </w:p>
        </w:tc>
        <w:tc>
          <w:tcPr>
            <w:tcW w:w="6379" w:type="dxa"/>
          </w:tcPr>
          <w:p w14:paraId="575BD9EF" w14:textId="1ECB0C61" w:rsidR="00FB1833" w:rsidRPr="00B13B9A" w:rsidRDefault="00FB1833" w:rsidP="001457CE">
            <w:pPr>
              <w:jc w:val="both"/>
              <w:rPr>
                <w:rFonts w:asciiTheme="majorHAnsi" w:hAnsiTheme="majorHAnsi" w:cstheme="majorHAnsi"/>
                <w:noProof/>
                <w:color w:val="000000" w:themeColor="text1"/>
                <w:sz w:val="20"/>
                <w:szCs w:val="20"/>
                <w:lang w:val="ro-MD" w:eastAsia="ru-RU"/>
              </w:rPr>
            </w:pPr>
            <w:r w:rsidRPr="00B13B9A">
              <w:rPr>
                <w:rFonts w:asciiTheme="majorHAnsi" w:hAnsiTheme="majorHAnsi" w:cstheme="majorHAnsi"/>
                <w:noProof/>
                <w:color w:val="000000" w:themeColor="text1"/>
                <w:sz w:val="20"/>
                <w:szCs w:val="20"/>
                <w:lang w:val="ro-MD" w:eastAsia="ru-RU"/>
              </w:rPr>
              <w:t xml:space="preserve">Reglementează raporturile ce </w:t>
            </w:r>
            <w:r w:rsidR="00B13B9A" w:rsidRPr="00B13B9A">
              <w:rPr>
                <w:rFonts w:asciiTheme="majorHAnsi" w:hAnsiTheme="majorHAnsi" w:cstheme="majorHAnsi"/>
                <w:noProof/>
                <w:color w:val="000000" w:themeColor="text1"/>
                <w:sz w:val="20"/>
                <w:szCs w:val="20"/>
                <w:lang w:val="ro-MD" w:eastAsia="ru-RU"/>
              </w:rPr>
              <w:t>ț</w:t>
            </w:r>
            <w:r w:rsidRPr="00B13B9A">
              <w:rPr>
                <w:rFonts w:asciiTheme="majorHAnsi" w:hAnsiTheme="majorHAnsi" w:cstheme="majorHAnsi"/>
                <w:noProof/>
                <w:color w:val="000000" w:themeColor="text1"/>
                <w:sz w:val="20"/>
                <w:szCs w:val="20"/>
                <w:lang w:val="ro-MD" w:eastAsia="ru-RU"/>
              </w:rPr>
              <w:t xml:space="preserve">in de administrarea </w:t>
            </w:r>
            <w:r w:rsidR="00B13B9A" w:rsidRPr="00B13B9A">
              <w:rPr>
                <w:rFonts w:asciiTheme="majorHAnsi" w:hAnsiTheme="majorHAnsi" w:cstheme="majorHAnsi"/>
                <w:noProof/>
                <w:color w:val="000000" w:themeColor="text1"/>
                <w:sz w:val="20"/>
                <w:szCs w:val="20"/>
                <w:lang w:val="ro-MD" w:eastAsia="ru-RU"/>
              </w:rPr>
              <w:t>ș</w:t>
            </w:r>
            <w:r w:rsidRPr="00B13B9A">
              <w:rPr>
                <w:rFonts w:asciiTheme="majorHAnsi" w:hAnsiTheme="majorHAnsi" w:cstheme="majorHAnsi"/>
                <w:noProof/>
                <w:color w:val="000000" w:themeColor="text1"/>
                <w:sz w:val="20"/>
                <w:szCs w:val="20"/>
                <w:lang w:val="ro-MD" w:eastAsia="ru-RU"/>
              </w:rPr>
              <w:t>i deetatizarea proprietă</w:t>
            </w:r>
            <w:r w:rsidR="00B13B9A" w:rsidRPr="00B13B9A">
              <w:rPr>
                <w:rFonts w:asciiTheme="majorHAnsi" w:hAnsiTheme="majorHAnsi" w:cstheme="majorHAnsi"/>
                <w:noProof/>
                <w:color w:val="000000" w:themeColor="text1"/>
                <w:sz w:val="20"/>
                <w:szCs w:val="20"/>
                <w:lang w:val="ro-MD" w:eastAsia="ru-RU"/>
              </w:rPr>
              <w:t>ț</w:t>
            </w:r>
            <w:r w:rsidRPr="00B13B9A">
              <w:rPr>
                <w:rFonts w:asciiTheme="majorHAnsi" w:hAnsiTheme="majorHAnsi" w:cstheme="majorHAnsi"/>
                <w:noProof/>
                <w:color w:val="000000" w:themeColor="text1"/>
                <w:sz w:val="20"/>
                <w:szCs w:val="20"/>
                <w:lang w:val="ro-MD" w:eastAsia="ru-RU"/>
              </w:rPr>
              <w:t>ii publice.</w:t>
            </w:r>
          </w:p>
        </w:tc>
      </w:tr>
      <w:tr w:rsidR="00FB1833" w:rsidRPr="00B13B9A" w14:paraId="4EAA7715" w14:textId="77777777" w:rsidTr="00046446">
        <w:trPr>
          <w:trHeight w:val="20"/>
        </w:trPr>
        <w:tc>
          <w:tcPr>
            <w:tcW w:w="3539" w:type="dxa"/>
          </w:tcPr>
          <w:p w14:paraId="04E65177" w14:textId="08D00F8F" w:rsidR="00FB1833" w:rsidRPr="00B13B9A" w:rsidRDefault="00FB1833" w:rsidP="001457CE">
            <w:pPr>
              <w:jc w:val="both"/>
              <w:rPr>
                <w:rFonts w:asciiTheme="majorHAnsi" w:hAnsiTheme="majorHAnsi" w:cstheme="majorHAnsi"/>
                <w:bCs/>
                <w:iCs/>
                <w:sz w:val="20"/>
                <w:szCs w:val="20"/>
                <w:lang w:val="ro-MD"/>
              </w:rPr>
            </w:pPr>
            <w:r w:rsidRPr="00B13B9A">
              <w:rPr>
                <w:rFonts w:asciiTheme="majorHAnsi" w:hAnsiTheme="majorHAnsi" w:cstheme="majorHAnsi"/>
                <w:sz w:val="20"/>
                <w:szCs w:val="20"/>
                <w:lang w:val="ro-MD"/>
              </w:rPr>
              <w:t>Legea nr.29 din 04.05.2018 privind delimitarea proprietă</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ii publice</w:t>
            </w:r>
          </w:p>
        </w:tc>
        <w:tc>
          <w:tcPr>
            <w:tcW w:w="6379" w:type="dxa"/>
          </w:tcPr>
          <w:p w14:paraId="12CFF303" w14:textId="6819F733" w:rsidR="00FB1833" w:rsidRPr="00B13B9A" w:rsidRDefault="00FB1833" w:rsidP="001457CE">
            <w:pPr>
              <w:jc w:val="both"/>
              <w:rPr>
                <w:rFonts w:asciiTheme="majorHAnsi" w:hAnsiTheme="majorHAnsi" w:cstheme="majorHAnsi"/>
                <w:noProof/>
                <w:color w:val="000000" w:themeColor="text1"/>
                <w:sz w:val="20"/>
                <w:szCs w:val="20"/>
                <w:lang w:val="ro-MD" w:eastAsia="ru-RU"/>
              </w:rPr>
            </w:pPr>
            <w:r w:rsidRPr="00B13B9A">
              <w:rPr>
                <w:rFonts w:asciiTheme="majorHAnsi" w:hAnsiTheme="majorHAnsi" w:cstheme="majorHAnsi"/>
                <w:noProof/>
                <w:color w:val="000000" w:themeColor="text1"/>
                <w:sz w:val="20"/>
                <w:szCs w:val="20"/>
                <w:lang w:val="ro-MD" w:eastAsia="ru-RU"/>
              </w:rPr>
              <w:t>Reglementează regimul juridic aplicabil proprietă</w:t>
            </w:r>
            <w:r w:rsidR="00B13B9A" w:rsidRPr="00B13B9A">
              <w:rPr>
                <w:rFonts w:asciiTheme="majorHAnsi" w:hAnsiTheme="majorHAnsi" w:cstheme="majorHAnsi"/>
                <w:noProof/>
                <w:color w:val="000000" w:themeColor="text1"/>
                <w:sz w:val="20"/>
                <w:szCs w:val="20"/>
                <w:lang w:val="ro-MD" w:eastAsia="ru-RU"/>
              </w:rPr>
              <w:t>ț</w:t>
            </w:r>
            <w:r w:rsidRPr="00B13B9A">
              <w:rPr>
                <w:rFonts w:asciiTheme="majorHAnsi" w:hAnsiTheme="majorHAnsi" w:cstheme="majorHAnsi"/>
                <w:noProof/>
                <w:color w:val="000000" w:themeColor="text1"/>
                <w:sz w:val="20"/>
                <w:szCs w:val="20"/>
                <w:lang w:val="ro-MD" w:eastAsia="ru-RU"/>
              </w:rPr>
              <w:t>ii publice, competen</w:t>
            </w:r>
            <w:r w:rsidR="00B13B9A" w:rsidRPr="00B13B9A">
              <w:rPr>
                <w:rFonts w:asciiTheme="majorHAnsi" w:hAnsiTheme="majorHAnsi" w:cstheme="majorHAnsi"/>
                <w:noProof/>
                <w:color w:val="000000" w:themeColor="text1"/>
                <w:sz w:val="20"/>
                <w:szCs w:val="20"/>
                <w:lang w:val="ro-MD" w:eastAsia="ru-RU"/>
              </w:rPr>
              <w:t>ț</w:t>
            </w:r>
            <w:r w:rsidRPr="00B13B9A">
              <w:rPr>
                <w:rFonts w:asciiTheme="majorHAnsi" w:hAnsiTheme="majorHAnsi" w:cstheme="majorHAnsi"/>
                <w:noProof/>
                <w:color w:val="000000" w:themeColor="text1"/>
                <w:sz w:val="20"/>
                <w:szCs w:val="20"/>
                <w:lang w:val="ro-MD" w:eastAsia="ru-RU"/>
              </w:rPr>
              <w:t xml:space="preserve">ele Guvernului </w:t>
            </w:r>
            <w:r w:rsidR="00B13B9A" w:rsidRPr="00B13B9A">
              <w:rPr>
                <w:rFonts w:asciiTheme="majorHAnsi" w:hAnsiTheme="majorHAnsi" w:cstheme="majorHAnsi"/>
                <w:noProof/>
                <w:color w:val="000000" w:themeColor="text1"/>
                <w:sz w:val="20"/>
                <w:szCs w:val="20"/>
                <w:lang w:val="ro-MD" w:eastAsia="ru-RU"/>
              </w:rPr>
              <w:t>ș</w:t>
            </w:r>
            <w:r w:rsidRPr="00B13B9A">
              <w:rPr>
                <w:rFonts w:asciiTheme="majorHAnsi" w:hAnsiTheme="majorHAnsi" w:cstheme="majorHAnsi"/>
                <w:noProof/>
                <w:color w:val="000000" w:themeColor="text1"/>
                <w:sz w:val="20"/>
                <w:szCs w:val="20"/>
                <w:lang w:val="ro-MD" w:eastAsia="ru-RU"/>
              </w:rPr>
              <w:t>i ale autorită</w:t>
            </w:r>
            <w:r w:rsidR="00B13B9A" w:rsidRPr="00B13B9A">
              <w:rPr>
                <w:rFonts w:asciiTheme="majorHAnsi" w:hAnsiTheme="majorHAnsi" w:cstheme="majorHAnsi"/>
                <w:noProof/>
                <w:color w:val="000000" w:themeColor="text1"/>
                <w:sz w:val="20"/>
                <w:szCs w:val="20"/>
                <w:lang w:val="ro-MD" w:eastAsia="ru-RU"/>
              </w:rPr>
              <w:t>ț</w:t>
            </w:r>
            <w:r w:rsidRPr="00B13B9A">
              <w:rPr>
                <w:rFonts w:asciiTheme="majorHAnsi" w:hAnsiTheme="majorHAnsi" w:cstheme="majorHAnsi"/>
                <w:noProof/>
                <w:color w:val="000000" w:themeColor="text1"/>
                <w:sz w:val="20"/>
                <w:szCs w:val="20"/>
                <w:lang w:val="ro-MD" w:eastAsia="ru-RU"/>
              </w:rPr>
              <w:t>ilor administra</w:t>
            </w:r>
            <w:r w:rsidR="00B13B9A" w:rsidRPr="00B13B9A">
              <w:rPr>
                <w:rFonts w:asciiTheme="majorHAnsi" w:hAnsiTheme="majorHAnsi" w:cstheme="majorHAnsi"/>
                <w:noProof/>
                <w:color w:val="000000" w:themeColor="text1"/>
                <w:sz w:val="20"/>
                <w:szCs w:val="20"/>
                <w:lang w:val="ro-MD" w:eastAsia="ru-RU"/>
              </w:rPr>
              <w:t>ț</w:t>
            </w:r>
            <w:r w:rsidRPr="00B13B9A">
              <w:rPr>
                <w:rFonts w:asciiTheme="majorHAnsi" w:hAnsiTheme="majorHAnsi" w:cstheme="majorHAnsi"/>
                <w:noProof/>
                <w:color w:val="000000" w:themeColor="text1"/>
                <w:sz w:val="20"/>
                <w:szCs w:val="20"/>
                <w:lang w:val="ro-MD" w:eastAsia="ru-RU"/>
              </w:rPr>
              <w:t xml:space="preserve">iei publice centrale </w:t>
            </w:r>
            <w:r w:rsidR="00B13B9A" w:rsidRPr="00B13B9A">
              <w:rPr>
                <w:rFonts w:asciiTheme="majorHAnsi" w:hAnsiTheme="majorHAnsi" w:cstheme="majorHAnsi"/>
                <w:noProof/>
                <w:color w:val="000000" w:themeColor="text1"/>
                <w:sz w:val="20"/>
                <w:szCs w:val="20"/>
                <w:lang w:val="ro-MD" w:eastAsia="ru-RU"/>
              </w:rPr>
              <w:t>ș</w:t>
            </w:r>
            <w:r w:rsidRPr="00B13B9A">
              <w:rPr>
                <w:rFonts w:asciiTheme="majorHAnsi" w:hAnsiTheme="majorHAnsi" w:cstheme="majorHAnsi"/>
                <w:noProof/>
                <w:color w:val="000000" w:themeColor="text1"/>
                <w:sz w:val="20"/>
                <w:szCs w:val="20"/>
                <w:lang w:val="ro-MD" w:eastAsia="ru-RU"/>
              </w:rPr>
              <w:t>i locale în procesul delimitării bunurilor proprietate publică</w:t>
            </w:r>
          </w:p>
        </w:tc>
      </w:tr>
      <w:tr w:rsidR="00FB1833" w:rsidRPr="00B13B9A" w14:paraId="4279712F" w14:textId="77777777" w:rsidTr="00046446">
        <w:trPr>
          <w:trHeight w:val="20"/>
        </w:trPr>
        <w:tc>
          <w:tcPr>
            <w:tcW w:w="3539" w:type="dxa"/>
          </w:tcPr>
          <w:p w14:paraId="7CA734EB" w14:textId="77777777" w:rsidR="00FB1833" w:rsidRPr="00B13B9A" w:rsidRDefault="00FB1833" w:rsidP="001457CE">
            <w:pPr>
              <w:jc w:val="both"/>
              <w:rPr>
                <w:rFonts w:asciiTheme="majorHAnsi" w:hAnsiTheme="majorHAnsi" w:cstheme="majorHAnsi"/>
                <w:sz w:val="20"/>
                <w:szCs w:val="20"/>
                <w:lang w:val="ro-MD"/>
              </w:rPr>
            </w:pPr>
            <w:r w:rsidRPr="00B13B9A">
              <w:rPr>
                <w:rFonts w:asciiTheme="majorHAnsi" w:hAnsiTheme="majorHAnsi" w:cstheme="majorHAnsi"/>
                <w:bCs/>
                <w:iCs/>
                <w:sz w:val="20"/>
                <w:szCs w:val="20"/>
                <w:lang w:val="ro-MD"/>
              </w:rPr>
              <w:t>Legea nr. 102 din 09.06.2017 cu privire la dispozitivele medicale</w:t>
            </w:r>
          </w:p>
        </w:tc>
        <w:tc>
          <w:tcPr>
            <w:tcW w:w="6379" w:type="dxa"/>
          </w:tcPr>
          <w:p w14:paraId="35A628D6" w14:textId="13AF473B" w:rsidR="00FB1833" w:rsidRPr="00B13B9A" w:rsidRDefault="00FB1833" w:rsidP="001457CE">
            <w:pPr>
              <w:jc w:val="both"/>
              <w:rPr>
                <w:rFonts w:asciiTheme="majorHAnsi" w:hAnsiTheme="majorHAnsi" w:cstheme="majorHAnsi"/>
                <w:noProof/>
                <w:color w:val="000000" w:themeColor="text1"/>
                <w:sz w:val="20"/>
                <w:szCs w:val="20"/>
                <w:lang w:val="ro-MD" w:eastAsia="ru-RU"/>
              </w:rPr>
            </w:pPr>
            <w:r w:rsidRPr="00B13B9A">
              <w:rPr>
                <w:rFonts w:asciiTheme="majorHAnsi" w:hAnsiTheme="majorHAnsi" w:cstheme="majorHAnsi"/>
                <w:noProof/>
                <w:color w:val="000000" w:themeColor="text1"/>
                <w:sz w:val="20"/>
                <w:szCs w:val="20"/>
                <w:lang w:val="ro-MD" w:eastAsia="ru-RU"/>
              </w:rPr>
              <w:t>Reglementează punerea în func</w:t>
            </w:r>
            <w:r w:rsidR="00B13B9A" w:rsidRPr="00B13B9A">
              <w:rPr>
                <w:rFonts w:asciiTheme="majorHAnsi" w:hAnsiTheme="majorHAnsi" w:cstheme="majorHAnsi"/>
                <w:noProof/>
                <w:color w:val="000000" w:themeColor="text1"/>
                <w:sz w:val="20"/>
                <w:szCs w:val="20"/>
                <w:lang w:val="ro-MD" w:eastAsia="ru-RU"/>
              </w:rPr>
              <w:t>ț</w:t>
            </w:r>
            <w:r w:rsidRPr="00B13B9A">
              <w:rPr>
                <w:rFonts w:asciiTheme="majorHAnsi" w:hAnsiTheme="majorHAnsi" w:cstheme="majorHAnsi"/>
                <w:noProof/>
                <w:color w:val="000000" w:themeColor="text1"/>
                <w:sz w:val="20"/>
                <w:szCs w:val="20"/>
                <w:lang w:val="ro-MD" w:eastAsia="ru-RU"/>
              </w:rPr>
              <w:t xml:space="preserve">iune a dispozitivelor medicale, cadrul legal </w:t>
            </w:r>
            <w:r w:rsidR="00B13B9A" w:rsidRPr="00B13B9A">
              <w:rPr>
                <w:rFonts w:asciiTheme="majorHAnsi" w:hAnsiTheme="majorHAnsi" w:cstheme="majorHAnsi"/>
                <w:noProof/>
                <w:color w:val="000000" w:themeColor="text1"/>
                <w:sz w:val="20"/>
                <w:szCs w:val="20"/>
                <w:lang w:val="ro-MD" w:eastAsia="ru-RU"/>
              </w:rPr>
              <w:t>ș</w:t>
            </w:r>
            <w:r w:rsidRPr="00B13B9A">
              <w:rPr>
                <w:rFonts w:asciiTheme="majorHAnsi" w:hAnsiTheme="majorHAnsi" w:cstheme="majorHAnsi"/>
                <w:noProof/>
                <w:color w:val="000000" w:themeColor="text1"/>
                <w:sz w:val="20"/>
                <w:szCs w:val="20"/>
                <w:lang w:val="ro-MD" w:eastAsia="ru-RU"/>
              </w:rPr>
              <w:t>i institu</w:t>
            </w:r>
            <w:r w:rsidR="00B13B9A" w:rsidRPr="00B13B9A">
              <w:rPr>
                <w:rFonts w:asciiTheme="majorHAnsi" w:hAnsiTheme="majorHAnsi" w:cstheme="majorHAnsi"/>
                <w:noProof/>
                <w:color w:val="000000" w:themeColor="text1"/>
                <w:sz w:val="20"/>
                <w:szCs w:val="20"/>
                <w:lang w:val="ro-MD" w:eastAsia="ru-RU"/>
              </w:rPr>
              <w:t>ț</w:t>
            </w:r>
            <w:r w:rsidRPr="00B13B9A">
              <w:rPr>
                <w:rFonts w:asciiTheme="majorHAnsi" w:hAnsiTheme="majorHAnsi" w:cstheme="majorHAnsi"/>
                <w:noProof/>
                <w:color w:val="000000" w:themeColor="text1"/>
                <w:sz w:val="20"/>
                <w:szCs w:val="20"/>
                <w:lang w:val="ro-MD" w:eastAsia="ru-RU"/>
              </w:rPr>
              <w:t xml:space="preserve">ional pentru controlul </w:t>
            </w:r>
            <w:r w:rsidR="00B13B9A" w:rsidRPr="00B13B9A">
              <w:rPr>
                <w:rFonts w:asciiTheme="majorHAnsi" w:hAnsiTheme="majorHAnsi" w:cstheme="majorHAnsi"/>
                <w:noProof/>
                <w:color w:val="000000" w:themeColor="text1"/>
                <w:sz w:val="20"/>
                <w:szCs w:val="20"/>
                <w:lang w:val="ro-MD" w:eastAsia="ru-RU"/>
              </w:rPr>
              <w:t>ș</w:t>
            </w:r>
            <w:r w:rsidRPr="00B13B9A">
              <w:rPr>
                <w:rFonts w:asciiTheme="majorHAnsi" w:hAnsiTheme="majorHAnsi" w:cstheme="majorHAnsi"/>
                <w:noProof/>
                <w:color w:val="000000" w:themeColor="text1"/>
                <w:sz w:val="20"/>
                <w:szCs w:val="20"/>
                <w:lang w:val="ro-MD" w:eastAsia="ru-RU"/>
              </w:rPr>
              <w:t>i supravegherea dispozitivelor medicale aflate în utilizare.</w:t>
            </w:r>
          </w:p>
        </w:tc>
      </w:tr>
      <w:tr w:rsidR="00FB1833" w:rsidRPr="00B13B9A" w14:paraId="5B1DDF05" w14:textId="77777777" w:rsidTr="00046446">
        <w:trPr>
          <w:trHeight w:val="20"/>
        </w:trPr>
        <w:tc>
          <w:tcPr>
            <w:tcW w:w="3539" w:type="dxa"/>
          </w:tcPr>
          <w:p w14:paraId="47F7F0F0" w14:textId="7CF835BD" w:rsidR="00FB1833" w:rsidRPr="00B13B9A" w:rsidRDefault="00FB1833" w:rsidP="001457CE">
            <w:pPr>
              <w:jc w:val="both"/>
              <w:rPr>
                <w:rFonts w:asciiTheme="majorHAnsi" w:hAnsiTheme="majorHAnsi" w:cstheme="majorHAnsi"/>
                <w:sz w:val="20"/>
                <w:szCs w:val="20"/>
                <w:lang w:val="ro-MD"/>
              </w:rPr>
            </w:pPr>
            <w:r w:rsidRPr="00B13B9A">
              <w:rPr>
                <w:rFonts w:asciiTheme="majorHAnsi" w:hAnsiTheme="majorHAnsi" w:cstheme="majorHAnsi"/>
                <w:sz w:val="20"/>
                <w:szCs w:val="20"/>
                <w:lang w:val="ro-MD"/>
              </w:rPr>
              <w:t>Legea nr. 306 30.11.2018 privind siguran</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a alimentelor</w:t>
            </w:r>
          </w:p>
        </w:tc>
        <w:tc>
          <w:tcPr>
            <w:tcW w:w="6379" w:type="dxa"/>
          </w:tcPr>
          <w:p w14:paraId="0DE3115D" w14:textId="45B33B31" w:rsidR="00FB1833" w:rsidRPr="00B13B9A" w:rsidRDefault="00FB1833" w:rsidP="001457CE">
            <w:pPr>
              <w:jc w:val="both"/>
              <w:rPr>
                <w:rFonts w:asciiTheme="majorHAnsi" w:hAnsiTheme="majorHAnsi" w:cstheme="majorHAnsi"/>
                <w:noProof/>
                <w:color w:val="000000" w:themeColor="text1"/>
                <w:sz w:val="20"/>
                <w:szCs w:val="20"/>
                <w:lang w:val="ro-MD" w:eastAsia="ru-RU"/>
              </w:rPr>
            </w:pPr>
            <w:r w:rsidRPr="00B13B9A">
              <w:rPr>
                <w:rFonts w:asciiTheme="majorHAnsi" w:hAnsiTheme="majorHAnsi" w:cstheme="majorHAnsi"/>
                <w:noProof/>
                <w:color w:val="000000" w:themeColor="text1"/>
                <w:sz w:val="20"/>
                <w:szCs w:val="20"/>
                <w:lang w:val="ro-MD" w:eastAsia="ru-RU"/>
              </w:rPr>
              <w:t>Stabile</w:t>
            </w:r>
            <w:r w:rsidR="00B13B9A" w:rsidRPr="00B13B9A">
              <w:rPr>
                <w:rFonts w:asciiTheme="majorHAnsi" w:hAnsiTheme="majorHAnsi" w:cstheme="majorHAnsi"/>
                <w:noProof/>
                <w:color w:val="000000" w:themeColor="text1"/>
                <w:sz w:val="20"/>
                <w:szCs w:val="20"/>
                <w:lang w:val="ro-MD" w:eastAsia="ru-RU"/>
              </w:rPr>
              <w:t>ș</w:t>
            </w:r>
            <w:r w:rsidRPr="00B13B9A">
              <w:rPr>
                <w:rFonts w:asciiTheme="majorHAnsi" w:hAnsiTheme="majorHAnsi" w:cstheme="majorHAnsi"/>
                <w:noProof/>
                <w:color w:val="000000" w:themeColor="text1"/>
                <w:sz w:val="20"/>
                <w:szCs w:val="20"/>
                <w:lang w:val="ro-MD" w:eastAsia="ru-RU"/>
              </w:rPr>
              <w:t>te principiile generale de reglementare a domeniului produselor alimentare.</w:t>
            </w:r>
          </w:p>
        </w:tc>
      </w:tr>
      <w:tr w:rsidR="00FB1833" w:rsidRPr="00B13B9A" w14:paraId="3D695CDB" w14:textId="77777777" w:rsidTr="00046446">
        <w:trPr>
          <w:trHeight w:val="20"/>
        </w:trPr>
        <w:tc>
          <w:tcPr>
            <w:tcW w:w="3539" w:type="dxa"/>
          </w:tcPr>
          <w:p w14:paraId="2401B289" w14:textId="3193AA5C" w:rsidR="00FB1833" w:rsidRPr="00B13B9A" w:rsidRDefault="00FB1833" w:rsidP="001457CE">
            <w:pPr>
              <w:jc w:val="both"/>
              <w:rPr>
                <w:rFonts w:asciiTheme="majorHAnsi" w:hAnsiTheme="majorHAnsi" w:cstheme="majorHAnsi"/>
                <w:sz w:val="20"/>
                <w:szCs w:val="20"/>
                <w:lang w:val="ro-MD"/>
              </w:rPr>
            </w:pPr>
            <w:r w:rsidRPr="00B13B9A">
              <w:rPr>
                <w:rFonts w:asciiTheme="majorHAnsi" w:hAnsiTheme="majorHAnsi" w:cstheme="majorHAnsi"/>
                <w:sz w:val="20"/>
                <w:szCs w:val="20"/>
                <w:lang w:val="ro-MD"/>
              </w:rPr>
              <w:t>HG nr. 837 din 06.07.2016 pentru aprobarea Regulamentului privind salarizarea angaja</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ilor din institu</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iile medico-sanitare publice încadrate în sistemul asigurării obligatorii de asisten</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a medicală</w:t>
            </w:r>
          </w:p>
        </w:tc>
        <w:tc>
          <w:tcPr>
            <w:tcW w:w="6379" w:type="dxa"/>
          </w:tcPr>
          <w:p w14:paraId="702B04F0" w14:textId="32154183" w:rsidR="00FB1833" w:rsidRPr="00B13B9A" w:rsidRDefault="00FB1833" w:rsidP="001457CE">
            <w:pPr>
              <w:jc w:val="both"/>
              <w:rPr>
                <w:rFonts w:asciiTheme="majorHAnsi" w:hAnsiTheme="majorHAnsi" w:cstheme="majorHAnsi"/>
                <w:noProof/>
                <w:color w:val="000000" w:themeColor="text1"/>
                <w:sz w:val="20"/>
                <w:szCs w:val="20"/>
                <w:lang w:val="ro-MD" w:eastAsia="ru-RU"/>
              </w:rPr>
            </w:pPr>
            <w:r w:rsidRPr="00B13B9A">
              <w:rPr>
                <w:rFonts w:asciiTheme="majorHAnsi" w:hAnsiTheme="majorHAnsi" w:cstheme="majorHAnsi"/>
                <w:noProof/>
                <w:color w:val="000000" w:themeColor="text1"/>
                <w:sz w:val="20"/>
                <w:szCs w:val="20"/>
                <w:lang w:val="ro-MD" w:eastAsia="ru-RU"/>
              </w:rPr>
              <w:t>Stabile</w:t>
            </w:r>
            <w:r w:rsidR="00B13B9A" w:rsidRPr="00B13B9A">
              <w:rPr>
                <w:rFonts w:asciiTheme="majorHAnsi" w:hAnsiTheme="majorHAnsi" w:cstheme="majorHAnsi"/>
                <w:noProof/>
                <w:color w:val="000000" w:themeColor="text1"/>
                <w:sz w:val="20"/>
                <w:szCs w:val="20"/>
                <w:lang w:val="ro-MD" w:eastAsia="ru-RU"/>
              </w:rPr>
              <w:t>ș</w:t>
            </w:r>
            <w:r w:rsidRPr="00B13B9A">
              <w:rPr>
                <w:rFonts w:asciiTheme="majorHAnsi" w:hAnsiTheme="majorHAnsi" w:cstheme="majorHAnsi"/>
                <w:noProof/>
                <w:color w:val="000000" w:themeColor="text1"/>
                <w:sz w:val="20"/>
                <w:szCs w:val="20"/>
                <w:lang w:val="ro-MD" w:eastAsia="ru-RU"/>
              </w:rPr>
              <w:t xml:space="preserve">te modul, mărimea </w:t>
            </w:r>
            <w:r w:rsidR="00B13B9A" w:rsidRPr="00B13B9A">
              <w:rPr>
                <w:rFonts w:asciiTheme="majorHAnsi" w:hAnsiTheme="majorHAnsi" w:cstheme="majorHAnsi"/>
                <w:noProof/>
                <w:color w:val="000000" w:themeColor="text1"/>
                <w:sz w:val="20"/>
                <w:szCs w:val="20"/>
                <w:lang w:val="ro-MD" w:eastAsia="ru-RU"/>
              </w:rPr>
              <w:t>ș</w:t>
            </w:r>
            <w:r w:rsidRPr="00B13B9A">
              <w:rPr>
                <w:rFonts w:asciiTheme="majorHAnsi" w:hAnsiTheme="majorHAnsi" w:cstheme="majorHAnsi"/>
                <w:noProof/>
                <w:color w:val="000000" w:themeColor="text1"/>
                <w:sz w:val="20"/>
                <w:szCs w:val="20"/>
                <w:lang w:val="ro-MD" w:eastAsia="ru-RU"/>
              </w:rPr>
              <w:t>i condi</w:t>
            </w:r>
            <w:r w:rsidR="00B13B9A" w:rsidRPr="00B13B9A">
              <w:rPr>
                <w:rFonts w:asciiTheme="majorHAnsi" w:hAnsiTheme="majorHAnsi" w:cstheme="majorHAnsi"/>
                <w:noProof/>
                <w:color w:val="000000" w:themeColor="text1"/>
                <w:sz w:val="20"/>
                <w:szCs w:val="20"/>
                <w:lang w:val="ro-MD" w:eastAsia="ru-RU"/>
              </w:rPr>
              <w:t>ț</w:t>
            </w:r>
            <w:r w:rsidRPr="00B13B9A">
              <w:rPr>
                <w:rFonts w:asciiTheme="majorHAnsi" w:hAnsiTheme="majorHAnsi" w:cstheme="majorHAnsi"/>
                <w:noProof/>
                <w:color w:val="000000" w:themeColor="text1"/>
                <w:sz w:val="20"/>
                <w:szCs w:val="20"/>
                <w:lang w:val="ro-MD" w:eastAsia="ru-RU"/>
              </w:rPr>
              <w:t>iile de remunerare a muncii angaja</w:t>
            </w:r>
            <w:r w:rsidR="00B13B9A" w:rsidRPr="00B13B9A">
              <w:rPr>
                <w:rFonts w:asciiTheme="majorHAnsi" w:hAnsiTheme="majorHAnsi" w:cstheme="majorHAnsi"/>
                <w:noProof/>
                <w:color w:val="000000" w:themeColor="text1"/>
                <w:sz w:val="20"/>
                <w:szCs w:val="20"/>
                <w:lang w:val="ro-MD" w:eastAsia="ru-RU"/>
              </w:rPr>
              <w:t>ț</w:t>
            </w:r>
            <w:r w:rsidRPr="00B13B9A">
              <w:rPr>
                <w:rFonts w:asciiTheme="majorHAnsi" w:hAnsiTheme="majorHAnsi" w:cstheme="majorHAnsi"/>
                <w:noProof/>
                <w:color w:val="000000" w:themeColor="text1"/>
                <w:sz w:val="20"/>
                <w:szCs w:val="20"/>
                <w:lang w:val="ro-MD" w:eastAsia="ru-RU"/>
              </w:rPr>
              <w:t>ilor încadra</w:t>
            </w:r>
            <w:r w:rsidR="00B13B9A" w:rsidRPr="00B13B9A">
              <w:rPr>
                <w:rFonts w:asciiTheme="majorHAnsi" w:hAnsiTheme="majorHAnsi" w:cstheme="majorHAnsi"/>
                <w:noProof/>
                <w:color w:val="000000" w:themeColor="text1"/>
                <w:sz w:val="20"/>
                <w:szCs w:val="20"/>
                <w:lang w:val="ro-MD" w:eastAsia="ru-RU"/>
              </w:rPr>
              <w:t>ț</w:t>
            </w:r>
            <w:r w:rsidRPr="00B13B9A">
              <w:rPr>
                <w:rFonts w:asciiTheme="majorHAnsi" w:hAnsiTheme="majorHAnsi" w:cstheme="majorHAnsi"/>
                <w:noProof/>
                <w:color w:val="000000" w:themeColor="text1"/>
                <w:sz w:val="20"/>
                <w:szCs w:val="20"/>
                <w:lang w:val="ro-MD" w:eastAsia="ru-RU"/>
              </w:rPr>
              <w:t>i în institu</w:t>
            </w:r>
            <w:r w:rsidR="00B13B9A" w:rsidRPr="00B13B9A">
              <w:rPr>
                <w:rFonts w:asciiTheme="majorHAnsi" w:hAnsiTheme="majorHAnsi" w:cstheme="majorHAnsi"/>
                <w:noProof/>
                <w:color w:val="000000" w:themeColor="text1"/>
                <w:sz w:val="20"/>
                <w:szCs w:val="20"/>
                <w:lang w:val="ro-MD" w:eastAsia="ru-RU"/>
              </w:rPr>
              <w:t>ț</w:t>
            </w:r>
            <w:r w:rsidRPr="00B13B9A">
              <w:rPr>
                <w:rFonts w:asciiTheme="majorHAnsi" w:hAnsiTheme="majorHAnsi" w:cstheme="majorHAnsi"/>
                <w:noProof/>
                <w:color w:val="000000" w:themeColor="text1"/>
                <w:sz w:val="20"/>
                <w:szCs w:val="20"/>
                <w:lang w:val="ro-MD" w:eastAsia="ru-RU"/>
              </w:rPr>
              <w:t>iile medico-sanitare publice.</w:t>
            </w:r>
          </w:p>
        </w:tc>
      </w:tr>
      <w:tr w:rsidR="00FB1833" w:rsidRPr="00B13B9A" w14:paraId="0700171C" w14:textId="77777777" w:rsidTr="00046446">
        <w:trPr>
          <w:trHeight w:val="20"/>
        </w:trPr>
        <w:tc>
          <w:tcPr>
            <w:tcW w:w="3539" w:type="dxa"/>
          </w:tcPr>
          <w:p w14:paraId="0E1C062B" w14:textId="4AAB07B4" w:rsidR="00FB1833" w:rsidRPr="00B13B9A" w:rsidRDefault="00FB1833" w:rsidP="001457CE">
            <w:pPr>
              <w:jc w:val="both"/>
              <w:rPr>
                <w:rFonts w:asciiTheme="majorHAnsi" w:hAnsiTheme="majorHAnsi" w:cstheme="majorHAnsi"/>
                <w:sz w:val="20"/>
                <w:szCs w:val="20"/>
                <w:lang w:val="ro-MD"/>
              </w:rPr>
            </w:pPr>
            <w:r w:rsidRPr="00B13B9A">
              <w:rPr>
                <w:rFonts w:asciiTheme="majorHAnsi" w:hAnsiTheme="majorHAnsi" w:cstheme="majorHAnsi"/>
                <w:sz w:val="20"/>
                <w:szCs w:val="20"/>
                <w:lang w:val="ro-MD"/>
              </w:rPr>
              <w:t>HG 1387 din 10.12.2007 cu privire la aprobarea Programului unic al asigurării obligatorii de asisten</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ă medicală</w:t>
            </w:r>
          </w:p>
        </w:tc>
        <w:tc>
          <w:tcPr>
            <w:tcW w:w="6379" w:type="dxa"/>
          </w:tcPr>
          <w:p w14:paraId="64255378" w14:textId="43FF415D" w:rsidR="00FB1833" w:rsidRPr="00B13B9A" w:rsidRDefault="00FB1833" w:rsidP="001457CE">
            <w:pPr>
              <w:jc w:val="both"/>
              <w:rPr>
                <w:rFonts w:asciiTheme="majorHAnsi" w:hAnsiTheme="majorHAnsi" w:cstheme="majorHAnsi"/>
                <w:noProof/>
                <w:color w:val="000000" w:themeColor="text1"/>
                <w:sz w:val="20"/>
                <w:szCs w:val="20"/>
                <w:lang w:val="ro-MD" w:eastAsia="ru-RU"/>
              </w:rPr>
            </w:pPr>
            <w:r w:rsidRPr="00B13B9A">
              <w:rPr>
                <w:rFonts w:asciiTheme="majorHAnsi" w:hAnsiTheme="majorHAnsi" w:cstheme="majorHAnsi"/>
                <w:noProof/>
                <w:color w:val="000000" w:themeColor="text1"/>
                <w:sz w:val="20"/>
                <w:szCs w:val="20"/>
                <w:lang w:val="ro-MD" w:eastAsia="ru-RU"/>
              </w:rPr>
              <w:t>Stabile</w:t>
            </w:r>
            <w:r w:rsidR="00B13B9A" w:rsidRPr="00B13B9A">
              <w:rPr>
                <w:rFonts w:asciiTheme="majorHAnsi" w:hAnsiTheme="majorHAnsi" w:cstheme="majorHAnsi"/>
                <w:noProof/>
                <w:color w:val="000000" w:themeColor="text1"/>
                <w:sz w:val="20"/>
                <w:szCs w:val="20"/>
                <w:lang w:val="ro-MD" w:eastAsia="ru-RU"/>
              </w:rPr>
              <w:t>ș</w:t>
            </w:r>
            <w:r w:rsidRPr="00B13B9A">
              <w:rPr>
                <w:rFonts w:asciiTheme="majorHAnsi" w:hAnsiTheme="majorHAnsi" w:cstheme="majorHAnsi"/>
                <w:noProof/>
                <w:color w:val="000000" w:themeColor="text1"/>
                <w:sz w:val="20"/>
                <w:szCs w:val="20"/>
                <w:lang w:val="ro-MD" w:eastAsia="ru-RU"/>
              </w:rPr>
              <w:t>te volumul asisten</w:t>
            </w:r>
            <w:r w:rsidR="00B13B9A" w:rsidRPr="00B13B9A">
              <w:rPr>
                <w:rFonts w:asciiTheme="majorHAnsi" w:hAnsiTheme="majorHAnsi" w:cstheme="majorHAnsi"/>
                <w:noProof/>
                <w:color w:val="000000" w:themeColor="text1"/>
                <w:sz w:val="20"/>
                <w:szCs w:val="20"/>
                <w:lang w:val="ro-MD" w:eastAsia="ru-RU"/>
              </w:rPr>
              <w:t>ț</w:t>
            </w:r>
            <w:r w:rsidRPr="00B13B9A">
              <w:rPr>
                <w:rFonts w:asciiTheme="majorHAnsi" w:hAnsiTheme="majorHAnsi" w:cstheme="majorHAnsi"/>
                <w:noProof/>
                <w:color w:val="000000" w:themeColor="text1"/>
                <w:sz w:val="20"/>
                <w:szCs w:val="20"/>
                <w:lang w:val="ro-MD" w:eastAsia="ru-RU"/>
              </w:rPr>
              <w:t>ei acordate persoanelor de către institu</w:t>
            </w:r>
            <w:r w:rsidR="00B13B9A" w:rsidRPr="00B13B9A">
              <w:rPr>
                <w:rFonts w:asciiTheme="majorHAnsi" w:hAnsiTheme="majorHAnsi" w:cstheme="majorHAnsi"/>
                <w:noProof/>
                <w:color w:val="000000" w:themeColor="text1"/>
                <w:sz w:val="20"/>
                <w:szCs w:val="20"/>
                <w:lang w:val="ro-MD" w:eastAsia="ru-RU"/>
              </w:rPr>
              <w:t>ț</w:t>
            </w:r>
            <w:r w:rsidRPr="00B13B9A">
              <w:rPr>
                <w:rFonts w:asciiTheme="majorHAnsi" w:hAnsiTheme="majorHAnsi" w:cstheme="majorHAnsi"/>
                <w:noProof/>
                <w:color w:val="000000" w:themeColor="text1"/>
                <w:sz w:val="20"/>
                <w:szCs w:val="20"/>
                <w:lang w:val="ro-MD" w:eastAsia="ru-RU"/>
              </w:rPr>
              <w:t>iile medico-sanitare contractate de Compania Na</w:t>
            </w:r>
            <w:r w:rsidR="00B13B9A" w:rsidRPr="00B13B9A">
              <w:rPr>
                <w:rFonts w:asciiTheme="majorHAnsi" w:hAnsiTheme="majorHAnsi" w:cstheme="majorHAnsi"/>
                <w:noProof/>
                <w:color w:val="000000" w:themeColor="text1"/>
                <w:sz w:val="20"/>
                <w:szCs w:val="20"/>
                <w:lang w:val="ro-MD" w:eastAsia="ru-RU"/>
              </w:rPr>
              <w:t>ț</w:t>
            </w:r>
            <w:r w:rsidRPr="00B13B9A">
              <w:rPr>
                <w:rFonts w:asciiTheme="majorHAnsi" w:hAnsiTheme="majorHAnsi" w:cstheme="majorHAnsi"/>
                <w:noProof/>
                <w:color w:val="000000" w:themeColor="text1"/>
                <w:sz w:val="20"/>
                <w:szCs w:val="20"/>
                <w:lang w:val="ro-MD" w:eastAsia="ru-RU"/>
              </w:rPr>
              <w:t>ională de Asigurări în Medicină.</w:t>
            </w:r>
          </w:p>
        </w:tc>
      </w:tr>
      <w:tr w:rsidR="00FB1833" w:rsidRPr="00B13B9A" w14:paraId="500069F4" w14:textId="77777777" w:rsidTr="00046446">
        <w:trPr>
          <w:trHeight w:val="20"/>
        </w:trPr>
        <w:tc>
          <w:tcPr>
            <w:tcW w:w="3539" w:type="dxa"/>
          </w:tcPr>
          <w:p w14:paraId="298351F5" w14:textId="42EBFBFF" w:rsidR="00FB1833" w:rsidRPr="00B13B9A" w:rsidRDefault="00FB1833" w:rsidP="001457CE">
            <w:pPr>
              <w:jc w:val="both"/>
              <w:rPr>
                <w:rFonts w:asciiTheme="majorHAnsi" w:hAnsiTheme="majorHAnsi" w:cstheme="majorHAnsi"/>
                <w:sz w:val="20"/>
                <w:szCs w:val="20"/>
                <w:lang w:val="ro-MD"/>
              </w:rPr>
            </w:pPr>
            <w:r w:rsidRPr="00B13B9A">
              <w:rPr>
                <w:rFonts w:asciiTheme="majorHAnsi" w:hAnsiTheme="majorHAnsi" w:cstheme="majorHAnsi"/>
                <w:sz w:val="20"/>
                <w:szCs w:val="20"/>
                <w:lang w:val="ro-MD"/>
              </w:rPr>
              <w:t>Hotărârea Guvernului nr.1507 din 31.12.2008 cu privire la aprobarea Planului de dezvoltare a contabilită</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 xml:space="preserve">ii </w:t>
            </w:r>
            <w:r w:rsidR="00B13B9A" w:rsidRPr="00B13B9A">
              <w:rPr>
                <w:rFonts w:asciiTheme="majorHAnsi" w:hAnsiTheme="majorHAnsi" w:cstheme="majorHAnsi"/>
                <w:sz w:val="20"/>
                <w:szCs w:val="20"/>
                <w:lang w:val="ro-MD"/>
              </w:rPr>
              <w:t>ș</w:t>
            </w:r>
            <w:r w:rsidRPr="00B13B9A">
              <w:rPr>
                <w:rFonts w:asciiTheme="majorHAnsi" w:hAnsiTheme="majorHAnsi" w:cstheme="majorHAnsi"/>
                <w:sz w:val="20"/>
                <w:szCs w:val="20"/>
                <w:lang w:val="ro-MD"/>
              </w:rPr>
              <w:t>i auditului în sectorul corporativ pe ani 2009-2014</w:t>
            </w:r>
          </w:p>
        </w:tc>
        <w:tc>
          <w:tcPr>
            <w:tcW w:w="6379" w:type="dxa"/>
          </w:tcPr>
          <w:p w14:paraId="2DEBF41B" w14:textId="00FC1FA1" w:rsidR="00FB1833" w:rsidRPr="00B13B9A" w:rsidRDefault="00FB1833" w:rsidP="001457CE">
            <w:pPr>
              <w:jc w:val="both"/>
              <w:rPr>
                <w:rFonts w:asciiTheme="majorHAnsi" w:hAnsiTheme="majorHAnsi" w:cstheme="majorHAnsi"/>
                <w:noProof/>
                <w:color w:val="000000" w:themeColor="text1"/>
                <w:sz w:val="20"/>
                <w:szCs w:val="20"/>
                <w:lang w:val="ro-MD" w:eastAsia="ru-RU"/>
              </w:rPr>
            </w:pPr>
            <w:r w:rsidRPr="00B13B9A">
              <w:rPr>
                <w:rFonts w:asciiTheme="majorHAnsi" w:hAnsiTheme="majorHAnsi" w:cstheme="majorHAnsi"/>
                <w:noProof/>
                <w:color w:val="000000" w:themeColor="text1"/>
                <w:sz w:val="20"/>
                <w:szCs w:val="20"/>
                <w:lang w:val="ro-MD" w:eastAsia="ru-RU"/>
              </w:rPr>
              <w:t>Stabile</w:t>
            </w:r>
            <w:r w:rsidR="00B13B9A" w:rsidRPr="00B13B9A">
              <w:rPr>
                <w:rFonts w:asciiTheme="majorHAnsi" w:hAnsiTheme="majorHAnsi" w:cstheme="majorHAnsi"/>
                <w:noProof/>
                <w:color w:val="000000" w:themeColor="text1"/>
                <w:sz w:val="20"/>
                <w:szCs w:val="20"/>
                <w:lang w:val="ro-MD" w:eastAsia="ru-RU"/>
              </w:rPr>
              <w:t>ș</w:t>
            </w:r>
            <w:r w:rsidRPr="00B13B9A">
              <w:rPr>
                <w:rFonts w:asciiTheme="majorHAnsi" w:hAnsiTheme="majorHAnsi" w:cstheme="majorHAnsi"/>
                <w:noProof/>
                <w:color w:val="000000" w:themeColor="text1"/>
                <w:sz w:val="20"/>
                <w:szCs w:val="20"/>
                <w:lang w:val="ro-MD" w:eastAsia="ru-RU"/>
              </w:rPr>
              <w:t>te priorită</w:t>
            </w:r>
            <w:r w:rsidR="00B13B9A" w:rsidRPr="00B13B9A">
              <w:rPr>
                <w:rFonts w:asciiTheme="majorHAnsi" w:hAnsiTheme="majorHAnsi" w:cstheme="majorHAnsi"/>
                <w:noProof/>
                <w:color w:val="000000" w:themeColor="text1"/>
                <w:sz w:val="20"/>
                <w:szCs w:val="20"/>
                <w:lang w:val="ro-MD" w:eastAsia="ru-RU"/>
              </w:rPr>
              <w:t>ț</w:t>
            </w:r>
            <w:r w:rsidRPr="00B13B9A">
              <w:rPr>
                <w:rFonts w:asciiTheme="majorHAnsi" w:hAnsiTheme="majorHAnsi" w:cstheme="majorHAnsi"/>
                <w:noProof/>
                <w:color w:val="000000" w:themeColor="text1"/>
                <w:sz w:val="20"/>
                <w:szCs w:val="20"/>
                <w:lang w:val="ro-MD" w:eastAsia="ru-RU"/>
              </w:rPr>
              <w:t>ile de dezvoltare a contabilită</w:t>
            </w:r>
            <w:r w:rsidR="00B13B9A" w:rsidRPr="00B13B9A">
              <w:rPr>
                <w:rFonts w:asciiTheme="majorHAnsi" w:hAnsiTheme="majorHAnsi" w:cstheme="majorHAnsi"/>
                <w:noProof/>
                <w:color w:val="000000" w:themeColor="text1"/>
                <w:sz w:val="20"/>
                <w:szCs w:val="20"/>
                <w:lang w:val="ro-MD" w:eastAsia="ru-RU"/>
              </w:rPr>
              <w:t>ț</w:t>
            </w:r>
            <w:r w:rsidRPr="00B13B9A">
              <w:rPr>
                <w:rFonts w:asciiTheme="majorHAnsi" w:hAnsiTheme="majorHAnsi" w:cstheme="majorHAnsi"/>
                <w:noProof/>
                <w:color w:val="000000" w:themeColor="text1"/>
                <w:sz w:val="20"/>
                <w:szCs w:val="20"/>
                <w:lang w:val="ro-MD" w:eastAsia="ru-RU"/>
              </w:rPr>
              <w:t xml:space="preserve">ii </w:t>
            </w:r>
            <w:r w:rsidR="00B13B9A" w:rsidRPr="00B13B9A">
              <w:rPr>
                <w:rFonts w:asciiTheme="majorHAnsi" w:hAnsiTheme="majorHAnsi" w:cstheme="majorHAnsi"/>
                <w:noProof/>
                <w:color w:val="000000" w:themeColor="text1"/>
                <w:sz w:val="20"/>
                <w:szCs w:val="20"/>
                <w:lang w:val="ro-MD" w:eastAsia="ru-RU"/>
              </w:rPr>
              <w:t>ș</w:t>
            </w:r>
            <w:r w:rsidRPr="00B13B9A">
              <w:rPr>
                <w:rFonts w:asciiTheme="majorHAnsi" w:hAnsiTheme="majorHAnsi" w:cstheme="majorHAnsi"/>
                <w:noProof/>
                <w:color w:val="000000" w:themeColor="text1"/>
                <w:sz w:val="20"/>
                <w:szCs w:val="20"/>
                <w:lang w:val="ro-MD" w:eastAsia="ru-RU"/>
              </w:rPr>
              <w:t xml:space="preserve">i auditului în Republica Moldova </w:t>
            </w:r>
            <w:r w:rsidR="00B13B9A" w:rsidRPr="00B13B9A">
              <w:rPr>
                <w:rFonts w:asciiTheme="majorHAnsi" w:hAnsiTheme="majorHAnsi" w:cstheme="majorHAnsi"/>
                <w:noProof/>
                <w:color w:val="000000" w:themeColor="text1"/>
                <w:sz w:val="20"/>
                <w:szCs w:val="20"/>
                <w:lang w:val="ro-MD" w:eastAsia="ru-RU"/>
              </w:rPr>
              <w:t>ș</w:t>
            </w:r>
            <w:r w:rsidRPr="00B13B9A">
              <w:rPr>
                <w:rFonts w:asciiTheme="majorHAnsi" w:hAnsiTheme="majorHAnsi" w:cstheme="majorHAnsi"/>
                <w:noProof/>
                <w:color w:val="000000" w:themeColor="text1"/>
                <w:sz w:val="20"/>
                <w:szCs w:val="20"/>
                <w:lang w:val="ro-MD" w:eastAsia="ru-RU"/>
              </w:rPr>
              <w:t>i stabile</w:t>
            </w:r>
            <w:r w:rsidR="00B13B9A" w:rsidRPr="00B13B9A">
              <w:rPr>
                <w:rFonts w:asciiTheme="majorHAnsi" w:hAnsiTheme="majorHAnsi" w:cstheme="majorHAnsi"/>
                <w:noProof/>
                <w:color w:val="000000" w:themeColor="text1"/>
                <w:sz w:val="20"/>
                <w:szCs w:val="20"/>
                <w:lang w:val="ro-MD" w:eastAsia="ru-RU"/>
              </w:rPr>
              <w:t>ș</w:t>
            </w:r>
            <w:r w:rsidRPr="00B13B9A">
              <w:rPr>
                <w:rFonts w:asciiTheme="majorHAnsi" w:hAnsiTheme="majorHAnsi" w:cstheme="majorHAnsi"/>
                <w:noProof/>
                <w:color w:val="000000" w:themeColor="text1"/>
                <w:sz w:val="20"/>
                <w:szCs w:val="20"/>
                <w:lang w:val="ro-MD" w:eastAsia="ru-RU"/>
              </w:rPr>
              <w:t xml:space="preserve">te măsurile </w:t>
            </w:r>
            <w:r w:rsidR="00B13B9A" w:rsidRPr="00B13B9A">
              <w:rPr>
                <w:rFonts w:asciiTheme="majorHAnsi" w:hAnsiTheme="majorHAnsi" w:cstheme="majorHAnsi"/>
                <w:noProof/>
                <w:color w:val="000000" w:themeColor="text1"/>
                <w:sz w:val="20"/>
                <w:szCs w:val="20"/>
                <w:lang w:val="ro-MD" w:eastAsia="ru-RU"/>
              </w:rPr>
              <w:t>ș</w:t>
            </w:r>
            <w:r w:rsidRPr="00B13B9A">
              <w:rPr>
                <w:rFonts w:asciiTheme="majorHAnsi" w:hAnsiTheme="majorHAnsi" w:cstheme="majorHAnsi"/>
                <w:noProof/>
                <w:color w:val="000000" w:themeColor="text1"/>
                <w:sz w:val="20"/>
                <w:szCs w:val="20"/>
                <w:lang w:val="ro-MD" w:eastAsia="ru-RU"/>
              </w:rPr>
              <w:t>i ac</w:t>
            </w:r>
            <w:r w:rsidR="00B13B9A" w:rsidRPr="00B13B9A">
              <w:rPr>
                <w:rFonts w:asciiTheme="majorHAnsi" w:hAnsiTheme="majorHAnsi" w:cstheme="majorHAnsi"/>
                <w:noProof/>
                <w:color w:val="000000" w:themeColor="text1"/>
                <w:sz w:val="20"/>
                <w:szCs w:val="20"/>
                <w:lang w:val="ro-MD" w:eastAsia="ru-RU"/>
              </w:rPr>
              <w:t>ț</w:t>
            </w:r>
            <w:r w:rsidRPr="00B13B9A">
              <w:rPr>
                <w:rFonts w:asciiTheme="majorHAnsi" w:hAnsiTheme="majorHAnsi" w:cstheme="majorHAnsi"/>
                <w:noProof/>
                <w:color w:val="000000" w:themeColor="text1"/>
                <w:sz w:val="20"/>
                <w:szCs w:val="20"/>
                <w:lang w:val="ro-MD" w:eastAsia="ru-RU"/>
              </w:rPr>
              <w:t>iunile necesare pentru realizarea acestor priorită</w:t>
            </w:r>
            <w:r w:rsidR="00B13B9A" w:rsidRPr="00B13B9A">
              <w:rPr>
                <w:rFonts w:asciiTheme="majorHAnsi" w:hAnsiTheme="majorHAnsi" w:cstheme="majorHAnsi"/>
                <w:noProof/>
                <w:color w:val="000000" w:themeColor="text1"/>
                <w:sz w:val="20"/>
                <w:szCs w:val="20"/>
                <w:lang w:val="ro-MD" w:eastAsia="ru-RU"/>
              </w:rPr>
              <w:t>ț</w:t>
            </w:r>
            <w:r w:rsidRPr="00B13B9A">
              <w:rPr>
                <w:rFonts w:asciiTheme="majorHAnsi" w:hAnsiTheme="majorHAnsi" w:cstheme="majorHAnsi"/>
                <w:noProof/>
                <w:color w:val="000000" w:themeColor="text1"/>
                <w:sz w:val="20"/>
                <w:szCs w:val="20"/>
                <w:lang w:val="ro-MD" w:eastAsia="ru-RU"/>
              </w:rPr>
              <w:t>i.</w:t>
            </w:r>
          </w:p>
        </w:tc>
      </w:tr>
      <w:tr w:rsidR="00FB1833" w:rsidRPr="00B13B9A" w14:paraId="1A731613" w14:textId="77777777" w:rsidTr="00046446">
        <w:trPr>
          <w:trHeight w:val="20"/>
        </w:trPr>
        <w:tc>
          <w:tcPr>
            <w:tcW w:w="3539" w:type="dxa"/>
          </w:tcPr>
          <w:p w14:paraId="3AED8DAF" w14:textId="77777777" w:rsidR="00FB1833" w:rsidRPr="00B13B9A" w:rsidRDefault="00FB1833" w:rsidP="001457CE">
            <w:pPr>
              <w:jc w:val="both"/>
              <w:rPr>
                <w:rFonts w:asciiTheme="majorHAnsi" w:hAnsiTheme="majorHAnsi" w:cstheme="majorHAnsi"/>
                <w:sz w:val="20"/>
                <w:szCs w:val="20"/>
                <w:lang w:val="ro-MD"/>
              </w:rPr>
            </w:pPr>
            <w:r w:rsidRPr="00B13B9A">
              <w:rPr>
                <w:rFonts w:asciiTheme="majorHAnsi" w:hAnsiTheme="majorHAnsi" w:cstheme="majorHAnsi"/>
                <w:sz w:val="20"/>
                <w:szCs w:val="20"/>
                <w:lang w:val="ro-MD"/>
              </w:rPr>
              <w:t>HG nr. 500 din 12.05.1998 despre aprobarea Regulamentului privind casarea bunurilor uzate, raportate la mijloacele fixe</w:t>
            </w:r>
          </w:p>
        </w:tc>
        <w:tc>
          <w:tcPr>
            <w:tcW w:w="6379" w:type="dxa"/>
          </w:tcPr>
          <w:p w14:paraId="46613676" w14:textId="791D8F01" w:rsidR="00FB1833" w:rsidRPr="00B13B9A" w:rsidRDefault="00FB1833" w:rsidP="001457CE">
            <w:pPr>
              <w:jc w:val="both"/>
              <w:rPr>
                <w:rFonts w:asciiTheme="majorHAnsi" w:hAnsiTheme="majorHAnsi" w:cstheme="majorHAnsi"/>
                <w:noProof/>
                <w:color w:val="000000" w:themeColor="text1"/>
                <w:sz w:val="20"/>
                <w:szCs w:val="20"/>
                <w:lang w:val="ro-MD" w:eastAsia="ru-RU"/>
              </w:rPr>
            </w:pPr>
            <w:r w:rsidRPr="00B13B9A">
              <w:rPr>
                <w:rFonts w:asciiTheme="majorHAnsi" w:hAnsiTheme="majorHAnsi" w:cstheme="majorHAnsi"/>
                <w:noProof/>
                <w:color w:val="000000" w:themeColor="text1"/>
                <w:sz w:val="20"/>
                <w:szCs w:val="20"/>
                <w:lang w:val="ro-MD" w:eastAsia="ru-RU"/>
              </w:rPr>
              <w:t>Reglementează modul de casare a bunurilor imobile, a ma</w:t>
            </w:r>
            <w:r w:rsidR="00B13B9A" w:rsidRPr="00B13B9A">
              <w:rPr>
                <w:rFonts w:asciiTheme="majorHAnsi" w:hAnsiTheme="majorHAnsi" w:cstheme="majorHAnsi"/>
                <w:noProof/>
                <w:color w:val="000000" w:themeColor="text1"/>
                <w:sz w:val="20"/>
                <w:szCs w:val="20"/>
                <w:lang w:val="ro-MD" w:eastAsia="ru-RU"/>
              </w:rPr>
              <w:t>ș</w:t>
            </w:r>
            <w:r w:rsidRPr="00B13B9A">
              <w:rPr>
                <w:rFonts w:asciiTheme="majorHAnsi" w:hAnsiTheme="majorHAnsi" w:cstheme="majorHAnsi"/>
                <w:noProof/>
                <w:color w:val="000000" w:themeColor="text1"/>
                <w:sz w:val="20"/>
                <w:szCs w:val="20"/>
                <w:lang w:val="ro-MD" w:eastAsia="ru-RU"/>
              </w:rPr>
              <w:t>inilor, utilajelor, unită</w:t>
            </w:r>
            <w:r w:rsidR="00B13B9A" w:rsidRPr="00B13B9A">
              <w:rPr>
                <w:rFonts w:asciiTheme="majorHAnsi" w:hAnsiTheme="majorHAnsi" w:cstheme="majorHAnsi"/>
                <w:noProof/>
                <w:color w:val="000000" w:themeColor="text1"/>
                <w:sz w:val="20"/>
                <w:szCs w:val="20"/>
                <w:lang w:val="ro-MD" w:eastAsia="ru-RU"/>
              </w:rPr>
              <w:t>ț</w:t>
            </w:r>
            <w:r w:rsidRPr="00B13B9A">
              <w:rPr>
                <w:rFonts w:asciiTheme="majorHAnsi" w:hAnsiTheme="majorHAnsi" w:cstheme="majorHAnsi"/>
                <w:noProof/>
                <w:color w:val="000000" w:themeColor="text1"/>
                <w:sz w:val="20"/>
                <w:szCs w:val="20"/>
                <w:lang w:val="ro-MD" w:eastAsia="ru-RU"/>
              </w:rPr>
              <w:t xml:space="preserve">ilor de transport </w:t>
            </w:r>
            <w:r w:rsidR="00B13B9A" w:rsidRPr="00B13B9A">
              <w:rPr>
                <w:rFonts w:asciiTheme="majorHAnsi" w:hAnsiTheme="majorHAnsi" w:cstheme="majorHAnsi"/>
                <w:noProof/>
                <w:color w:val="000000" w:themeColor="text1"/>
                <w:sz w:val="20"/>
                <w:szCs w:val="20"/>
                <w:lang w:val="ro-MD" w:eastAsia="ru-RU"/>
              </w:rPr>
              <w:t>ș</w:t>
            </w:r>
            <w:r w:rsidRPr="00B13B9A">
              <w:rPr>
                <w:rFonts w:asciiTheme="majorHAnsi" w:hAnsiTheme="majorHAnsi" w:cstheme="majorHAnsi"/>
                <w:noProof/>
                <w:color w:val="000000" w:themeColor="text1"/>
                <w:sz w:val="20"/>
                <w:szCs w:val="20"/>
                <w:lang w:val="ro-MD" w:eastAsia="ru-RU"/>
              </w:rPr>
              <w:t>i altor bunuri uzate, raportate la mijloacele fixe.</w:t>
            </w:r>
          </w:p>
        </w:tc>
      </w:tr>
      <w:tr w:rsidR="00FB1833" w:rsidRPr="00B13B9A" w14:paraId="57ABD81F" w14:textId="77777777" w:rsidTr="00046446">
        <w:trPr>
          <w:trHeight w:val="20"/>
        </w:trPr>
        <w:tc>
          <w:tcPr>
            <w:tcW w:w="3539" w:type="dxa"/>
          </w:tcPr>
          <w:p w14:paraId="4C229C23" w14:textId="7C3C1987" w:rsidR="00FB1833" w:rsidRPr="00B13B9A" w:rsidRDefault="00FB1833" w:rsidP="001457CE">
            <w:pPr>
              <w:jc w:val="both"/>
              <w:rPr>
                <w:rFonts w:asciiTheme="majorHAnsi" w:hAnsiTheme="majorHAnsi" w:cstheme="majorHAnsi"/>
                <w:sz w:val="20"/>
                <w:szCs w:val="20"/>
                <w:lang w:val="ro-MD"/>
              </w:rPr>
            </w:pPr>
            <w:r w:rsidRPr="00B13B9A">
              <w:rPr>
                <w:rFonts w:asciiTheme="majorHAnsi" w:hAnsiTheme="majorHAnsi" w:cstheme="majorHAnsi"/>
                <w:bCs/>
                <w:iCs/>
                <w:sz w:val="20"/>
                <w:szCs w:val="20"/>
                <w:lang w:val="ro-MD"/>
              </w:rPr>
              <w:t>HG nr. 966 din 14.11.2017 pentru aprobarea Regulamentului privind verificarea periodică a dispozitivelor medicale puse în func</w:t>
            </w:r>
            <w:r w:rsidR="00B13B9A" w:rsidRPr="00B13B9A">
              <w:rPr>
                <w:rFonts w:asciiTheme="majorHAnsi" w:hAnsiTheme="majorHAnsi" w:cstheme="majorHAnsi"/>
                <w:bCs/>
                <w:iCs/>
                <w:sz w:val="20"/>
                <w:szCs w:val="20"/>
                <w:lang w:val="ro-MD"/>
              </w:rPr>
              <w:t>ț</w:t>
            </w:r>
            <w:r w:rsidRPr="00B13B9A">
              <w:rPr>
                <w:rFonts w:asciiTheme="majorHAnsi" w:hAnsiTheme="majorHAnsi" w:cstheme="majorHAnsi"/>
                <w:bCs/>
                <w:iCs/>
                <w:sz w:val="20"/>
                <w:szCs w:val="20"/>
                <w:lang w:val="ro-MD"/>
              </w:rPr>
              <w:t xml:space="preserve">iune </w:t>
            </w:r>
            <w:r w:rsidR="00B13B9A" w:rsidRPr="00B13B9A">
              <w:rPr>
                <w:rFonts w:asciiTheme="majorHAnsi" w:hAnsiTheme="majorHAnsi" w:cstheme="majorHAnsi"/>
                <w:bCs/>
                <w:iCs/>
                <w:sz w:val="20"/>
                <w:szCs w:val="20"/>
                <w:lang w:val="ro-MD"/>
              </w:rPr>
              <w:t>ș</w:t>
            </w:r>
            <w:r w:rsidRPr="00B13B9A">
              <w:rPr>
                <w:rFonts w:asciiTheme="majorHAnsi" w:hAnsiTheme="majorHAnsi" w:cstheme="majorHAnsi"/>
                <w:bCs/>
                <w:iCs/>
                <w:sz w:val="20"/>
                <w:szCs w:val="20"/>
                <w:lang w:val="ro-MD"/>
              </w:rPr>
              <w:t>i aflate în utilizare</w:t>
            </w:r>
          </w:p>
        </w:tc>
        <w:tc>
          <w:tcPr>
            <w:tcW w:w="6379" w:type="dxa"/>
          </w:tcPr>
          <w:p w14:paraId="66CCBE42" w14:textId="76024D75" w:rsidR="00FB1833" w:rsidRPr="00B13B9A" w:rsidRDefault="00FB1833" w:rsidP="001457CE">
            <w:pPr>
              <w:jc w:val="both"/>
              <w:rPr>
                <w:rFonts w:asciiTheme="majorHAnsi" w:hAnsiTheme="majorHAnsi" w:cstheme="majorHAnsi"/>
                <w:noProof/>
                <w:color w:val="000000" w:themeColor="text1"/>
                <w:sz w:val="20"/>
                <w:szCs w:val="20"/>
                <w:lang w:val="ro-MD" w:eastAsia="ru-RU"/>
              </w:rPr>
            </w:pPr>
            <w:r w:rsidRPr="00B13B9A">
              <w:rPr>
                <w:rFonts w:asciiTheme="majorHAnsi" w:hAnsiTheme="majorHAnsi" w:cstheme="majorHAnsi"/>
                <w:noProof/>
                <w:color w:val="000000" w:themeColor="text1"/>
                <w:sz w:val="20"/>
                <w:szCs w:val="20"/>
                <w:lang w:val="ro-MD" w:eastAsia="ru-RU"/>
              </w:rPr>
              <w:t>Stabile</w:t>
            </w:r>
            <w:r w:rsidR="00B13B9A" w:rsidRPr="00B13B9A">
              <w:rPr>
                <w:rFonts w:asciiTheme="majorHAnsi" w:hAnsiTheme="majorHAnsi" w:cstheme="majorHAnsi"/>
                <w:noProof/>
                <w:color w:val="000000" w:themeColor="text1"/>
                <w:sz w:val="20"/>
                <w:szCs w:val="20"/>
                <w:lang w:val="ro-MD" w:eastAsia="ru-RU"/>
              </w:rPr>
              <w:t>ș</w:t>
            </w:r>
            <w:r w:rsidRPr="00B13B9A">
              <w:rPr>
                <w:rFonts w:asciiTheme="majorHAnsi" w:hAnsiTheme="majorHAnsi" w:cstheme="majorHAnsi"/>
                <w:noProof/>
                <w:color w:val="000000" w:themeColor="text1"/>
                <w:sz w:val="20"/>
                <w:szCs w:val="20"/>
                <w:lang w:val="ro-MD" w:eastAsia="ru-RU"/>
              </w:rPr>
              <w:t xml:space="preserve">te nomenclatorul, periodicitatea </w:t>
            </w:r>
            <w:r w:rsidR="00B13B9A" w:rsidRPr="00B13B9A">
              <w:rPr>
                <w:rFonts w:asciiTheme="majorHAnsi" w:hAnsiTheme="majorHAnsi" w:cstheme="majorHAnsi"/>
                <w:noProof/>
                <w:color w:val="000000" w:themeColor="text1"/>
                <w:sz w:val="20"/>
                <w:szCs w:val="20"/>
                <w:lang w:val="ro-MD" w:eastAsia="ru-RU"/>
              </w:rPr>
              <w:t>ș</w:t>
            </w:r>
            <w:r w:rsidRPr="00B13B9A">
              <w:rPr>
                <w:rFonts w:asciiTheme="majorHAnsi" w:hAnsiTheme="majorHAnsi" w:cstheme="majorHAnsi"/>
                <w:noProof/>
                <w:color w:val="000000" w:themeColor="text1"/>
                <w:sz w:val="20"/>
                <w:szCs w:val="20"/>
                <w:lang w:val="ro-MD" w:eastAsia="ru-RU"/>
              </w:rPr>
              <w:t>i mecanismul de verificare obligatorie a dispozitivelor medicale puse în func</w:t>
            </w:r>
            <w:r w:rsidR="00B13B9A" w:rsidRPr="00B13B9A">
              <w:rPr>
                <w:rFonts w:asciiTheme="majorHAnsi" w:hAnsiTheme="majorHAnsi" w:cstheme="majorHAnsi"/>
                <w:noProof/>
                <w:color w:val="000000" w:themeColor="text1"/>
                <w:sz w:val="20"/>
                <w:szCs w:val="20"/>
                <w:lang w:val="ro-MD" w:eastAsia="ru-RU"/>
              </w:rPr>
              <w:t>ț</w:t>
            </w:r>
            <w:r w:rsidRPr="00B13B9A">
              <w:rPr>
                <w:rFonts w:asciiTheme="majorHAnsi" w:hAnsiTheme="majorHAnsi" w:cstheme="majorHAnsi"/>
                <w:noProof/>
                <w:color w:val="000000" w:themeColor="text1"/>
                <w:sz w:val="20"/>
                <w:szCs w:val="20"/>
                <w:lang w:val="ro-MD" w:eastAsia="ru-RU"/>
              </w:rPr>
              <w:t xml:space="preserve">iune </w:t>
            </w:r>
            <w:r w:rsidR="00B13B9A" w:rsidRPr="00B13B9A">
              <w:rPr>
                <w:rFonts w:asciiTheme="majorHAnsi" w:hAnsiTheme="majorHAnsi" w:cstheme="majorHAnsi"/>
                <w:noProof/>
                <w:color w:val="000000" w:themeColor="text1"/>
                <w:sz w:val="20"/>
                <w:szCs w:val="20"/>
                <w:lang w:val="ro-MD" w:eastAsia="ru-RU"/>
              </w:rPr>
              <w:t>ș</w:t>
            </w:r>
            <w:r w:rsidRPr="00B13B9A">
              <w:rPr>
                <w:rFonts w:asciiTheme="majorHAnsi" w:hAnsiTheme="majorHAnsi" w:cstheme="majorHAnsi"/>
                <w:noProof/>
                <w:color w:val="000000" w:themeColor="text1"/>
                <w:sz w:val="20"/>
                <w:szCs w:val="20"/>
                <w:lang w:val="ro-MD" w:eastAsia="ru-RU"/>
              </w:rPr>
              <w:t>i aflate în utilizare</w:t>
            </w:r>
          </w:p>
        </w:tc>
      </w:tr>
      <w:tr w:rsidR="00FB1833" w:rsidRPr="00B13B9A" w14:paraId="6C8F3DA1" w14:textId="77777777" w:rsidTr="00046446">
        <w:trPr>
          <w:trHeight w:val="20"/>
        </w:trPr>
        <w:tc>
          <w:tcPr>
            <w:tcW w:w="3539" w:type="dxa"/>
          </w:tcPr>
          <w:p w14:paraId="768EF78C" w14:textId="4A5BF6FB" w:rsidR="00FB1833" w:rsidRPr="00B13B9A" w:rsidRDefault="00FB1833" w:rsidP="001457CE">
            <w:pPr>
              <w:jc w:val="both"/>
              <w:rPr>
                <w:rFonts w:asciiTheme="majorHAnsi" w:hAnsiTheme="majorHAnsi" w:cstheme="majorHAnsi"/>
                <w:sz w:val="20"/>
                <w:szCs w:val="20"/>
                <w:lang w:val="ro-MD"/>
              </w:rPr>
            </w:pPr>
            <w:r w:rsidRPr="00B13B9A">
              <w:rPr>
                <w:rFonts w:asciiTheme="majorHAnsi" w:hAnsiTheme="majorHAnsi" w:cstheme="majorHAnsi"/>
                <w:sz w:val="20"/>
                <w:szCs w:val="20"/>
                <w:lang w:val="ro-MD"/>
              </w:rPr>
              <w:t>HG nr. 10 din 20.01.2021 pentru aprobarea Regulamentului cu privire la activitatea grupului de lucru în domeniul achizi</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iilor publice</w:t>
            </w:r>
          </w:p>
        </w:tc>
        <w:tc>
          <w:tcPr>
            <w:tcW w:w="6379" w:type="dxa"/>
          </w:tcPr>
          <w:p w14:paraId="65BBB157" w14:textId="561FA764" w:rsidR="00FB1833" w:rsidRPr="00B13B9A" w:rsidRDefault="00FB1833" w:rsidP="001457CE">
            <w:pPr>
              <w:jc w:val="both"/>
              <w:rPr>
                <w:rFonts w:asciiTheme="majorHAnsi" w:hAnsiTheme="majorHAnsi" w:cstheme="majorHAnsi"/>
                <w:sz w:val="20"/>
                <w:szCs w:val="20"/>
                <w:lang w:val="ro-MD"/>
              </w:rPr>
            </w:pPr>
            <w:r w:rsidRPr="00B13B9A">
              <w:rPr>
                <w:rFonts w:asciiTheme="majorHAnsi" w:hAnsiTheme="majorHAnsi" w:cstheme="majorHAnsi"/>
                <w:sz w:val="20"/>
                <w:szCs w:val="20"/>
                <w:lang w:val="ro-MD"/>
              </w:rPr>
              <w:t>Stabile</w:t>
            </w:r>
            <w:r w:rsidR="00B13B9A" w:rsidRPr="00B13B9A">
              <w:rPr>
                <w:rFonts w:asciiTheme="majorHAnsi" w:hAnsiTheme="majorHAnsi" w:cstheme="majorHAnsi"/>
                <w:sz w:val="20"/>
                <w:szCs w:val="20"/>
                <w:lang w:val="ro-MD"/>
              </w:rPr>
              <w:t>ș</w:t>
            </w:r>
            <w:r w:rsidRPr="00B13B9A">
              <w:rPr>
                <w:rFonts w:asciiTheme="majorHAnsi" w:hAnsiTheme="majorHAnsi" w:cstheme="majorHAnsi"/>
                <w:sz w:val="20"/>
                <w:szCs w:val="20"/>
                <w:lang w:val="ro-MD"/>
              </w:rPr>
              <w:t>te condi</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ii</w:t>
            </w:r>
            <w:r w:rsidR="00585605" w:rsidRPr="00B13B9A">
              <w:rPr>
                <w:rFonts w:asciiTheme="majorHAnsi" w:hAnsiTheme="majorHAnsi" w:cstheme="majorHAnsi"/>
                <w:sz w:val="20"/>
                <w:szCs w:val="20"/>
                <w:lang w:val="ro-MD"/>
              </w:rPr>
              <w:t>le</w:t>
            </w:r>
            <w:r w:rsidRPr="00B13B9A">
              <w:rPr>
                <w:rFonts w:asciiTheme="majorHAnsi" w:hAnsiTheme="majorHAnsi" w:cstheme="majorHAnsi"/>
                <w:sz w:val="20"/>
                <w:szCs w:val="20"/>
                <w:lang w:val="ro-MD"/>
              </w:rPr>
              <w:t xml:space="preserve"> generale </w:t>
            </w:r>
            <w:r w:rsidR="00B13B9A" w:rsidRPr="00B13B9A">
              <w:rPr>
                <w:rFonts w:asciiTheme="majorHAnsi" w:hAnsiTheme="majorHAnsi" w:cstheme="majorHAnsi"/>
                <w:sz w:val="20"/>
                <w:szCs w:val="20"/>
                <w:lang w:val="ro-MD"/>
              </w:rPr>
              <w:t>ș</w:t>
            </w:r>
            <w:r w:rsidRPr="00B13B9A">
              <w:rPr>
                <w:rFonts w:asciiTheme="majorHAnsi" w:hAnsiTheme="majorHAnsi" w:cstheme="majorHAnsi"/>
                <w:sz w:val="20"/>
                <w:szCs w:val="20"/>
                <w:lang w:val="ro-MD"/>
              </w:rPr>
              <w:t>i specifice privind crearea grupului de lucru în domeniul achizi</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iilor publice.</w:t>
            </w:r>
          </w:p>
        </w:tc>
      </w:tr>
      <w:tr w:rsidR="00FB1833" w:rsidRPr="00B13B9A" w14:paraId="5D452141" w14:textId="77777777" w:rsidTr="00046446">
        <w:trPr>
          <w:trHeight w:val="20"/>
        </w:trPr>
        <w:tc>
          <w:tcPr>
            <w:tcW w:w="3539" w:type="dxa"/>
          </w:tcPr>
          <w:p w14:paraId="4E3C4053" w14:textId="2BBA4490" w:rsidR="00FB1833" w:rsidRPr="00B13B9A" w:rsidRDefault="00FB1833" w:rsidP="001457CE">
            <w:pPr>
              <w:jc w:val="both"/>
              <w:rPr>
                <w:rFonts w:asciiTheme="majorHAnsi" w:hAnsiTheme="majorHAnsi" w:cstheme="majorHAnsi"/>
                <w:i/>
                <w:noProof/>
                <w:color w:val="000000" w:themeColor="text1"/>
                <w:sz w:val="20"/>
                <w:szCs w:val="20"/>
                <w:lang w:val="ro-MD" w:eastAsia="ru-RU"/>
              </w:rPr>
            </w:pPr>
            <w:r w:rsidRPr="00B13B9A">
              <w:rPr>
                <w:rFonts w:asciiTheme="majorHAnsi" w:hAnsiTheme="majorHAnsi" w:cstheme="majorHAnsi"/>
                <w:sz w:val="20"/>
                <w:szCs w:val="20"/>
                <w:lang w:val="ro-MD"/>
              </w:rPr>
              <w:t>HG nr. 1419 din 28.12.2016 pentru aprobarea Regulamentului cu privire la modul de planificare a contractelor de achizi</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ii publice</w:t>
            </w:r>
          </w:p>
        </w:tc>
        <w:tc>
          <w:tcPr>
            <w:tcW w:w="6379" w:type="dxa"/>
          </w:tcPr>
          <w:p w14:paraId="787C8D49" w14:textId="25AD02C0" w:rsidR="00FB1833" w:rsidRPr="00B13B9A" w:rsidRDefault="00FB1833" w:rsidP="001457CE">
            <w:pPr>
              <w:jc w:val="both"/>
              <w:rPr>
                <w:rFonts w:asciiTheme="majorHAnsi" w:hAnsiTheme="majorHAnsi" w:cstheme="majorHAnsi"/>
                <w:sz w:val="20"/>
                <w:szCs w:val="20"/>
                <w:lang w:val="ro-MD"/>
              </w:rPr>
            </w:pPr>
            <w:r w:rsidRPr="00B13B9A">
              <w:rPr>
                <w:rFonts w:asciiTheme="majorHAnsi" w:hAnsiTheme="majorHAnsi" w:cstheme="majorHAnsi"/>
                <w:sz w:val="20"/>
                <w:szCs w:val="20"/>
                <w:lang w:val="ro-MD"/>
              </w:rPr>
              <w:t>Stabile</w:t>
            </w:r>
            <w:r w:rsidR="00B13B9A" w:rsidRPr="00B13B9A">
              <w:rPr>
                <w:rFonts w:asciiTheme="majorHAnsi" w:hAnsiTheme="majorHAnsi" w:cstheme="majorHAnsi"/>
                <w:sz w:val="20"/>
                <w:szCs w:val="20"/>
                <w:lang w:val="ro-MD"/>
              </w:rPr>
              <w:t>ș</w:t>
            </w:r>
            <w:r w:rsidRPr="00B13B9A">
              <w:rPr>
                <w:rFonts w:asciiTheme="majorHAnsi" w:hAnsiTheme="majorHAnsi" w:cstheme="majorHAnsi"/>
                <w:sz w:val="20"/>
                <w:szCs w:val="20"/>
                <w:lang w:val="ro-MD"/>
              </w:rPr>
              <w:t>te modul de planificare a contractelor de achizi</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ii publice.</w:t>
            </w:r>
          </w:p>
        </w:tc>
      </w:tr>
      <w:tr w:rsidR="00FB1833" w:rsidRPr="00B13B9A" w14:paraId="28780115" w14:textId="77777777" w:rsidTr="00046446">
        <w:trPr>
          <w:trHeight w:val="20"/>
        </w:trPr>
        <w:tc>
          <w:tcPr>
            <w:tcW w:w="3539" w:type="dxa"/>
          </w:tcPr>
          <w:p w14:paraId="40199EA5" w14:textId="723B7DE6" w:rsidR="00FB1833" w:rsidRPr="00B13B9A" w:rsidRDefault="00FB1833" w:rsidP="001457CE">
            <w:pPr>
              <w:jc w:val="both"/>
              <w:rPr>
                <w:rFonts w:asciiTheme="majorHAnsi" w:hAnsiTheme="majorHAnsi" w:cstheme="majorHAnsi"/>
                <w:i/>
                <w:noProof/>
                <w:color w:val="000000" w:themeColor="text1"/>
                <w:sz w:val="20"/>
                <w:szCs w:val="20"/>
                <w:lang w:val="ro-MD" w:eastAsia="ru-RU"/>
              </w:rPr>
            </w:pPr>
            <w:r w:rsidRPr="00B13B9A">
              <w:rPr>
                <w:rFonts w:asciiTheme="majorHAnsi" w:hAnsiTheme="majorHAnsi" w:cstheme="majorHAnsi"/>
                <w:sz w:val="20"/>
                <w:szCs w:val="20"/>
                <w:lang w:val="ro-MD"/>
              </w:rPr>
              <w:t>HG nr. 665 din 27.05.2016 pentru aprobarea Regulamentului cu privire la achizi</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 xml:space="preserve">iile publice de valoare mică </w:t>
            </w:r>
            <w:r w:rsidRPr="00B13B9A">
              <w:rPr>
                <w:rFonts w:asciiTheme="majorHAnsi" w:hAnsiTheme="majorHAnsi" w:cstheme="majorHAnsi"/>
                <w:i/>
                <w:iCs/>
                <w:sz w:val="20"/>
                <w:szCs w:val="20"/>
                <w:lang w:val="ro-MD"/>
              </w:rPr>
              <w:t>(abrogată din 01.07.2023)</w:t>
            </w:r>
          </w:p>
        </w:tc>
        <w:tc>
          <w:tcPr>
            <w:tcW w:w="6379" w:type="dxa"/>
          </w:tcPr>
          <w:p w14:paraId="31E7E63A" w14:textId="639DA06A" w:rsidR="00FB1833" w:rsidRPr="00B13B9A" w:rsidRDefault="00FB1833" w:rsidP="001457CE">
            <w:pPr>
              <w:jc w:val="both"/>
              <w:rPr>
                <w:rFonts w:asciiTheme="majorHAnsi" w:hAnsiTheme="majorHAnsi" w:cstheme="majorHAnsi"/>
                <w:sz w:val="20"/>
                <w:szCs w:val="20"/>
                <w:lang w:val="ro-MD"/>
              </w:rPr>
            </w:pPr>
            <w:r w:rsidRPr="00B13B9A">
              <w:rPr>
                <w:rFonts w:asciiTheme="majorHAnsi" w:hAnsiTheme="majorHAnsi" w:cstheme="majorHAnsi"/>
                <w:sz w:val="20"/>
                <w:szCs w:val="20"/>
                <w:lang w:val="ro-MD"/>
              </w:rPr>
              <w:t>Stabile</w:t>
            </w:r>
            <w:r w:rsidR="00B13B9A" w:rsidRPr="00B13B9A">
              <w:rPr>
                <w:rFonts w:asciiTheme="majorHAnsi" w:hAnsiTheme="majorHAnsi" w:cstheme="majorHAnsi"/>
                <w:sz w:val="20"/>
                <w:szCs w:val="20"/>
                <w:lang w:val="ro-MD"/>
              </w:rPr>
              <w:t>ș</w:t>
            </w:r>
            <w:r w:rsidRPr="00B13B9A">
              <w:rPr>
                <w:rFonts w:asciiTheme="majorHAnsi" w:hAnsiTheme="majorHAnsi" w:cstheme="majorHAnsi"/>
                <w:sz w:val="20"/>
                <w:szCs w:val="20"/>
                <w:lang w:val="ro-MD"/>
              </w:rPr>
              <w:t>te temeiurile juridice de realizare a achizi</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 xml:space="preserve">iilor publice de bunuri, lucrări </w:t>
            </w:r>
            <w:r w:rsidR="00B13B9A" w:rsidRPr="00B13B9A">
              <w:rPr>
                <w:rFonts w:asciiTheme="majorHAnsi" w:hAnsiTheme="majorHAnsi" w:cstheme="majorHAnsi"/>
                <w:sz w:val="20"/>
                <w:szCs w:val="20"/>
                <w:lang w:val="ro-MD"/>
              </w:rPr>
              <w:t>ș</w:t>
            </w:r>
            <w:r w:rsidRPr="00B13B9A">
              <w:rPr>
                <w:rFonts w:asciiTheme="majorHAnsi" w:hAnsiTheme="majorHAnsi" w:cstheme="majorHAnsi"/>
                <w:sz w:val="20"/>
                <w:szCs w:val="20"/>
                <w:lang w:val="ro-MD"/>
              </w:rPr>
              <w:t>i servicii de valoare mică.</w:t>
            </w:r>
          </w:p>
        </w:tc>
      </w:tr>
      <w:tr w:rsidR="00FB1833" w:rsidRPr="00B13B9A" w14:paraId="4F3B1FAC" w14:textId="77777777" w:rsidTr="00046446">
        <w:trPr>
          <w:trHeight w:val="20"/>
        </w:trPr>
        <w:tc>
          <w:tcPr>
            <w:tcW w:w="3539" w:type="dxa"/>
          </w:tcPr>
          <w:p w14:paraId="1ECE5D72" w14:textId="5D53AE93" w:rsidR="00FB1833" w:rsidRPr="00B13B9A" w:rsidRDefault="00FB1833" w:rsidP="001457CE">
            <w:pPr>
              <w:jc w:val="both"/>
              <w:rPr>
                <w:rFonts w:asciiTheme="majorHAnsi" w:hAnsiTheme="majorHAnsi" w:cstheme="majorHAnsi"/>
                <w:sz w:val="20"/>
                <w:szCs w:val="20"/>
                <w:lang w:val="ro-MD"/>
              </w:rPr>
            </w:pPr>
            <w:r w:rsidRPr="00B13B9A">
              <w:rPr>
                <w:rFonts w:asciiTheme="majorHAnsi" w:hAnsiTheme="majorHAnsi" w:cstheme="majorHAnsi"/>
                <w:sz w:val="20"/>
                <w:szCs w:val="20"/>
                <w:lang w:val="ro-MD"/>
              </w:rPr>
              <w:t>HG nr. 987 din 10.10.2018 pentru aprobarea Regulamentului privind achizi</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 xml:space="preserve">ia bunurilor </w:t>
            </w:r>
            <w:r w:rsidR="00B13B9A" w:rsidRPr="00B13B9A">
              <w:rPr>
                <w:rFonts w:asciiTheme="majorHAnsi" w:hAnsiTheme="majorHAnsi" w:cstheme="majorHAnsi"/>
                <w:sz w:val="20"/>
                <w:szCs w:val="20"/>
                <w:lang w:val="ro-MD"/>
              </w:rPr>
              <w:t>ș</w:t>
            </w:r>
            <w:r w:rsidRPr="00B13B9A">
              <w:rPr>
                <w:rFonts w:asciiTheme="majorHAnsi" w:hAnsiTheme="majorHAnsi" w:cstheme="majorHAnsi"/>
                <w:sz w:val="20"/>
                <w:szCs w:val="20"/>
                <w:lang w:val="ro-MD"/>
              </w:rPr>
              <w:t>i serviciilor prin cererea ofertelor de pre</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uri</w:t>
            </w:r>
          </w:p>
        </w:tc>
        <w:tc>
          <w:tcPr>
            <w:tcW w:w="6379" w:type="dxa"/>
          </w:tcPr>
          <w:p w14:paraId="6DE39795" w14:textId="308AB67C" w:rsidR="00FB1833" w:rsidRPr="00B13B9A" w:rsidRDefault="00FB1833" w:rsidP="001457CE">
            <w:pPr>
              <w:jc w:val="both"/>
              <w:rPr>
                <w:rFonts w:asciiTheme="majorHAnsi" w:hAnsiTheme="majorHAnsi" w:cstheme="majorHAnsi"/>
                <w:sz w:val="20"/>
                <w:szCs w:val="20"/>
                <w:lang w:val="ro-MD"/>
              </w:rPr>
            </w:pPr>
            <w:r w:rsidRPr="00B13B9A">
              <w:rPr>
                <w:rFonts w:asciiTheme="majorHAnsi" w:hAnsiTheme="majorHAnsi" w:cstheme="majorHAnsi"/>
                <w:sz w:val="20"/>
                <w:szCs w:val="20"/>
                <w:lang w:val="ro-MD"/>
              </w:rPr>
              <w:t>Stabile</w:t>
            </w:r>
            <w:r w:rsidR="00B13B9A" w:rsidRPr="00B13B9A">
              <w:rPr>
                <w:rFonts w:asciiTheme="majorHAnsi" w:hAnsiTheme="majorHAnsi" w:cstheme="majorHAnsi"/>
                <w:sz w:val="20"/>
                <w:szCs w:val="20"/>
                <w:lang w:val="ro-MD"/>
              </w:rPr>
              <w:t>ș</w:t>
            </w:r>
            <w:r w:rsidRPr="00B13B9A">
              <w:rPr>
                <w:rFonts w:asciiTheme="majorHAnsi" w:hAnsiTheme="majorHAnsi" w:cstheme="majorHAnsi"/>
                <w:sz w:val="20"/>
                <w:szCs w:val="20"/>
                <w:lang w:val="ro-MD"/>
              </w:rPr>
              <w:t xml:space="preserve">te temeiurile juridice de organizare </w:t>
            </w:r>
            <w:r w:rsidR="00B13B9A" w:rsidRPr="00B13B9A">
              <w:rPr>
                <w:rFonts w:asciiTheme="majorHAnsi" w:hAnsiTheme="majorHAnsi" w:cstheme="majorHAnsi"/>
                <w:sz w:val="20"/>
                <w:szCs w:val="20"/>
                <w:lang w:val="ro-MD"/>
              </w:rPr>
              <w:t>ș</w:t>
            </w:r>
            <w:r w:rsidRPr="00B13B9A">
              <w:rPr>
                <w:rFonts w:asciiTheme="majorHAnsi" w:hAnsiTheme="majorHAnsi" w:cstheme="majorHAnsi"/>
                <w:sz w:val="20"/>
                <w:szCs w:val="20"/>
                <w:lang w:val="ro-MD"/>
              </w:rPr>
              <w:t>i desfă</w:t>
            </w:r>
            <w:r w:rsidR="00B13B9A" w:rsidRPr="00B13B9A">
              <w:rPr>
                <w:rFonts w:asciiTheme="majorHAnsi" w:hAnsiTheme="majorHAnsi" w:cstheme="majorHAnsi"/>
                <w:sz w:val="20"/>
                <w:szCs w:val="20"/>
                <w:lang w:val="ro-MD"/>
              </w:rPr>
              <w:t>ș</w:t>
            </w:r>
            <w:r w:rsidRPr="00B13B9A">
              <w:rPr>
                <w:rFonts w:asciiTheme="majorHAnsi" w:hAnsiTheme="majorHAnsi" w:cstheme="majorHAnsi"/>
                <w:sz w:val="20"/>
                <w:szCs w:val="20"/>
                <w:lang w:val="ro-MD"/>
              </w:rPr>
              <w:t>urare a procedurii de cerere a ofertelor de pre</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 xml:space="preserve">uri în scopul economisirii banilor publici </w:t>
            </w:r>
            <w:r w:rsidR="00B13B9A" w:rsidRPr="00B13B9A">
              <w:rPr>
                <w:rFonts w:asciiTheme="majorHAnsi" w:hAnsiTheme="majorHAnsi" w:cstheme="majorHAnsi"/>
                <w:sz w:val="20"/>
                <w:szCs w:val="20"/>
                <w:lang w:val="ro-MD"/>
              </w:rPr>
              <w:t>ș</w:t>
            </w:r>
            <w:r w:rsidRPr="00B13B9A">
              <w:rPr>
                <w:rFonts w:asciiTheme="majorHAnsi" w:hAnsiTheme="majorHAnsi" w:cstheme="majorHAnsi"/>
                <w:sz w:val="20"/>
                <w:szCs w:val="20"/>
                <w:lang w:val="ro-MD"/>
              </w:rPr>
              <w:t>i eficientizării achizi</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 xml:space="preserve">iilor de bunuri </w:t>
            </w:r>
            <w:r w:rsidR="00B13B9A" w:rsidRPr="00B13B9A">
              <w:rPr>
                <w:rFonts w:asciiTheme="majorHAnsi" w:hAnsiTheme="majorHAnsi" w:cstheme="majorHAnsi"/>
                <w:sz w:val="20"/>
                <w:szCs w:val="20"/>
                <w:lang w:val="ro-MD"/>
              </w:rPr>
              <w:t>ș</w:t>
            </w:r>
            <w:r w:rsidRPr="00B13B9A">
              <w:rPr>
                <w:rFonts w:asciiTheme="majorHAnsi" w:hAnsiTheme="majorHAnsi" w:cstheme="majorHAnsi"/>
                <w:sz w:val="20"/>
                <w:szCs w:val="20"/>
                <w:lang w:val="ro-MD"/>
              </w:rPr>
              <w:t>i servicii.</w:t>
            </w:r>
          </w:p>
        </w:tc>
      </w:tr>
      <w:tr w:rsidR="00FB1833" w:rsidRPr="00B13B9A" w14:paraId="499DE9AA" w14:textId="77777777" w:rsidTr="00046446">
        <w:trPr>
          <w:trHeight w:val="20"/>
        </w:trPr>
        <w:tc>
          <w:tcPr>
            <w:tcW w:w="3539" w:type="dxa"/>
          </w:tcPr>
          <w:p w14:paraId="2A3ADCBB" w14:textId="3886C583" w:rsidR="00FB1833" w:rsidRPr="00B13B9A" w:rsidRDefault="00FB1833" w:rsidP="001457CE">
            <w:pPr>
              <w:jc w:val="both"/>
              <w:rPr>
                <w:rFonts w:asciiTheme="majorHAnsi" w:hAnsiTheme="majorHAnsi" w:cstheme="majorHAnsi"/>
                <w:sz w:val="20"/>
                <w:szCs w:val="20"/>
                <w:lang w:val="ro-MD"/>
              </w:rPr>
            </w:pPr>
            <w:r w:rsidRPr="00B13B9A">
              <w:rPr>
                <w:rFonts w:asciiTheme="majorHAnsi" w:hAnsiTheme="majorHAnsi" w:cstheme="majorHAnsi"/>
                <w:sz w:val="20"/>
                <w:szCs w:val="20"/>
                <w:lang w:val="ro-MD"/>
              </w:rPr>
              <w:t>Ordinului Ministerului Sănătă</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ii nr.432 din 11.05.2022 cu privire la implementarea Programului Na</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ional de răspuns la tuberculoză pentru anii 2022-2025</w:t>
            </w:r>
          </w:p>
        </w:tc>
        <w:tc>
          <w:tcPr>
            <w:tcW w:w="6379" w:type="dxa"/>
          </w:tcPr>
          <w:p w14:paraId="2F32C435" w14:textId="3C72B31D" w:rsidR="00FB1833" w:rsidRPr="00B13B9A" w:rsidRDefault="00FB1833" w:rsidP="001457CE">
            <w:pPr>
              <w:jc w:val="both"/>
              <w:rPr>
                <w:rFonts w:asciiTheme="majorHAnsi" w:hAnsiTheme="majorHAnsi" w:cstheme="majorHAnsi"/>
                <w:sz w:val="20"/>
                <w:szCs w:val="20"/>
                <w:lang w:val="ro-MD"/>
              </w:rPr>
            </w:pPr>
            <w:r w:rsidRPr="00B13B9A">
              <w:rPr>
                <w:rFonts w:asciiTheme="majorHAnsi" w:hAnsiTheme="majorHAnsi" w:cstheme="majorHAnsi"/>
                <w:sz w:val="20"/>
                <w:szCs w:val="20"/>
                <w:lang w:val="ro-MD"/>
              </w:rPr>
              <w:t xml:space="preserve">Reglementează stocarea </w:t>
            </w:r>
            <w:r w:rsidR="00B13B9A" w:rsidRPr="00B13B9A">
              <w:rPr>
                <w:rFonts w:asciiTheme="majorHAnsi" w:hAnsiTheme="majorHAnsi" w:cstheme="majorHAnsi"/>
                <w:sz w:val="20"/>
                <w:szCs w:val="20"/>
                <w:lang w:val="ro-MD"/>
              </w:rPr>
              <w:t>ș</w:t>
            </w:r>
            <w:r w:rsidRPr="00B13B9A">
              <w:rPr>
                <w:rFonts w:asciiTheme="majorHAnsi" w:hAnsiTheme="majorHAnsi" w:cstheme="majorHAnsi"/>
                <w:sz w:val="20"/>
                <w:szCs w:val="20"/>
                <w:lang w:val="ro-MD"/>
              </w:rPr>
              <w:t>i gestionarea stocului de medicamente antituberculoase</w:t>
            </w:r>
          </w:p>
        </w:tc>
      </w:tr>
      <w:tr w:rsidR="00FB1833" w:rsidRPr="00B13B9A" w14:paraId="67145D13" w14:textId="77777777" w:rsidTr="00046446">
        <w:trPr>
          <w:trHeight w:val="20"/>
        </w:trPr>
        <w:tc>
          <w:tcPr>
            <w:tcW w:w="3539" w:type="dxa"/>
          </w:tcPr>
          <w:p w14:paraId="4A19F261" w14:textId="2F9AE01D" w:rsidR="00FB1833" w:rsidRPr="00B13B9A" w:rsidRDefault="00FB1833" w:rsidP="001457CE">
            <w:pPr>
              <w:jc w:val="both"/>
              <w:rPr>
                <w:rFonts w:asciiTheme="majorHAnsi" w:hAnsiTheme="majorHAnsi" w:cstheme="majorHAnsi"/>
                <w:sz w:val="20"/>
                <w:szCs w:val="20"/>
                <w:lang w:val="ro-MD"/>
              </w:rPr>
            </w:pPr>
            <w:r w:rsidRPr="00B13B9A">
              <w:rPr>
                <w:rFonts w:asciiTheme="majorHAnsi" w:hAnsiTheme="majorHAnsi" w:cstheme="majorHAnsi"/>
                <w:sz w:val="20"/>
                <w:szCs w:val="20"/>
                <w:lang w:val="ro-MD"/>
              </w:rPr>
              <w:t>Ordinul Ministerului Sănătă</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ii Nr. 238 din 31.07.2009 privind ameliorarea alimenta</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iei pacien</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ilor în institu</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iile medico-sanitare spitalice</w:t>
            </w:r>
            <w:r w:rsidR="00B13B9A" w:rsidRPr="00B13B9A">
              <w:rPr>
                <w:rFonts w:asciiTheme="majorHAnsi" w:hAnsiTheme="majorHAnsi" w:cstheme="majorHAnsi"/>
                <w:sz w:val="20"/>
                <w:szCs w:val="20"/>
                <w:lang w:val="ro-MD"/>
              </w:rPr>
              <w:t>ș</w:t>
            </w:r>
            <w:r w:rsidRPr="00B13B9A">
              <w:rPr>
                <w:rFonts w:asciiTheme="majorHAnsi" w:hAnsiTheme="majorHAnsi" w:cstheme="majorHAnsi"/>
                <w:sz w:val="20"/>
                <w:szCs w:val="20"/>
                <w:lang w:val="ro-MD"/>
              </w:rPr>
              <w:t>ti</w:t>
            </w:r>
          </w:p>
        </w:tc>
        <w:tc>
          <w:tcPr>
            <w:tcW w:w="6379" w:type="dxa"/>
          </w:tcPr>
          <w:p w14:paraId="607441FC" w14:textId="7D46B747" w:rsidR="00FB1833" w:rsidRPr="00B13B9A" w:rsidRDefault="00FB1833" w:rsidP="001457CE">
            <w:pPr>
              <w:jc w:val="both"/>
              <w:rPr>
                <w:rFonts w:asciiTheme="majorHAnsi" w:hAnsiTheme="majorHAnsi" w:cstheme="majorHAnsi"/>
                <w:sz w:val="20"/>
                <w:szCs w:val="20"/>
                <w:lang w:val="ro-MD"/>
              </w:rPr>
            </w:pPr>
            <w:r w:rsidRPr="00B13B9A">
              <w:rPr>
                <w:rFonts w:asciiTheme="majorHAnsi" w:hAnsiTheme="majorHAnsi" w:cstheme="majorHAnsi"/>
                <w:sz w:val="20"/>
                <w:szCs w:val="20"/>
                <w:lang w:val="ro-MD"/>
              </w:rPr>
              <w:t>Stabile</w:t>
            </w:r>
            <w:r w:rsidR="00B13B9A" w:rsidRPr="00B13B9A">
              <w:rPr>
                <w:rFonts w:asciiTheme="majorHAnsi" w:hAnsiTheme="majorHAnsi" w:cstheme="majorHAnsi"/>
                <w:sz w:val="20"/>
                <w:szCs w:val="20"/>
                <w:lang w:val="ro-MD"/>
              </w:rPr>
              <w:t>ș</w:t>
            </w:r>
            <w:r w:rsidRPr="00B13B9A">
              <w:rPr>
                <w:rFonts w:asciiTheme="majorHAnsi" w:hAnsiTheme="majorHAnsi" w:cstheme="majorHAnsi"/>
                <w:sz w:val="20"/>
                <w:szCs w:val="20"/>
                <w:lang w:val="ro-MD"/>
              </w:rPr>
              <w:t>te cerin</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ele de bază privind organizarea alimenta</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iei pacien</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ilor în institu</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iile medico-sanitare spitalice</w:t>
            </w:r>
            <w:r w:rsidR="00B13B9A" w:rsidRPr="00B13B9A">
              <w:rPr>
                <w:rFonts w:asciiTheme="majorHAnsi" w:hAnsiTheme="majorHAnsi" w:cstheme="majorHAnsi"/>
                <w:sz w:val="20"/>
                <w:szCs w:val="20"/>
                <w:lang w:val="ro-MD"/>
              </w:rPr>
              <w:t>ș</w:t>
            </w:r>
            <w:r w:rsidRPr="00B13B9A">
              <w:rPr>
                <w:rFonts w:asciiTheme="majorHAnsi" w:hAnsiTheme="majorHAnsi" w:cstheme="majorHAnsi"/>
                <w:sz w:val="20"/>
                <w:szCs w:val="20"/>
                <w:lang w:val="ro-MD"/>
              </w:rPr>
              <w:t>ti.</w:t>
            </w:r>
          </w:p>
        </w:tc>
      </w:tr>
      <w:tr w:rsidR="00FB1833" w:rsidRPr="00B13B9A" w14:paraId="61CDC56A" w14:textId="77777777" w:rsidTr="00046446">
        <w:trPr>
          <w:trHeight w:val="20"/>
        </w:trPr>
        <w:tc>
          <w:tcPr>
            <w:tcW w:w="3539" w:type="dxa"/>
          </w:tcPr>
          <w:p w14:paraId="13439DC3" w14:textId="1181B875" w:rsidR="00FB1833" w:rsidRPr="00B13B9A" w:rsidRDefault="00FB1833" w:rsidP="001457CE">
            <w:pPr>
              <w:jc w:val="both"/>
              <w:rPr>
                <w:rFonts w:asciiTheme="majorHAnsi" w:hAnsiTheme="majorHAnsi" w:cstheme="majorHAnsi"/>
                <w:i/>
                <w:noProof/>
                <w:color w:val="000000" w:themeColor="text1"/>
                <w:sz w:val="20"/>
                <w:szCs w:val="20"/>
                <w:lang w:val="ro-MD" w:eastAsia="ru-RU"/>
              </w:rPr>
            </w:pPr>
            <w:r w:rsidRPr="00B13B9A">
              <w:rPr>
                <w:rFonts w:asciiTheme="majorHAnsi" w:hAnsiTheme="majorHAnsi" w:cstheme="majorHAnsi"/>
                <w:sz w:val="20"/>
                <w:szCs w:val="20"/>
                <w:lang w:val="ro-MD"/>
              </w:rPr>
              <w:t>Ordinul Ministerului Finan</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elor Nr. 60 din 29.05.2012 cu privire la aprobarea Regulamentului privind inventarierea</w:t>
            </w:r>
          </w:p>
        </w:tc>
        <w:tc>
          <w:tcPr>
            <w:tcW w:w="6379" w:type="dxa"/>
          </w:tcPr>
          <w:p w14:paraId="2407FEFC" w14:textId="77BC9CCD" w:rsidR="00FB1833" w:rsidRPr="00B13B9A" w:rsidRDefault="00FB1833" w:rsidP="001457CE">
            <w:pPr>
              <w:jc w:val="both"/>
              <w:rPr>
                <w:rFonts w:asciiTheme="majorHAnsi" w:hAnsiTheme="majorHAnsi" w:cstheme="majorHAnsi"/>
                <w:noProof/>
                <w:color w:val="000000" w:themeColor="text1"/>
                <w:sz w:val="20"/>
                <w:szCs w:val="20"/>
                <w:lang w:val="ro-MD" w:eastAsia="ru-RU"/>
              </w:rPr>
            </w:pPr>
            <w:r w:rsidRPr="00B13B9A">
              <w:rPr>
                <w:rFonts w:asciiTheme="majorHAnsi" w:hAnsiTheme="majorHAnsi" w:cstheme="majorHAnsi"/>
                <w:noProof/>
                <w:color w:val="000000" w:themeColor="text1"/>
                <w:sz w:val="20"/>
                <w:szCs w:val="20"/>
                <w:lang w:val="ro-MD" w:eastAsia="ru-RU"/>
              </w:rPr>
              <w:t>Stabile</w:t>
            </w:r>
            <w:r w:rsidR="00B13B9A" w:rsidRPr="00B13B9A">
              <w:rPr>
                <w:rFonts w:asciiTheme="majorHAnsi" w:hAnsiTheme="majorHAnsi" w:cstheme="majorHAnsi"/>
                <w:noProof/>
                <w:color w:val="000000" w:themeColor="text1"/>
                <w:sz w:val="20"/>
                <w:szCs w:val="20"/>
                <w:lang w:val="ro-MD" w:eastAsia="ru-RU"/>
              </w:rPr>
              <w:t>ș</w:t>
            </w:r>
            <w:r w:rsidRPr="00B13B9A">
              <w:rPr>
                <w:rFonts w:asciiTheme="majorHAnsi" w:hAnsiTheme="majorHAnsi" w:cstheme="majorHAnsi"/>
                <w:noProof/>
                <w:color w:val="000000" w:themeColor="text1"/>
                <w:sz w:val="20"/>
                <w:szCs w:val="20"/>
                <w:lang w:val="ro-MD" w:eastAsia="ru-RU"/>
              </w:rPr>
              <w:t xml:space="preserve">te regulile de efectuare a inventarierii elementelor de activ </w:t>
            </w:r>
            <w:r w:rsidR="00B13B9A" w:rsidRPr="00B13B9A">
              <w:rPr>
                <w:rFonts w:asciiTheme="majorHAnsi" w:hAnsiTheme="majorHAnsi" w:cstheme="majorHAnsi"/>
                <w:noProof/>
                <w:color w:val="000000" w:themeColor="text1"/>
                <w:sz w:val="20"/>
                <w:szCs w:val="20"/>
                <w:lang w:val="ro-MD" w:eastAsia="ru-RU"/>
              </w:rPr>
              <w:t>ș</w:t>
            </w:r>
            <w:r w:rsidRPr="00B13B9A">
              <w:rPr>
                <w:rFonts w:asciiTheme="majorHAnsi" w:hAnsiTheme="majorHAnsi" w:cstheme="majorHAnsi"/>
                <w:noProof/>
                <w:color w:val="000000" w:themeColor="text1"/>
                <w:sz w:val="20"/>
                <w:szCs w:val="20"/>
                <w:lang w:val="ro-MD" w:eastAsia="ru-RU"/>
              </w:rPr>
              <w:t xml:space="preserve">i datorii, constatarea </w:t>
            </w:r>
            <w:r w:rsidR="00B13B9A" w:rsidRPr="00B13B9A">
              <w:rPr>
                <w:rFonts w:asciiTheme="majorHAnsi" w:hAnsiTheme="majorHAnsi" w:cstheme="majorHAnsi"/>
                <w:noProof/>
                <w:color w:val="000000" w:themeColor="text1"/>
                <w:sz w:val="20"/>
                <w:szCs w:val="20"/>
                <w:lang w:val="ro-MD" w:eastAsia="ru-RU"/>
              </w:rPr>
              <w:t>ș</w:t>
            </w:r>
            <w:r w:rsidRPr="00B13B9A">
              <w:rPr>
                <w:rFonts w:asciiTheme="majorHAnsi" w:hAnsiTheme="majorHAnsi" w:cstheme="majorHAnsi"/>
                <w:noProof/>
                <w:color w:val="000000" w:themeColor="text1"/>
                <w:sz w:val="20"/>
                <w:szCs w:val="20"/>
                <w:lang w:val="ro-MD" w:eastAsia="ru-RU"/>
              </w:rPr>
              <w:t xml:space="preserve">i înregistrarea rezultatelor inventarierii </w:t>
            </w:r>
            <w:r w:rsidR="00B13B9A" w:rsidRPr="00B13B9A">
              <w:rPr>
                <w:rFonts w:asciiTheme="majorHAnsi" w:hAnsiTheme="majorHAnsi" w:cstheme="majorHAnsi"/>
                <w:noProof/>
                <w:color w:val="000000" w:themeColor="text1"/>
                <w:sz w:val="20"/>
                <w:szCs w:val="20"/>
                <w:lang w:val="ro-MD" w:eastAsia="ru-RU"/>
              </w:rPr>
              <w:t>ș</w:t>
            </w:r>
            <w:r w:rsidRPr="00B13B9A">
              <w:rPr>
                <w:rFonts w:asciiTheme="majorHAnsi" w:hAnsiTheme="majorHAnsi" w:cstheme="majorHAnsi"/>
                <w:noProof/>
                <w:color w:val="000000" w:themeColor="text1"/>
                <w:sz w:val="20"/>
                <w:szCs w:val="20"/>
                <w:lang w:val="ro-MD" w:eastAsia="ru-RU"/>
              </w:rPr>
              <w:t>i perfectarea formularelor utilizate la efectuarea inventarierii.</w:t>
            </w:r>
          </w:p>
        </w:tc>
      </w:tr>
      <w:tr w:rsidR="00FB1833" w:rsidRPr="00B13B9A" w14:paraId="0033B36E" w14:textId="77777777" w:rsidTr="00046446">
        <w:trPr>
          <w:trHeight w:val="20"/>
        </w:trPr>
        <w:tc>
          <w:tcPr>
            <w:tcW w:w="3539" w:type="dxa"/>
          </w:tcPr>
          <w:p w14:paraId="2E1B525E" w14:textId="77777777" w:rsidR="00FB1833" w:rsidRPr="00B13B9A" w:rsidRDefault="00FB1833" w:rsidP="001457CE">
            <w:pPr>
              <w:jc w:val="both"/>
              <w:rPr>
                <w:rFonts w:asciiTheme="majorHAnsi" w:hAnsiTheme="majorHAnsi" w:cstheme="majorHAnsi"/>
                <w:sz w:val="20"/>
                <w:szCs w:val="20"/>
                <w:lang w:val="ro-MD"/>
              </w:rPr>
            </w:pPr>
            <w:r w:rsidRPr="00B13B9A">
              <w:rPr>
                <w:rFonts w:asciiTheme="majorHAnsi" w:hAnsiTheme="majorHAnsi" w:cstheme="majorHAnsi"/>
                <w:sz w:val="20"/>
                <w:szCs w:val="20"/>
                <w:lang w:val="ro-MD"/>
              </w:rPr>
              <w:t>Ordinul MSMPS nr.243 din 09.03.2020 cu privire la motivarea personalului</w:t>
            </w:r>
          </w:p>
        </w:tc>
        <w:tc>
          <w:tcPr>
            <w:tcW w:w="6379" w:type="dxa"/>
          </w:tcPr>
          <w:p w14:paraId="6933B856" w14:textId="55369154" w:rsidR="00FB1833" w:rsidRPr="00B13B9A" w:rsidRDefault="00FB1833" w:rsidP="001457CE">
            <w:pPr>
              <w:jc w:val="both"/>
              <w:rPr>
                <w:rFonts w:asciiTheme="majorHAnsi" w:hAnsiTheme="majorHAnsi" w:cstheme="majorHAnsi"/>
                <w:noProof/>
                <w:color w:val="000000" w:themeColor="text1"/>
                <w:sz w:val="20"/>
                <w:szCs w:val="20"/>
                <w:lang w:val="ro-MD" w:eastAsia="ru-RU"/>
              </w:rPr>
            </w:pPr>
            <w:r w:rsidRPr="00B13B9A">
              <w:rPr>
                <w:rFonts w:asciiTheme="majorHAnsi" w:hAnsiTheme="majorHAnsi" w:cstheme="majorHAnsi"/>
                <w:noProof/>
                <w:color w:val="000000" w:themeColor="text1"/>
                <w:sz w:val="20"/>
                <w:szCs w:val="20"/>
                <w:lang w:val="ro-MD" w:eastAsia="ru-RU"/>
              </w:rPr>
              <w:t>Reglementează acordarea suplimentului de plată la salariul de func</w:t>
            </w:r>
            <w:r w:rsidR="00B13B9A" w:rsidRPr="00B13B9A">
              <w:rPr>
                <w:rFonts w:asciiTheme="majorHAnsi" w:hAnsiTheme="majorHAnsi" w:cstheme="majorHAnsi"/>
                <w:noProof/>
                <w:color w:val="000000" w:themeColor="text1"/>
                <w:sz w:val="20"/>
                <w:szCs w:val="20"/>
                <w:lang w:val="ro-MD" w:eastAsia="ru-RU"/>
              </w:rPr>
              <w:t>ț</w:t>
            </w:r>
            <w:r w:rsidRPr="00B13B9A">
              <w:rPr>
                <w:rFonts w:asciiTheme="majorHAnsi" w:hAnsiTheme="majorHAnsi" w:cstheme="majorHAnsi"/>
                <w:noProof/>
                <w:color w:val="000000" w:themeColor="text1"/>
                <w:sz w:val="20"/>
                <w:szCs w:val="20"/>
                <w:lang w:val="ro-MD" w:eastAsia="ru-RU"/>
              </w:rPr>
              <w:t>ie a personalului implicat nemijlocit în acordarea asisten</w:t>
            </w:r>
            <w:r w:rsidR="00B13B9A" w:rsidRPr="00B13B9A">
              <w:rPr>
                <w:rFonts w:asciiTheme="majorHAnsi" w:hAnsiTheme="majorHAnsi" w:cstheme="majorHAnsi"/>
                <w:noProof/>
                <w:color w:val="000000" w:themeColor="text1"/>
                <w:sz w:val="20"/>
                <w:szCs w:val="20"/>
                <w:lang w:val="ro-MD" w:eastAsia="ru-RU"/>
              </w:rPr>
              <w:t>ț</w:t>
            </w:r>
            <w:r w:rsidRPr="00B13B9A">
              <w:rPr>
                <w:rFonts w:asciiTheme="majorHAnsi" w:hAnsiTheme="majorHAnsi" w:cstheme="majorHAnsi"/>
                <w:noProof/>
                <w:color w:val="000000" w:themeColor="text1"/>
                <w:sz w:val="20"/>
                <w:szCs w:val="20"/>
                <w:lang w:val="ro-MD" w:eastAsia="ru-RU"/>
              </w:rPr>
              <w:t>ei medicale pacien</w:t>
            </w:r>
            <w:r w:rsidR="00B13B9A" w:rsidRPr="00B13B9A">
              <w:rPr>
                <w:rFonts w:asciiTheme="majorHAnsi" w:hAnsiTheme="majorHAnsi" w:cstheme="majorHAnsi"/>
                <w:noProof/>
                <w:color w:val="000000" w:themeColor="text1"/>
                <w:sz w:val="20"/>
                <w:szCs w:val="20"/>
                <w:lang w:val="ro-MD" w:eastAsia="ru-RU"/>
              </w:rPr>
              <w:t>ț</w:t>
            </w:r>
            <w:r w:rsidRPr="00B13B9A">
              <w:rPr>
                <w:rFonts w:asciiTheme="majorHAnsi" w:hAnsiTheme="majorHAnsi" w:cstheme="majorHAnsi"/>
                <w:noProof/>
                <w:color w:val="000000" w:themeColor="text1"/>
                <w:sz w:val="20"/>
                <w:szCs w:val="20"/>
                <w:lang w:val="ro-MD" w:eastAsia="ru-RU"/>
              </w:rPr>
              <w:t>ilor cu COVID-19.</w:t>
            </w:r>
          </w:p>
        </w:tc>
      </w:tr>
      <w:tr w:rsidR="00FB1833" w:rsidRPr="00B13B9A" w14:paraId="37B17D85" w14:textId="77777777" w:rsidTr="00046446">
        <w:trPr>
          <w:trHeight w:val="20"/>
        </w:trPr>
        <w:tc>
          <w:tcPr>
            <w:tcW w:w="3539" w:type="dxa"/>
          </w:tcPr>
          <w:p w14:paraId="5A7743EC" w14:textId="77777777" w:rsidR="00FB1833" w:rsidRPr="00B13B9A" w:rsidRDefault="00FB1833" w:rsidP="001457CE">
            <w:pPr>
              <w:jc w:val="both"/>
              <w:rPr>
                <w:rFonts w:asciiTheme="majorHAnsi" w:hAnsiTheme="majorHAnsi" w:cstheme="majorHAnsi"/>
                <w:sz w:val="20"/>
                <w:szCs w:val="20"/>
                <w:lang w:val="ro-MD"/>
              </w:rPr>
            </w:pPr>
            <w:r w:rsidRPr="00B13B9A">
              <w:rPr>
                <w:rFonts w:asciiTheme="majorHAnsi" w:hAnsiTheme="majorHAnsi" w:cstheme="majorHAnsi"/>
                <w:sz w:val="20"/>
                <w:szCs w:val="20"/>
                <w:lang w:val="ro-MD"/>
              </w:rPr>
              <w:t>Ordinul MSMPS nr.466 din 15.05.2020 cu privire la motivarea personalului.</w:t>
            </w:r>
          </w:p>
        </w:tc>
        <w:tc>
          <w:tcPr>
            <w:tcW w:w="6379" w:type="dxa"/>
          </w:tcPr>
          <w:p w14:paraId="2C75A115" w14:textId="673467A8" w:rsidR="00FB1833" w:rsidRPr="00B13B9A" w:rsidRDefault="00FB1833" w:rsidP="001457CE">
            <w:pPr>
              <w:jc w:val="both"/>
              <w:rPr>
                <w:rFonts w:asciiTheme="majorHAnsi" w:hAnsiTheme="majorHAnsi" w:cstheme="majorHAnsi"/>
                <w:noProof/>
                <w:color w:val="000000" w:themeColor="text1"/>
                <w:sz w:val="20"/>
                <w:szCs w:val="20"/>
                <w:lang w:val="ro-MD" w:eastAsia="ru-RU"/>
              </w:rPr>
            </w:pPr>
            <w:r w:rsidRPr="00B13B9A">
              <w:rPr>
                <w:rFonts w:asciiTheme="majorHAnsi" w:hAnsiTheme="majorHAnsi" w:cstheme="majorHAnsi"/>
                <w:noProof/>
                <w:color w:val="000000" w:themeColor="text1"/>
                <w:sz w:val="20"/>
                <w:szCs w:val="20"/>
                <w:lang w:val="ro-MD" w:eastAsia="ru-RU"/>
              </w:rPr>
              <w:t>Reglementează acordarea suplimentului de plată la salariul de func</w:t>
            </w:r>
            <w:r w:rsidR="00B13B9A" w:rsidRPr="00B13B9A">
              <w:rPr>
                <w:rFonts w:asciiTheme="majorHAnsi" w:hAnsiTheme="majorHAnsi" w:cstheme="majorHAnsi"/>
                <w:noProof/>
                <w:color w:val="000000" w:themeColor="text1"/>
                <w:sz w:val="20"/>
                <w:szCs w:val="20"/>
                <w:lang w:val="ro-MD" w:eastAsia="ru-RU"/>
              </w:rPr>
              <w:t>ț</w:t>
            </w:r>
            <w:r w:rsidRPr="00B13B9A">
              <w:rPr>
                <w:rFonts w:asciiTheme="majorHAnsi" w:hAnsiTheme="majorHAnsi" w:cstheme="majorHAnsi"/>
                <w:noProof/>
                <w:color w:val="000000" w:themeColor="text1"/>
                <w:sz w:val="20"/>
                <w:szCs w:val="20"/>
                <w:lang w:val="ro-MD" w:eastAsia="ru-RU"/>
              </w:rPr>
              <w:t>ie a personalului implicat nemijlocit în acordarea asisten</w:t>
            </w:r>
            <w:r w:rsidR="00B13B9A" w:rsidRPr="00B13B9A">
              <w:rPr>
                <w:rFonts w:asciiTheme="majorHAnsi" w:hAnsiTheme="majorHAnsi" w:cstheme="majorHAnsi"/>
                <w:noProof/>
                <w:color w:val="000000" w:themeColor="text1"/>
                <w:sz w:val="20"/>
                <w:szCs w:val="20"/>
                <w:lang w:val="ro-MD" w:eastAsia="ru-RU"/>
              </w:rPr>
              <w:t>ț</w:t>
            </w:r>
            <w:r w:rsidRPr="00B13B9A">
              <w:rPr>
                <w:rFonts w:asciiTheme="majorHAnsi" w:hAnsiTheme="majorHAnsi" w:cstheme="majorHAnsi"/>
                <w:noProof/>
                <w:color w:val="000000" w:themeColor="text1"/>
                <w:sz w:val="20"/>
                <w:szCs w:val="20"/>
                <w:lang w:val="ro-MD" w:eastAsia="ru-RU"/>
              </w:rPr>
              <w:t>ei medicale pacien</w:t>
            </w:r>
            <w:r w:rsidR="00B13B9A" w:rsidRPr="00B13B9A">
              <w:rPr>
                <w:rFonts w:asciiTheme="majorHAnsi" w:hAnsiTheme="majorHAnsi" w:cstheme="majorHAnsi"/>
                <w:noProof/>
                <w:color w:val="000000" w:themeColor="text1"/>
                <w:sz w:val="20"/>
                <w:szCs w:val="20"/>
                <w:lang w:val="ro-MD" w:eastAsia="ru-RU"/>
              </w:rPr>
              <w:t>ț</w:t>
            </w:r>
            <w:r w:rsidRPr="00B13B9A">
              <w:rPr>
                <w:rFonts w:asciiTheme="majorHAnsi" w:hAnsiTheme="majorHAnsi" w:cstheme="majorHAnsi"/>
                <w:noProof/>
                <w:color w:val="000000" w:themeColor="text1"/>
                <w:sz w:val="20"/>
                <w:szCs w:val="20"/>
                <w:lang w:val="ro-MD" w:eastAsia="ru-RU"/>
              </w:rPr>
              <w:t>ilor cu COVID-19.</w:t>
            </w:r>
          </w:p>
        </w:tc>
      </w:tr>
      <w:tr w:rsidR="00FB1833" w:rsidRPr="00B13B9A" w14:paraId="691AFBD5" w14:textId="77777777" w:rsidTr="00046446">
        <w:trPr>
          <w:trHeight w:val="20"/>
        </w:trPr>
        <w:tc>
          <w:tcPr>
            <w:tcW w:w="3539" w:type="dxa"/>
          </w:tcPr>
          <w:p w14:paraId="2F291775" w14:textId="77777777" w:rsidR="00FB1833" w:rsidRPr="00B13B9A" w:rsidRDefault="00FB1833" w:rsidP="001457CE">
            <w:pPr>
              <w:jc w:val="both"/>
              <w:rPr>
                <w:rFonts w:asciiTheme="majorHAnsi" w:hAnsiTheme="majorHAnsi" w:cstheme="majorHAnsi"/>
                <w:sz w:val="20"/>
                <w:szCs w:val="20"/>
                <w:lang w:val="ro-MD"/>
              </w:rPr>
            </w:pPr>
            <w:r w:rsidRPr="00B13B9A">
              <w:rPr>
                <w:rFonts w:asciiTheme="majorHAnsi" w:hAnsiTheme="majorHAnsi" w:cstheme="majorHAnsi"/>
                <w:sz w:val="20"/>
                <w:szCs w:val="20"/>
                <w:lang w:val="ro-MD"/>
              </w:rPr>
              <w:t>Ordinul MF nr. 118 din 06.08.2013</w:t>
            </w:r>
          </w:p>
          <w:p w14:paraId="5675A990" w14:textId="33E62691" w:rsidR="00FB1833" w:rsidRPr="00B13B9A" w:rsidRDefault="00FB1833" w:rsidP="001457CE">
            <w:pPr>
              <w:jc w:val="both"/>
              <w:rPr>
                <w:rFonts w:asciiTheme="majorHAnsi" w:hAnsiTheme="majorHAnsi" w:cstheme="majorHAnsi"/>
                <w:sz w:val="20"/>
                <w:szCs w:val="20"/>
                <w:lang w:val="ro-MD"/>
              </w:rPr>
            </w:pPr>
            <w:r w:rsidRPr="00B13B9A">
              <w:rPr>
                <w:rFonts w:asciiTheme="majorHAnsi" w:hAnsiTheme="majorHAnsi" w:cstheme="majorHAnsi"/>
                <w:sz w:val="20"/>
                <w:szCs w:val="20"/>
                <w:lang w:val="ro-MD"/>
              </w:rPr>
              <w:t>privind aprobarea Standardelor Na</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ionale de Contabilitate</w:t>
            </w:r>
          </w:p>
        </w:tc>
        <w:tc>
          <w:tcPr>
            <w:tcW w:w="6379" w:type="dxa"/>
          </w:tcPr>
          <w:p w14:paraId="7AF6CCC8" w14:textId="294DC8E6" w:rsidR="00FB1833" w:rsidRPr="00B13B9A" w:rsidRDefault="00FB1833" w:rsidP="001457CE">
            <w:pPr>
              <w:jc w:val="both"/>
              <w:rPr>
                <w:rFonts w:asciiTheme="majorHAnsi" w:hAnsiTheme="majorHAnsi" w:cstheme="majorHAnsi"/>
                <w:noProof/>
                <w:color w:val="000000" w:themeColor="text1"/>
                <w:sz w:val="20"/>
                <w:szCs w:val="20"/>
                <w:lang w:val="ro-MD" w:eastAsia="ru-RU"/>
              </w:rPr>
            </w:pPr>
            <w:r w:rsidRPr="00B13B9A">
              <w:rPr>
                <w:rFonts w:asciiTheme="majorHAnsi" w:hAnsiTheme="majorHAnsi" w:cstheme="majorHAnsi"/>
                <w:noProof/>
                <w:color w:val="000000" w:themeColor="text1"/>
                <w:sz w:val="20"/>
                <w:szCs w:val="20"/>
                <w:lang w:val="ro-MD" w:eastAsia="ru-RU"/>
              </w:rPr>
              <w:t>Prevede aprobarea SNC, stabile</w:t>
            </w:r>
            <w:r w:rsidR="00B13B9A" w:rsidRPr="00B13B9A">
              <w:rPr>
                <w:rFonts w:asciiTheme="majorHAnsi" w:hAnsiTheme="majorHAnsi" w:cstheme="majorHAnsi"/>
                <w:noProof/>
                <w:color w:val="000000" w:themeColor="text1"/>
                <w:sz w:val="20"/>
                <w:szCs w:val="20"/>
                <w:lang w:val="ro-MD" w:eastAsia="ru-RU"/>
              </w:rPr>
              <w:t>ș</w:t>
            </w:r>
            <w:r w:rsidRPr="00B13B9A">
              <w:rPr>
                <w:rFonts w:asciiTheme="majorHAnsi" w:hAnsiTheme="majorHAnsi" w:cstheme="majorHAnsi"/>
                <w:noProof/>
                <w:color w:val="000000" w:themeColor="text1"/>
                <w:sz w:val="20"/>
                <w:szCs w:val="20"/>
                <w:lang w:val="ro-MD" w:eastAsia="ru-RU"/>
              </w:rPr>
              <w:t xml:space="preserve">te modul de contabilizare </w:t>
            </w:r>
            <w:r w:rsidR="00B13B9A" w:rsidRPr="00B13B9A">
              <w:rPr>
                <w:rFonts w:asciiTheme="majorHAnsi" w:hAnsiTheme="majorHAnsi" w:cstheme="majorHAnsi"/>
                <w:noProof/>
                <w:color w:val="000000" w:themeColor="text1"/>
                <w:sz w:val="20"/>
                <w:szCs w:val="20"/>
                <w:lang w:val="ro-MD" w:eastAsia="ru-RU"/>
              </w:rPr>
              <w:t>ș</w:t>
            </w:r>
            <w:r w:rsidRPr="00B13B9A">
              <w:rPr>
                <w:rFonts w:asciiTheme="majorHAnsi" w:hAnsiTheme="majorHAnsi" w:cstheme="majorHAnsi"/>
                <w:noProof/>
                <w:color w:val="000000" w:themeColor="text1"/>
                <w:sz w:val="20"/>
                <w:szCs w:val="20"/>
                <w:lang w:val="ro-MD" w:eastAsia="ru-RU"/>
              </w:rPr>
              <w:t>i de prezentare a informa</w:t>
            </w:r>
            <w:r w:rsidR="00B13B9A" w:rsidRPr="00B13B9A">
              <w:rPr>
                <w:rFonts w:asciiTheme="majorHAnsi" w:hAnsiTheme="majorHAnsi" w:cstheme="majorHAnsi"/>
                <w:noProof/>
                <w:color w:val="000000" w:themeColor="text1"/>
                <w:sz w:val="20"/>
                <w:szCs w:val="20"/>
                <w:lang w:val="ro-MD" w:eastAsia="ru-RU"/>
              </w:rPr>
              <w:t>ț</w:t>
            </w:r>
            <w:r w:rsidRPr="00B13B9A">
              <w:rPr>
                <w:rFonts w:asciiTheme="majorHAnsi" w:hAnsiTheme="majorHAnsi" w:cstheme="majorHAnsi"/>
                <w:noProof/>
                <w:color w:val="000000" w:themeColor="text1"/>
                <w:sz w:val="20"/>
                <w:szCs w:val="20"/>
                <w:lang w:val="ro-MD" w:eastAsia="ru-RU"/>
              </w:rPr>
              <w:t>iilor aferente în situa</w:t>
            </w:r>
            <w:r w:rsidR="00B13B9A" w:rsidRPr="00B13B9A">
              <w:rPr>
                <w:rFonts w:asciiTheme="majorHAnsi" w:hAnsiTheme="majorHAnsi" w:cstheme="majorHAnsi"/>
                <w:noProof/>
                <w:color w:val="000000" w:themeColor="text1"/>
                <w:sz w:val="20"/>
                <w:szCs w:val="20"/>
                <w:lang w:val="ro-MD" w:eastAsia="ru-RU"/>
              </w:rPr>
              <w:t>ț</w:t>
            </w:r>
            <w:r w:rsidRPr="00B13B9A">
              <w:rPr>
                <w:rFonts w:asciiTheme="majorHAnsi" w:hAnsiTheme="majorHAnsi" w:cstheme="majorHAnsi"/>
                <w:noProof/>
                <w:color w:val="000000" w:themeColor="text1"/>
                <w:sz w:val="20"/>
                <w:szCs w:val="20"/>
                <w:lang w:val="ro-MD" w:eastAsia="ru-RU"/>
              </w:rPr>
              <w:t>iile financiare.</w:t>
            </w:r>
          </w:p>
        </w:tc>
      </w:tr>
    </w:tbl>
    <w:p w14:paraId="4B3BF8DD" w14:textId="77777777" w:rsidR="00FB1833" w:rsidRPr="00B13B9A" w:rsidRDefault="00FB1833" w:rsidP="00FB1833">
      <w:pPr>
        <w:pStyle w:val="cn"/>
        <w:spacing w:line="276" w:lineRule="auto"/>
        <w:ind w:right="71"/>
        <w:jc w:val="both"/>
        <w:rPr>
          <w:rFonts w:asciiTheme="majorHAnsi" w:eastAsiaTheme="minorHAnsi" w:hAnsiTheme="majorHAnsi" w:cstheme="majorHAnsi"/>
          <w:i/>
          <w:sz w:val="20"/>
          <w:szCs w:val="20"/>
          <w:lang w:val="ro-MD" w:eastAsia="en-US"/>
        </w:rPr>
      </w:pPr>
    </w:p>
    <w:p w14:paraId="56C711FF" w14:textId="77777777" w:rsidR="00FA7B71" w:rsidRPr="00B13B9A" w:rsidRDefault="00FA7B71" w:rsidP="001A0E43">
      <w:pPr>
        <w:spacing w:after="0" w:line="240" w:lineRule="auto"/>
        <w:jc w:val="right"/>
        <w:rPr>
          <w:rFonts w:asciiTheme="majorHAnsi" w:hAnsiTheme="majorHAnsi" w:cstheme="majorHAnsi"/>
          <w:i/>
          <w:iCs/>
          <w:sz w:val="24"/>
          <w:szCs w:val="24"/>
          <w:lang w:val="ro-MD"/>
        </w:rPr>
      </w:pPr>
      <w:r w:rsidRPr="00B13B9A">
        <w:rPr>
          <w:rFonts w:asciiTheme="majorHAnsi" w:hAnsiTheme="majorHAnsi" w:cstheme="majorHAnsi"/>
          <w:i/>
          <w:iCs/>
          <w:sz w:val="24"/>
          <w:szCs w:val="24"/>
          <w:lang w:val="ro-MD"/>
        </w:rPr>
        <w:br w:type="page"/>
      </w:r>
    </w:p>
    <w:p w14:paraId="5BC82D44" w14:textId="299BAB9C" w:rsidR="00782BD2" w:rsidRPr="00B13B9A" w:rsidRDefault="00782BD2" w:rsidP="00764FE8">
      <w:pPr>
        <w:pStyle w:val="3"/>
        <w:jc w:val="right"/>
        <w:rPr>
          <w:rFonts w:cstheme="majorHAnsi"/>
          <w:b/>
          <w:iCs/>
          <w:color w:val="auto"/>
        </w:rPr>
      </w:pPr>
      <w:bookmarkStart w:id="63" w:name="_Toc154562533"/>
      <w:r w:rsidRPr="00B13B9A">
        <w:rPr>
          <w:rFonts w:cstheme="majorHAnsi"/>
          <w:b/>
          <w:iCs/>
          <w:color w:val="auto"/>
        </w:rPr>
        <w:t xml:space="preserve">Anexa nr. </w:t>
      </w:r>
      <w:r w:rsidR="002C339A" w:rsidRPr="00B13B9A">
        <w:rPr>
          <w:rFonts w:cstheme="majorHAnsi"/>
          <w:b/>
          <w:iCs/>
          <w:color w:val="auto"/>
        </w:rPr>
        <w:t>10</w:t>
      </w:r>
      <w:bookmarkEnd w:id="63"/>
    </w:p>
    <w:p w14:paraId="297D614C" w14:textId="6563A2D9" w:rsidR="00EF1983" w:rsidRPr="00B13B9A" w:rsidRDefault="00EF1983" w:rsidP="00EF1983">
      <w:pPr>
        <w:spacing w:after="0" w:line="276" w:lineRule="auto"/>
        <w:jc w:val="center"/>
        <w:rPr>
          <w:rFonts w:asciiTheme="majorHAnsi" w:hAnsiTheme="majorHAnsi" w:cstheme="majorHAnsi"/>
          <w:b/>
          <w:color w:val="000000" w:themeColor="text1"/>
          <w:sz w:val="24"/>
          <w:szCs w:val="24"/>
          <w:lang w:val="ro-MD"/>
        </w:rPr>
      </w:pPr>
      <w:r w:rsidRPr="00B13B9A">
        <w:rPr>
          <w:rFonts w:asciiTheme="majorHAnsi" w:hAnsiTheme="majorHAnsi" w:cstheme="majorHAnsi"/>
          <w:b/>
          <w:color w:val="000000" w:themeColor="text1"/>
          <w:sz w:val="24"/>
          <w:szCs w:val="24"/>
          <w:lang w:val="ro-MD"/>
        </w:rPr>
        <w:t>Cheltuielile suportate în cadrul clinicii Vorniceni</w:t>
      </w:r>
      <w:r w:rsidR="00585605" w:rsidRPr="00B13B9A">
        <w:rPr>
          <w:rFonts w:asciiTheme="majorHAnsi" w:hAnsiTheme="majorHAnsi" w:cstheme="majorHAnsi"/>
          <w:b/>
          <w:color w:val="000000" w:themeColor="text1"/>
          <w:sz w:val="24"/>
          <w:szCs w:val="24"/>
          <w:lang w:val="ro-MD"/>
        </w:rPr>
        <w:t>,</w:t>
      </w:r>
      <w:r w:rsidRPr="00B13B9A">
        <w:rPr>
          <w:rFonts w:asciiTheme="majorHAnsi" w:hAnsiTheme="majorHAnsi" w:cstheme="majorHAnsi"/>
          <w:b/>
          <w:color w:val="000000" w:themeColor="text1"/>
          <w:sz w:val="24"/>
          <w:szCs w:val="24"/>
          <w:lang w:val="ro-MD"/>
        </w:rPr>
        <w:t xml:space="preserve"> pe tipuri</w:t>
      </w:r>
      <w:r w:rsidR="00585605" w:rsidRPr="00B13B9A">
        <w:rPr>
          <w:rFonts w:asciiTheme="majorHAnsi" w:hAnsiTheme="majorHAnsi" w:cstheme="majorHAnsi"/>
          <w:b/>
          <w:color w:val="000000" w:themeColor="text1"/>
          <w:sz w:val="24"/>
          <w:szCs w:val="24"/>
          <w:lang w:val="ro-MD"/>
        </w:rPr>
        <w:t>,</w:t>
      </w:r>
      <w:r w:rsidRPr="00B13B9A">
        <w:rPr>
          <w:rFonts w:asciiTheme="majorHAnsi" w:hAnsiTheme="majorHAnsi" w:cstheme="majorHAnsi"/>
          <w:b/>
          <w:color w:val="000000" w:themeColor="text1"/>
          <w:sz w:val="24"/>
          <w:szCs w:val="24"/>
          <w:lang w:val="ro-MD"/>
        </w:rPr>
        <w:t xml:space="preserve"> în perioada 2018-2023 (6 luni)</w:t>
      </w:r>
    </w:p>
    <w:tbl>
      <w:tblPr>
        <w:tblpPr w:leftFromText="180" w:rightFromText="180" w:vertAnchor="text" w:horzAnchor="margin" w:tblpY="-14"/>
        <w:tblW w:w="9913" w:type="dxa"/>
        <w:tblLook w:val="04A0" w:firstRow="1" w:lastRow="0" w:firstColumn="1" w:lastColumn="0" w:noHBand="0" w:noVBand="1"/>
      </w:tblPr>
      <w:tblGrid>
        <w:gridCol w:w="2972"/>
        <w:gridCol w:w="944"/>
        <w:gridCol w:w="944"/>
        <w:gridCol w:w="990"/>
        <w:gridCol w:w="1091"/>
        <w:gridCol w:w="993"/>
        <w:gridCol w:w="853"/>
        <w:gridCol w:w="1126"/>
      </w:tblGrid>
      <w:tr w:rsidR="00EF1983" w:rsidRPr="00B13B9A" w14:paraId="4611A1AA" w14:textId="77777777" w:rsidTr="00332FF7">
        <w:trPr>
          <w:trHeight w:val="20"/>
        </w:trPr>
        <w:tc>
          <w:tcPr>
            <w:tcW w:w="2972" w:type="dxa"/>
            <w:tcBorders>
              <w:top w:val="single" w:sz="4" w:space="0" w:color="auto"/>
              <w:left w:val="single" w:sz="4" w:space="0" w:color="auto"/>
              <w:bottom w:val="nil"/>
              <w:right w:val="single" w:sz="4" w:space="0" w:color="auto"/>
            </w:tcBorders>
            <w:shd w:val="clear" w:color="auto" w:fill="auto"/>
            <w:vAlign w:val="center"/>
            <w:hideMark/>
          </w:tcPr>
          <w:p w14:paraId="4A0A610C" w14:textId="77777777" w:rsidR="00EF1983" w:rsidRPr="00B13B9A" w:rsidRDefault="00EF1983" w:rsidP="0061151B">
            <w:pPr>
              <w:spacing w:after="0" w:line="240" w:lineRule="auto"/>
              <w:jc w:val="center"/>
              <w:rPr>
                <w:rFonts w:asciiTheme="majorHAnsi" w:eastAsia="Times New Roman" w:hAnsiTheme="majorHAnsi" w:cstheme="majorHAnsi"/>
                <w:b/>
                <w:bCs/>
                <w:i/>
                <w:iCs/>
                <w:color w:val="000000"/>
                <w:sz w:val="18"/>
                <w:szCs w:val="18"/>
                <w:lang w:val="ro-MD"/>
              </w:rPr>
            </w:pPr>
            <w:r w:rsidRPr="00B13B9A">
              <w:rPr>
                <w:rFonts w:asciiTheme="majorHAnsi" w:eastAsia="Times New Roman" w:hAnsiTheme="majorHAnsi" w:cstheme="majorHAnsi"/>
                <w:b/>
                <w:bCs/>
                <w:i/>
                <w:iCs/>
                <w:color w:val="000000"/>
                <w:sz w:val="18"/>
                <w:szCs w:val="18"/>
                <w:lang w:val="ro-MD"/>
              </w:rPr>
              <w:t>Anii</w:t>
            </w:r>
          </w:p>
        </w:tc>
        <w:tc>
          <w:tcPr>
            <w:tcW w:w="9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B39EB4B" w14:textId="77777777" w:rsidR="00EF1983" w:rsidRPr="00B13B9A" w:rsidRDefault="00EF1983" w:rsidP="0061151B">
            <w:pPr>
              <w:spacing w:after="0" w:line="240" w:lineRule="auto"/>
              <w:jc w:val="center"/>
              <w:rPr>
                <w:rFonts w:asciiTheme="majorHAnsi" w:eastAsia="Times New Roman" w:hAnsiTheme="majorHAnsi" w:cstheme="majorHAnsi"/>
                <w:b/>
                <w:bCs/>
                <w:i/>
                <w:iCs/>
                <w:color w:val="000000"/>
                <w:sz w:val="18"/>
                <w:szCs w:val="18"/>
                <w:lang w:val="ro-MD"/>
              </w:rPr>
            </w:pPr>
            <w:r w:rsidRPr="00B13B9A">
              <w:rPr>
                <w:rFonts w:asciiTheme="majorHAnsi" w:eastAsia="Times New Roman" w:hAnsiTheme="majorHAnsi" w:cstheme="majorHAnsi"/>
                <w:b/>
                <w:bCs/>
                <w:i/>
                <w:iCs/>
                <w:color w:val="000000"/>
                <w:sz w:val="18"/>
                <w:szCs w:val="18"/>
                <w:lang w:val="ro-MD"/>
              </w:rPr>
              <w:t>2018</w:t>
            </w:r>
          </w:p>
        </w:tc>
        <w:tc>
          <w:tcPr>
            <w:tcW w:w="9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8045F3B" w14:textId="77777777" w:rsidR="00EF1983" w:rsidRPr="00B13B9A" w:rsidRDefault="00EF1983" w:rsidP="0061151B">
            <w:pPr>
              <w:spacing w:after="0" w:line="240" w:lineRule="auto"/>
              <w:jc w:val="center"/>
              <w:rPr>
                <w:rFonts w:asciiTheme="majorHAnsi" w:eastAsia="Times New Roman" w:hAnsiTheme="majorHAnsi" w:cstheme="majorHAnsi"/>
                <w:b/>
                <w:bCs/>
                <w:i/>
                <w:iCs/>
                <w:color w:val="000000"/>
                <w:sz w:val="18"/>
                <w:szCs w:val="18"/>
                <w:lang w:val="ro-MD"/>
              </w:rPr>
            </w:pPr>
            <w:r w:rsidRPr="00B13B9A">
              <w:rPr>
                <w:rFonts w:asciiTheme="majorHAnsi" w:eastAsia="Times New Roman" w:hAnsiTheme="majorHAnsi" w:cstheme="majorHAnsi"/>
                <w:b/>
                <w:bCs/>
                <w:i/>
                <w:iCs/>
                <w:color w:val="000000"/>
                <w:sz w:val="18"/>
                <w:szCs w:val="18"/>
                <w:lang w:val="ro-MD"/>
              </w:rPr>
              <w:t>2019</w:t>
            </w:r>
          </w:p>
        </w:tc>
        <w:tc>
          <w:tcPr>
            <w:tcW w:w="990" w:type="dxa"/>
            <w:vMerge w:val="restart"/>
            <w:tcBorders>
              <w:top w:val="single" w:sz="4" w:space="0" w:color="auto"/>
              <w:left w:val="nil"/>
              <w:bottom w:val="single" w:sz="4" w:space="0" w:color="000000"/>
              <w:right w:val="single" w:sz="4" w:space="0" w:color="auto"/>
            </w:tcBorders>
            <w:shd w:val="clear" w:color="auto" w:fill="auto"/>
            <w:vAlign w:val="center"/>
            <w:hideMark/>
          </w:tcPr>
          <w:p w14:paraId="6AC6431B" w14:textId="77777777" w:rsidR="00EF1983" w:rsidRPr="00B13B9A" w:rsidRDefault="00EF1983" w:rsidP="0061151B">
            <w:pPr>
              <w:spacing w:after="0" w:line="240" w:lineRule="auto"/>
              <w:jc w:val="center"/>
              <w:rPr>
                <w:rFonts w:asciiTheme="majorHAnsi" w:eastAsia="Times New Roman" w:hAnsiTheme="majorHAnsi" w:cstheme="majorHAnsi"/>
                <w:b/>
                <w:bCs/>
                <w:i/>
                <w:iCs/>
                <w:color w:val="000000"/>
                <w:sz w:val="18"/>
                <w:szCs w:val="18"/>
                <w:lang w:val="ro-MD"/>
              </w:rPr>
            </w:pPr>
            <w:r w:rsidRPr="00B13B9A">
              <w:rPr>
                <w:rFonts w:asciiTheme="majorHAnsi" w:eastAsia="Times New Roman" w:hAnsiTheme="majorHAnsi" w:cstheme="majorHAnsi"/>
                <w:b/>
                <w:bCs/>
                <w:i/>
                <w:iCs/>
                <w:color w:val="000000"/>
                <w:sz w:val="18"/>
                <w:szCs w:val="18"/>
                <w:lang w:val="ro-MD"/>
              </w:rPr>
              <w:t>2020</w:t>
            </w:r>
          </w:p>
        </w:tc>
        <w:tc>
          <w:tcPr>
            <w:tcW w:w="10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309597F" w14:textId="77777777" w:rsidR="00EF1983" w:rsidRPr="00B13B9A" w:rsidRDefault="00EF1983" w:rsidP="0061151B">
            <w:pPr>
              <w:spacing w:after="0" w:line="240" w:lineRule="auto"/>
              <w:jc w:val="center"/>
              <w:rPr>
                <w:rFonts w:asciiTheme="majorHAnsi" w:eastAsia="Times New Roman" w:hAnsiTheme="majorHAnsi" w:cstheme="majorHAnsi"/>
                <w:b/>
                <w:bCs/>
                <w:i/>
                <w:iCs/>
                <w:color w:val="000000"/>
                <w:sz w:val="18"/>
                <w:szCs w:val="18"/>
                <w:lang w:val="ro-MD"/>
              </w:rPr>
            </w:pPr>
            <w:r w:rsidRPr="00B13B9A">
              <w:rPr>
                <w:rFonts w:asciiTheme="majorHAnsi" w:eastAsia="Times New Roman" w:hAnsiTheme="majorHAnsi" w:cstheme="majorHAnsi"/>
                <w:b/>
                <w:bCs/>
                <w:i/>
                <w:iCs/>
                <w:color w:val="000000"/>
                <w:sz w:val="18"/>
                <w:szCs w:val="18"/>
                <w:lang w:val="ro-MD"/>
              </w:rPr>
              <w:t>2021</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8BB2C30" w14:textId="77777777" w:rsidR="00EF1983" w:rsidRPr="00B13B9A" w:rsidRDefault="00EF1983" w:rsidP="0061151B">
            <w:pPr>
              <w:spacing w:after="0" w:line="240" w:lineRule="auto"/>
              <w:jc w:val="center"/>
              <w:rPr>
                <w:rFonts w:asciiTheme="majorHAnsi" w:eastAsia="Times New Roman" w:hAnsiTheme="majorHAnsi" w:cstheme="majorHAnsi"/>
                <w:b/>
                <w:bCs/>
                <w:i/>
                <w:iCs/>
                <w:color w:val="000000"/>
                <w:sz w:val="18"/>
                <w:szCs w:val="18"/>
                <w:lang w:val="ro-MD"/>
              </w:rPr>
            </w:pPr>
            <w:r w:rsidRPr="00B13B9A">
              <w:rPr>
                <w:rFonts w:asciiTheme="majorHAnsi" w:eastAsia="Times New Roman" w:hAnsiTheme="majorHAnsi" w:cstheme="majorHAnsi"/>
                <w:b/>
                <w:bCs/>
                <w:i/>
                <w:iCs/>
                <w:color w:val="000000"/>
                <w:sz w:val="18"/>
                <w:szCs w:val="18"/>
                <w:lang w:val="ro-MD"/>
              </w:rPr>
              <w:t>2022</w:t>
            </w:r>
          </w:p>
        </w:tc>
        <w:tc>
          <w:tcPr>
            <w:tcW w:w="8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F9AF91E" w14:textId="77777777" w:rsidR="00EF1983" w:rsidRPr="00B13B9A" w:rsidRDefault="00EF1983" w:rsidP="0061151B">
            <w:pPr>
              <w:spacing w:after="0" w:line="240" w:lineRule="auto"/>
              <w:jc w:val="center"/>
              <w:rPr>
                <w:rFonts w:asciiTheme="majorHAnsi" w:eastAsia="Times New Roman" w:hAnsiTheme="majorHAnsi" w:cstheme="majorHAnsi"/>
                <w:b/>
                <w:bCs/>
                <w:i/>
                <w:iCs/>
                <w:color w:val="000000"/>
                <w:sz w:val="18"/>
                <w:szCs w:val="18"/>
                <w:lang w:val="ro-MD"/>
              </w:rPr>
            </w:pPr>
            <w:r w:rsidRPr="00B13B9A">
              <w:rPr>
                <w:rFonts w:asciiTheme="majorHAnsi" w:eastAsia="Times New Roman" w:hAnsiTheme="majorHAnsi" w:cstheme="majorHAnsi"/>
                <w:b/>
                <w:bCs/>
                <w:i/>
                <w:iCs/>
                <w:color w:val="000000"/>
                <w:sz w:val="18"/>
                <w:szCs w:val="18"/>
                <w:lang w:val="ro-MD"/>
              </w:rPr>
              <w:t xml:space="preserve">2023 </w:t>
            </w:r>
          </w:p>
          <w:p w14:paraId="6753B8E8" w14:textId="77777777" w:rsidR="00EF1983" w:rsidRPr="00B13B9A" w:rsidRDefault="00EF1983" w:rsidP="0061151B">
            <w:pPr>
              <w:spacing w:after="0" w:line="240" w:lineRule="auto"/>
              <w:jc w:val="center"/>
              <w:rPr>
                <w:rFonts w:asciiTheme="majorHAnsi" w:eastAsia="Times New Roman" w:hAnsiTheme="majorHAnsi" w:cstheme="majorHAnsi"/>
                <w:b/>
                <w:bCs/>
                <w:i/>
                <w:iCs/>
                <w:color w:val="000000"/>
                <w:sz w:val="18"/>
                <w:szCs w:val="18"/>
                <w:lang w:val="ro-MD"/>
              </w:rPr>
            </w:pPr>
            <w:r w:rsidRPr="00B13B9A">
              <w:rPr>
                <w:rFonts w:asciiTheme="majorHAnsi" w:eastAsia="Times New Roman" w:hAnsiTheme="majorHAnsi" w:cstheme="majorHAnsi"/>
                <w:b/>
                <w:bCs/>
                <w:i/>
                <w:iCs/>
                <w:color w:val="000000"/>
                <w:sz w:val="18"/>
                <w:szCs w:val="18"/>
                <w:lang w:val="ro-MD"/>
              </w:rPr>
              <w:t>(6 luni)</w:t>
            </w:r>
          </w:p>
        </w:tc>
        <w:tc>
          <w:tcPr>
            <w:tcW w:w="1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1E9814A" w14:textId="77777777" w:rsidR="00EF1983" w:rsidRPr="00B13B9A" w:rsidRDefault="00EF1983" w:rsidP="0061151B">
            <w:pPr>
              <w:spacing w:after="0" w:line="240" w:lineRule="auto"/>
              <w:jc w:val="center"/>
              <w:rPr>
                <w:rFonts w:asciiTheme="majorHAnsi" w:eastAsia="Times New Roman" w:hAnsiTheme="majorHAnsi" w:cstheme="majorHAnsi"/>
                <w:b/>
                <w:bCs/>
                <w:i/>
                <w:iCs/>
                <w:color w:val="000000"/>
                <w:sz w:val="18"/>
                <w:szCs w:val="18"/>
                <w:lang w:val="ro-MD"/>
              </w:rPr>
            </w:pPr>
            <w:r w:rsidRPr="00B13B9A">
              <w:rPr>
                <w:rFonts w:asciiTheme="majorHAnsi" w:eastAsia="Times New Roman" w:hAnsiTheme="majorHAnsi" w:cstheme="majorHAnsi"/>
                <w:b/>
                <w:bCs/>
                <w:i/>
                <w:iCs/>
                <w:color w:val="000000"/>
                <w:sz w:val="18"/>
                <w:szCs w:val="18"/>
                <w:lang w:val="ro-MD"/>
              </w:rPr>
              <w:t xml:space="preserve">Total </w:t>
            </w:r>
          </w:p>
        </w:tc>
      </w:tr>
      <w:tr w:rsidR="00EF1983" w:rsidRPr="00B13B9A" w14:paraId="6CCEF877" w14:textId="77777777" w:rsidTr="00332FF7">
        <w:trPr>
          <w:trHeight w:val="2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2D73CFED" w14:textId="77777777" w:rsidR="00EF1983" w:rsidRPr="00B13B9A" w:rsidRDefault="00EF1983" w:rsidP="0061151B">
            <w:pPr>
              <w:spacing w:after="0" w:line="240" w:lineRule="auto"/>
              <w:jc w:val="center"/>
              <w:rPr>
                <w:rFonts w:asciiTheme="majorHAnsi" w:eastAsia="Times New Roman" w:hAnsiTheme="majorHAnsi" w:cstheme="majorHAnsi"/>
                <w:b/>
                <w:bCs/>
                <w:i/>
                <w:iCs/>
                <w:color w:val="000000"/>
                <w:sz w:val="18"/>
                <w:szCs w:val="18"/>
                <w:lang w:val="ro-MD"/>
              </w:rPr>
            </w:pPr>
            <w:r w:rsidRPr="00B13B9A">
              <w:rPr>
                <w:rFonts w:asciiTheme="majorHAnsi" w:eastAsia="Times New Roman" w:hAnsiTheme="majorHAnsi" w:cstheme="majorHAnsi"/>
                <w:b/>
                <w:bCs/>
                <w:i/>
                <w:iCs/>
                <w:color w:val="000000"/>
                <w:sz w:val="18"/>
                <w:szCs w:val="18"/>
                <w:lang w:val="ro-MD"/>
              </w:rPr>
              <w:t>Articole de cheltuieli</w:t>
            </w:r>
          </w:p>
        </w:tc>
        <w:tc>
          <w:tcPr>
            <w:tcW w:w="944" w:type="dxa"/>
            <w:vMerge/>
            <w:tcBorders>
              <w:top w:val="single" w:sz="4" w:space="0" w:color="auto"/>
              <w:left w:val="single" w:sz="4" w:space="0" w:color="auto"/>
              <w:bottom w:val="single" w:sz="4" w:space="0" w:color="000000"/>
              <w:right w:val="single" w:sz="4" w:space="0" w:color="auto"/>
            </w:tcBorders>
            <w:vAlign w:val="center"/>
            <w:hideMark/>
          </w:tcPr>
          <w:p w14:paraId="4EFC706B" w14:textId="77777777" w:rsidR="00EF1983" w:rsidRPr="00B13B9A" w:rsidRDefault="00EF1983" w:rsidP="0061151B">
            <w:pPr>
              <w:spacing w:after="0" w:line="240" w:lineRule="auto"/>
              <w:rPr>
                <w:rFonts w:asciiTheme="majorHAnsi" w:eastAsia="Times New Roman" w:hAnsiTheme="majorHAnsi" w:cstheme="majorHAnsi"/>
                <w:b/>
                <w:bCs/>
                <w:i/>
                <w:iCs/>
                <w:color w:val="000000"/>
                <w:sz w:val="18"/>
                <w:szCs w:val="18"/>
                <w:lang w:val="ro-MD"/>
              </w:rPr>
            </w:pPr>
          </w:p>
        </w:tc>
        <w:tc>
          <w:tcPr>
            <w:tcW w:w="944" w:type="dxa"/>
            <w:vMerge/>
            <w:tcBorders>
              <w:top w:val="single" w:sz="4" w:space="0" w:color="auto"/>
              <w:left w:val="single" w:sz="4" w:space="0" w:color="auto"/>
              <w:bottom w:val="single" w:sz="4" w:space="0" w:color="000000"/>
              <w:right w:val="single" w:sz="4" w:space="0" w:color="auto"/>
            </w:tcBorders>
            <w:vAlign w:val="center"/>
            <w:hideMark/>
          </w:tcPr>
          <w:p w14:paraId="457190FD" w14:textId="77777777" w:rsidR="00EF1983" w:rsidRPr="00B13B9A" w:rsidRDefault="00EF1983" w:rsidP="0061151B">
            <w:pPr>
              <w:spacing w:after="0" w:line="240" w:lineRule="auto"/>
              <w:rPr>
                <w:rFonts w:asciiTheme="majorHAnsi" w:eastAsia="Times New Roman" w:hAnsiTheme="majorHAnsi" w:cstheme="majorHAnsi"/>
                <w:b/>
                <w:bCs/>
                <w:i/>
                <w:iCs/>
                <w:color w:val="000000"/>
                <w:sz w:val="18"/>
                <w:szCs w:val="18"/>
                <w:lang w:val="ro-MD"/>
              </w:rPr>
            </w:pPr>
          </w:p>
        </w:tc>
        <w:tc>
          <w:tcPr>
            <w:tcW w:w="990" w:type="dxa"/>
            <w:vMerge/>
            <w:tcBorders>
              <w:top w:val="single" w:sz="4" w:space="0" w:color="auto"/>
              <w:left w:val="nil"/>
              <w:bottom w:val="single" w:sz="4" w:space="0" w:color="000000"/>
              <w:right w:val="single" w:sz="4" w:space="0" w:color="auto"/>
            </w:tcBorders>
            <w:vAlign w:val="center"/>
            <w:hideMark/>
          </w:tcPr>
          <w:p w14:paraId="30D404C4" w14:textId="77777777" w:rsidR="00EF1983" w:rsidRPr="00B13B9A" w:rsidRDefault="00EF1983" w:rsidP="0061151B">
            <w:pPr>
              <w:spacing w:after="0" w:line="240" w:lineRule="auto"/>
              <w:rPr>
                <w:rFonts w:asciiTheme="majorHAnsi" w:eastAsia="Times New Roman" w:hAnsiTheme="majorHAnsi" w:cstheme="majorHAnsi"/>
                <w:b/>
                <w:bCs/>
                <w:i/>
                <w:iCs/>
                <w:color w:val="000000"/>
                <w:sz w:val="18"/>
                <w:szCs w:val="18"/>
                <w:lang w:val="ro-MD"/>
              </w:rPr>
            </w:pPr>
          </w:p>
        </w:tc>
        <w:tc>
          <w:tcPr>
            <w:tcW w:w="1091" w:type="dxa"/>
            <w:vMerge/>
            <w:tcBorders>
              <w:top w:val="single" w:sz="4" w:space="0" w:color="auto"/>
              <w:left w:val="single" w:sz="4" w:space="0" w:color="auto"/>
              <w:bottom w:val="single" w:sz="4" w:space="0" w:color="000000"/>
              <w:right w:val="single" w:sz="4" w:space="0" w:color="auto"/>
            </w:tcBorders>
            <w:vAlign w:val="center"/>
            <w:hideMark/>
          </w:tcPr>
          <w:p w14:paraId="50C79849" w14:textId="77777777" w:rsidR="00EF1983" w:rsidRPr="00B13B9A" w:rsidRDefault="00EF1983" w:rsidP="0061151B">
            <w:pPr>
              <w:spacing w:after="0" w:line="240" w:lineRule="auto"/>
              <w:rPr>
                <w:rFonts w:asciiTheme="majorHAnsi" w:eastAsia="Times New Roman" w:hAnsiTheme="majorHAnsi" w:cstheme="majorHAnsi"/>
                <w:b/>
                <w:bCs/>
                <w:i/>
                <w:iCs/>
                <w:color w:val="000000"/>
                <w:sz w:val="18"/>
                <w:szCs w:val="18"/>
                <w:lang w:val="ro-MD"/>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142A147F" w14:textId="77777777" w:rsidR="00EF1983" w:rsidRPr="00B13B9A" w:rsidRDefault="00EF1983" w:rsidP="0061151B">
            <w:pPr>
              <w:spacing w:after="0" w:line="240" w:lineRule="auto"/>
              <w:rPr>
                <w:rFonts w:asciiTheme="majorHAnsi" w:eastAsia="Times New Roman" w:hAnsiTheme="majorHAnsi" w:cstheme="majorHAnsi"/>
                <w:b/>
                <w:bCs/>
                <w:i/>
                <w:iCs/>
                <w:color w:val="000000"/>
                <w:sz w:val="18"/>
                <w:szCs w:val="18"/>
                <w:lang w:val="ro-MD"/>
              </w:rPr>
            </w:pPr>
          </w:p>
        </w:tc>
        <w:tc>
          <w:tcPr>
            <w:tcW w:w="853" w:type="dxa"/>
            <w:vMerge/>
            <w:tcBorders>
              <w:top w:val="single" w:sz="4" w:space="0" w:color="auto"/>
              <w:left w:val="single" w:sz="4" w:space="0" w:color="auto"/>
              <w:bottom w:val="single" w:sz="4" w:space="0" w:color="000000"/>
              <w:right w:val="single" w:sz="4" w:space="0" w:color="auto"/>
            </w:tcBorders>
            <w:vAlign w:val="center"/>
            <w:hideMark/>
          </w:tcPr>
          <w:p w14:paraId="2D60F5CC" w14:textId="77777777" w:rsidR="00EF1983" w:rsidRPr="00B13B9A" w:rsidRDefault="00EF1983" w:rsidP="0061151B">
            <w:pPr>
              <w:spacing w:after="0" w:line="240" w:lineRule="auto"/>
              <w:rPr>
                <w:rFonts w:asciiTheme="majorHAnsi" w:eastAsia="Times New Roman" w:hAnsiTheme="majorHAnsi" w:cstheme="majorHAnsi"/>
                <w:b/>
                <w:bCs/>
                <w:i/>
                <w:iCs/>
                <w:color w:val="000000"/>
                <w:sz w:val="18"/>
                <w:szCs w:val="18"/>
                <w:lang w:val="ro-MD"/>
              </w:rPr>
            </w:pPr>
          </w:p>
        </w:tc>
        <w:tc>
          <w:tcPr>
            <w:tcW w:w="1126" w:type="dxa"/>
            <w:vMerge/>
            <w:tcBorders>
              <w:top w:val="single" w:sz="4" w:space="0" w:color="auto"/>
              <w:left w:val="single" w:sz="4" w:space="0" w:color="auto"/>
              <w:bottom w:val="single" w:sz="4" w:space="0" w:color="000000"/>
              <w:right w:val="single" w:sz="4" w:space="0" w:color="auto"/>
            </w:tcBorders>
            <w:vAlign w:val="center"/>
            <w:hideMark/>
          </w:tcPr>
          <w:p w14:paraId="7BC26CA5" w14:textId="77777777" w:rsidR="00EF1983" w:rsidRPr="00B13B9A" w:rsidRDefault="00EF1983" w:rsidP="0061151B">
            <w:pPr>
              <w:spacing w:after="0" w:line="240" w:lineRule="auto"/>
              <w:rPr>
                <w:rFonts w:asciiTheme="majorHAnsi" w:eastAsia="Times New Roman" w:hAnsiTheme="majorHAnsi" w:cstheme="majorHAnsi"/>
                <w:b/>
                <w:bCs/>
                <w:i/>
                <w:iCs/>
                <w:color w:val="000000"/>
                <w:sz w:val="18"/>
                <w:szCs w:val="18"/>
                <w:lang w:val="ro-MD"/>
              </w:rPr>
            </w:pPr>
          </w:p>
        </w:tc>
      </w:tr>
      <w:tr w:rsidR="00EF1983" w:rsidRPr="00B13B9A" w14:paraId="7110B812" w14:textId="77777777" w:rsidTr="00332FF7">
        <w:trPr>
          <w:trHeight w:val="2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B1ED741" w14:textId="77777777" w:rsidR="00EF1983" w:rsidRPr="00B13B9A" w:rsidRDefault="00EF1983" w:rsidP="0061151B">
            <w:pPr>
              <w:spacing w:after="0" w:line="240" w:lineRule="auto"/>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Retribuirea muncii</w:t>
            </w:r>
          </w:p>
        </w:tc>
        <w:tc>
          <w:tcPr>
            <w:tcW w:w="944" w:type="dxa"/>
            <w:tcBorders>
              <w:top w:val="nil"/>
              <w:left w:val="nil"/>
              <w:bottom w:val="single" w:sz="4" w:space="0" w:color="auto"/>
              <w:right w:val="single" w:sz="4" w:space="0" w:color="auto"/>
            </w:tcBorders>
            <w:shd w:val="clear" w:color="auto" w:fill="auto"/>
            <w:noWrap/>
            <w:vAlign w:val="center"/>
            <w:hideMark/>
          </w:tcPr>
          <w:p w14:paraId="4934B35A"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9 884,86</w:t>
            </w:r>
          </w:p>
        </w:tc>
        <w:tc>
          <w:tcPr>
            <w:tcW w:w="944" w:type="dxa"/>
            <w:tcBorders>
              <w:top w:val="nil"/>
              <w:left w:val="nil"/>
              <w:bottom w:val="single" w:sz="4" w:space="0" w:color="auto"/>
              <w:right w:val="single" w:sz="4" w:space="0" w:color="auto"/>
            </w:tcBorders>
            <w:shd w:val="clear" w:color="auto" w:fill="auto"/>
            <w:noWrap/>
            <w:vAlign w:val="center"/>
            <w:hideMark/>
          </w:tcPr>
          <w:p w14:paraId="05D15C44"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9 213,20</w:t>
            </w:r>
          </w:p>
        </w:tc>
        <w:tc>
          <w:tcPr>
            <w:tcW w:w="990" w:type="dxa"/>
            <w:tcBorders>
              <w:top w:val="nil"/>
              <w:left w:val="nil"/>
              <w:bottom w:val="single" w:sz="4" w:space="0" w:color="auto"/>
              <w:right w:val="single" w:sz="4" w:space="0" w:color="auto"/>
            </w:tcBorders>
            <w:shd w:val="clear" w:color="auto" w:fill="auto"/>
            <w:noWrap/>
            <w:vAlign w:val="center"/>
            <w:hideMark/>
          </w:tcPr>
          <w:p w14:paraId="4BCD44A4"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11 352,86</w:t>
            </w:r>
          </w:p>
        </w:tc>
        <w:tc>
          <w:tcPr>
            <w:tcW w:w="1091" w:type="dxa"/>
            <w:tcBorders>
              <w:top w:val="nil"/>
              <w:left w:val="nil"/>
              <w:bottom w:val="single" w:sz="4" w:space="0" w:color="auto"/>
              <w:right w:val="single" w:sz="4" w:space="0" w:color="auto"/>
            </w:tcBorders>
            <w:shd w:val="clear" w:color="auto" w:fill="auto"/>
            <w:noWrap/>
            <w:vAlign w:val="center"/>
            <w:hideMark/>
          </w:tcPr>
          <w:p w14:paraId="1CCF1A4D"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13 840,64</w:t>
            </w:r>
          </w:p>
        </w:tc>
        <w:tc>
          <w:tcPr>
            <w:tcW w:w="993" w:type="dxa"/>
            <w:tcBorders>
              <w:top w:val="nil"/>
              <w:left w:val="nil"/>
              <w:bottom w:val="single" w:sz="4" w:space="0" w:color="auto"/>
              <w:right w:val="single" w:sz="4" w:space="0" w:color="auto"/>
            </w:tcBorders>
            <w:shd w:val="clear" w:color="auto" w:fill="auto"/>
            <w:noWrap/>
            <w:vAlign w:val="center"/>
            <w:hideMark/>
          </w:tcPr>
          <w:p w14:paraId="5030C3D4" w14:textId="77777777" w:rsidR="00EF1983" w:rsidRPr="00B13B9A" w:rsidRDefault="00EF1983" w:rsidP="0061151B">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12 386,84</w:t>
            </w:r>
          </w:p>
        </w:tc>
        <w:tc>
          <w:tcPr>
            <w:tcW w:w="853" w:type="dxa"/>
            <w:tcBorders>
              <w:top w:val="nil"/>
              <w:left w:val="nil"/>
              <w:bottom w:val="single" w:sz="4" w:space="0" w:color="auto"/>
              <w:right w:val="single" w:sz="4" w:space="0" w:color="auto"/>
            </w:tcBorders>
            <w:shd w:val="clear" w:color="auto" w:fill="auto"/>
            <w:noWrap/>
            <w:vAlign w:val="center"/>
            <w:hideMark/>
          </w:tcPr>
          <w:p w14:paraId="79D57D45" w14:textId="77777777" w:rsidR="00EF1983" w:rsidRPr="00B13B9A" w:rsidRDefault="00EF1983" w:rsidP="0061151B">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4 497,98</w:t>
            </w:r>
          </w:p>
        </w:tc>
        <w:tc>
          <w:tcPr>
            <w:tcW w:w="1126" w:type="dxa"/>
            <w:tcBorders>
              <w:top w:val="nil"/>
              <w:left w:val="nil"/>
              <w:bottom w:val="single" w:sz="4" w:space="0" w:color="auto"/>
              <w:right w:val="single" w:sz="4" w:space="0" w:color="auto"/>
            </w:tcBorders>
            <w:shd w:val="clear" w:color="auto" w:fill="auto"/>
            <w:noWrap/>
            <w:vAlign w:val="center"/>
            <w:hideMark/>
          </w:tcPr>
          <w:p w14:paraId="0E33B76E"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61 176,39</w:t>
            </w:r>
          </w:p>
        </w:tc>
      </w:tr>
      <w:tr w:rsidR="00EF1983" w:rsidRPr="00B13B9A" w14:paraId="5D876BE3" w14:textId="77777777" w:rsidTr="00332FF7">
        <w:trPr>
          <w:trHeight w:val="2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297284D3" w14:textId="3A6B5D50" w:rsidR="00EF1983" w:rsidRPr="00B13B9A" w:rsidRDefault="00EF1983" w:rsidP="00585605">
            <w:pPr>
              <w:spacing w:after="0" w:line="240" w:lineRule="auto"/>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xml:space="preserve">Fondul </w:t>
            </w:r>
            <w:r w:rsidR="00585605" w:rsidRPr="00B13B9A">
              <w:rPr>
                <w:rFonts w:asciiTheme="majorHAnsi" w:eastAsia="Times New Roman" w:hAnsiTheme="majorHAnsi" w:cstheme="majorHAnsi"/>
                <w:color w:val="000000"/>
                <w:sz w:val="18"/>
                <w:szCs w:val="18"/>
                <w:lang w:val="ro-MD"/>
              </w:rPr>
              <w:t>s</w:t>
            </w:r>
            <w:r w:rsidRPr="00B13B9A">
              <w:rPr>
                <w:rFonts w:asciiTheme="majorHAnsi" w:eastAsia="Times New Roman" w:hAnsiTheme="majorHAnsi" w:cstheme="majorHAnsi"/>
                <w:color w:val="000000"/>
                <w:sz w:val="18"/>
                <w:szCs w:val="18"/>
                <w:lang w:val="ro-MD"/>
              </w:rPr>
              <w:t>ocial</w:t>
            </w:r>
          </w:p>
        </w:tc>
        <w:tc>
          <w:tcPr>
            <w:tcW w:w="944" w:type="dxa"/>
            <w:tcBorders>
              <w:top w:val="nil"/>
              <w:left w:val="nil"/>
              <w:bottom w:val="single" w:sz="4" w:space="0" w:color="auto"/>
              <w:right w:val="single" w:sz="4" w:space="0" w:color="auto"/>
            </w:tcBorders>
            <w:shd w:val="clear" w:color="auto" w:fill="auto"/>
            <w:noWrap/>
            <w:vAlign w:val="center"/>
            <w:hideMark/>
          </w:tcPr>
          <w:p w14:paraId="295E56EA"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2 135,30</w:t>
            </w:r>
          </w:p>
        </w:tc>
        <w:tc>
          <w:tcPr>
            <w:tcW w:w="944" w:type="dxa"/>
            <w:tcBorders>
              <w:top w:val="nil"/>
              <w:left w:val="nil"/>
              <w:bottom w:val="single" w:sz="4" w:space="0" w:color="auto"/>
              <w:right w:val="single" w:sz="4" w:space="0" w:color="auto"/>
            </w:tcBorders>
            <w:shd w:val="clear" w:color="auto" w:fill="auto"/>
            <w:noWrap/>
            <w:vAlign w:val="center"/>
            <w:hideMark/>
          </w:tcPr>
          <w:p w14:paraId="233914B1"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1 641,67</w:t>
            </w:r>
          </w:p>
        </w:tc>
        <w:tc>
          <w:tcPr>
            <w:tcW w:w="990" w:type="dxa"/>
            <w:tcBorders>
              <w:top w:val="nil"/>
              <w:left w:val="nil"/>
              <w:bottom w:val="single" w:sz="4" w:space="0" w:color="auto"/>
              <w:right w:val="single" w:sz="4" w:space="0" w:color="auto"/>
            </w:tcBorders>
            <w:shd w:val="clear" w:color="auto" w:fill="auto"/>
            <w:noWrap/>
            <w:vAlign w:val="center"/>
            <w:hideMark/>
          </w:tcPr>
          <w:p w14:paraId="5FDBA14A"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2 030,11</w:t>
            </w:r>
          </w:p>
        </w:tc>
        <w:tc>
          <w:tcPr>
            <w:tcW w:w="1091" w:type="dxa"/>
            <w:tcBorders>
              <w:top w:val="nil"/>
              <w:left w:val="nil"/>
              <w:bottom w:val="single" w:sz="4" w:space="0" w:color="auto"/>
              <w:right w:val="single" w:sz="4" w:space="0" w:color="auto"/>
            </w:tcBorders>
            <w:shd w:val="clear" w:color="auto" w:fill="auto"/>
            <w:noWrap/>
            <w:vAlign w:val="center"/>
            <w:hideMark/>
          </w:tcPr>
          <w:p w14:paraId="07C78FAB"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3 321,75</w:t>
            </w:r>
          </w:p>
        </w:tc>
        <w:tc>
          <w:tcPr>
            <w:tcW w:w="993" w:type="dxa"/>
            <w:tcBorders>
              <w:top w:val="nil"/>
              <w:left w:val="nil"/>
              <w:bottom w:val="single" w:sz="4" w:space="0" w:color="auto"/>
              <w:right w:val="single" w:sz="4" w:space="0" w:color="auto"/>
            </w:tcBorders>
            <w:shd w:val="clear" w:color="auto" w:fill="auto"/>
            <w:noWrap/>
            <w:vAlign w:val="center"/>
            <w:hideMark/>
          </w:tcPr>
          <w:p w14:paraId="0DDF494C" w14:textId="77777777" w:rsidR="00EF1983" w:rsidRPr="00B13B9A" w:rsidRDefault="00EF1983" w:rsidP="0061151B">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2 983,23</w:t>
            </w:r>
          </w:p>
        </w:tc>
        <w:tc>
          <w:tcPr>
            <w:tcW w:w="853" w:type="dxa"/>
            <w:tcBorders>
              <w:top w:val="nil"/>
              <w:left w:val="nil"/>
              <w:bottom w:val="single" w:sz="4" w:space="0" w:color="auto"/>
              <w:right w:val="single" w:sz="4" w:space="0" w:color="auto"/>
            </w:tcBorders>
            <w:shd w:val="clear" w:color="auto" w:fill="auto"/>
            <w:noWrap/>
            <w:vAlign w:val="center"/>
            <w:hideMark/>
          </w:tcPr>
          <w:p w14:paraId="4A0BA899" w14:textId="77777777" w:rsidR="00EF1983" w:rsidRPr="00B13B9A" w:rsidRDefault="00EF1983" w:rsidP="0061151B">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1 079,52</w:t>
            </w:r>
          </w:p>
        </w:tc>
        <w:tc>
          <w:tcPr>
            <w:tcW w:w="1126" w:type="dxa"/>
            <w:tcBorders>
              <w:top w:val="nil"/>
              <w:left w:val="nil"/>
              <w:bottom w:val="single" w:sz="4" w:space="0" w:color="auto"/>
              <w:right w:val="single" w:sz="4" w:space="0" w:color="auto"/>
            </w:tcBorders>
            <w:shd w:val="clear" w:color="auto" w:fill="auto"/>
            <w:noWrap/>
            <w:vAlign w:val="center"/>
            <w:hideMark/>
          </w:tcPr>
          <w:p w14:paraId="3C4FD411"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13 191,58</w:t>
            </w:r>
          </w:p>
        </w:tc>
      </w:tr>
      <w:tr w:rsidR="00EF1983" w:rsidRPr="00B13B9A" w14:paraId="35D27084" w14:textId="77777777" w:rsidTr="00332FF7">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2F42C9E5" w14:textId="77777777" w:rsidR="00EF1983" w:rsidRPr="00B13B9A" w:rsidRDefault="00EF1983" w:rsidP="0061151B">
            <w:pPr>
              <w:spacing w:after="0" w:line="240" w:lineRule="auto"/>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Prime obligatorii medicale</w:t>
            </w:r>
          </w:p>
        </w:tc>
        <w:tc>
          <w:tcPr>
            <w:tcW w:w="944" w:type="dxa"/>
            <w:tcBorders>
              <w:top w:val="nil"/>
              <w:left w:val="nil"/>
              <w:bottom w:val="single" w:sz="4" w:space="0" w:color="auto"/>
              <w:right w:val="single" w:sz="4" w:space="0" w:color="auto"/>
            </w:tcBorders>
            <w:shd w:val="clear" w:color="auto" w:fill="auto"/>
            <w:noWrap/>
            <w:vAlign w:val="center"/>
            <w:hideMark/>
          </w:tcPr>
          <w:p w14:paraId="30481548"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441,32</w:t>
            </w:r>
          </w:p>
        </w:tc>
        <w:tc>
          <w:tcPr>
            <w:tcW w:w="944" w:type="dxa"/>
            <w:tcBorders>
              <w:top w:val="nil"/>
              <w:left w:val="nil"/>
              <w:bottom w:val="single" w:sz="4" w:space="0" w:color="auto"/>
              <w:right w:val="single" w:sz="4" w:space="0" w:color="auto"/>
            </w:tcBorders>
            <w:shd w:val="clear" w:color="auto" w:fill="auto"/>
            <w:vAlign w:val="center"/>
            <w:hideMark/>
          </w:tcPr>
          <w:p w14:paraId="586542BF"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411,12</w:t>
            </w:r>
          </w:p>
        </w:tc>
        <w:tc>
          <w:tcPr>
            <w:tcW w:w="990" w:type="dxa"/>
            <w:tcBorders>
              <w:top w:val="nil"/>
              <w:left w:val="nil"/>
              <w:bottom w:val="single" w:sz="4" w:space="0" w:color="auto"/>
              <w:right w:val="single" w:sz="4" w:space="0" w:color="auto"/>
            </w:tcBorders>
            <w:shd w:val="clear" w:color="auto" w:fill="auto"/>
            <w:noWrap/>
            <w:vAlign w:val="center"/>
            <w:hideMark/>
          </w:tcPr>
          <w:p w14:paraId="3FBE8030"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507,52</w:t>
            </w:r>
          </w:p>
        </w:tc>
        <w:tc>
          <w:tcPr>
            <w:tcW w:w="1091" w:type="dxa"/>
            <w:tcBorders>
              <w:top w:val="nil"/>
              <w:left w:val="nil"/>
              <w:bottom w:val="single" w:sz="4" w:space="0" w:color="auto"/>
              <w:right w:val="single" w:sz="4" w:space="0" w:color="auto"/>
            </w:tcBorders>
            <w:shd w:val="clear" w:color="auto" w:fill="auto"/>
            <w:noWrap/>
            <w:vAlign w:val="center"/>
            <w:hideMark/>
          </w:tcPr>
          <w:p w14:paraId="0A48935F"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0</w:t>
            </w:r>
          </w:p>
        </w:tc>
        <w:tc>
          <w:tcPr>
            <w:tcW w:w="993" w:type="dxa"/>
            <w:tcBorders>
              <w:top w:val="nil"/>
              <w:left w:val="nil"/>
              <w:bottom w:val="single" w:sz="4" w:space="0" w:color="auto"/>
              <w:right w:val="single" w:sz="4" w:space="0" w:color="auto"/>
            </w:tcBorders>
            <w:shd w:val="clear" w:color="auto" w:fill="auto"/>
            <w:noWrap/>
            <w:vAlign w:val="center"/>
            <w:hideMark/>
          </w:tcPr>
          <w:p w14:paraId="1D4A6680" w14:textId="77777777" w:rsidR="00EF1983" w:rsidRPr="00B13B9A" w:rsidRDefault="00EF1983" w:rsidP="0061151B">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0</w:t>
            </w:r>
          </w:p>
        </w:tc>
        <w:tc>
          <w:tcPr>
            <w:tcW w:w="853" w:type="dxa"/>
            <w:tcBorders>
              <w:top w:val="nil"/>
              <w:left w:val="nil"/>
              <w:bottom w:val="single" w:sz="4" w:space="0" w:color="auto"/>
              <w:right w:val="single" w:sz="4" w:space="0" w:color="auto"/>
            </w:tcBorders>
            <w:shd w:val="clear" w:color="auto" w:fill="auto"/>
            <w:noWrap/>
            <w:vAlign w:val="center"/>
            <w:hideMark/>
          </w:tcPr>
          <w:p w14:paraId="4A4AFED0" w14:textId="77777777" w:rsidR="00EF1983" w:rsidRPr="00B13B9A" w:rsidRDefault="00EF1983" w:rsidP="0061151B">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0</w:t>
            </w:r>
          </w:p>
        </w:tc>
        <w:tc>
          <w:tcPr>
            <w:tcW w:w="1126" w:type="dxa"/>
            <w:tcBorders>
              <w:top w:val="nil"/>
              <w:left w:val="nil"/>
              <w:bottom w:val="single" w:sz="4" w:space="0" w:color="auto"/>
              <w:right w:val="single" w:sz="4" w:space="0" w:color="auto"/>
            </w:tcBorders>
            <w:shd w:val="clear" w:color="auto" w:fill="auto"/>
            <w:noWrap/>
            <w:vAlign w:val="center"/>
            <w:hideMark/>
          </w:tcPr>
          <w:p w14:paraId="3A1E41E3"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1 359,96</w:t>
            </w:r>
          </w:p>
        </w:tc>
      </w:tr>
      <w:tr w:rsidR="00EF1983" w:rsidRPr="00B13B9A" w14:paraId="6851D54D" w14:textId="77777777" w:rsidTr="00332FF7">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653343A1" w14:textId="77777777" w:rsidR="00EF1983" w:rsidRPr="00B13B9A" w:rsidRDefault="00EF1983" w:rsidP="0061151B">
            <w:pPr>
              <w:spacing w:after="0" w:line="240" w:lineRule="auto"/>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Concedii medicale</w:t>
            </w:r>
          </w:p>
        </w:tc>
        <w:tc>
          <w:tcPr>
            <w:tcW w:w="944" w:type="dxa"/>
            <w:tcBorders>
              <w:top w:val="nil"/>
              <w:left w:val="nil"/>
              <w:bottom w:val="single" w:sz="4" w:space="0" w:color="auto"/>
              <w:right w:val="single" w:sz="4" w:space="0" w:color="auto"/>
            </w:tcBorders>
            <w:shd w:val="clear" w:color="auto" w:fill="auto"/>
            <w:noWrap/>
            <w:vAlign w:val="center"/>
            <w:hideMark/>
          </w:tcPr>
          <w:p w14:paraId="7AB662DB"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0,00</w:t>
            </w:r>
          </w:p>
        </w:tc>
        <w:tc>
          <w:tcPr>
            <w:tcW w:w="944" w:type="dxa"/>
            <w:tcBorders>
              <w:top w:val="nil"/>
              <w:left w:val="nil"/>
              <w:bottom w:val="single" w:sz="4" w:space="0" w:color="auto"/>
              <w:right w:val="single" w:sz="4" w:space="0" w:color="auto"/>
            </w:tcBorders>
            <w:shd w:val="clear" w:color="auto" w:fill="auto"/>
            <w:vAlign w:val="center"/>
            <w:hideMark/>
          </w:tcPr>
          <w:p w14:paraId="41FB76ED"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0,00</w:t>
            </w:r>
          </w:p>
        </w:tc>
        <w:tc>
          <w:tcPr>
            <w:tcW w:w="990" w:type="dxa"/>
            <w:tcBorders>
              <w:top w:val="nil"/>
              <w:left w:val="nil"/>
              <w:bottom w:val="single" w:sz="4" w:space="0" w:color="auto"/>
              <w:right w:val="single" w:sz="4" w:space="0" w:color="auto"/>
            </w:tcBorders>
            <w:shd w:val="clear" w:color="auto" w:fill="auto"/>
            <w:noWrap/>
            <w:vAlign w:val="center"/>
            <w:hideMark/>
          </w:tcPr>
          <w:p w14:paraId="670E363D"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0</w:t>
            </w:r>
          </w:p>
        </w:tc>
        <w:tc>
          <w:tcPr>
            <w:tcW w:w="1091" w:type="dxa"/>
            <w:tcBorders>
              <w:top w:val="nil"/>
              <w:left w:val="nil"/>
              <w:bottom w:val="single" w:sz="4" w:space="0" w:color="auto"/>
              <w:right w:val="single" w:sz="4" w:space="0" w:color="auto"/>
            </w:tcBorders>
            <w:shd w:val="clear" w:color="auto" w:fill="auto"/>
            <w:noWrap/>
            <w:vAlign w:val="center"/>
            <w:hideMark/>
          </w:tcPr>
          <w:p w14:paraId="2743C1B1"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0</w:t>
            </w:r>
          </w:p>
        </w:tc>
        <w:tc>
          <w:tcPr>
            <w:tcW w:w="993" w:type="dxa"/>
            <w:tcBorders>
              <w:top w:val="nil"/>
              <w:left w:val="nil"/>
              <w:bottom w:val="single" w:sz="4" w:space="0" w:color="auto"/>
              <w:right w:val="single" w:sz="4" w:space="0" w:color="auto"/>
            </w:tcBorders>
            <w:shd w:val="clear" w:color="auto" w:fill="auto"/>
            <w:noWrap/>
            <w:vAlign w:val="center"/>
            <w:hideMark/>
          </w:tcPr>
          <w:p w14:paraId="6D6A5C9E" w14:textId="77777777" w:rsidR="00EF1983" w:rsidRPr="00B13B9A" w:rsidRDefault="00EF1983" w:rsidP="0061151B">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49,62</w:t>
            </w:r>
          </w:p>
        </w:tc>
        <w:tc>
          <w:tcPr>
            <w:tcW w:w="853" w:type="dxa"/>
            <w:tcBorders>
              <w:top w:val="nil"/>
              <w:left w:val="nil"/>
              <w:bottom w:val="single" w:sz="4" w:space="0" w:color="auto"/>
              <w:right w:val="single" w:sz="4" w:space="0" w:color="auto"/>
            </w:tcBorders>
            <w:shd w:val="clear" w:color="auto" w:fill="auto"/>
            <w:noWrap/>
            <w:vAlign w:val="center"/>
            <w:hideMark/>
          </w:tcPr>
          <w:p w14:paraId="247017E1" w14:textId="77777777" w:rsidR="00EF1983" w:rsidRPr="00B13B9A" w:rsidRDefault="00EF1983" w:rsidP="0061151B">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0,00</w:t>
            </w:r>
          </w:p>
        </w:tc>
        <w:tc>
          <w:tcPr>
            <w:tcW w:w="1126" w:type="dxa"/>
            <w:tcBorders>
              <w:top w:val="nil"/>
              <w:left w:val="nil"/>
              <w:bottom w:val="single" w:sz="4" w:space="0" w:color="auto"/>
              <w:right w:val="single" w:sz="4" w:space="0" w:color="auto"/>
            </w:tcBorders>
            <w:shd w:val="clear" w:color="auto" w:fill="auto"/>
            <w:noWrap/>
            <w:vAlign w:val="center"/>
            <w:hideMark/>
          </w:tcPr>
          <w:p w14:paraId="7B50DD97"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 </w:t>
            </w:r>
          </w:p>
        </w:tc>
      </w:tr>
      <w:tr w:rsidR="00EF1983" w:rsidRPr="00B13B9A" w14:paraId="15E111E9" w14:textId="77777777" w:rsidTr="00332FF7">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2670D719" w14:textId="1151E8CB" w:rsidR="00EF1983" w:rsidRPr="00B13B9A" w:rsidRDefault="00EF1983" w:rsidP="0061151B">
            <w:pPr>
              <w:spacing w:after="0" w:line="240" w:lineRule="auto"/>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Alimenta</w:t>
            </w:r>
            <w:r w:rsidR="00B13B9A" w:rsidRPr="00B13B9A">
              <w:rPr>
                <w:rFonts w:asciiTheme="majorHAnsi" w:eastAsia="Times New Roman" w:hAnsiTheme="majorHAnsi" w:cstheme="majorHAnsi"/>
                <w:color w:val="000000"/>
                <w:sz w:val="18"/>
                <w:szCs w:val="18"/>
                <w:lang w:val="ro-MD"/>
              </w:rPr>
              <w:t>ț</w:t>
            </w:r>
            <w:r w:rsidRPr="00B13B9A">
              <w:rPr>
                <w:rFonts w:asciiTheme="majorHAnsi" w:eastAsia="Times New Roman" w:hAnsiTheme="majorHAnsi" w:cstheme="majorHAnsi"/>
                <w:color w:val="000000"/>
                <w:sz w:val="18"/>
                <w:szCs w:val="18"/>
                <w:lang w:val="ro-MD"/>
              </w:rPr>
              <w:t>ia</w:t>
            </w:r>
          </w:p>
        </w:tc>
        <w:tc>
          <w:tcPr>
            <w:tcW w:w="944" w:type="dxa"/>
            <w:tcBorders>
              <w:top w:val="nil"/>
              <w:left w:val="nil"/>
              <w:bottom w:val="single" w:sz="4" w:space="0" w:color="auto"/>
              <w:right w:val="single" w:sz="4" w:space="0" w:color="auto"/>
            </w:tcBorders>
            <w:shd w:val="clear" w:color="auto" w:fill="auto"/>
            <w:noWrap/>
            <w:vAlign w:val="center"/>
            <w:hideMark/>
          </w:tcPr>
          <w:p w14:paraId="51F891AE"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1 213,21</w:t>
            </w:r>
          </w:p>
        </w:tc>
        <w:tc>
          <w:tcPr>
            <w:tcW w:w="944" w:type="dxa"/>
            <w:tcBorders>
              <w:top w:val="nil"/>
              <w:left w:val="nil"/>
              <w:bottom w:val="single" w:sz="4" w:space="0" w:color="auto"/>
              <w:right w:val="single" w:sz="4" w:space="0" w:color="auto"/>
            </w:tcBorders>
            <w:shd w:val="clear" w:color="auto" w:fill="auto"/>
            <w:vAlign w:val="center"/>
            <w:hideMark/>
          </w:tcPr>
          <w:p w14:paraId="47F99182"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999,42</w:t>
            </w:r>
          </w:p>
        </w:tc>
        <w:tc>
          <w:tcPr>
            <w:tcW w:w="990" w:type="dxa"/>
            <w:tcBorders>
              <w:top w:val="nil"/>
              <w:left w:val="nil"/>
              <w:bottom w:val="single" w:sz="4" w:space="0" w:color="auto"/>
              <w:right w:val="single" w:sz="4" w:space="0" w:color="auto"/>
            </w:tcBorders>
            <w:shd w:val="clear" w:color="auto" w:fill="auto"/>
            <w:noWrap/>
            <w:vAlign w:val="center"/>
            <w:hideMark/>
          </w:tcPr>
          <w:p w14:paraId="4C500523"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1 264,63</w:t>
            </w:r>
          </w:p>
        </w:tc>
        <w:tc>
          <w:tcPr>
            <w:tcW w:w="1091" w:type="dxa"/>
            <w:tcBorders>
              <w:top w:val="nil"/>
              <w:left w:val="nil"/>
              <w:bottom w:val="single" w:sz="4" w:space="0" w:color="auto"/>
              <w:right w:val="single" w:sz="4" w:space="0" w:color="auto"/>
            </w:tcBorders>
            <w:shd w:val="clear" w:color="auto" w:fill="auto"/>
            <w:noWrap/>
            <w:vAlign w:val="center"/>
            <w:hideMark/>
          </w:tcPr>
          <w:p w14:paraId="34E1F28C"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953,03</w:t>
            </w:r>
          </w:p>
        </w:tc>
        <w:tc>
          <w:tcPr>
            <w:tcW w:w="993" w:type="dxa"/>
            <w:tcBorders>
              <w:top w:val="nil"/>
              <w:left w:val="nil"/>
              <w:bottom w:val="single" w:sz="4" w:space="0" w:color="auto"/>
              <w:right w:val="single" w:sz="4" w:space="0" w:color="auto"/>
            </w:tcBorders>
            <w:shd w:val="clear" w:color="auto" w:fill="auto"/>
            <w:noWrap/>
            <w:vAlign w:val="center"/>
            <w:hideMark/>
          </w:tcPr>
          <w:p w14:paraId="5B22AEBD" w14:textId="77777777" w:rsidR="00EF1983" w:rsidRPr="00B13B9A" w:rsidRDefault="00EF1983" w:rsidP="0061151B">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726,33</w:t>
            </w:r>
          </w:p>
        </w:tc>
        <w:tc>
          <w:tcPr>
            <w:tcW w:w="853" w:type="dxa"/>
            <w:tcBorders>
              <w:top w:val="nil"/>
              <w:left w:val="nil"/>
              <w:bottom w:val="single" w:sz="4" w:space="0" w:color="auto"/>
              <w:right w:val="single" w:sz="4" w:space="0" w:color="auto"/>
            </w:tcBorders>
            <w:shd w:val="clear" w:color="auto" w:fill="auto"/>
            <w:noWrap/>
            <w:vAlign w:val="center"/>
            <w:hideMark/>
          </w:tcPr>
          <w:p w14:paraId="5C96663F" w14:textId="77777777" w:rsidR="00EF1983" w:rsidRPr="00B13B9A" w:rsidRDefault="00EF1983" w:rsidP="0061151B">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566,62</w:t>
            </w:r>
          </w:p>
        </w:tc>
        <w:tc>
          <w:tcPr>
            <w:tcW w:w="1126" w:type="dxa"/>
            <w:tcBorders>
              <w:top w:val="nil"/>
              <w:left w:val="nil"/>
              <w:bottom w:val="single" w:sz="4" w:space="0" w:color="auto"/>
              <w:right w:val="single" w:sz="4" w:space="0" w:color="auto"/>
            </w:tcBorders>
            <w:shd w:val="clear" w:color="auto" w:fill="auto"/>
            <w:noWrap/>
            <w:vAlign w:val="center"/>
            <w:hideMark/>
          </w:tcPr>
          <w:p w14:paraId="10DD53B5"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5 723,24</w:t>
            </w:r>
          </w:p>
        </w:tc>
      </w:tr>
      <w:tr w:rsidR="00EF1983" w:rsidRPr="00B13B9A" w14:paraId="3FB9B1DE" w14:textId="77777777" w:rsidTr="00332FF7">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7678D23C" w14:textId="77777777" w:rsidR="00EF1983" w:rsidRPr="00B13B9A" w:rsidRDefault="00EF1983" w:rsidP="0061151B">
            <w:pPr>
              <w:spacing w:after="0" w:line="240" w:lineRule="auto"/>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Medicamente</w:t>
            </w:r>
          </w:p>
        </w:tc>
        <w:tc>
          <w:tcPr>
            <w:tcW w:w="944" w:type="dxa"/>
            <w:tcBorders>
              <w:top w:val="nil"/>
              <w:left w:val="nil"/>
              <w:bottom w:val="single" w:sz="4" w:space="0" w:color="auto"/>
              <w:right w:val="single" w:sz="4" w:space="0" w:color="auto"/>
            </w:tcBorders>
            <w:shd w:val="clear" w:color="auto" w:fill="auto"/>
            <w:noWrap/>
            <w:vAlign w:val="center"/>
            <w:hideMark/>
          </w:tcPr>
          <w:p w14:paraId="142649A7"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415,29</w:t>
            </w:r>
          </w:p>
        </w:tc>
        <w:tc>
          <w:tcPr>
            <w:tcW w:w="944" w:type="dxa"/>
            <w:tcBorders>
              <w:top w:val="nil"/>
              <w:left w:val="nil"/>
              <w:bottom w:val="single" w:sz="4" w:space="0" w:color="auto"/>
              <w:right w:val="single" w:sz="4" w:space="0" w:color="auto"/>
            </w:tcBorders>
            <w:shd w:val="clear" w:color="auto" w:fill="auto"/>
            <w:vAlign w:val="center"/>
            <w:hideMark/>
          </w:tcPr>
          <w:p w14:paraId="1BE436E7"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352,75</w:t>
            </w:r>
          </w:p>
        </w:tc>
        <w:tc>
          <w:tcPr>
            <w:tcW w:w="990" w:type="dxa"/>
            <w:tcBorders>
              <w:top w:val="nil"/>
              <w:left w:val="nil"/>
              <w:bottom w:val="single" w:sz="4" w:space="0" w:color="auto"/>
              <w:right w:val="single" w:sz="4" w:space="0" w:color="auto"/>
            </w:tcBorders>
            <w:shd w:val="clear" w:color="auto" w:fill="auto"/>
            <w:noWrap/>
            <w:vAlign w:val="center"/>
            <w:hideMark/>
          </w:tcPr>
          <w:p w14:paraId="1D1B0E57"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396,32</w:t>
            </w:r>
          </w:p>
        </w:tc>
        <w:tc>
          <w:tcPr>
            <w:tcW w:w="1091" w:type="dxa"/>
            <w:tcBorders>
              <w:top w:val="nil"/>
              <w:left w:val="nil"/>
              <w:bottom w:val="single" w:sz="4" w:space="0" w:color="auto"/>
              <w:right w:val="single" w:sz="4" w:space="0" w:color="auto"/>
            </w:tcBorders>
            <w:shd w:val="clear" w:color="auto" w:fill="auto"/>
            <w:noWrap/>
            <w:vAlign w:val="center"/>
            <w:hideMark/>
          </w:tcPr>
          <w:p w14:paraId="3201F1F4"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178,10</w:t>
            </w:r>
          </w:p>
        </w:tc>
        <w:tc>
          <w:tcPr>
            <w:tcW w:w="993" w:type="dxa"/>
            <w:tcBorders>
              <w:top w:val="nil"/>
              <w:left w:val="nil"/>
              <w:bottom w:val="single" w:sz="4" w:space="0" w:color="auto"/>
              <w:right w:val="single" w:sz="4" w:space="0" w:color="auto"/>
            </w:tcBorders>
            <w:shd w:val="clear" w:color="auto" w:fill="auto"/>
            <w:noWrap/>
            <w:vAlign w:val="center"/>
            <w:hideMark/>
          </w:tcPr>
          <w:p w14:paraId="0FABE906" w14:textId="77777777" w:rsidR="00EF1983" w:rsidRPr="00B13B9A" w:rsidRDefault="00EF1983" w:rsidP="0061151B">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123,05</w:t>
            </w:r>
          </w:p>
        </w:tc>
        <w:tc>
          <w:tcPr>
            <w:tcW w:w="853" w:type="dxa"/>
            <w:tcBorders>
              <w:top w:val="nil"/>
              <w:left w:val="nil"/>
              <w:bottom w:val="single" w:sz="4" w:space="0" w:color="auto"/>
              <w:right w:val="single" w:sz="4" w:space="0" w:color="auto"/>
            </w:tcBorders>
            <w:shd w:val="clear" w:color="auto" w:fill="auto"/>
            <w:noWrap/>
            <w:vAlign w:val="center"/>
            <w:hideMark/>
          </w:tcPr>
          <w:p w14:paraId="51173451" w14:textId="77777777" w:rsidR="00EF1983" w:rsidRPr="00B13B9A" w:rsidRDefault="00EF1983" w:rsidP="0061151B">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87,70</w:t>
            </w:r>
          </w:p>
        </w:tc>
        <w:tc>
          <w:tcPr>
            <w:tcW w:w="1126" w:type="dxa"/>
            <w:tcBorders>
              <w:top w:val="nil"/>
              <w:left w:val="nil"/>
              <w:bottom w:val="single" w:sz="4" w:space="0" w:color="auto"/>
              <w:right w:val="single" w:sz="4" w:space="0" w:color="auto"/>
            </w:tcBorders>
            <w:shd w:val="clear" w:color="auto" w:fill="auto"/>
            <w:noWrap/>
            <w:vAlign w:val="center"/>
            <w:hideMark/>
          </w:tcPr>
          <w:p w14:paraId="023ED68E"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1 553,21</w:t>
            </w:r>
          </w:p>
        </w:tc>
      </w:tr>
      <w:tr w:rsidR="00EF1983" w:rsidRPr="00B13B9A" w14:paraId="72C1C31C" w14:textId="77777777" w:rsidTr="00332FF7">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51E978E7" w14:textId="0A77E14E" w:rsidR="00EF1983" w:rsidRPr="00B13B9A" w:rsidRDefault="00EF1983" w:rsidP="00585605">
            <w:pPr>
              <w:spacing w:after="0" w:line="240" w:lineRule="auto"/>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Repara</w:t>
            </w:r>
            <w:r w:rsidR="00B13B9A" w:rsidRPr="00B13B9A">
              <w:rPr>
                <w:rFonts w:asciiTheme="majorHAnsi" w:eastAsia="Times New Roman" w:hAnsiTheme="majorHAnsi" w:cstheme="majorHAnsi"/>
                <w:color w:val="000000"/>
                <w:sz w:val="18"/>
                <w:szCs w:val="18"/>
                <w:lang w:val="ro-MD"/>
              </w:rPr>
              <w:t>ț</w:t>
            </w:r>
            <w:r w:rsidRPr="00B13B9A">
              <w:rPr>
                <w:rFonts w:asciiTheme="majorHAnsi" w:eastAsia="Times New Roman" w:hAnsiTheme="majorHAnsi" w:cstheme="majorHAnsi"/>
                <w:color w:val="000000"/>
                <w:sz w:val="18"/>
                <w:szCs w:val="18"/>
                <w:lang w:val="ro-MD"/>
              </w:rPr>
              <w:t>ia curent</w:t>
            </w:r>
            <w:r w:rsidR="00585605" w:rsidRPr="00B13B9A">
              <w:rPr>
                <w:rFonts w:asciiTheme="majorHAnsi" w:eastAsia="Times New Roman" w:hAnsiTheme="majorHAnsi" w:cstheme="majorHAnsi"/>
                <w:color w:val="000000"/>
                <w:sz w:val="18"/>
                <w:szCs w:val="18"/>
                <w:lang w:val="ro-MD"/>
              </w:rPr>
              <w:t>ă</w:t>
            </w:r>
            <w:r w:rsidRPr="00B13B9A">
              <w:rPr>
                <w:rFonts w:asciiTheme="majorHAnsi" w:eastAsia="Times New Roman" w:hAnsiTheme="majorHAnsi" w:cstheme="majorHAnsi"/>
                <w:color w:val="000000"/>
                <w:sz w:val="18"/>
                <w:szCs w:val="18"/>
                <w:lang w:val="ro-MD"/>
              </w:rPr>
              <w:t xml:space="preserve"> a MF</w:t>
            </w:r>
          </w:p>
        </w:tc>
        <w:tc>
          <w:tcPr>
            <w:tcW w:w="944" w:type="dxa"/>
            <w:tcBorders>
              <w:top w:val="nil"/>
              <w:left w:val="nil"/>
              <w:bottom w:val="single" w:sz="4" w:space="0" w:color="auto"/>
              <w:right w:val="single" w:sz="4" w:space="0" w:color="auto"/>
            </w:tcBorders>
            <w:shd w:val="clear" w:color="auto" w:fill="auto"/>
            <w:noWrap/>
            <w:vAlign w:val="center"/>
            <w:hideMark/>
          </w:tcPr>
          <w:p w14:paraId="04D00BF1"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73,75</w:t>
            </w:r>
          </w:p>
        </w:tc>
        <w:tc>
          <w:tcPr>
            <w:tcW w:w="944" w:type="dxa"/>
            <w:tcBorders>
              <w:top w:val="nil"/>
              <w:left w:val="nil"/>
              <w:bottom w:val="single" w:sz="4" w:space="0" w:color="auto"/>
              <w:right w:val="single" w:sz="4" w:space="0" w:color="auto"/>
            </w:tcBorders>
            <w:shd w:val="clear" w:color="auto" w:fill="auto"/>
            <w:vAlign w:val="center"/>
            <w:hideMark/>
          </w:tcPr>
          <w:p w14:paraId="3C66BDBF"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59,81</w:t>
            </w:r>
          </w:p>
        </w:tc>
        <w:tc>
          <w:tcPr>
            <w:tcW w:w="990" w:type="dxa"/>
            <w:tcBorders>
              <w:top w:val="nil"/>
              <w:left w:val="nil"/>
              <w:bottom w:val="single" w:sz="4" w:space="0" w:color="auto"/>
              <w:right w:val="single" w:sz="4" w:space="0" w:color="auto"/>
            </w:tcBorders>
            <w:shd w:val="clear" w:color="auto" w:fill="auto"/>
            <w:noWrap/>
            <w:vAlign w:val="center"/>
            <w:hideMark/>
          </w:tcPr>
          <w:p w14:paraId="4C8A0DC5"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196,70</w:t>
            </w:r>
          </w:p>
        </w:tc>
        <w:tc>
          <w:tcPr>
            <w:tcW w:w="1091" w:type="dxa"/>
            <w:tcBorders>
              <w:top w:val="nil"/>
              <w:left w:val="nil"/>
              <w:bottom w:val="single" w:sz="4" w:space="0" w:color="auto"/>
              <w:right w:val="single" w:sz="4" w:space="0" w:color="auto"/>
            </w:tcBorders>
            <w:shd w:val="clear" w:color="auto" w:fill="auto"/>
            <w:noWrap/>
            <w:vAlign w:val="center"/>
            <w:hideMark/>
          </w:tcPr>
          <w:p w14:paraId="673F200C"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151,62</w:t>
            </w:r>
          </w:p>
        </w:tc>
        <w:tc>
          <w:tcPr>
            <w:tcW w:w="993" w:type="dxa"/>
            <w:tcBorders>
              <w:top w:val="nil"/>
              <w:left w:val="nil"/>
              <w:bottom w:val="single" w:sz="4" w:space="0" w:color="auto"/>
              <w:right w:val="single" w:sz="4" w:space="0" w:color="auto"/>
            </w:tcBorders>
            <w:shd w:val="clear" w:color="auto" w:fill="auto"/>
            <w:noWrap/>
            <w:vAlign w:val="center"/>
            <w:hideMark/>
          </w:tcPr>
          <w:p w14:paraId="7BBD5242" w14:textId="77777777" w:rsidR="00EF1983" w:rsidRPr="00B13B9A" w:rsidRDefault="00EF1983" w:rsidP="0061151B">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107,22</w:t>
            </w:r>
          </w:p>
        </w:tc>
        <w:tc>
          <w:tcPr>
            <w:tcW w:w="853" w:type="dxa"/>
            <w:tcBorders>
              <w:top w:val="nil"/>
              <w:left w:val="nil"/>
              <w:bottom w:val="single" w:sz="4" w:space="0" w:color="auto"/>
              <w:right w:val="single" w:sz="4" w:space="0" w:color="auto"/>
            </w:tcBorders>
            <w:shd w:val="clear" w:color="auto" w:fill="auto"/>
            <w:noWrap/>
            <w:vAlign w:val="center"/>
            <w:hideMark/>
          </w:tcPr>
          <w:p w14:paraId="2909AF61" w14:textId="77777777" w:rsidR="00EF1983" w:rsidRPr="00B13B9A" w:rsidRDefault="00EF1983" w:rsidP="0061151B">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7,90</w:t>
            </w:r>
          </w:p>
        </w:tc>
        <w:tc>
          <w:tcPr>
            <w:tcW w:w="1126" w:type="dxa"/>
            <w:tcBorders>
              <w:top w:val="nil"/>
              <w:left w:val="nil"/>
              <w:bottom w:val="single" w:sz="4" w:space="0" w:color="auto"/>
              <w:right w:val="single" w:sz="4" w:space="0" w:color="auto"/>
            </w:tcBorders>
            <w:shd w:val="clear" w:color="auto" w:fill="auto"/>
            <w:noWrap/>
            <w:vAlign w:val="center"/>
            <w:hideMark/>
          </w:tcPr>
          <w:p w14:paraId="7399EA63"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597,00</w:t>
            </w:r>
          </w:p>
        </w:tc>
      </w:tr>
      <w:tr w:rsidR="00EF1983" w:rsidRPr="00B13B9A" w14:paraId="726127D6" w14:textId="77777777" w:rsidTr="00332FF7">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0E66FFC9" w14:textId="299D813F" w:rsidR="00EF1983" w:rsidRPr="00B13B9A" w:rsidRDefault="00EF1983" w:rsidP="0061151B">
            <w:pPr>
              <w:spacing w:after="0" w:line="240" w:lineRule="auto"/>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Perfec</w:t>
            </w:r>
            <w:r w:rsidR="00B13B9A" w:rsidRPr="00B13B9A">
              <w:rPr>
                <w:rFonts w:asciiTheme="majorHAnsi" w:eastAsia="Times New Roman" w:hAnsiTheme="majorHAnsi" w:cstheme="majorHAnsi"/>
                <w:color w:val="000000"/>
                <w:sz w:val="18"/>
                <w:szCs w:val="18"/>
                <w:lang w:val="ro-MD"/>
              </w:rPr>
              <w:t>ț</w:t>
            </w:r>
            <w:r w:rsidRPr="00B13B9A">
              <w:rPr>
                <w:rFonts w:asciiTheme="majorHAnsi" w:eastAsia="Times New Roman" w:hAnsiTheme="majorHAnsi" w:cstheme="majorHAnsi"/>
                <w:color w:val="000000"/>
                <w:sz w:val="18"/>
                <w:szCs w:val="18"/>
                <w:lang w:val="ro-MD"/>
              </w:rPr>
              <w:t>ionare cadre</w:t>
            </w:r>
          </w:p>
        </w:tc>
        <w:tc>
          <w:tcPr>
            <w:tcW w:w="944" w:type="dxa"/>
            <w:tcBorders>
              <w:top w:val="nil"/>
              <w:left w:val="nil"/>
              <w:bottom w:val="single" w:sz="4" w:space="0" w:color="auto"/>
              <w:right w:val="single" w:sz="4" w:space="0" w:color="auto"/>
            </w:tcBorders>
            <w:shd w:val="clear" w:color="auto" w:fill="auto"/>
            <w:noWrap/>
            <w:vAlign w:val="center"/>
            <w:hideMark/>
          </w:tcPr>
          <w:p w14:paraId="206F8A2D"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15,04</w:t>
            </w:r>
          </w:p>
        </w:tc>
        <w:tc>
          <w:tcPr>
            <w:tcW w:w="944" w:type="dxa"/>
            <w:tcBorders>
              <w:top w:val="nil"/>
              <w:left w:val="nil"/>
              <w:bottom w:val="single" w:sz="4" w:space="0" w:color="auto"/>
              <w:right w:val="single" w:sz="4" w:space="0" w:color="auto"/>
            </w:tcBorders>
            <w:shd w:val="clear" w:color="auto" w:fill="auto"/>
            <w:vAlign w:val="center"/>
            <w:hideMark/>
          </w:tcPr>
          <w:p w14:paraId="7214B71D"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0,80</w:t>
            </w:r>
          </w:p>
        </w:tc>
        <w:tc>
          <w:tcPr>
            <w:tcW w:w="990" w:type="dxa"/>
            <w:tcBorders>
              <w:top w:val="nil"/>
              <w:left w:val="nil"/>
              <w:bottom w:val="single" w:sz="4" w:space="0" w:color="auto"/>
              <w:right w:val="single" w:sz="4" w:space="0" w:color="auto"/>
            </w:tcBorders>
            <w:shd w:val="clear" w:color="auto" w:fill="auto"/>
            <w:noWrap/>
            <w:vAlign w:val="center"/>
            <w:hideMark/>
          </w:tcPr>
          <w:p w14:paraId="1FC1BA6A"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1,78</w:t>
            </w:r>
          </w:p>
        </w:tc>
        <w:tc>
          <w:tcPr>
            <w:tcW w:w="1091" w:type="dxa"/>
            <w:tcBorders>
              <w:top w:val="nil"/>
              <w:left w:val="nil"/>
              <w:bottom w:val="single" w:sz="4" w:space="0" w:color="auto"/>
              <w:right w:val="single" w:sz="4" w:space="0" w:color="auto"/>
            </w:tcBorders>
            <w:shd w:val="clear" w:color="auto" w:fill="auto"/>
            <w:noWrap/>
            <w:vAlign w:val="center"/>
            <w:hideMark/>
          </w:tcPr>
          <w:p w14:paraId="6619371E"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0,00</w:t>
            </w:r>
          </w:p>
        </w:tc>
        <w:tc>
          <w:tcPr>
            <w:tcW w:w="993" w:type="dxa"/>
            <w:tcBorders>
              <w:top w:val="nil"/>
              <w:left w:val="nil"/>
              <w:bottom w:val="single" w:sz="4" w:space="0" w:color="auto"/>
              <w:right w:val="single" w:sz="4" w:space="0" w:color="auto"/>
            </w:tcBorders>
            <w:shd w:val="clear" w:color="auto" w:fill="auto"/>
            <w:noWrap/>
            <w:vAlign w:val="center"/>
            <w:hideMark/>
          </w:tcPr>
          <w:p w14:paraId="70646618" w14:textId="77777777" w:rsidR="00EF1983" w:rsidRPr="00B13B9A" w:rsidRDefault="00EF1983" w:rsidP="0061151B">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0,00</w:t>
            </w:r>
          </w:p>
        </w:tc>
        <w:tc>
          <w:tcPr>
            <w:tcW w:w="853" w:type="dxa"/>
            <w:tcBorders>
              <w:top w:val="nil"/>
              <w:left w:val="nil"/>
              <w:bottom w:val="single" w:sz="4" w:space="0" w:color="auto"/>
              <w:right w:val="single" w:sz="4" w:space="0" w:color="auto"/>
            </w:tcBorders>
            <w:shd w:val="clear" w:color="auto" w:fill="auto"/>
            <w:noWrap/>
            <w:vAlign w:val="center"/>
            <w:hideMark/>
          </w:tcPr>
          <w:p w14:paraId="56AD8BA5" w14:textId="77777777" w:rsidR="00EF1983" w:rsidRPr="00B13B9A" w:rsidRDefault="00EF1983" w:rsidP="0061151B">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0,00</w:t>
            </w:r>
          </w:p>
        </w:tc>
        <w:tc>
          <w:tcPr>
            <w:tcW w:w="1126" w:type="dxa"/>
            <w:tcBorders>
              <w:top w:val="nil"/>
              <w:left w:val="nil"/>
              <w:bottom w:val="single" w:sz="4" w:space="0" w:color="auto"/>
              <w:right w:val="single" w:sz="4" w:space="0" w:color="auto"/>
            </w:tcBorders>
            <w:shd w:val="clear" w:color="auto" w:fill="auto"/>
            <w:noWrap/>
            <w:vAlign w:val="center"/>
            <w:hideMark/>
          </w:tcPr>
          <w:p w14:paraId="5AD32C8E"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17,61</w:t>
            </w:r>
          </w:p>
        </w:tc>
      </w:tr>
      <w:tr w:rsidR="00EF1983" w:rsidRPr="00B13B9A" w14:paraId="0ED91DE8" w14:textId="77777777" w:rsidTr="00332FF7">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14423E4C" w14:textId="77777777" w:rsidR="00EF1983" w:rsidRPr="00B13B9A" w:rsidRDefault="00EF1983" w:rsidP="0061151B">
            <w:pPr>
              <w:spacing w:after="0" w:line="240" w:lineRule="auto"/>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Produse petroliere</w:t>
            </w:r>
          </w:p>
        </w:tc>
        <w:tc>
          <w:tcPr>
            <w:tcW w:w="944" w:type="dxa"/>
            <w:tcBorders>
              <w:top w:val="nil"/>
              <w:left w:val="nil"/>
              <w:bottom w:val="single" w:sz="4" w:space="0" w:color="auto"/>
              <w:right w:val="single" w:sz="4" w:space="0" w:color="auto"/>
            </w:tcBorders>
            <w:shd w:val="clear" w:color="auto" w:fill="auto"/>
            <w:noWrap/>
            <w:vAlign w:val="center"/>
            <w:hideMark/>
          </w:tcPr>
          <w:p w14:paraId="4C5C9F55"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98,62</w:t>
            </w:r>
          </w:p>
        </w:tc>
        <w:tc>
          <w:tcPr>
            <w:tcW w:w="944" w:type="dxa"/>
            <w:tcBorders>
              <w:top w:val="nil"/>
              <w:left w:val="nil"/>
              <w:bottom w:val="single" w:sz="4" w:space="0" w:color="auto"/>
              <w:right w:val="single" w:sz="4" w:space="0" w:color="auto"/>
            </w:tcBorders>
            <w:shd w:val="clear" w:color="auto" w:fill="auto"/>
            <w:vAlign w:val="center"/>
            <w:hideMark/>
          </w:tcPr>
          <w:p w14:paraId="185962C9"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114,90</w:t>
            </w:r>
          </w:p>
        </w:tc>
        <w:tc>
          <w:tcPr>
            <w:tcW w:w="990" w:type="dxa"/>
            <w:tcBorders>
              <w:top w:val="nil"/>
              <w:left w:val="nil"/>
              <w:bottom w:val="single" w:sz="4" w:space="0" w:color="auto"/>
              <w:right w:val="single" w:sz="4" w:space="0" w:color="auto"/>
            </w:tcBorders>
            <w:shd w:val="clear" w:color="auto" w:fill="auto"/>
            <w:noWrap/>
            <w:vAlign w:val="center"/>
            <w:hideMark/>
          </w:tcPr>
          <w:p w14:paraId="382F89DE"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129,66</w:t>
            </w:r>
          </w:p>
        </w:tc>
        <w:tc>
          <w:tcPr>
            <w:tcW w:w="1091" w:type="dxa"/>
            <w:tcBorders>
              <w:top w:val="nil"/>
              <w:left w:val="nil"/>
              <w:bottom w:val="single" w:sz="4" w:space="0" w:color="auto"/>
              <w:right w:val="single" w:sz="4" w:space="0" w:color="auto"/>
            </w:tcBorders>
            <w:shd w:val="clear" w:color="auto" w:fill="auto"/>
            <w:noWrap/>
            <w:vAlign w:val="center"/>
            <w:hideMark/>
          </w:tcPr>
          <w:p w14:paraId="12C8E31E"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122,88</w:t>
            </w:r>
          </w:p>
        </w:tc>
        <w:tc>
          <w:tcPr>
            <w:tcW w:w="993" w:type="dxa"/>
            <w:tcBorders>
              <w:top w:val="nil"/>
              <w:left w:val="nil"/>
              <w:bottom w:val="single" w:sz="4" w:space="0" w:color="auto"/>
              <w:right w:val="single" w:sz="4" w:space="0" w:color="auto"/>
            </w:tcBorders>
            <w:shd w:val="clear" w:color="auto" w:fill="auto"/>
            <w:noWrap/>
            <w:vAlign w:val="center"/>
            <w:hideMark/>
          </w:tcPr>
          <w:p w14:paraId="3FBDA4BB" w14:textId="77777777" w:rsidR="00EF1983" w:rsidRPr="00B13B9A" w:rsidRDefault="00EF1983" w:rsidP="0061151B">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55,32</w:t>
            </w:r>
          </w:p>
        </w:tc>
        <w:tc>
          <w:tcPr>
            <w:tcW w:w="853" w:type="dxa"/>
            <w:tcBorders>
              <w:top w:val="nil"/>
              <w:left w:val="nil"/>
              <w:bottom w:val="single" w:sz="4" w:space="0" w:color="auto"/>
              <w:right w:val="single" w:sz="4" w:space="0" w:color="auto"/>
            </w:tcBorders>
            <w:shd w:val="clear" w:color="auto" w:fill="auto"/>
            <w:noWrap/>
            <w:vAlign w:val="center"/>
            <w:hideMark/>
          </w:tcPr>
          <w:p w14:paraId="69656190" w14:textId="77777777" w:rsidR="00EF1983" w:rsidRPr="00B13B9A" w:rsidRDefault="00EF1983" w:rsidP="0061151B">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307,72</w:t>
            </w:r>
          </w:p>
        </w:tc>
        <w:tc>
          <w:tcPr>
            <w:tcW w:w="1126" w:type="dxa"/>
            <w:tcBorders>
              <w:top w:val="nil"/>
              <w:left w:val="nil"/>
              <w:bottom w:val="single" w:sz="4" w:space="0" w:color="auto"/>
              <w:right w:val="single" w:sz="4" w:space="0" w:color="auto"/>
            </w:tcBorders>
            <w:shd w:val="clear" w:color="auto" w:fill="auto"/>
            <w:noWrap/>
            <w:vAlign w:val="center"/>
            <w:hideMark/>
          </w:tcPr>
          <w:p w14:paraId="715CC406"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829,11</w:t>
            </w:r>
          </w:p>
        </w:tc>
      </w:tr>
      <w:tr w:rsidR="00EF1983" w:rsidRPr="00B13B9A" w14:paraId="59979C56" w14:textId="77777777" w:rsidTr="00332FF7">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3A5D0D58" w14:textId="77777777" w:rsidR="00EF1983" w:rsidRPr="00B13B9A" w:rsidRDefault="00EF1983" w:rsidP="0061151B">
            <w:pPr>
              <w:spacing w:after="0" w:line="240" w:lineRule="auto"/>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Gaz</w:t>
            </w:r>
          </w:p>
        </w:tc>
        <w:tc>
          <w:tcPr>
            <w:tcW w:w="944" w:type="dxa"/>
            <w:tcBorders>
              <w:top w:val="nil"/>
              <w:left w:val="nil"/>
              <w:bottom w:val="single" w:sz="4" w:space="0" w:color="auto"/>
              <w:right w:val="single" w:sz="4" w:space="0" w:color="auto"/>
            </w:tcBorders>
            <w:shd w:val="clear" w:color="auto" w:fill="auto"/>
            <w:noWrap/>
            <w:vAlign w:val="center"/>
            <w:hideMark/>
          </w:tcPr>
          <w:p w14:paraId="1ED5CE6D"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1 066,51</w:t>
            </w:r>
          </w:p>
        </w:tc>
        <w:tc>
          <w:tcPr>
            <w:tcW w:w="944" w:type="dxa"/>
            <w:tcBorders>
              <w:top w:val="nil"/>
              <w:left w:val="nil"/>
              <w:bottom w:val="single" w:sz="4" w:space="0" w:color="auto"/>
              <w:right w:val="single" w:sz="4" w:space="0" w:color="auto"/>
            </w:tcBorders>
            <w:shd w:val="clear" w:color="auto" w:fill="auto"/>
            <w:vAlign w:val="center"/>
            <w:hideMark/>
          </w:tcPr>
          <w:p w14:paraId="0B5CDCD4"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828,01</w:t>
            </w:r>
          </w:p>
        </w:tc>
        <w:tc>
          <w:tcPr>
            <w:tcW w:w="990" w:type="dxa"/>
            <w:tcBorders>
              <w:top w:val="nil"/>
              <w:left w:val="nil"/>
              <w:bottom w:val="single" w:sz="4" w:space="0" w:color="auto"/>
              <w:right w:val="single" w:sz="4" w:space="0" w:color="auto"/>
            </w:tcBorders>
            <w:shd w:val="clear" w:color="auto" w:fill="auto"/>
            <w:noWrap/>
            <w:vAlign w:val="center"/>
            <w:hideMark/>
          </w:tcPr>
          <w:p w14:paraId="04907175"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670,41</w:t>
            </w:r>
          </w:p>
        </w:tc>
        <w:tc>
          <w:tcPr>
            <w:tcW w:w="1091" w:type="dxa"/>
            <w:tcBorders>
              <w:top w:val="nil"/>
              <w:left w:val="nil"/>
              <w:bottom w:val="single" w:sz="4" w:space="0" w:color="auto"/>
              <w:right w:val="single" w:sz="4" w:space="0" w:color="auto"/>
            </w:tcBorders>
            <w:shd w:val="clear" w:color="auto" w:fill="auto"/>
            <w:noWrap/>
            <w:vAlign w:val="center"/>
            <w:hideMark/>
          </w:tcPr>
          <w:p w14:paraId="345D5113"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1 140,28</w:t>
            </w:r>
          </w:p>
        </w:tc>
        <w:tc>
          <w:tcPr>
            <w:tcW w:w="993" w:type="dxa"/>
            <w:tcBorders>
              <w:top w:val="nil"/>
              <w:left w:val="nil"/>
              <w:bottom w:val="single" w:sz="4" w:space="0" w:color="auto"/>
              <w:right w:val="single" w:sz="4" w:space="0" w:color="auto"/>
            </w:tcBorders>
            <w:shd w:val="clear" w:color="auto" w:fill="auto"/>
            <w:noWrap/>
            <w:vAlign w:val="center"/>
            <w:hideMark/>
          </w:tcPr>
          <w:p w14:paraId="7AFC08E3" w14:textId="77777777" w:rsidR="00EF1983" w:rsidRPr="00B13B9A" w:rsidRDefault="00EF1983" w:rsidP="0061151B">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1 881,99</w:t>
            </w:r>
          </w:p>
        </w:tc>
        <w:tc>
          <w:tcPr>
            <w:tcW w:w="853" w:type="dxa"/>
            <w:tcBorders>
              <w:top w:val="nil"/>
              <w:left w:val="nil"/>
              <w:bottom w:val="single" w:sz="4" w:space="0" w:color="auto"/>
              <w:right w:val="single" w:sz="4" w:space="0" w:color="auto"/>
            </w:tcBorders>
            <w:shd w:val="clear" w:color="auto" w:fill="auto"/>
            <w:noWrap/>
            <w:vAlign w:val="center"/>
            <w:hideMark/>
          </w:tcPr>
          <w:p w14:paraId="31EDD524" w14:textId="77777777" w:rsidR="00EF1983" w:rsidRPr="00B13B9A" w:rsidRDefault="00EF1983" w:rsidP="0061151B">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726,21</w:t>
            </w:r>
          </w:p>
        </w:tc>
        <w:tc>
          <w:tcPr>
            <w:tcW w:w="1126" w:type="dxa"/>
            <w:tcBorders>
              <w:top w:val="nil"/>
              <w:left w:val="nil"/>
              <w:bottom w:val="single" w:sz="4" w:space="0" w:color="auto"/>
              <w:right w:val="single" w:sz="4" w:space="0" w:color="auto"/>
            </w:tcBorders>
            <w:shd w:val="clear" w:color="auto" w:fill="auto"/>
            <w:noWrap/>
            <w:vAlign w:val="center"/>
            <w:hideMark/>
          </w:tcPr>
          <w:p w14:paraId="0C16967B"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6 313,41</w:t>
            </w:r>
          </w:p>
        </w:tc>
      </w:tr>
      <w:tr w:rsidR="00EF1983" w:rsidRPr="00B13B9A" w14:paraId="3B173392" w14:textId="77777777" w:rsidTr="00332FF7">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28557D2A" w14:textId="77777777" w:rsidR="00EF1983" w:rsidRPr="00B13B9A" w:rsidRDefault="00EF1983" w:rsidP="0061151B">
            <w:pPr>
              <w:spacing w:after="0" w:line="240" w:lineRule="auto"/>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Energie electrică</w:t>
            </w:r>
          </w:p>
        </w:tc>
        <w:tc>
          <w:tcPr>
            <w:tcW w:w="944" w:type="dxa"/>
            <w:tcBorders>
              <w:top w:val="nil"/>
              <w:left w:val="nil"/>
              <w:bottom w:val="single" w:sz="4" w:space="0" w:color="auto"/>
              <w:right w:val="single" w:sz="4" w:space="0" w:color="auto"/>
            </w:tcBorders>
            <w:shd w:val="clear" w:color="auto" w:fill="auto"/>
            <w:noWrap/>
            <w:vAlign w:val="center"/>
            <w:hideMark/>
          </w:tcPr>
          <w:p w14:paraId="72AF79A3"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986,99</w:t>
            </w:r>
          </w:p>
        </w:tc>
        <w:tc>
          <w:tcPr>
            <w:tcW w:w="944" w:type="dxa"/>
            <w:tcBorders>
              <w:top w:val="nil"/>
              <w:left w:val="nil"/>
              <w:bottom w:val="single" w:sz="4" w:space="0" w:color="auto"/>
              <w:right w:val="single" w:sz="4" w:space="0" w:color="auto"/>
            </w:tcBorders>
            <w:shd w:val="clear" w:color="auto" w:fill="auto"/>
            <w:vAlign w:val="center"/>
            <w:hideMark/>
          </w:tcPr>
          <w:p w14:paraId="50DA6A0F"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677,93</w:t>
            </w:r>
          </w:p>
        </w:tc>
        <w:tc>
          <w:tcPr>
            <w:tcW w:w="990" w:type="dxa"/>
            <w:tcBorders>
              <w:top w:val="nil"/>
              <w:left w:val="nil"/>
              <w:bottom w:val="single" w:sz="4" w:space="0" w:color="auto"/>
              <w:right w:val="single" w:sz="4" w:space="0" w:color="auto"/>
            </w:tcBorders>
            <w:shd w:val="clear" w:color="auto" w:fill="auto"/>
            <w:noWrap/>
            <w:vAlign w:val="center"/>
            <w:hideMark/>
          </w:tcPr>
          <w:p w14:paraId="6623A76D"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873,39</w:t>
            </w:r>
          </w:p>
        </w:tc>
        <w:tc>
          <w:tcPr>
            <w:tcW w:w="1091" w:type="dxa"/>
            <w:tcBorders>
              <w:top w:val="nil"/>
              <w:left w:val="nil"/>
              <w:bottom w:val="single" w:sz="4" w:space="0" w:color="auto"/>
              <w:right w:val="single" w:sz="4" w:space="0" w:color="auto"/>
            </w:tcBorders>
            <w:shd w:val="clear" w:color="auto" w:fill="auto"/>
            <w:noWrap/>
            <w:vAlign w:val="center"/>
            <w:hideMark/>
          </w:tcPr>
          <w:p w14:paraId="00DAE29C"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539,25</w:t>
            </w:r>
          </w:p>
        </w:tc>
        <w:tc>
          <w:tcPr>
            <w:tcW w:w="993" w:type="dxa"/>
            <w:tcBorders>
              <w:top w:val="nil"/>
              <w:left w:val="nil"/>
              <w:bottom w:val="single" w:sz="4" w:space="0" w:color="auto"/>
              <w:right w:val="single" w:sz="4" w:space="0" w:color="auto"/>
            </w:tcBorders>
            <w:shd w:val="clear" w:color="auto" w:fill="auto"/>
            <w:noWrap/>
            <w:vAlign w:val="center"/>
            <w:hideMark/>
          </w:tcPr>
          <w:p w14:paraId="68341E43" w14:textId="77777777" w:rsidR="00EF1983" w:rsidRPr="00B13B9A" w:rsidRDefault="00EF1983" w:rsidP="0061151B">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695,22</w:t>
            </w:r>
          </w:p>
        </w:tc>
        <w:tc>
          <w:tcPr>
            <w:tcW w:w="853" w:type="dxa"/>
            <w:tcBorders>
              <w:top w:val="nil"/>
              <w:left w:val="nil"/>
              <w:bottom w:val="single" w:sz="4" w:space="0" w:color="auto"/>
              <w:right w:val="single" w:sz="4" w:space="0" w:color="auto"/>
            </w:tcBorders>
            <w:shd w:val="clear" w:color="auto" w:fill="auto"/>
            <w:noWrap/>
            <w:vAlign w:val="center"/>
            <w:hideMark/>
          </w:tcPr>
          <w:p w14:paraId="3279D4E5" w14:textId="77777777" w:rsidR="00EF1983" w:rsidRPr="00B13B9A" w:rsidRDefault="00EF1983" w:rsidP="0061151B">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379,28</w:t>
            </w:r>
          </w:p>
        </w:tc>
        <w:tc>
          <w:tcPr>
            <w:tcW w:w="1126" w:type="dxa"/>
            <w:tcBorders>
              <w:top w:val="nil"/>
              <w:left w:val="nil"/>
              <w:bottom w:val="single" w:sz="4" w:space="0" w:color="auto"/>
              <w:right w:val="single" w:sz="4" w:space="0" w:color="auto"/>
            </w:tcBorders>
            <w:shd w:val="clear" w:color="auto" w:fill="auto"/>
            <w:noWrap/>
            <w:vAlign w:val="center"/>
            <w:hideMark/>
          </w:tcPr>
          <w:p w14:paraId="06E9315B"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4 152,06</w:t>
            </w:r>
          </w:p>
        </w:tc>
      </w:tr>
      <w:tr w:rsidR="00EF1983" w:rsidRPr="00B13B9A" w14:paraId="6DE3F44E" w14:textId="77777777" w:rsidTr="00332FF7">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042234C5" w14:textId="5C88E167" w:rsidR="00EF1983" w:rsidRPr="00B13B9A" w:rsidRDefault="00EF1983" w:rsidP="0061151B">
            <w:pPr>
              <w:spacing w:after="0" w:line="240" w:lineRule="auto"/>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Apă, canalizare, de</w:t>
            </w:r>
            <w:r w:rsidR="00B13B9A" w:rsidRPr="00B13B9A">
              <w:rPr>
                <w:rFonts w:asciiTheme="majorHAnsi" w:eastAsia="Times New Roman" w:hAnsiTheme="majorHAnsi" w:cstheme="majorHAnsi"/>
                <w:color w:val="000000"/>
                <w:sz w:val="18"/>
                <w:szCs w:val="18"/>
                <w:lang w:val="ro-MD"/>
              </w:rPr>
              <w:t>ș</w:t>
            </w:r>
            <w:r w:rsidRPr="00B13B9A">
              <w:rPr>
                <w:rFonts w:asciiTheme="majorHAnsi" w:eastAsia="Times New Roman" w:hAnsiTheme="majorHAnsi" w:cstheme="majorHAnsi"/>
                <w:color w:val="000000"/>
                <w:sz w:val="18"/>
                <w:szCs w:val="18"/>
                <w:lang w:val="ro-MD"/>
              </w:rPr>
              <w:t>euri</w:t>
            </w:r>
          </w:p>
        </w:tc>
        <w:tc>
          <w:tcPr>
            <w:tcW w:w="944" w:type="dxa"/>
            <w:tcBorders>
              <w:top w:val="nil"/>
              <w:left w:val="nil"/>
              <w:bottom w:val="single" w:sz="4" w:space="0" w:color="auto"/>
              <w:right w:val="single" w:sz="4" w:space="0" w:color="auto"/>
            </w:tcBorders>
            <w:shd w:val="clear" w:color="auto" w:fill="auto"/>
            <w:noWrap/>
            <w:vAlign w:val="center"/>
            <w:hideMark/>
          </w:tcPr>
          <w:p w14:paraId="2F4F1D0B"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36,71</w:t>
            </w:r>
          </w:p>
        </w:tc>
        <w:tc>
          <w:tcPr>
            <w:tcW w:w="944" w:type="dxa"/>
            <w:tcBorders>
              <w:top w:val="nil"/>
              <w:left w:val="nil"/>
              <w:bottom w:val="single" w:sz="4" w:space="0" w:color="auto"/>
              <w:right w:val="single" w:sz="4" w:space="0" w:color="auto"/>
            </w:tcBorders>
            <w:shd w:val="clear" w:color="auto" w:fill="auto"/>
            <w:vAlign w:val="center"/>
            <w:hideMark/>
          </w:tcPr>
          <w:p w14:paraId="091A00AC"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21,25</w:t>
            </w:r>
          </w:p>
        </w:tc>
        <w:tc>
          <w:tcPr>
            <w:tcW w:w="990" w:type="dxa"/>
            <w:tcBorders>
              <w:top w:val="nil"/>
              <w:left w:val="nil"/>
              <w:bottom w:val="single" w:sz="4" w:space="0" w:color="auto"/>
              <w:right w:val="single" w:sz="4" w:space="0" w:color="auto"/>
            </w:tcBorders>
            <w:shd w:val="clear" w:color="auto" w:fill="auto"/>
            <w:noWrap/>
            <w:vAlign w:val="center"/>
            <w:hideMark/>
          </w:tcPr>
          <w:p w14:paraId="45987983"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43,37</w:t>
            </w:r>
          </w:p>
        </w:tc>
        <w:tc>
          <w:tcPr>
            <w:tcW w:w="1091" w:type="dxa"/>
            <w:tcBorders>
              <w:top w:val="nil"/>
              <w:left w:val="nil"/>
              <w:bottom w:val="single" w:sz="4" w:space="0" w:color="auto"/>
              <w:right w:val="single" w:sz="4" w:space="0" w:color="auto"/>
            </w:tcBorders>
            <w:shd w:val="clear" w:color="auto" w:fill="auto"/>
            <w:noWrap/>
            <w:vAlign w:val="center"/>
            <w:hideMark/>
          </w:tcPr>
          <w:p w14:paraId="057A64D2"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38,27</w:t>
            </w:r>
          </w:p>
        </w:tc>
        <w:tc>
          <w:tcPr>
            <w:tcW w:w="993" w:type="dxa"/>
            <w:tcBorders>
              <w:top w:val="nil"/>
              <w:left w:val="nil"/>
              <w:bottom w:val="single" w:sz="4" w:space="0" w:color="auto"/>
              <w:right w:val="single" w:sz="4" w:space="0" w:color="auto"/>
            </w:tcBorders>
            <w:shd w:val="clear" w:color="auto" w:fill="auto"/>
            <w:noWrap/>
            <w:vAlign w:val="center"/>
            <w:hideMark/>
          </w:tcPr>
          <w:p w14:paraId="437A71AE" w14:textId="77777777" w:rsidR="00EF1983" w:rsidRPr="00B13B9A" w:rsidRDefault="00EF1983" w:rsidP="0061151B">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37,53</w:t>
            </w:r>
          </w:p>
        </w:tc>
        <w:tc>
          <w:tcPr>
            <w:tcW w:w="853" w:type="dxa"/>
            <w:tcBorders>
              <w:top w:val="nil"/>
              <w:left w:val="nil"/>
              <w:bottom w:val="single" w:sz="4" w:space="0" w:color="auto"/>
              <w:right w:val="single" w:sz="4" w:space="0" w:color="auto"/>
            </w:tcBorders>
            <w:shd w:val="clear" w:color="auto" w:fill="auto"/>
            <w:noWrap/>
            <w:vAlign w:val="center"/>
            <w:hideMark/>
          </w:tcPr>
          <w:p w14:paraId="4B67EC30" w14:textId="77777777" w:rsidR="00EF1983" w:rsidRPr="00B13B9A" w:rsidRDefault="00EF1983" w:rsidP="0061151B">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10,39</w:t>
            </w:r>
          </w:p>
        </w:tc>
        <w:tc>
          <w:tcPr>
            <w:tcW w:w="1126" w:type="dxa"/>
            <w:tcBorders>
              <w:top w:val="nil"/>
              <w:left w:val="nil"/>
              <w:bottom w:val="single" w:sz="4" w:space="0" w:color="auto"/>
              <w:right w:val="single" w:sz="4" w:space="0" w:color="auto"/>
            </w:tcBorders>
            <w:shd w:val="clear" w:color="auto" w:fill="auto"/>
            <w:noWrap/>
            <w:vAlign w:val="center"/>
            <w:hideMark/>
          </w:tcPr>
          <w:p w14:paraId="6CDCCE51"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187,52</w:t>
            </w:r>
          </w:p>
        </w:tc>
      </w:tr>
      <w:tr w:rsidR="00EF1983" w:rsidRPr="00B13B9A" w14:paraId="603412FB" w14:textId="77777777" w:rsidTr="00332FF7">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5D205057" w14:textId="77777777" w:rsidR="00EF1983" w:rsidRPr="00B13B9A" w:rsidRDefault="00EF1983" w:rsidP="0061151B">
            <w:pPr>
              <w:spacing w:after="0" w:line="240" w:lineRule="auto"/>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Amortizarea MF</w:t>
            </w:r>
          </w:p>
        </w:tc>
        <w:tc>
          <w:tcPr>
            <w:tcW w:w="944" w:type="dxa"/>
            <w:tcBorders>
              <w:top w:val="nil"/>
              <w:left w:val="nil"/>
              <w:bottom w:val="single" w:sz="4" w:space="0" w:color="auto"/>
              <w:right w:val="single" w:sz="4" w:space="0" w:color="auto"/>
            </w:tcBorders>
            <w:shd w:val="clear" w:color="auto" w:fill="auto"/>
            <w:noWrap/>
            <w:vAlign w:val="center"/>
            <w:hideMark/>
          </w:tcPr>
          <w:p w14:paraId="3BB70B1F"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1 052,12</w:t>
            </w:r>
          </w:p>
        </w:tc>
        <w:tc>
          <w:tcPr>
            <w:tcW w:w="944" w:type="dxa"/>
            <w:tcBorders>
              <w:top w:val="nil"/>
              <w:left w:val="nil"/>
              <w:bottom w:val="single" w:sz="4" w:space="0" w:color="auto"/>
              <w:right w:val="single" w:sz="4" w:space="0" w:color="auto"/>
            </w:tcBorders>
            <w:shd w:val="clear" w:color="auto" w:fill="auto"/>
            <w:vAlign w:val="center"/>
            <w:hideMark/>
          </w:tcPr>
          <w:p w14:paraId="78328537"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1 240,91</w:t>
            </w:r>
          </w:p>
        </w:tc>
        <w:tc>
          <w:tcPr>
            <w:tcW w:w="990" w:type="dxa"/>
            <w:tcBorders>
              <w:top w:val="nil"/>
              <w:left w:val="nil"/>
              <w:bottom w:val="single" w:sz="4" w:space="0" w:color="auto"/>
              <w:right w:val="single" w:sz="4" w:space="0" w:color="auto"/>
            </w:tcBorders>
            <w:shd w:val="clear" w:color="auto" w:fill="auto"/>
            <w:noWrap/>
            <w:vAlign w:val="center"/>
            <w:hideMark/>
          </w:tcPr>
          <w:p w14:paraId="452D90D5"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1 102,15</w:t>
            </w:r>
          </w:p>
        </w:tc>
        <w:tc>
          <w:tcPr>
            <w:tcW w:w="1091" w:type="dxa"/>
            <w:tcBorders>
              <w:top w:val="nil"/>
              <w:left w:val="nil"/>
              <w:bottom w:val="single" w:sz="4" w:space="0" w:color="auto"/>
              <w:right w:val="single" w:sz="4" w:space="0" w:color="auto"/>
            </w:tcBorders>
            <w:shd w:val="clear" w:color="auto" w:fill="auto"/>
            <w:noWrap/>
            <w:vAlign w:val="center"/>
            <w:hideMark/>
          </w:tcPr>
          <w:p w14:paraId="001A0CFB"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1 118,79</w:t>
            </w:r>
          </w:p>
        </w:tc>
        <w:tc>
          <w:tcPr>
            <w:tcW w:w="993" w:type="dxa"/>
            <w:tcBorders>
              <w:top w:val="nil"/>
              <w:left w:val="nil"/>
              <w:bottom w:val="single" w:sz="4" w:space="0" w:color="auto"/>
              <w:right w:val="single" w:sz="4" w:space="0" w:color="auto"/>
            </w:tcBorders>
            <w:shd w:val="clear" w:color="auto" w:fill="auto"/>
            <w:noWrap/>
            <w:vAlign w:val="center"/>
            <w:hideMark/>
          </w:tcPr>
          <w:p w14:paraId="0270A53F" w14:textId="77777777" w:rsidR="00EF1983" w:rsidRPr="00B13B9A" w:rsidRDefault="00EF1983" w:rsidP="0061151B">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1 095,47</w:t>
            </w:r>
          </w:p>
        </w:tc>
        <w:tc>
          <w:tcPr>
            <w:tcW w:w="853" w:type="dxa"/>
            <w:tcBorders>
              <w:top w:val="nil"/>
              <w:left w:val="nil"/>
              <w:bottom w:val="single" w:sz="4" w:space="0" w:color="auto"/>
              <w:right w:val="single" w:sz="4" w:space="0" w:color="auto"/>
            </w:tcBorders>
            <w:shd w:val="clear" w:color="auto" w:fill="auto"/>
            <w:noWrap/>
            <w:vAlign w:val="center"/>
            <w:hideMark/>
          </w:tcPr>
          <w:p w14:paraId="36800DDF" w14:textId="77777777" w:rsidR="00EF1983" w:rsidRPr="00B13B9A" w:rsidRDefault="00EF1983" w:rsidP="0061151B">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469,47</w:t>
            </w:r>
          </w:p>
        </w:tc>
        <w:tc>
          <w:tcPr>
            <w:tcW w:w="1126" w:type="dxa"/>
            <w:tcBorders>
              <w:top w:val="nil"/>
              <w:left w:val="nil"/>
              <w:bottom w:val="single" w:sz="4" w:space="0" w:color="auto"/>
              <w:right w:val="single" w:sz="4" w:space="0" w:color="auto"/>
            </w:tcBorders>
            <w:shd w:val="clear" w:color="auto" w:fill="auto"/>
            <w:noWrap/>
            <w:vAlign w:val="center"/>
            <w:hideMark/>
          </w:tcPr>
          <w:p w14:paraId="69A0FDC3"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6 078,92</w:t>
            </w:r>
          </w:p>
        </w:tc>
      </w:tr>
      <w:tr w:rsidR="00EF1983" w:rsidRPr="00B13B9A" w14:paraId="73309F39" w14:textId="77777777" w:rsidTr="00332FF7">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48C90BAA" w14:textId="77777777" w:rsidR="00EF1983" w:rsidRPr="00B13B9A" w:rsidRDefault="00EF1983" w:rsidP="0061151B">
            <w:pPr>
              <w:spacing w:after="0" w:line="240" w:lineRule="auto"/>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Uzura OMVSD</w:t>
            </w:r>
          </w:p>
        </w:tc>
        <w:tc>
          <w:tcPr>
            <w:tcW w:w="944" w:type="dxa"/>
            <w:tcBorders>
              <w:top w:val="nil"/>
              <w:left w:val="nil"/>
              <w:bottom w:val="single" w:sz="4" w:space="0" w:color="auto"/>
              <w:right w:val="single" w:sz="4" w:space="0" w:color="auto"/>
            </w:tcBorders>
            <w:shd w:val="clear" w:color="auto" w:fill="auto"/>
            <w:noWrap/>
            <w:vAlign w:val="center"/>
            <w:hideMark/>
          </w:tcPr>
          <w:p w14:paraId="63D1427C"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3,63</w:t>
            </w:r>
          </w:p>
        </w:tc>
        <w:tc>
          <w:tcPr>
            <w:tcW w:w="944" w:type="dxa"/>
            <w:tcBorders>
              <w:top w:val="nil"/>
              <w:left w:val="nil"/>
              <w:bottom w:val="single" w:sz="4" w:space="0" w:color="auto"/>
              <w:right w:val="single" w:sz="4" w:space="0" w:color="auto"/>
            </w:tcBorders>
            <w:shd w:val="clear" w:color="auto" w:fill="auto"/>
            <w:vAlign w:val="center"/>
            <w:hideMark/>
          </w:tcPr>
          <w:p w14:paraId="6DF0850E"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0,00</w:t>
            </w:r>
          </w:p>
        </w:tc>
        <w:tc>
          <w:tcPr>
            <w:tcW w:w="990" w:type="dxa"/>
            <w:tcBorders>
              <w:top w:val="nil"/>
              <w:left w:val="nil"/>
              <w:bottom w:val="single" w:sz="4" w:space="0" w:color="auto"/>
              <w:right w:val="single" w:sz="4" w:space="0" w:color="auto"/>
            </w:tcBorders>
            <w:shd w:val="clear" w:color="auto" w:fill="auto"/>
            <w:noWrap/>
            <w:vAlign w:val="center"/>
            <w:hideMark/>
          </w:tcPr>
          <w:p w14:paraId="3F2D6D83"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45,63</w:t>
            </w:r>
          </w:p>
        </w:tc>
        <w:tc>
          <w:tcPr>
            <w:tcW w:w="1091" w:type="dxa"/>
            <w:tcBorders>
              <w:top w:val="nil"/>
              <w:left w:val="nil"/>
              <w:bottom w:val="single" w:sz="4" w:space="0" w:color="auto"/>
              <w:right w:val="single" w:sz="4" w:space="0" w:color="auto"/>
            </w:tcBorders>
            <w:shd w:val="clear" w:color="auto" w:fill="auto"/>
            <w:noWrap/>
            <w:vAlign w:val="center"/>
            <w:hideMark/>
          </w:tcPr>
          <w:p w14:paraId="4CCF0525"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33,00</w:t>
            </w:r>
          </w:p>
        </w:tc>
        <w:tc>
          <w:tcPr>
            <w:tcW w:w="993" w:type="dxa"/>
            <w:tcBorders>
              <w:top w:val="nil"/>
              <w:left w:val="nil"/>
              <w:bottom w:val="single" w:sz="4" w:space="0" w:color="auto"/>
              <w:right w:val="nil"/>
            </w:tcBorders>
            <w:shd w:val="clear" w:color="auto" w:fill="auto"/>
            <w:noWrap/>
            <w:vAlign w:val="center"/>
            <w:hideMark/>
          </w:tcPr>
          <w:p w14:paraId="3D052C04" w14:textId="77777777" w:rsidR="00EF1983" w:rsidRPr="00B13B9A" w:rsidRDefault="00EF1983" w:rsidP="0061151B">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109,45</w:t>
            </w:r>
          </w:p>
        </w:tc>
        <w:tc>
          <w:tcPr>
            <w:tcW w:w="853" w:type="dxa"/>
            <w:tcBorders>
              <w:top w:val="nil"/>
              <w:left w:val="single" w:sz="4" w:space="0" w:color="auto"/>
              <w:bottom w:val="single" w:sz="4" w:space="0" w:color="auto"/>
              <w:right w:val="nil"/>
            </w:tcBorders>
            <w:shd w:val="clear" w:color="auto" w:fill="auto"/>
            <w:noWrap/>
            <w:vAlign w:val="center"/>
            <w:hideMark/>
          </w:tcPr>
          <w:p w14:paraId="0A766B8D" w14:textId="77777777" w:rsidR="00EF1983" w:rsidRPr="00B13B9A" w:rsidRDefault="00EF1983" w:rsidP="0061151B">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0,00</w:t>
            </w:r>
          </w:p>
        </w:tc>
        <w:tc>
          <w:tcPr>
            <w:tcW w:w="1126" w:type="dxa"/>
            <w:tcBorders>
              <w:top w:val="nil"/>
              <w:left w:val="single" w:sz="4" w:space="0" w:color="auto"/>
              <w:bottom w:val="single" w:sz="4" w:space="0" w:color="auto"/>
              <w:right w:val="single" w:sz="4" w:space="0" w:color="auto"/>
            </w:tcBorders>
            <w:shd w:val="clear" w:color="auto" w:fill="auto"/>
            <w:noWrap/>
            <w:vAlign w:val="center"/>
            <w:hideMark/>
          </w:tcPr>
          <w:p w14:paraId="7C08A862"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191,71</w:t>
            </w:r>
          </w:p>
        </w:tc>
      </w:tr>
      <w:tr w:rsidR="00EF1983" w:rsidRPr="00B13B9A" w14:paraId="62CEEA12" w14:textId="77777777" w:rsidTr="00332FF7">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2B595601" w14:textId="77777777" w:rsidR="00EF1983" w:rsidRPr="00B13B9A" w:rsidRDefault="00EF1983" w:rsidP="0061151B">
            <w:pPr>
              <w:spacing w:after="0" w:line="240" w:lineRule="auto"/>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Paza</w:t>
            </w:r>
          </w:p>
        </w:tc>
        <w:tc>
          <w:tcPr>
            <w:tcW w:w="944" w:type="dxa"/>
            <w:tcBorders>
              <w:top w:val="nil"/>
              <w:left w:val="nil"/>
              <w:bottom w:val="single" w:sz="4" w:space="0" w:color="auto"/>
              <w:right w:val="single" w:sz="4" w:space="0" w:color="auto"/>
            </w:tcBorders>
            <w:shd w:val="clear" w:color="auto" w:fill="auto"/>
            <w:noWrap/>
            <w:vAlign w:val="center"/>
            <w:hideMark/>
          </w:tcPr>
          <w:p w14:paraId="1D45276D"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0,00</w:t>
            </w:r>
          </w:p>
        </w:tc>
        <w:tc>
          <w:tcPr>
            <w:tcW w:w="944" w:type="dxa"/>
            <w:tcBorders>
              <w:top w:val="nil"/>
              <w:left w:val="nil"/>
              <w:bottom w:val="single" w:sz="4" w:space="0" w:color="auto"/>
              <w:right w:val="single" w:sz="4" w:space="0" w:color="auto"/>
            </w:tcBorders>
            <w:shd w:val="clear" w:color="auto" w:fill="auto"/>
            <w:vAlign w:val="center"/>
            <w:hideMark/>
          </w:tcPr>
          <w:p w14:paraId="010649E2"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0,00</w:t>
            </w:r>
          </w:p>
        </w:tc>
        <w:tc>
          <w:tcPr>
            <w:tcW w:w="990" w:type="dxa"/>
            <w:tcBorders>
              <w:top w:val="nil"/>
              <w:left w:val="nil"/>
              <w:bottom w:val="single" w:sz="4" w:space="0" w:color="auto"/>
              <w:right w:val="single" w:sz="4" w:space="0" w:color="auto"/>
            </w:tcBorders>
            <w:shd w:val="clear" w:color="auto" w:fill="auto"/>
            <w:noWrap/>
            <w:vAlign w:val="center"/>
            <w:hideMark/>
          </w:tcPr>
          <w:p w14:paraId="694D08F0"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0,00</w:t>
            </w:r>
          </w:p>
        </w:tc>
        <w:tc>
          <w:tcPr>
            <w:tcW w:w="1091" w:type="dxa"/>
            <w:tcBorders>
              <w:top w:val="nil"/>
              <w:left w:val="nil"/>
              <w:bottom w:val="single" w:sz="4" w:space="0" w:color="auto"/>
              <w:right w:val="single" w:sz="4" w:space="0" w:color="auto"/>
            </w:tcBorders>
            <w:shd w:val="clear" w:color="auto" w:fill="auto"/>
            <w:noWrap/>
            <w:vAlign w:val="center"/>
            <w:hideMark/>
          </w:tcPr>
          <w:p w14:paraId="4B5CD4FA"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274,49</w:t>
            </w:r>
          </w:p>
        </w:tc>
        <w:tc>
          <w:tcPr>
            <w:tcW w:w="993" w:type="dxa"/>
            <w:tcBorders>
              <w:top w:val="nil"/>
              <w:left w:val="nil"/>
              <w:bottom w:val="single" w:sz="4" w:space="0" w:color="auto"/>
              <w:right w:val="nil"/>
            </w:tcBorders>
            <w:shd w:val="clear" w:color="auto" w:fill="auto"/>
            <w:noWrap/>
            <w:vAlign w:val="center"/>
            <w:hideMark/>
          </w:tcPr>
          <w:p w14:paraId="43634E71" w14:textId="77777777" w:rsidR="00EF1983" w:rsidRPr="00B13B9A" w:rsidRDefault="00EF1983" w:rsidP="0061151B">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60,18</w:t>
            </w:r>
          </w:p>
        </w:tc>
        <w:tc>
          <w:tcPr>
            <w:tcW w:w="853" w:type="dxa"/>
            <w:tcBorders>
              <w:top w:val="nil"/>
              <w:left w:val="single" w:sz="4" w:space="0" w:color="auto"/>
              <w:bottom w:val="single" w:sz="4" w:space="0" w:color="auto"/>
              <w:right w:val="nil"/>
            </w:tcBorders>
            <w:shd w:val="clear" w:color="auto" w:fill="auto"/>
            <w:noWrap/>
            <w:vAlign w:val="center"/>
            <w:hideMark/>
          </w:tcPr>
          <w:p w14:paraId="53C513CD" w14:textId="77777777" w:rsidR="00EF1983" w:rsidRPr="00B13B9A" w:rsidRDefault="00EF1983" w:rsidP="0061151B">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0,00</w:t>
            </w:r>
          </w:p>
        </w:tc>
        <w:tc>
          <w:tcPr>
            <w:tcW w:w="1126" w:type="dxa"/>
            <w:tcBorders>
              <w:top w:val="nil"/>
              <w:left w:val="single" w:sz="4" w:space="0" w:color="auto"/>
              <w:bottom w:val="single" w:sz="4" w:space="0" w:color="auto"/>
              <w:right w:val="single" w:sz="4" w:space="0" w:color="auto"/>
            </w:tcBorders>
            <w:shd w:val="clear" w:color="auto" w:fill="auto"/>
            <w:noWrap/>
            <w:vAlign w:val="center"/>
            <w:hideMark/>
          </w:tcPr>
          <w:p w14:paraId="4A9575A4"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334,67</w:t>
            </w:r>
          </w:p>
        </w:tc>
      </w:tr>
      <w:tr w:rsidR="00EF1983" w:rsidRPr="00B13B9A" w14:paraId="0CC4F35A" w14:textId="77777777" w:rsidTr="00332FF7">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36F6980B" w14:textId="77777777" w:rsidR="00EF1983" w:rsidRPr="00B13B9A" w:rsidRDefault="00EF1983" w:rsidP="0061151B">
            <w:pPr>
              <w:spacing w:after="0" w:line="240" w:lineRule="auto"/>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Alte cheltuieli(mat. gos., prot. munc.)</w:t>
            </w:r>
          </w:p>
        </w:tc>
        <w:tc>
          <w:tcPr>
            <w:tcW w:w="944" w:type="dxa"/>
            <w:tcBorders>
              <w:top w:val="nil"/>
              <w:left w:val="nil"/>
              <w:bottom w:val="single" w:sz="4" w:space="0" w:color="auto"/>
              <w:right w:val="single" w:sz="4" w:space="0" w:color="auto"/>
            </w:tcBorders>
            <w:shd w:val="clear" w:color="auto" w:fill="auto"/>
            <w:noWrap/>
            <w:vAlign w:val="center"/>
            <w:hideMark/>
          </w:tcPr>
          <w:p w14:paraId="2D33C03B"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267,40</w:t>
            </w:r>
          </w:p>
        </w:tc>
        <w:tc>
          <w:tcPr>
            <w:tcW w:w="944" w:type="dxa"/>
            <w:tcBorders>
              <w:top w:val="nil"/>
              <w:left w:val="nil"/>
              <w:bottom w:val="single" w:sz="4" w:space="0" w:color="auto"/>
              <w:right w:val="single" w:sz="4" w:space="0" w:color="auto"/>
            </w:tcBorders>
            <w:shd w:val="clear" w:color="auto" w:fill="auto"/>
            <w:vAlign w:val="center"/>
            <w:hideMark/>
          </w:tcPr>
          <w:p w14:paraId="35624FEE"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276,34</w:t>
            </w:r>
          </w:p>
        </w:tc>
        <w:tc>
          <w:tcPr>
            <w:tcW w:w="990" w:type="dxa"/>
            <w:tcBorders>
              <w:top w:val="nil"/>
              <w:left w:val="nil"/>
              <w:bottom w:val="single" w:sz="4" w:space="0" w:color="auto"/>
              <w:right w:val="single" w:sz="4" w:space="0" w:color="auto"/>
            </w:tcBorders>
            <w:shd w:val="clear" w:color="auto" w:fill="auto"/>
            <w:noWrap/>
            <w:vAlign w:val="center"/>
            <w:hideMark/>
          </w:tcPr>
          <w:p w14:paraId="17A135A8"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194,77</w:t>
            </w:r>
          </w:p>
        </w:tc>
        <w:tc>
          <w:tcPr>
            <w:tcW w:w="1091" w:type="dxa"/>
            <w:tcBorders>
              <w:top w:val="nil"/>
              <w:left w:val="nil"/>
              <w:bottom w:val="single" w:sz="4" w:space="0" w:color="auto"/>
              <w:right w:val="single" w:sz="4" w:space="0" w:color="auto"/>
            </w:tcBorders>
            <w:shd w:val="clear" w:color="auto" w:fill="auto"/>
            <w:noWrap/>
            <w:vAlign w:val="center"/>
            <w:hideMark/>
          </w:tcPr>
          <w:p w14:paraId="1E94197E"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273,59</w:t>
            </w:r>
          </w:p>
        </w:tc>
        <w:tc>
          <w:tcPr>
            <w:tcW w:w="993" w:type="dxa"/>
            <w:tcBorders>
              <w:top w:val="nil"/>
              <w:left w:val="nil"/>
              <w:bottom w:val="single" w:sz="4" w:space="0" w:color="auto"/>
              <w:right w:val="nil"/>
            </w:tcBorders>
            <w:shd w:val="clear" w:color="auto" w:fill="auto"/>
            <w:noWrap/>
            <w:vAlign w:val="center"/>
            <w:hideMark/>
          </w:tcPr>
          <w:p w14:paraId="32A2B7BD" w14:textId="77777777" w:rsidR="00EF1983" w:rsidRPr="00B13B9A" w:rsidRDefault="00EF1983" w:rsidP="0061151B">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191,87</w:t>
            </w:r>
          </w:p>
        </w:tc>
        <w:tc>
          <w:tcPr>
            <w:tcW w:w="853" w:type="dxa"/>
            <w:tcBorders>
              <w:top w:val="nil"/>
              <w:left w:val="single" w:sz="4" w:space="0" w:color="auto"/>
              <w:bottom w:val="single" w:sz="4" w:space="0" w:color="auto"/>
              <w:right w:val="nil"/>
            </w:tcBorders>
            <w:shd w:val="clear" w:color="auto" w:fill="auto"/>
            <w:noWrap/>
            <w:vAlign w:val="center"/>
            <w:hideMark/>
          </w:tcPr>
          <w:p w14:paraId="276F93A5" w14:textId="77777777" w:rsidR="00EF1983" w:rsidRPr="00B13B9A" w:rsidRDefault="00EF1983" w:rsidP="0061151B">
            <w:pPr>
              <w:spacing w:after="0" w:line="240" w:lineRule="auto"/>
              <w:jc w:val="right"/>
              <w:rPr>
                <w:rFonts w:asciiTheme="majorHAnsi" w:eastAsia="Times New Roman" w:hAnsiTheme="majorHAnsi" w:cstheme="majorHAnsi"/>
                <w:sz w:val="18"/>
                <w:szCs w:val="18"/>
                <w:lang w:val="ro-MD"/>
              </w:rPr>
            </w:pPr>
            <w:r w:rsidRPr="00B13B9A">
              <w:rPr>
                <w:rFonts w:asciiTheme="majorHAnsi" w:eastAsia="Times New Roman" w:hAnsiTheme="majorHAnsi" w:cstheme="majorHAnsi"/>
                <w:sz w:val="18"/>
                <w:szCs w:val="18"/>
                <w:lang w:val="ro-MD"/>
              </w:rPr>
              <w:t>90,40</w:t>
            </w:r>
          </w:p>
        </w:tc>
        <w:tc>
          <w:tcPr>
            <w:tcW w:w="1126" w:type="dxa"/>
            <w:tcBorders>
              <w:top w:val="nil"/>
              <w:left w:val="single" w:sz="4" w:space="0" w:color="auto"/>
              <w:bottom w:val="single" w:sz="4" w:space="0" w:color="auto"/>
              <w:right w:val="single" w:sz="4" w:space="0" w:color="auto"/>
            </w:tcBorders>
            <w:shd w:val="clear" w:color="auto" w:fill="auto"/>
            <w:noWrap/>
            <w:vAlign w:val="center"/>
            <w:hideMark/>
          </w:tcPr>
          <w:p w14:paraId="7E7FED71" w14:textId="77777777" w:rsidR="00EF1983" w:rsidRPr="00B13B9A" w:rsidRDefault="00EF1983" w:rsidP="0061151B">
            <w:pPr>
              <w:spacing w:after="0" w:line="240" w:lineRule="auto"/>
              <w:jc w:val="right"/>
              <w:rPr>
                <w:rFonts w:asciiTheme="majorHAnsi" w:eastAsia="Times New Roman" w:hAnsiTheme="majorHAnsi" w:cstheme="majorHAnsi"/>
                <w:color w:val="000000"/>
                <w:sz w:val="18"/>
                <w:szCs w:val="18"/>
                <w:lang w:val="ro-MD"/>
              </w:rPr>
            </w:pPr>
            <w:r w:rsidRPr="00B13B9A">
              <w:rPr>
                <w:rFonts w:asciiTheme="majorHAnsi" w:eastAsia="Times New Roman" w:hAnsiTheme="majorHAnsi" w:cstheme="majorHAnsi"/>
                <w:color w:val="000000"/>
                <w:sz w:val="18"/>
                <w:szCs w:val="18"/>
                <w:lang w:val="ro-MD"/>
              </w:rPr>
              <w:t>1 294,37</w:t>
            </w:r>
          </w:p>
        </w:tc>
      </w:tr>
      <w:tr w:rsidR="00EF1983" w:rsidRPr="00B13B9A" w14:paraId="4D657C07" w14:textId="77777777" w:rsidTr="00332FF7">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7AB87B5D" w14:textId="77777777" w:rsidR="00EF1983" w:rsidRPr="00B13B9A" w:rsidRDefault="00EF1983" w:rsidP="0061151B">
            <w:pPr>
              <w:spacing w:after="0" w:line="240" w:lineRule="auto"/>
              <w:jc w:val="center"/>
              <w:rPr>
                <w:rFonts w:asciiTheme="majorHAnsi" w:eastAsia="Times New Roman" w:hAnsiTheme="majorHAnsi" w:cstheme="majorHAnsi"/>
                <w:b/>
                <w:bCs/>
                <w:color w:val="000000"/>
                <w:sz w:val="18"/>
                <w:szCs w:val="18"/>
                <w:lang w:val="ro-MD"/>
              </w:rPr>
            </w:pPr>
            <w:r w:rsidRPr="00B13B9A">
              <w:rPr>
                <w:rFonts w:asciiTheme="majorHAnsi" w:eastAsia="Times New Roman" w:hAnsiTheme="majorHAnsi" w:cstheme="majorHAnsi"/>
                <w:b/>
                <w:bCs/>
                <w:color w:val="000000"/>
                <w:sz w:val="18"/>
                <w:szCs w:val="18"/>
                <w:lang w:val="ro-MD"/>
              </w:rPr>
              <w:t>Total</w:t>
            </w:r>
          </w:p>
        </w:tc>
        <w:tc>
          <w:tcPr>
            <w:tcW w:w="944" w:type="dxa"/>
            <w:tcBorders>
              <w:top w:val="nil"/>
              <w:left w:val="nil"/>
              <w:bottom w:val="single" w:sz="4" w:space="0" w:color="auto"/>
              <w:right w:val="single" w:sz="4" w:space="0" w:color="auto"/>
            </w:tcBorders>
            <w:shd w:val="clear" w:color="auto" w:fill="auto"/>
            <w:noWrap/>
            <w:vAlign w:val="center"/>
            <w:hideMark/>
          </w:tcPr>
          <w:p w14:paraId="12619D6B" w14:textId="77777777" w:rsidR="00EF1983" w:rsidRPr="00B13B9A" w:rsidRDefault="00EF1983" w:rsidP="0061151B">
            <w:pPr>
              <w:spacing w:after="0" w:line="240" w:lineRule="auto"/>
              <w:jc w:val="right"/>
              <w:rPr>
                <w:rFonts w:asciiTheme="majorHAnsi" w:eastAsia="Times New Roman" w:hAnsiTheme="majorHAnsi" w:cstheme="majorHAnsi"/>
                <w:b/>
                <w:color w:val="000000"/>
                <w:sz w:val="18"/>
                <w:szCs w:val="18"/>
                <w:lang w:val="ro-MD"/>
              </w:rPr>
            </w:pPr>
            <w:r w:rsidRPr="00B13B9A">
              <w:rPr>
                <w:rFonts w:asciiTheme="majorHAnsi" w:eastAsia="Times New Roman" w:hAnsiTheme="majorHAnsi" w:cstheme="majorHAnsi"/>
                <w:b/>
                <w:color w:val="000000"/>
                <w:sz w:val="18"/>
                <w:szCs w:val="18"/>
                <w:lang w:val="ro-MD"/>
              </w:rPr>
              <w:t>17 690,76</w:t>
            </w:r>
          </w:p>
        </w:tc>
        <w:tc>
          <w:tcPr>
            <w:tcW w:w="944" w:type="dxa"/>
            <w:tcBorders>
              <w:top w:val="nil"/>
              <w:left w:val="nil"/>
              <w:bottom w:val="single" w:sz="4" w:space="0" w:color="auto"/>
              <w:right w:val="single" w:sz="4" w:space="0" w:color="auto"/>
            </w:tcBorders>
            <w:shd w:val="clear" w:color="auto" w:fill="auto"/>
            <w:vAlign w:val="center"/>
            <w:hideMark/>
          </w:tcPr>
          <w:p w14:paraId="45E0C473" w14:textId="77777777" w:rsidR="00EF1983" w:rsidRPr="00B13B9A" w:rsidRDefault="00EF1983" w:rsidP="0061151B">
            <w:pPr>
              <w:spacing w:after="0" w:line="240" w:lineRule="auto"/>
              <w:jc w:val="right"/>
              <w:rPr>
                <w:rFonts w:asciiTheme="majorHAnsi" w:eastAsia="Times New Roman" w:hAnsiTheme="majorHAnsi" w:cstheme="majorHAnsi"/>
                <w:b/>
                <w:bCs/>
                <w:color w:val="000000"/>
                <w:sz w:val="18"/>
                <w:szCs w:val="18"/>
                <w:lang w:val="ro-MD"/>
              </w:rPr>
            </w:pPr>
            <w:r w:rsidRPr="00B13B9A">
              <w:rPr>
                <w:rFonts w:asciiTheme="majorHAnsi" w:eastAsia="Times New Roman" w:hAnsiTheme="majorHAnsi" w:cstheme="majorHAnsi"/>
                <w:b/>
                <w:bCs/>
                <w:color w:val="000000"/>
                <w:sz w:val="18"/>
                <w:szCs w:val="18"/>
                <w:lang w:val="ro-MD"/>
              </w:rPr>
              <w:t>15 838,11</w:t>
            </w:r>
          </w:p>
        </w:tc>
        <w:tc>
          <w:tcPr>
            <w:tcW w:w="990" w:type="dxa"/>
            <w:tcBorders>
              <w:top w:val="nil"/>
              <w:left w:val="nil"/>
              <w:bottom w:val="single" w:sz="4" w:space="0" w:color="auto"/>
              <w:right w:val="single" w:sz="4" w:space="0" w:color="auto"/>
            </w:tcBorders>
            <w:shd w:val="clear" w:color="auto" w:fill="auto"/>
            <w:noWrap/>
            <w:vAlign w:val="center"/>
            <w:hideMark/>
          </w:tcPr>
          <w:p w14:paraId="5ADD3A8E" w14:textId="77777777" w:rsidR="00EF1983" w:rsidRPr="00B13B9A" w:rsidRDefault="00EF1983" w:rsidP="0061151B">
            <w:pPr>
              <w:spacing w:after="0" w:line="240" w:lineRule="auto"/>
              <w:jc w:val="right"/>
              <w:rPr>
                <w:rFonts w:asciiTheme="majorHAnsi" w:eastAsia="Times New Roman" w:hAnsiTheme="majorHAnsi" w:cstheme="majorHAnsi"/>
                <w:b/>
                <w:bCs/>
                <w:color w:val="000000"/>
                <w:sz w:val="18"/>
                <w:szCs w:val="18"/>
                <w:lang w:val="ro-MD"/>
              </w:rPr>
            </w:pPr>
            <w:r w:rsidRPr="00B13B9A">
              <w:rPr>
                <w:rFonts w:asciiTheme="majorHAnsi" w:eastAsia="Times New Roman" w:hAnsiTheme="majorHAnsi" w:cstheme="majorHAnsi"/>
                <w:b/>
                <w:bCs/>
                <w:color w:val="000000"/>
                <w:sz w:val="18"/>
                <w:szCs w:val="18"/>
                <w:lang w:val="ro-MD"/>
              </w:rPr>
              <w:t>18 809,29</w:t>
            </w:r>
          </w:p>
        </w:tc>
        <w:tc>
          <w:tcPr>
            <w:tcW w:w="1091" w:type="dxa"/>
            <w:tcBorders>
              <w:top w:val="nil"/>
              <w:left w:val="nil"/>
              <w:bottom w:val="single" w:sz="4" w:space="0" w:color="auto"/>
              <w:right w:val="single" w:sz="4" w:space="0" w:color="auto"/>
            </w:tcBorders>
            <w:shd w:val="clear" w:color="auto" w:fill="auto"/>
            <w:noWrap/>
            <w:vAlign w:val="center"/>
            <w:hideMark/>
          </w:tcPr>
          <w:p w14:paraId="741C3E10" w14:textId="77777777" w:rsidR="00EF1983" w:rsidRPr="00B13B9A" w:rsidRDefault="00EF1983" w:rsidP="0061151B">
            <w:pPr>
              <w:spacing w:after="0" w:line="240" w:lineRule="auto"/>
              <w:jc w:val="right"/>
              <w:rPr>
                <w:rFonts w:asciiTheme="majorHAnsi" w:eastAsia="Times New Roman" w:hAnsiTheme="majorHAnsi" w:cstheme="majorHAnsi"/>
                <w:b/>
                <w:bCs/>
                <w:color w:val="000000"/>
                <w:sz w:val="18"/>
                <w:szCs w:val="18"/>
                <w:lang w:val="ro-MD"/>
              </w:rPr>
            </w:pPr>
            <w:r w:rsidRPr="00B13B9A">
              <w:rPr>
                <w:rFonts w:asciiTheme="majorHAnsi" w:eastAsia="Times New Roman" w:hAnsiTheme="majorHAnsi" w:cstheme="majorHAnsi"/>
                <w:b/>
                <w:bCs/>
                <w:color w:val="000000"/>
                <w:sz w:val="18"/>
                <w:szCs w:val="18"/>
                <w:lang w:val="ro-MD"/>
              </w:rPr>
              <w:t>21 985,69</w:t>
            </w:r>
          </w:p>
        </w:tc>
        <w:tc>
          <w:tcPr>
            <w:tcW w:w="993" w:type="dxa"/>
            <w:tcBorders>
              <w:top w:val="nil"/>
              <w:left w:val="nil"/>
              <w:bottom w:val="single" w:sz="4" w:space="0" w:color="auto"/>
              <w:right w:val="nil"/>
            </w:tcBorders>
            <w:shd w:val="clear" w:color="auto" w:fill="auto"/>
            <w:noWrap/>
            <w:vAlign w:val="center"/>
            <w:hideMark/>
          </w:tcPr>
          <w:p w14:paraId="7A85DBE7" w14:textId="77777777" w:rsidR="00EF1983" w:rsidRPr="00B13B9A" w:rsidRDefault="00EF1983" w:rsidP="0061151B">
            <w:pPr>
              <w:spacing w:after="0" w:line="240" w:lineRule="auto"/>
              <w:jc w:val="right"/>
              <w:rPr>
                <w:rFonts w:asciiTheme="majorHAnsi" w:eastAsia="Times New Roman" w:hAnsiTheme="majorHAnsi" w:cstheme="majorHAnsi"/>
                <w:b/>
                <w:bCs/>
                <w:color w:val="000000"/>
                <w:sz w:val="18"/>
                <w:szCs w:val="18"/>
                <w:lang w:val="ro-MD"/>
              </w:rPr>
            </w:pPr>
            <w:r w:rsidRPr="00B13B9A">
              <w:rPr>
                <w:rFonts w:asciiTheme="majorHAnsi" w:eastAsia="Times New Roman" w:hAnsiTheme="majorHAnsi" w:cstheme="majorHAnsi"/>
                <w:b/>
                <w:bCs/>
                <w:color w:val="000000"/>
                <w:sz w:val="18"/>
                <w:szCs w:val="18"/>
                <w:lang w:val="ro-MD"/>
              </w:rPr>
              <w:t>20 503,34</w:t>
            </w:r>
          </w:p>
        </w:tc>
        <w:tc>
          <w:tcPr>
            <w:tcW w:w="853" w:type="dxa"/>
            <w:tcBorders>
              <w:top w:val="nil"/>
              <w:left w:val="single" w:sz="4" w:space="0" w:color="auto"/>
              <w:bottom w:val="single" w:sz="4" w:space="0" w:color="auto"/>
              <w:right w:val="nil"/>
            </w:tcBorders>
            <w:shd w:val="clear" w:color="auto" w:fill="auto"/>
            <w:noWrap/>
            <w:vAlign w:val="center"/>
            <w:hideMark/>
          </w:tcPr>
          <w:p w14:paraId="7C5222ED" w14:textId="77777777" w:rsidR="00EF1983" w:rsidRPr="00B13B9A" w:rsidRDefault="00EF1983" w:rsidP="0061151B">
            <w:pPr>
              <w:spacing w:after="0" w:line="240" w:lineRule="auto"/>
              <w:jc w:val="right"/>
              <w:rPr>
                <w:rFonts w:asciiTheme="majorHAnsi" w:eastAsia="Times New Roman" w:hAnsiTheme="majorHAnsi" w:cstheme="majorHAnsi"/>
                <w:b/>
                <w:bCs/>
                <w:color w:val="000000"/>
                <w:sz w:val="18"/>
                <w:szCs w:val="18"/>
                <w:lang w:val="ro-MD"/>
              </w:rPr>
            </w:pPr>
            <w:r w:rsidRPr="00B13B9A">
              <w:rPr>
                <w:rFonts w:asciiTheme="majorHAnsi" w:eastAsia="Times New Roman" w:hAnsiTheme="majorHAnsi" w:cstheme="majorHAnsi"/>
                <w:b/>
                <w:bCs/>
                <w:color w:val="000000"/>
                <w:sz w:val="18"/>
                <w:szCs w:val="18"/>
                <w:lang w:val="ro-MD"/>
              </w:rPr>
              <w:t>8 223,18</w:t>
            </w:r>
          </w:p>
        </w:tc>
        <w:tc>
          <w:tcPr>
            <w:tcW w:w="1126" w:type="dxa"/>
            <w:tcBorders>
              <w:top w:val="nil"/>
              <w:left w:val="single" w:sz="4" w:space="0" w:color="auto"/>
              <w:bottom w:val="single" w:sz="4" w:space="0" w:color="auto"/>
              <w:right w:val="single" w:sz="4" w:space="0" w:color="auto"/>
            </w:tcBorders>
            <w:shd w:val="clear" w:color="auto" w:fill="auto"/>
            <w:noWrap/>
            <w:vAlign w:val="center"/>
            <w:hideMark/>
          </w:tcPr>
          <w:p w14:paraId="7612E198" w14:textId="77777777" w:rsidR="00EF1983" w:rsidRPr="00B13B9A" w:rsidRDefault="00EF1983" w:rsidP="0061151B">
            <w:pPr>
              <w:spacing w:after="0" w:line="240" w:lineRule="auto"/>
              <w:jc w:val="right"/>
              <w:rPr>
                <w:rFonts w:asciiTheme="majorHAnsi" w:eastAsia="Times New Roman" w:hAnsiTheme="majorHAnsi" w:cstheme="majorHAnsi"/>
                <w:b/>
                <w:bCs/>
                <w:color w:val="000000"/>
                <w:sz w:val="18"/>
                <w:szCs w:val="18"/>
                <w:lang w:val="ro-MD"/>
              </w:rPr>
            </w:pPr>
            <w:r w:rsidRPr="00B13B9A">
              <w:rPr>
                <w:rFonts w:asciiTheme="majorHAnsi" w:eastAsia="Times New Roman" w:hAnsiTheme="majorHAnsi" w:cstheme="majorHAnsi"/>
                <w:b/>
                <w:bCs/>
                <w:color w:val="000000"/>
                <w:sz w:val="18"/>
                <w:szCs w:val="18"/>
                <w:lang w:val="ro-MD"/>
              </w:rPr>
              <w:t>103 000,75</w:t>
            </w:r>
          </w:p>
        </w:tc>
      </w:tr>
    </w:tbl>
    <w:p w14:paraId="49540377" w14:textId="7139A960" w:rsidR="00764FE8" w:rsidRPr="00B13B9A" w:rsidRDefault="00EF1983" w:rsidP="00046446">
      <w:pPr>
        <w:spacing w:after="0" w:line="276" w:lineRule="auto"/>
        <w:jc w:val="both"/>
        <w:rPr>
          <w:rFonts w:asciiTheme="majorHAnsi" w:hAnsiTheme="majorHAnsi" w:cstheme="majorHAnsi"/>
          <w:i/>
          <w:color w:val="000000" w:themeColor="text1"/>
          <w:sz w:val="20"/>
          <w:szCs w:val="20"/>
          <w:lang w:val="ro-MD"/>
        </w:rPr>
      </w:pPr>
      <w:r w:rsidRPr="00B13B9A">
        <w:rPr>
          <w:rFonts w:asciiTheme="majorHAnsi" w:hAnsiTheme="majorHAnsi" w:cstheme="majorHAnsi"/>
          <w:b/>
          <w:i/>
          <w:color w:val="000000" w:themeColor="text1"/>
          <w:sz w:val="20"/>
          <w:szCs w:val="20"/>
          <w:lang w:val="ro-MD"/>
        </w:rPr>
        <w:t>Sursa:</w:t>
      </w:r>
      <w:r w:rsidRPr="00B13B9A">
        <w:rPr>
          <w:rFonts w:asciiTheme="majorHAnsi" w:hAnsiTheme="majorHAnsi" w:cstheme="majorHAnsi"/>
          <w:i/>
          <w:color w:val="000000" w:themeColor="text1"/>
          <w:sz w:val="20"/>
          <w:szCs w:val="20"/>
          <w:lang w:val="ro-MD"/>
        </w:rPr>
        <w:t xml:space="preserve"> Informa</w:t>
      </w:r>
      <w:r w:rsidR="00B13B9A" w:rsidRPr="00B13B9A">
        <w:rPr>
          <w:rFonts w:asciiTheme="majorHAnsi" w:hAnsiTheme="majorHAnsi" w:cstheme="majorHAnsi"/>
          <w:i/>
          <w:color w:val="000000" w:themeColor="text1"/>
          <w:sz w:val="20"/>
          <w:szCs w:val="20"/>
          <w:lang w:val="ro-MD"/>
        </w:rPr>
        <w:t>ț</w:t>
      </w:r>
      <w:r w:rsidRPr="00B13B9A">
        <w:rPr>
          <w:rFonts w:asciiTheme="majorHAnsi" w:hAnsiTheme="majorHAnsi" w:cstheme="majorHAnsi"/>
          <w:i/>
          <w:color w:val="000000" w:themeColor="text1"/>
          <w:sz w:val="20"/>
          <w:szCs w:val="20"/>
          <w:lang w:val="ro-MD"/>
        </w:rPr>
        <w:t>ii generate de audit în baza rapoartelor de cheltuieli, prezentate de entitate</w:t>
      </w:r>
      <w:r w:rsidR="00585605" w:rsidRPr="00B13B9A">
        <w:rPr>
          <w:rFonts w:asciiTheme="majorHAnsi" w:hAnsiTheme="majorHAnsi" w:cstheme="majorHAnsi"/>
          <w:i/>
          <w:color w:val="000000" w:themeColor="text1"/>
          <w:sz w:val="20"/>
          <w:szCs w:val="20"/>
          <w:lang w:val="ro-MD"/>
        </w:rPr>
        <w:t>.</w:t>
      </w:r>
    </w:p>
    <w:p w14:paraId="3715CDCA" w14:textId="77777777" w:rsidR="00FA7B71" w:rsidRPr="00B13B9A" w:rsidRDefault="00FA7B71" w:rsidP="00046446">
      <w:pPr>
        <w:spacing w:after="0" w:line="276" w:lineRule="auto"/>
        <w:jc w:val="both"/>
        <w:rPr>
          <w:rFonts w:asciiTheme="majorHAnsi" w:hAnsiTheme="majorHAnsi" w:cstheme="majorHAnsi"/>
          <w:b/>
          <w:iCs/>
          <w:sz w:val="24"/>
          <w:szCs w:val="24"/>
          <w:lang w:val="ro-MD"/>
        </w:rPr>
      </w:pPr>
    </w:p>
    <w:p w14:paraId="5A8484E4" w14:textId="29505F2D" w:rsidR="00782BD2" w:rsidRPr="00B13B9A" w:rsidRDefault="00782BD2" w:rsidP="00046446">
      <w:pPr>
        <w:pStyle w:val="3"/>
        <w:spacing w:before="0"/>
        <w:jc w:val="right"/>
        <w:rPr>
          <w:rFonts w:cstheme="majorHAnsi"/>
          <w:b/>
          <w:iCs/>
          <w:color w:val="auto"/>
        </w:rPr>
      </w:pPr>
      <w:bookmarkStart w:id="64" w:name="_Toc154562534"/>
      <w:r w:rsidRPr="00B13B9A">
        <w:rPr>
          <w:rFonts w:cstheme="majorHAnsi"/>
          <w:b/>
          <w:iCs/>
          <w:color w:val="auto"/>
        </w:rPr>
        <w:t xml:space="preserve">Anexa nr. </w:t>
      </w:r>
      <w:r w:rsidR="001457CE" w:rsidRPr="00B13B9A">
        <w:rPr>
          <w:rFonts w:cstheme="majorHAnsi"/>
          <w:b/>
          <w:iCs/>
          <w:color w:val="auto"/>
        </w:rPr>
        <w:t>1</w:t>
      </w:r>
      <w:r w:rsidR="002C339A" w:rsidRPr="00B13B9A">
        <w:rPr>
          <w:rFonts w:cstheme="majorHAnsi"/>
          <w:b/>
          <w:iCs/>
          <w:color w:val="auto"/>
        </w:rPr>
        <w:t>1</w:t>
      </w:r>
      <w:bookmarkEnd w:id="64"/>
    </w:p>
    <w:p w14:paraId="58E26ED6" w14:textId="77777777" w:rsidR="00EF1983" w:rsidRPr="00B13B9A" w:rsidRDefault="00895306" w:rsidP="00046446">
      <w:pPr>
        <w:spacing w:after="0" w:line="240" w:lineRule="auto"/>
        <w:jc w:val="center"/>
        <w:rPr>
          <w:rFonts w:asciiTheme="majorHAnsi" w:hAnsiTheme="majorHAnsi" w:cstheme="majorHAnsi"/>
          <w:i/>
          <w:iCs/>
          <w:sz w:val="24"/>
          <w:szCs w:val="24"/>
          <w:lang w:val="ro-MD"/>
        </w:rPr>
      </w:pPr>
      <w:r w:rsidRPr="00B13B9A">
        <w:rPr>
          <w:noProof/>
          <w:lang w:val="ru-RU" w:eastAsia="ru-RU"/>
        </w:rPr>
        <w:drawing>
          <wp:inline distT="0" distB="0" distL="0" distR="0" wp14:anchorId="606BB2AA" wp14:editId="602B0A0F">
            <wp:extent cx="6508115" cy="2025650"/>
            <wp:effectExtent l="0" t="0" r="6985" b="127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1C2E867" w14:textId="25AF4C75" w:rsidR="0007264E" w:rsidRPr="00B13B9A" w:rsidRDefault="0007264E" w:rsidP="0007264E">
      <w:pPr>
        <w:pStyle w:val="cn"/>
        <w:spacing w:line="276" w:lineRule="auto"/>
        <w:ind w:right="71"/>
        <w:jc w:val="both"/>
        <w:rPr>
          <w:rFonts w:asciiTheme="majorHAnsi" w:eastAsiaTheme="minorHAnsi" w:hAnsiTheme="majorHAnsi" w:cstheme="majorHAnsi"/>
          <w:i/>
          <w:sz w:val="20"/>
          <w:szCs w:val="20"/>
          <w:lang w:val="ro-MD" w:eastAsia="en-US"/>
        </w:rPr>
      </w:pPr>
      <w:r w:rsidRPr="00B13B9A">
        <w:rPr>
          <w:rFonts w:asciiTheme="majorHAnsi" w:eastAsiaTheme="minorHAnsi" w:hAnsiTheme="majorHAnsi" w:cstheme="majorHAnsi"/>
          <w:b/>
          <w:i/>
          <w:sz w:val="20"/>
          <w:szCs w:val="20"/>
          <w:lang w:val="ro-MD" w:eastAsia="en-US"/>
        </w:rPr>
        <w:t>Sursa:</w:t>
      </w:r>
      <w:r w:rsidRPr="00B13B9A">
        <w:rPr>
          <w:rFonts w:asciiTheme="majorHAnsi" w:eastAsiaTheme="minorHAnsi" w:hAnsiTheme="majorHAnsi" w:cstheme="majorHAnsi"/>
          <w:i/>
          <w:sz w:val="20"/>
          <w:szCs w:val="20"/>
          <w:lang w:val="ro-MD" w:eastAsia="en-US"/>
        </w:rPr>
        <w:t xml:space="preserve"> E</w:t>
      </w:r>
      <w:r w:rsidR="00804A06" w:rsidRPr="00B13B9A">
        <w:rPr>
          <w:rFonts w:asciiTheme="majorHAnsi" w:eastAsiaTheme="minorHAnsi" w:hAnsiTheme="majorHAnsi" w:cstheme="majorHAnsi"/>
          <w:i/>
          <w:sz w:val="20"/>
          <w:szCs w:val="20"/>
          <w:lang w:val="ro-MD" w:eastAsia="en-US"/>
        </w:rPr>
        <w:t>laborat</w:t>
      </w:r>
      <w:r w:rsidRPr="00B13B9A">
        <w:rPr>
          <w:rFonts w:asciiTheme="majorHAnsi" w:eastAsiaTheme="minorHAnsi" w:hAnsiTheme="majorHAnsi" w:cstheme="majorHAnsi"/>
          <w:i/>
          <w:sz w:val="20"/>
          <w:szCs w:val="20"/>
          <w:lang w:val="ro-MD" w:eastAsia="en-US"/>
        </w:rPr>
        <w:t xml:space="preserve"> de audit în baza datelor prezentate de entitate</w:t>
      </w:r>
      <w:r w:rsidR="00804A06" w:rsidRPr="00B13B9A">
        <w:rPr>
          <w:rFonts w:asciiTheme="majorHAnsi" w:eastAsiaTheme="minorHAnsi" w:hAnsiTheme="majorHAnsi" w:cstheme="majorHAnsi"/>
          <w:i/>
          <w:sz w:val="20"/>
          <w:szCs w:val="20"/>
          <w:lang w:val="ro-MD" w:eastAsia="en-US"/>
        </w:rPr>
        <w:t>.</w:t>
      </w:r>
    </w:p>
    <w:p w14:paraId="3527A4F7" w14:textId="77777777" w:rsidR="00FA7B71" w:rsidRPr="00B13B9A" w:rsidRDefault="00FA7B71" w:rsidP="00782BD2">
      <w:pPr>
        <w:spacing w:after="0" w:line="240" w:lineRule="auto"/>
        <w:jc w:val="right"/>
        <w:rPr>
          <w:rFonts w:asciiTheme="majorHAnsi" w:hAnsiTheme="majorHAnsi" w:cstheme="majorHAnsi"/>
          <w:b/>
          <w:iCs/>
          <w:sz w:val="24"/>
          <w:szCs w:val="24"/>
          <w:lang w:val="ro-MD"/>
        </w:rPr>
      </w:pPr>
    </w:p>
    <w:p w14:paraId="4CF07338" w14:textId="0E3BCC79" w:rsidR="00782BD2" w:rsidRPr="00027B88" w:rsidRDefault="00782BD2" w:rsidP="00027B88">
      <w:pPr>
        <w:pStyle w:val="3"/>
        <w:jc w:val="right"/>
        <w:rPr>
          <w:b/>
        </w:rPr>
      </w:pPr>
      <w:bookmarkStart w:id="65" w:name="_Toc154562535"/>
      <w:r w:rsidRPr="00027B88">
        <w:rPr>
          <w:b/>
        </w:rPr>
        <w:t>Anexa nr. 1</w:t>
      </w:r>
      <w:r w:rsidR="002C339A" w:rsidRPr="00027B88">
        <w:rPr>
          <w:b/>
        </w:rPr>
        <w:t>2</w:t>
      </w:r>
      <w:bookmarkEnd w:id="65"/>
    </w:p>
    <w:p w14:paraId="55E41466" w14:textId="77777777" w:rsidR="00895306" w:rsidRPr="00B13B9A" w:rsidRDefault="00895306" w:rsidP="00046446">
      <w:pPr>
        <w:spacing w:after="0" w:line="240" w:lineRule="auto"/>
        <w:jc w:val="center"/>
        <w:rPr>
          <w:rFonts w:asciiTheme="majorHAnsi" w:hAnsiTheme="majorHAnsi" w:cstheme="majorHAnsi"/>
          <w:i/>
          <w:iCs/>
          <w:sz w:val="24"/>
          <w:szCs w:val="24"/>
          <w:lang w:val="ro-MD"/>
        </w:rPr>
      </w:pPr>
      <w:r w:rsidRPr="00B13B9A">
        <w:rPr>
          <w:noProof/>
          <w:lang w:val="ru-RU" w:eastAsia="ru-RU"/>
        </w:rPr>
        <w:drawing>
          <wp:inline distT="0" distB="0" distL="0" distR="0" wp14:anchorId="2D85C651" wp14:editId="2B0C16A2">
            <wp:extent cx="6371590" cy="2209800"/>
            <wp:effectExtent l="0" t="0" r="1016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BD18525" w14:textId="77777777" w:rsidR="00027B88" w:rsidRDefault="0007264E" w:rsidP="00046446">
      <w:pPr>
        <w:pStyle w:val="cn"/>
        <w:ind w:right="71"/>
        <w:jc w:val="both"/>
        <w:rPr>
          <w:rFonts w:asciiTheme="majorHAnsi" w:eastAsiaTheme="minorHAnsi" w:hAnsiTheme="majorHAnsi" w:cstheme="majorHAnsi"/>
          <w:i/>
          <w:sz w:val="20"/>
          <w:szCs w:val="20"/>
          <w:lang w:val="ro-MD" w:eastAsia="en-US"/>
        </w:rPr>
        <w:sectPr w:rsidR="00027B88" w:rsidSect="00046446">
          <w:pgSz w:w="12240" w:h="15840"/>
          <w:pgMar w:top="851" w:right="758" w:bottom="993" w:left="1701" w:header="708" w:footer="272" w:gutter="0"/>
          <w:cols w:space="708"/>
          <w:titlePg/>
          <w:docGrid w:linePitch="360"/>
        </w:sectPr>
      </w:pPr>
      <w:r w:rsidRPr="00B13B9A">
        <w:rPr>
          <w:rFonts w:asciiTheme="majorHAnsi" w:eastAsiaTheme="minorHAnsi" w:hAnsiTheme="majorHAnsi" w:cstheme="majorHAnsi"/>
          <w:b/>
          <w:i/>
          <w:sz w:val="20"/>
          <w:szCs w:val="20"/>
          <w:lang w:val="ro-MD" w:eastAsia="en-US"/>
        </w:rPr>
        <w:t>Sursa:</w:t>
      </w:r>
      <w:r w:rsidRPr="00B13B9A">
        <w:rPr>
          <w:rFonts w:asciiTheme="majorHAnsi" w:eastAsiaTheme="minorHAnsi" w:hAnsiTheme="majorHAnsi" w:cstheme="majorHAnsi"/>
          <w:i/>
          <w:sz w:val="20"/>
          <w:szCs w:val="20"/>
          <w:lang w:val="ro-MD" w:eastAsia="en-US"/>
        </w:rPr>
        <w:t xml:space="preserve"> E</w:t>
      </w:r>
      <w:r w:rsidR="005C3DCF" w:rsidRPr="00B13B9A">
        <w:rPr>
          <w:rFonts w:asciiTheme="majorHAnsi" w:eastAsiaTheme="minorHAnsi" w:hAnsiTheme="majorHAnsi" w:cstheme="majorHAnsi"/>
          <w:i/>
          <w:sz w:val="20"/>
          <w:szCs w:val="20"/>
          <w:lang w:val="ro-MD" w:eastAsia="en-US"/>
        </w:rPr>
        <w:t>labor</w:t>
      </w:r>
      <w:r w:rsidRPr="00B13B9A">
        <w:rPr>
          <w:rFonts w:asciiTheme="majorHAnsi" w:eastAsiaTheme="minorHAnsi" w:hAnsiTheme="majorHAnsi" w:cstheme="majorHAnsi"/>
          <w:i/>
          <w:sz w:val="20"/>
          <w:szCs w:val="20"/>
          <w:lang w:val="ro-MD" w:eastAsia="en-US"/>
        </w:rPr>
        <w:t>at de audit în baza datelor prezentate de entitate</w:t>
      </w:r>
      <w:r w:rsidR="005C3DCF" w:rsidRPr="00B13B9A">
        <w:rPr>
          <w:rFonts w:asciiTheme="majorHAnsi" w:eastAsiaTheme="minorHAnsi" w:hAnsiTheme="majorHAnsi" w:cstheme="majorHAnsi"/>
          <w:i/>
          <w:sz w:val="20"/>
          <w:szCs w:val="20"/>
          <w:lang w:val="ro-MD" w:eastAsia="en-US"/>
        </w:rPr>
        <w:t xml:space="preserve">.   </w:t>
      </w:r>
    </w:p>
    <w:p w14:paraId="3BD2F50B" w14:textId="77777777" w:rsidR="000A5AB9" w:rsidRPr="00B13B9A" w:rsidRDefault="000A5AB9" w:rsidP="00D3471D">
      <w:pPr>
        <w:pStyle w:val="3"/>
        <w:jc w:val="right"/>
        <w:rPr>
          <w:rFonts w:cstheme="majorHAnsi"/>
          <w:b/>
          <w:iCs/>
          <w:color w:val="auto"/>
        </w:rPr>
      </w:pPr>
      <w:bookmarkStart w:id="66" w:name="_Toc154562536"/>
      <w:r w:rsidRPr="00B13B9A">
        <w:rPr>
          <w:rFonts w:cstheme="majorHAnsi"/>
          <w:b/>
          <w:iCs/>
          <w:color w:val="auto"/>
        </w:rPr>
        <w:t>Anexa nr. 1</w:t>
      </w:r>
      <w:r w:rsidR="001457CE" w:rsidRPr="00B13B9A">
        <w:rPr>
          <w:rFonts w:cstheme="majorHAnsi"/>
          <w:b/>
          <w:iCs/>
          <w:color w:val="auto"/>
        </w:rPr>
        <w:t>3</w:t>
      </w:r>
      <w:bookmarkEnd w:id="66"/>
    </w:p>
    <w:p w14:paraId="270F7AC5" w14:textId="10BFFB78" w:rsidR="0096393F" w:rsidRPr="00B13B9A" w:rsidRDefault="0096393F" w:rsidP="0096393F">
      <w:pPr>
        <w:pStyle w:val="a7"/>
        <w:spacing w:after="0" w:line="276" w:lineRule="auto"/>
        <w:ind w:left="0" w:firstLine="709"/>
        <w:jc w:val="center"/>
        <w:rPr>
          <w:rFonts w:asciiTheme="majorHAnsi" w:hAnsiTheme="majorHAnsi" w:cstheme="majorHAnsi"/>
          <w:b/>
          <w:bCs/>
          <w:sz w:val="24"/>
          <w:szCs w:val="20"/>
          <w:lang w:val="ro-MD"/>
        </w:rPr>
      </w:pPr>
      <w:r w:rsidRPr="00B13B9A">
        <w:rPr>
          <w:rFonts w:asciiTheme="majorHAnsi" w:hAnsiTheme="majorHAnsi" w:cstheme="majorHAnsi"/>
          <w:b/>
          <w:bCs/>
          <w:sz w:val="24"/>
          <w:szCs w:val="20"/>
          <w:lang w:val="ro-MD"/>
        </w:rPr>
        <w:t>Valoarea estimată de către audit în baza valorii cadastrale/pre</w:t>
      </w:r>
      <w:r w:rsidR="00B13B9A" w:rsidRPr="00B13B9A">
        <w:rPr>
          <w:rFonts w:asciiTheme="majorHAnsi" w:hAnsiTheme="majorHAnsi" w:cstheme="majorHAnsi"/>
          <w:b/>
          <w:bCs/>
          <w:sz w:val="24"/>
          <w:szCs w:val="20"/>
          <w:lang w:val="ro-MD"/>
        </w:rPr>
        <w:t>ț</w:t>
      </w:r>
      <w:r w:rsidR="005C3DCF" w:rsidRPr="00B13B9A">
        <w:rPr>
          <w:rFonts w:asciiTheme="majorHAnsi" w:hAnsiTheme="majorHAnsi" w:cstheme="majorHAnsi"/>
          <w:b/>
          <w:bCs/>
          <w:sz w:val="24"/>
          <w:szCs w:val="20"/>
          <w:lang w:val="ro-MD"/>
        </w:rPr>
        <w:t>ului</w:t>
      </w:r>
      <w:r w:rsidRPr="00B13B9A">
        <w:rPr>
          <w:rFonts w:asciiTheme="majorHAnsi" w:hAnsiTheme="majorHAnsi" w:cstheme="majorHAnsi"/>
          <w:b/>
          <w:bCs/>
          <w:sz w:val="24"/>
          <w:szCs w:val="20"/>
          <w:lang w:val="ro-MD"/>
        </w:rPr>
        <w:t xml:space="preserve"> normativ al </w:t>
      </w:r>
      <w:r w:rsidR="005D56E4" w:rsidRPr="00B13B9A">
        <w:rPr>
          <w:rFonts w:asciiTheme="majorHAnsi" w:hAnsiTheme="majorHAnsi" w:cstheme="majorHAnsi"/>
          <w:b/>
          <w:bCs/>
          <w:sz w:val="24"/>
          <w:szCs w:val="20"/>
          <w:lang w:val="ro-MD"/>
        </w:rPr>
        <w:t>pământului</w:t>
      </w:r>
    </w:p>
    <w:tbl>
      <w:tblPr>
        <w:tblW w:w="9761" w:type="dxa"/>
        <w:tblLook w:val="04A0" w:firstRow="1" w:lastRow="0" w:firstColumn="1" w:lastColumn="0" w:noHBand="0" w:noVBand="1"/>
      </w:tblPr>
      <w:tblGrid>
        <w:gridCol w:w="423"/>
        <w:gridCol w:w="1041"/>
        <w:gridCol w:w="1108"/>
        <w:gridCol w:w="1007"/>
        <w:gridCol w:w="779"/>
        <w:gridCol w:w="832"/>
        <w:gridCol w:w="836"/>
        <w:gridCol w:w="752"/>
        <w:gridCol w:w="726"/>
        <w:gridCol w:w="744"/>
        <w:gridCol w:w="653"/>
        <w:gridCol w:w="860"/>
      </w:tblGrid>
      <w:tr w:rsidR="005C3DCF" w:rsidRPr="00DB333D" w14:paraId="306EBAC3" w14:textId="77777777" w:rsidTr="002101A1">
        <w:trPr>
          <w:trHeight w:val="20"/>
        </w:trPr>
        <w:tc>
          <w:tcPr>
            <w:tcW w:w="413"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17E59C47" w14:textId="1A565C93" w:rsidR="0096393F" w:rsidRPr="00DB333D" w:rsidRDefault="0096393F" w:rsidP="00332FF7">
            <w:pPr>
              <w:spacing w:after="0" w:line="240" w:lineRule="auto"/>
              <w:jc w:val="center"/>
              <w:rPr>
                <w:rFonts w:ascii="Calibri Light" w:eastAsia="Times New Roman" w:hAnsi="Calibri Light" w:cs="Calibri Light"/>
                <w:bCs/>
                <w:i/>
                <w:iCs/>
                <w:sz w:val="16"/>
                <w:szCs w:val="16"/>
                <w:lang w:val="ro-MD"/>
              </w:rPr>
            </w:pPr>
            <w:r w:rsidRPr="00DB333D">
              <w:rPr>
                <w:rFonts w:ascii="Calibri Light" w:eastAsia="Times New Roman" w:hAnsi="Calibri Light" w:cs="Calibri Light"/>
                <w:bCs/>
                <w:i/>
                <w:iCs/>
                <w:sz w:val="16"/>
                <w:szCs w:val="16"/>
                <w:lang w:val="ro-MD"/>
              </w:rPr>
              <w:t xml:space="preserve">Nr. </w:t>
            </w:r>
            <w:r w:rsidRPr="00DB333D">
              <w:rPr>
                <w:rFonts w:ascii="Calibri Light" w:eastAsia="Times New Roman" w:hAnsi="Calibri Light" w:cs="Calibri Light"/>
                <w:bCs/>
                <w:i/>
                <w:iCs/>
                <w:sz w:val="16"/>
                <w:szCs w:val="16"/>
                <w:lang w:val="ro-MD"/>
              </w:rPr>
              <w:br/>
            </w:r>
            <w:r w:rsidR="005C3DCF" w:rsidRPr="00DB333D">
              <w:rPr>
                <w:rFonts w:ascii="Calibri Light" w:eastAsia="Times New Roman" w:hAnsi="Calibri Light" w:cs="Calibri Light"/>
                <w:bCs/>
                <w:i/>
                <w:iCs/>
                <w:sz w:val="16"/>
                <w:szCs w:val="16"/>
                <w:lang w:val="ro-MD"/>
              </w:rPr>
              <w:t>crt.</w:t>
            </w:r>
          </w:p>
        </w:tc>
        <w:tc>
          <w:tcPr>
            <w:tcW w:w="106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EA918EC" w14:textId="77777777" w:rsidR="0096393F" w:rsidRPr="00DB333D" w:rsidRDefault="0096393F" w:rsidP="00332FF7">
            <w:pPr>
              <w:spacing w:after="0" w:line="240" w:lineRule="auto"/>
              <w:jc w:val="center"/>
              <w:rPr>
                <w:rFonts w:ascii="Calibri Light" w:eastAsia="Times New Roman" w:hAnsi="Calibri Light" w:cs="Calibri Light"/>
                <w:bCs/>
                <w:i/>
                <w:iCs/>
                <w:sz w:val="16"/>
                <w:szCs w:val="16"/>
                <w:lang w:val="ro-MD"/>
              </w:rPr>
            </w:pPr>
            <w:r w:rsidRPr="00DB333D">
              <w:rPr>
                <w:rFonts w:ascii="Calibri Light" w:eastAsia="Times New Roman" w:hAnsi="Calibri Light" w:cs="Calibri Light"/>
                <w:bCs/>
                <w:i/>
                <w:iCs/>
                <w:sz w:val="16"/>
                <w:szCs w:val="16"/>
                <w:lang w:val="ro-MD"/>
              </w:rPr>
              <w:t>Denumirea bunului imobil proprietate publică a statului</w:t>
            </w:r>
          </w:p>
        </w:tc>
        <w:tc>
          <w:tcPr>
            <w:tcW w:w="113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82DFA5E" w14:textId="7E2A36E9" w:rsidR="0096393F" w:rsidRPr="00DB333D" w:rsidRDefault="0096393F" w:rsidP="00332FF7">
            <w:pPr>
              <w:spacing w:after="0" w:line="240" w:lineRule="auto"/>
              <w:jc w:val="center"/>
              <w:rPr>
                <w:rFonts w:ascii="Calibri Light" w:eastAsia="Times New Roman" w:hAnsi="Calibri Light" w:cs="Calibri Light"/>
                <w:bCs/>
                <w:i/>
                <w:iCs/>
                <w:sz w:val="16"/>
                <w:szCs w:val="16"/>
                <w:lang w:val="ro-MD"/>
              </w:rPr>
            </w:pPr>
            <w:r w:rsidRPr="00DB333D">
              <w:rPr>
                <w:rFonts w:ascii="Calibri Light" w:eastAsia="Times New Roman" w:hAnsi="Calibri Light" w:cs="Calibri Light"/>
                <w:bCs/>
                <w:i/>
                <w:iCs/>
                <w:sz w:val="16"/>
                <w:szCs w:val="16"/>
                <w:lang w:val="ro-MD"/>
              </w:rPr>
              <w:t xml:space="preserve">Adresa </w:t>
            </w:r>
          </w:p>
        </w:tc>
        <w:tc>
          <w:tcPr>
            <w:tcW w:w="103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36EA9974" w14:textId="3C5B7D0E" w:rsidR="0096393F" w:rsidRPr="00DB333D" w:rsidRDefault="0096393F" w:rsidP="00332FF7">
            <w:pPr>
              <w:spacing w:after="0" w:line="240" w:lineRule="auto"/>
              <w:jc w:val="center"/>
              <w:rPr>
                <w:rFonts w:ascii="Calibri Light" w:eastAsia="Times New Roman" w:hAnsi="Calibri Light" w:cs="Calibri Light"/>
                <w:bCs/>
                <w:i/>
                <w:iCs/>
                <w:sz w:val="16"/>
                <w:szCs w:val="16"/>
                <w:lang w:val="ro-MD"/>
              </w:rPr>
            </w:pPr>
            <w:r w:rsidRPr="00DB333D">
              <w:rPr>
                <w:rFonts w:ascii="Calibri Light" w:eastAsia="Times New Roman" w:hAnsi="Calibri Light" w:cs="Calibri Light"/>
                <w:bCs/>
                <w:i/>
                <w:iCs/>
                <w:sz w:val="16"/>
                <w:szCs w:val="16"/>
                <w:lang w:val="ro-MD"/>
              </w:rPr>
              <w:t>Nr.</w:t>
            </w:r>
            <w:r w:rsidR="005C3DCF" w:rsidRPr="00DB333D">
              <w:rPr>
                <w:rFonts w:ascii="Calibri Light" w:eastAsia="Times New Roman" w:hAnsi="Calibri Light" w:cs="Calibri Light"/>
                <w:bCs/>
                <w:i/>
                <w:iCs/>
                <w:sz w:val="16"/>
                <w:szCs w:val="16"/>
                <w:lang w:val="ro-MD"/>
              </w:rPr>
              <w:t xml:space="preserve"> </w:t>
            </w:r>
            <w:r w:rsidR="00B13B9A" w:rsidRPr="00DB333D">
              <w:rPr>
                <w:rFonts w:ascii="Calibri Light" w:eastAsia="Times New Roman" w:hAnsi="Calibri Light" w:cs="Calibri Light"/>
                <w:bCs/>
                <w:i/>
                <w:iCs/>
                <w:sz w:val="16"/>
                <w:szCs w:val="16"/>
                <w:lang w:val="ro-MD"/>
              </w:rPr>
              <w:t>ș</w:t>
            </w:r>
            <w:r w:rsidRPr="00DB333D">
              <w:rPr>
                <w:rFonts w:ascii="Calibri Light" w:eastAsia="Times New Roman" w:hAnsi="Calibri Light" w:cs="Calibri Light"/>
                <w:bCs/>
                <w:i/>
                <w:iCs/>
                <w:sz w:val="16"/>
                <w:szCs w:val="16"/>
                <w:lang w:val="ro-MD"/>
              </w:rPr>
              <w:t xml:space="preserve">i data </w:t>
            </w:r>
            <w:r w:rsidR="005D56E4" w:rsidRPr="00DB333D">
              <w:rPr>
                <w:rFonts w:ascii="Calibri Light" w:eastAsia="Times New Roman" w:hAnsi="Calibri Light" w:cs="Calibri Light"/>
                <w:bCs/>
                <w:i/>
                <w:iCs/>
                <w:sz w:val="16"/>
                <w:szCs w:val="16"/>
                <w:lang w:val="ro-MD"/>
              </w:rPr>
              <w:t>înregistrării</w:t>
            </w:r>
            <w:r w:rsidRPr="00DB333D">
              <w:rPr>
                <w:rFonts w:ascii="Calibri Light" w:eastAsia="Times New Roman" w:hAnsi="Calibri Light" w:cs="Calibri Light"/>
                <w:bCs/>
                <w:i/>
                <w:iCs/>
                <w:sz w:val="16"/>
                <w:szCs w:val="16"/>
                <w:lang w:val="ro-MD"/>
              </w:rPr>
              <w:t xml:space="preserve"> bunului </w:t>
            </w:r>
            <w:r w:rsidR="005C3DCF" w:rsidRPr="00DB333D">
              <w:rPr>
                <w:rFonts w:ascii="Calibri Light" w:eastAsia="Times New Roman" w:hAnsi="Calibri Light" w:cs="Calibri Light"/>
                <w:bCs/>
                <w:i/>
                <w:iCs/>
                <w:sz w:val="16"/>
                <w:szCs w:val="16"/>
                <w:lang w:val="ro-MD"/>
              </w:rPr>
              <w:t>î</w:t>
            </w:r>
            <w:r w:rsidRPr="00DB333D">
              <w:rPr>
                <w:rFonts w:ascii="Calibri Light" w:eastAsia="Times New Roman" w:hAnsi="Calibri Light" w:cs="Calibri Light"/>
                <w:bCs/>
                <w:i/>
                <w:iCs/>
                <w:sz w:val="16"/>
                <w:szCs w:val="16"/>
                <w:lang w:val="ro-MD"/>
              </w:rPr>
              <w:t>n RBI</w:t>
            </w:r>
          </w:p>
        </w:tc>
        <w:tc>
          <w:tcPr>
            <w:tcW w:w="79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10DBE8C" w14:textId="77777777" w:rsidR="0096393F" w:rsidRPr="00DB333D" w:rsidRDefault="0096393F" w:rsidP="00332FF7">
            <w:pPr>
              <w:spacing w:after="0" w:line="240" w:lineRule="auto"/>
              <w:jc w:val="center"/>
              <w:rPr>
                <w:rFonts w:ascii="Calibri Light" w:eastAsia="Times New Roman" w:hAnsi="Calibri Light" w:cs="Calibri Light"/>
                <w:bCs/>
                <w:sz w:val="16"/>
                <w:szCs w:val="16"/>
                <w:lang w:val="ro-MD"/>
              </w:rPr>
            </w:pPr>
            <w:r w:rsidRPr="00DB333D">
              <w:rPr>
                <w:rFonts w:ascii="Calibri Light" w:eastAsia="Times New Roman" w:hAnsi="Calibri Light" w:cs="Calibri Light"/>
                <w:bCs/>
                <w:sz w:val="16"/>
                <w:szCs w:val="16"/>
                <w:lang w:val="ro-MD"/>
              </w:rPr>
              <w:t>Valoarea conform e-Cadastru (mii lei)</w:t>
            </w:r>
          </w:p>
        </w:tc>
        <w:tc>
          <w:tcPr>
            <w:tcW w:w="84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753DEAB" w14:textId="2F141DDA" w:rsidR="0096393F" w:rsidRPr="00DB333D" w:rsidRDefault="0096393F" w:rsidP="00332FF7">
            <w:pPr>
              <w:spacing w:after="0" w:line="240" w:lineRule="auto"/>
              <w:jc w:val="center"/>
              <w:rPr>
                <w:rFonts w:ascii="Calibri Light" w:eastAsia="Times New Roman" w:hAnsi="Calibri Light" w:cs="Calibri Light"/>
                <w:bCs/>
                <w:i/>
                <w:iCs/>
                <w:sz w:val="16"/>
                <w:szCs w:val="16"/>
                <w:lang w:val="ro-MD"/>
              </w:rPr>
            </w:pPr>
            <w:r w:rsidRPr="00DB333D">
              <w:rPr>
                <w:rFonts w:ascii="Calibri Light" w:eastAsia="Times New Roman" w:hAnsi="Calibri Light" w:cs="Calibri Light"/>
                <w:bCs/>
                <w:i/>
                <w:iCs/>
                <w:sz w:val="16"/>
                <w:szCs w:val="16"/>
                <w:lang w:val="ro-MD"/>
              </w:rPr>
              <w:t>Valoarea ini</w:t>
            </w:r>
            <w:r w:rsidR="00B13B9A" w:rsidRPr="00DB333D">
              <w:rPr>
                <w:rFonts w:ascii="Calibri Light" w:eastAsia="Times New Roman" w:hAnsi="Calibri Light" w:cs="Calibri Light"/>
                <w:bCs/>
                <w:i/>
                <w:iCs/>
                <w:sz w:val="16"/>
                <w:szCs w:val="16"/>
                <w:lang w:val="ro-MD"/>
              </w:rPr>
              <w:t>ț</w:t>
            </w:r>
            <w:r w:rsidRPr="00DB333D">
              <w:rPr>
                <w:rFonts w:ascii="Calibri Light" w:eastAsia="Times New Roman" w:hAnsi="Calibri Light" w:cs="Calibri Light"/>
                <w:bCs/>
                <w:i/>
                <w:iCs/>
                <w:sz w:val="16"/>
                <w:szCs w:val="16"/>
                <w:lang w:val="ro-MD"/>
              </w:rPr>
              <w:t>ială a imobilului (mii lei)</w:t>
            </w:r>
          </w:p>
        </w:tc>
        <w:tc>
          <w:tcPr>
            <w:tcW w:w="85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7922FD9" w14:textId="305B1780" w:rsidR="0096393F" w:rsidRPr="00DB333D" w:rsidRDefault="005D56E4" w:rsidP="00332FF7">
            <w:pPr>
              <w:spacing w:after="0" w:line="240" w:lineRule="auto"/>
              <w:jc w:val="center"/>
              <w:rPr>
                <w:rFonts w:ascii="Calibri Light" w:eastAsia="Times New Roman" w:hAnsi="Calibri Light" w:cs="Calibri Light"/>
                <w:bCs/>
                <w:i/>
                <w:iCs/>
                <w:sz w:val="16"/>
                <w:szCs w:val="16"/>
                <w:lang w:val="ro-MD"/>
              </w:rPr>
            </w:pPr>
            <w:r w:rsidRPr="00DB333D">
              <w:rPr>
                <w:rFonts w:ascii="Calibri Light" w:eastAsia="Times New Roman" w:hAnsi="Calibri Light" w:cs="Calibri Light"/>
                <w:bCs/>
                <w:i/>
                <w:iCs/>
                <w:sz w:val="16"/>
                <w:szCs w:val="16"/>
                <w:lang w:val="ro-MD"/>
              </w:rPr>
              <w:t>Suprafa</w:t>
            </w:r>
            <w:r w:rsidR="00B13B9A" w:rsidRPr="00DB333D">
              <w:rPr>
                <w:rFonts w:ascii="Calibri Light" w:eastAsia="Times New Roman" w:hAnsi="Calibri Light" w:cs="Calibri Light"/>
                <w:bCs/>
                <w:i/>
                <w:iCs/>
                <w:sz w:val="16"/>
                <w:szCs w:val="16"/>
                <w:lang w:val="ro-MD"/>
              </w:rPr>
              <w:t>ț</w:t>
            </w:r>
            <w:r w:rsidRPr="00DB333D">
              <w:rPr>
                <w:rFonts w:ascii="Calibri Light" w:eastAsia="Times New Roman" w:hAnsi="Calibri Light" w:cs="Calibri Light"/>
                <w:bCs/>
                <w:i/>
                <w:iCs/>
                <w:sz w:val="16"/>
                <w:szCs w:val="16"/>
                <w:lang w:val="ro-MD"/>
              </w:rPr>
              <w:t>a</w:t>
            </w:r>
            <w:r w:rsidR="0096393F" w:rsidRPr="00DB333D">
              <w:rPr>
                <w:rFonts w:ascii="Calibri Light" w:eastAsia="Times New Roman" w:hAnsi="Calibri Light" w:cs="Calibri Light"/>
                <w:bCs/>
                <w:i/>
                <w:iCs/>
                <w:sz w:val="16"/>
                <w:szCs w:val="16"/>
                <w:lang w:val="ro-MD"/>
              </w:rPr>
              <w:t xml:space="preserve"> terenului, ha</w:t>
            </w:r>
          </w:p>
        </w:tc>
        <w:tc>
          <w:tcPr>
            <w:tcW w:w="765" w:type="dxa"/>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14:paraId="5E42569F" w14:textId="6702D156" w:rsidR="0096393F" w:rsidRPr="00DB333D" w:rsidRDefault="0096393F" w:rsidP="00332FF7">
            <w:pPr>
              <w:spacing w:after="0" w:line="240" w:lineRule="auto"/>
              <w:jc w:val="center"/>
              <w:rPr>
                <w:rFonts w:ascii="Calibri Light" w:eastAsia="Times New Roman" w:hAnsi="Calibri Light" w:cs="Calibri Light"/>
                <w:bCs/>
                <w:i/>
                <w:iCs/>
                <w:sz w:val="16"/>
                <w:szCs w:val="16"/>
                <w:lang w:val="ro-MD"/>
              </w:rPr>
            </w:pPr>
            <w:r w:rsidRPr="00DB333D">
              <w:rPr>
                <w:rFonts w:ascii="Calibri Light" w:eastAsia="Times New Roman" w:hAnsi="Calibri Light" w:cs="Calibri Light"/>
                <w:bCs/>
                <w:i/>
                <w:iCs/>
                <w:sz w:val="16"/>
                <w:szCs w:val="16"/>
                <w:lang w:val="ro-MD"/>
              </w:rPr>
              <w:t>Imobilul se afla la bilan</w:t>
            </w:r>
            <w:r w:rsidR="00B13B9A" w:rsidRPr="00DB333D">
              <w:rPr>
                <w:rFonts w:ascii="Calibri Light" w:eastAsia="Times New Roman" w:hAnsi="Calibri Light" w:cs="Calibri Light"/>
                <w:bCs/>
                <w:i/>
                <w:iCs/>
                <w:sz w:val="16"/>
                <w:szCs w:val="16"/>
                <w:lang w:val="ro-MD"/>
              </w:rPr>
              <w:t>ț</w:t>
            </w:r>
            <w:r w:rsidR="005C3DCF" w:rsidRPr="00DB333D">
              <w:rPr>
                <w:rFonts w:ascii="Calibri Light" w:eastAsia="Times New Roman" w:hAnsi="Calibri Light" w:cs="Calibri Light"/>
                <w:bCs/>
                <w:i/>
                <w:iCs/>
                <w:sz w:val="16"/>
                <w:szCs w:val="16"/>
                <w:lang w:val="ro-MD"/>
              </w:rPr>
              <w:t>ă</w:t>
            </w:r>
            <w:r w:rsidR="002101A1">
              <w:rPr>
                <w:rFonts w:ascii="Calibri Light" w:eastAsia="Times New Roman" w:hAnsi="Calibri Light" w:cs="Calibri Light"/>
                <w:bCs/>
                <w:i/>
                <w:iCs/>
                <w:sz w:val="16"/>
                <w:szCs w:val="16"/>
                <w:lang w:val="ro-MD"/>
              </w:rPr>
              <w:t xml:space="preserve"> (DA/Nu</w:t>
            </w:r>
            <w:r w:rsidRPr="00DB333D">
              <w:rPr>
                <w:rFonts w:ascii="Calibri Light" w:eastAsia="Times New Roman" w:hAnsi="Calibri Light" w:cs="Calibri Light"/>
                <w:bCs/>
                <w:i/>
                <w:iCs/>
                <w:sz w:val="16"/>
                <w:szCs w:val="16"/>
                <w:lang w:val="ro-MD"/>
              </w:rPr>
              <w:t>)</w:t>
            </w:r>
          </w:p>
        </w:tc>
        <w:tc>
          <w:tcPr>
            <w:tcW w:w="1979"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3201F3D8" w14:textId="77777777" w:rsidR="0096393F" w:rsidRPr="00DB333D" w:rsidRDefault="0096393F" w:rsidP="00332FF7">
            <w:pPr>
              <w:spacing w:after="0" w:line="240" w:lineRule="auto"/>
              <w:jc w:val="center"/>
              <w:rPr>
                <w:rFonts w:ascii="Calibri Light" w:eastAsia="Times New Roman" w:hAnsi="Calibri Light" w:cs="Calibri Light"/>
                <w:bCs/>
                <w:i/>
                <w:iCs/>
                <w:sz w:val="16"/>
                <w:szCs w:val="16"/>
                <w:lang w:val="ro-MD"/>
              </w:rPr>
            </w:pPr>
            <w:r w:rsidRPr="00DB333D">
              <w:rPr>
                <w:rFonts w:ascii="Calibri Light" w:eastAsia="Times New Roman" w:hAnsi="Calibri Light" w:cs="Calibri Light"/>
                <w:bCs/>
                <w:i/>
                <w:iCs/>
                <w:sz w:val="16"/>
                <w:szCs w:val="16"/>
                <w:lang w:val="ro-MD"/>
              </w:rPr>
              <w:t>Valoarea calculată de audit</w:t>
            </w:r>
          </w:p>
        </w:tc>
        <w:tc>
          <w:tcPr>
            <w:tcW w:w="8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FF47665" w14:textId="77777777" w:rsidR="0096393F" w:rsidRPr="00DB333D" w:rsidRDefault="0096393F" w:rsidP="00332FF7">
            <w:pPr>
              <w:spacing w:after="0" w:line="240" w:lineRule="auto"/>
              <w:jc w:val="center"/>
              <w:rPr>
                <w:rFonts w:ascii="Calibri Light" w:eastAsia="Times New Roman" w:hAnsi="Calibri Light" w:cs="Calibri Light"/>
                <w:bCs/>
                <w:i/>
                <w:iCs/>
                <w:sz w:val="16"/>
                <w:szCs w:val="16"/>
                <w:lang w:val="ro-MD"/>
              </w:rPr>
            </w:pPr>
            <w:r w:rsidRPr="00DB333D">
              <w:rPr>
                <w:rFonts w:ascii="Calibri Light" w:eastAsia="Times New Roman" w:hAnsi="Calibri Light" w:cs="Calibri Light"/>
                <w:bCs/>
                <w:i/>
                <w:iCs/>
                <w:sz w:val="16"/>
                <w:szCs w:val="16"/>
                <w:lang w:val="ro-MD"/>
              </w:rPr>
              <w:t>Valoarea terenului ajustată conform actelor normative (mii lei)</w:t>
            </w:r>
          </w:p>
        </w:tc>
      </w:tr>
      <w:tr w:rsidR="005C3DCF" w:rsidRPr="00DB333D" w14:paraId="49538700" w14:textId="77777777" w:rsidTr="002101A1">
        <w:trPr>
          <w:trHeight w:val="20"/>
        </w:trPr>
        <w:tc>
          <w:tcPr>
            <w:tcW w:w="413" w:type="dxa"/>
            <w:vMerge/>
            <w:tcBorders>
              <w:top w:val="single" w:sz="8" w:space="0" w:color="auto"/>
              <w:left w:val="single" w:sz="8" w:space="0" w:color="auto"/>
              <w:bottom w:val="single" w:sz="8" w:space="0" w:color="000000"/>
              <w:right w:val="single" w:sz="4" w:space="0" w:color="auto"/>
            </w:tcBorders>
            <w:vAlign w:val="center"/>
            <w:hideMark/>
          </w:tcPr>
          <w:p w14:paraId="22FF9BEA" w14:textId="77777777" w:rsidR="0096393F" w:rsidRPr="00DB333D" w:rsidRDefault="0096393F" w:rsidP="00332FF7">
            <w:pPr>
              <w:spacing w:after="0" w:line="240" w:lineRule="auto"/>
              <w:rPr>
                <w:rFonts w:ascii="Calibri Light" w:eastAsia="Times New Roman" w:hAnsi="Calibri Light" w:cs="Calibri Light"/>
                <w:b/>
                <w:bCs/>
                <w:i/>
                <w:iCs/>
                <w:sz w:val="16"/>
                <w:szCs w:val="16"/>
                <w:lang w:val="ro-MD"/>
              </w:rPr>
            </w:pPr>
          </w:p>
        </w:tc>
        <w:tc>
          <w:tcPr>
            <w:tcW w:w="1067" w:type="dxa"/>
            <w:vMerge/>
            <w:tcBorders>
              <w:top w:val="single" w:sz="8" w:space="0" w:color="auto"/>
              <w:left w:val="single" w:sz="4" w:space="0" w:color="auto"/>
              <w:bottom w:val="single" w:sz="8" w:space="0" w:color="000000"/>
              <w:right w:val="single" w:sz="4" w:space="0" w:color="auto"/>
            </w:tcBorders>
            <w:vAlign w:val="center"/>
            <w:hideMark/>
          </w:tcPr>
          <w:p w14:paraId="430D2804" w14:textId="77777777" w:rsidR="0096393F" w:rsidRPr="002101A1" w:rsidRDefault="0096393F" w:rsidP="00332FF7">
            <w:pPr>
              <w:spacing w:after="0" w:line="240" w:lineRule="auto"/>
              <w:rPr>
                <w:rFonts w:ascii="Calibri Light" w:eastAsia="Times New Roman" w:hAnsi="Calibri Light" w:cs="Calibri Light"/>
                <w:b/>
                <w:bCs/>
                <w:i/>
                <w:iCs/>
                <w:sz w:val="16"/>
                <w:szCs w:val="16"/>
                <w:lang w:val="ro-MD"/>
              </w:rPr>
            </w:pPr>
          </w:p>
        </w:tc>
        <w:tc>
          <w:tcPr>
            <w:tcW w:w="1136" w:type="dxa"/>
            <w:vMerge/>
            <w:tcBorders>
              <w:top w:val="single" w:sz="8" w:space="0" w:color="auto"/>
              <w:left w:val="single" w:sz="4" w:space="0" w:color="auto"/>
              <w:bottom w:val="single" w:sz="8" w:space="0" w:color="000000"/>
              <w:right w:val="single" w:sz="4" w:space="0" w:color="auto"/>
            </w:tcBorders>
            <w:vAlign w:val="center"/>
            <w:hideMark/>
          </w:tcPr>
          <w:p w14:paraId="6AC4EA48" w14:textId="77777777" w:rsidR="0096393F" w:rsidRPr="002101A1" w:rsidRDefault="0096393F" w:rsidP="00332FF7">
            <w:pPr>
              <w:spacing w:after="0" w:line="240" w:lineRule="auto"/>
              <w:rPr>
                <w:rFonts w:ascii="Calibri Light" w:eastAsia="Times New Roman" w:hAnsi="Calibri Light" w:cs="Calibri Light"/>
                <w:b/>
                <w:bCs/>
                <w:i/>
                <w:iCs/>
                <w:sz w:val="16"/>
                <w:szCs w:val="16"/>
                <w:lang w:val="ro-MD"/>
              </w:rPr>
            </w:pPr>
          </w:p>
        </w:tc>
        <w:tc>
          <w:tcPr>
            <w:tcW w:w="1033" w:type="dxa"/>
            <w:vMerge/>
            <w:tcBorders>
              <w:top w:val="single" w:sz="8" w:space="0" w:color="auto"/>
              <w:left w:val="single" w:sz="4" w:space="0" w:color="auto"/>
              <w:bottom w:val="single" w:sz="8" w:space="0" w:color="000000"/>
              <w:right w:val="single" w:sz="4" w:space="0" w:color="auto"/>
            </w:tcBorders>
            <w:vAlign w:val="center"/>
            <w:hideMark/>
          </w:tcPr>
          <w:p w14:paraId="1F5CBB47" w14:textId="77777777" w:rsidR="0096393F" w:rsidRPr="002101A1" w:rsidRDefault="0096393F" w:rsidP="00332FF7">
            <w:pPr>
              <w:spacing w:after="0" w:line="240" w:lineRule="auto"/>
              <w:rPr>
                <w:rFonts w:ascii="Calibri Light" w:eastAsia="Times New Roman" w:hAnsi="Calibri Light" w:cs="Calibri Light"/>
                <w:b/>
                <w:bCs/>
                <w:i/>
                <w:iCs/>
                <w:sz w:val="16"/>
                <w:szCs w:val="16"/>
                <w:lang w:val="ro-MD"/>
              </w:rPr>
            </w:pPr>
          </w:p>
        </w:tc>
        <w:tc>
          <w:tcPr>
            <w:tcW w:w="793" w:type="dxa"/>
            <w:vMerge/>
            <w:tcBorders>
              <w:top w:val="single" w:sz="8" w:space="0" w:color="auto"/>
              <w:left w:val="single" w:sz="4" w:space="0" w:color="auto"/>
              <w:bottom w:val="single" w:sz="8" w:space="0" w:color="000000"/>
              <w:right w:val="single" w:sz="4" w:space="0" w:color="auto"/>
            </w:tcBorders>
            <w:vAlign w:val="center"/>
            <w:hideMark/>
          </w:tcPr>
          <w:p w14:paraId="438954A8" w14:textId="77777777" w:rsidR="0096393F" w:rsidRPr="002101A1" w:rsidRDefault="0096393F" w:rsidP="00332FF7">
            <w:pPr>
              <w:spacing w:after="0" w:line="240" w:lineRule="auto"/>
              <w:rPr>
                <w:rFonts w:ascii="Calibri Light" w:eastAsia="Times New Roman" w:hAnsi="Calibri Light" w:cs="Calibri Light"/>
                <w:b/>
                <w:bCs/>
                <w:sz w:val="16"/>
                <w:szCs w:val="16"/>
                <w:lang w:val="ro-MD"/>
              </w:rPr>
            </w:pPr>
          </w:p>
        </w:tc>
        <w:tc>
          <w:tcPr>
            <w:tcW w:w="847" w:type="dxa"/>
            <w:vMerge/>
            <w:tcBorders>
              <w:top w:val="single" w:sz="8" w:space="0" w:color="auto"/>
              <w:left w:val="single" w:sz="4" w:space="0" w:color="auto"/>
              <w:bottom w:val="single" w:sz="8" w:space="0" w:color="000000"/>
              <w:right w:val="single" w:sz="4" w:space="0" w:color="auto"/>
            </w:tcBorders>
            <w:vAlign w:val="center"/>
            <w:hideMark/>
          </w:tcPr>
          <w:p w14:paraId="06817DE9" w14:textId="77777777" w:rsidR="0096393F" w:rsidRPr="002101A1" w:rsidRDefault="0096393F" w:rsidP="00332FF7">
            <w:pPr>
              <w:spacing w:after="0" w:line="240" w:lineRule="auto"/>
              <w:rPr>
                <w:rFonts w:ascii="Calibri Light" w:eastAsia="Times New Roman" w:hAnsi="Calibri Light" w:cs="Calibri Light"/>
                <w:b/>
                <w:bCs/>
                <w:i/>
                <w:iCs/>
                <w:sz w:val="16"/>
                <w:szCs w:val="16"/>
                <w:lang w:val="ro-MD"/>
              </w:rPr>
            </w:pPr>
          </w:p>
        </w:tc>
        <w:tc>
          <w:tcPr>
            <w:tcW w:w="852" w:type="dxa"/>
            <w:vMerge/>
            <w:tcBorders>
              <w:top w:val="single" w:sz="8" w:space="0" w:color="auto"/>
              <w:left w:val="single" w:sz="4" w:space="0" w:color="auto"/>
              <w:bottom w:val="single" w:sz="8" w:space="0" w:color="000000"/>
              <w:right w:val="single" w:sz="4" w:space="0" w:color="auto"/>
            </w:tcBorders>
            <w:vAlign w:val="center"/>
            <w:hideMark/>
          </w:tcPr>
          <w:p w14:paraId="30C8150F" w14:textId="77777777" w:rsidR="0096393F" w:rsidRPr="002101A1" w:rsidRDefault="0096393F" w:rsidP="00332FF7">
            <w:pPr>
              <w:spacing w:after="0" w:line="240" w:lineRule="auto"/>
              <w:rPr>
                <w:rFonts w:ascii="Calibri Light" w:eastAsia="Times New Roman" w:hAnsi="Calibri Light" w:cs="Calibri Light"/>
                <w:b/>
                <w:bCs/>
                <w:i/>
                <w:iCs/>
                <w:sz w:val="16"/>
                <w:szCs w:val="16"/>
                <w:lang w:val="ro-MD"/>
              </w:rPr>
            </w:pPr>
          </w:p>
        </w:tc>
        <w:tc>
          <w:tcPr>
            <w:tcW w:w="765" w:type="dxa"/>
            <w:vMerge/>
            <w:tcBorders>
              <w:top w:val="single" w:sz="8" w:space="0" w:color="auto"/>
              <w:left w:val="single" w:sz="4" w:space="0" w:color="auto"/>
              <w:bottom w:val="single" w:sz="8" w:space="0" w:color="000000"/>
              <w:right w:val="single" w:sz="4" w:space="0" w:color="000000"/>
            </w:tcBorders>
            <w:vAlign w:val="center"/>
            <w:hideMark/>
          </w:tcPr>
          <w:p w14:paraId="06DCA9E2" w14:textId="77777777" w:rsidR="0096393F" w:rsidRPr="002101A1" w:rsidRDefault="0096393F" w:rsidP="00332FF7">
            <w:pPr>
              <w:spacing w:after="0" w:line="240" w:lineRule="auto"/>
              <w:rPr>
                <w:rFonts w:ascii="Calibri Light" w:eastAsia="Times New Roman" w:hAnsi="Calibri Light" w:cs="Calibri Light"/>
                <w:b/>
                <w:bCs/>
                <w:i/>
                <w:iCs/>
                <w:sz w:val="16"/>
                <w:szCs w:val="16"/>
                <w:lang w:val="ro-MD"/>
              </w:rPr>
            </w:pPr>
          </w:p>
        </w:tc>
        <w:tc>
          <w:tcPr>
            <w:tcW w:w="739" w:type="dxa"/>
            <w:tcBorders>
              <w:top w:val="nil"/>
              <w:left w:val="nil"/>
              <w:bottom w:val="single" w:sz="8" w:space="0" w:color="auto"/>
              <w:right w:val="nil"/>
            </w:tcBorders>
            <w:shd w:val="clear" w:color="auto" w:fill="auto"/>
            <w:vAlign w:val="center"/>
            <w:hideMark/>
          </w:tcPr>
          <w:p w14:paraId="5A6DF6E0" w14:textId="77777777" w:rsidR="0096393F" w:rsidRPr="002101A1" w:rsidRDefault="0096393F" w:rsidP="00332FF7">
            <w:pPr>
              <w:spacing w:after="0" w:line="240" w:lineRule="auto"/>
              <w:jc w:val="center"/>
              <w:rPr>
                <w:rFonts w:ascii="Calibri Light" w:eastAsia="Times New Roman" w:hAnsi="Calibri Light" w:cs="Calibri Light"/>
                <w:b/>
                <w:bCs/>
                <w:i/>
                <w:iCs/>
                <w:sz w:val="16"/>
                <w:szCs w:val="16"/>
                <w:lang w:val="ro-MD"/>
              </w:rPr>
            </w:pPr>
            <w:r w:rsidRPr="002101A1">
              <w:rPr>
                <w:rFonts w:ascii="Calibri Light" w:eastAsia="Times New Roman" w:hAnsi="Calibri Light" w:cs="Calibri Light"/>
                <w:b/>
                <w:bCs/>
                <w:i/>
                <w:iCs/>
                <w:sz w:val="16"/>
                <w:szCs w:val="16"/>
                <w:lang w:val="ro-MD"/>
              </w:rPr>
              <w:t>tarif, (mii lei)</w:t>
            </w:r>
          </w:p>
        </w:tc>
        <w:tc>
          <w:tcPr>
            <w:tcW w:w="576" w:type="dxa"/>
            <w:tcBorders>
              <w:top w:val="nil"/>
              <w:left w:val="single" w:sz="4" w:space="0" w:color="auto"/>
              <w:bottom w:val="single" w:sz="8" w:space="0" w:color="auto"/>
              <w:right w:val="nil"/>
            </w:tcBorders>
            <w:shd w:val="clear" w:color="auto" w:fill="auto"/>
            <w:vAlign w:val="center"/>
            <w:hideMark/>
          </w:tcPr>
          <w:p w14:paraId="47A4DCEC" w14:textId="2D2B54BE" w:rsidR="0096393F" w:rsidRPr="002101A1" w:rsidRDefault="0096393F" w:rsidP="00332FF7">
            <w:pPr>
              <w:spacing w:after="0" w:line="240" w:lineRule="auto"/>
              <w:jc w:val="center"/>
              <w:rPr>
                <w:rFonts w:ascii="Calibri Light" w:eastAsia="Times New Roman" w:hAnsi="Calibri Light" w:cs="Calibri Light"/>
                <w:b/>
                <w:bCs/>
                <w:i/>
                <w:iCs/>
                <w:sz w:val="16"/>
                <w:szCs w:val="16"/>
                <w:lang w:val="ro-MD"/>
              </w:rPr>
            </w:pPr>
            <w:r w:rsidRPr="002101A1">
              <w:rPr>
                <w:rFonts w:ascii="Calibri Light" w:eastAsia="Times New Roman" w:hAnsi="Calibri Light" w:cs="Calibri Light"/>
                <w:b/>
                <w:bCs/>
                <w:i/>
                <w:iCs/>
                <w:sz w:val="16"/>
                <w:szCs w:val="16"/>
                <w:lang w:val="ro-MD"/>
              </w:rPr>
              <w:t>bonit</w:t>
            </w:r>
            <w:r w:rsidR="005C3DCF" w:rsidRPr="002101A1">
              <w:rPr>
                <w:rFonts w:ascii="Calibri Light" w:eastAsia="Times New Roman" w:hAnsi="Calibri Light" w:cs="Calibri Light"/>
                <w:b/>
                <w:bCs/>
                <w:i/>
                <w:iCs/>
                <w:sz w:val="16"/>
                <w:szCs w:val="16"/>
                <w:lang w:val="ro-MD"/>
              </w:rPr>
              <w:t>ate</w:t>
            </w:r>
          </w:p>
        </w:tc>
        <w:tc>
          <w:tcPr>
            <w:tcW w:w="664" w:type="dxa"/>
            <w:tcBorders>
              <w:top w:val="nil"/>
              <w:left w:val="single" w:sz="4" w:space="0" w:color="auto"/>
              <w:bottom w:val="single" w:sz="8" w:space="0" w:color="auto"/>
              <w:right w:val="single" w:sz="8" w:space="0" w:color="auto"/>
            </w:tcBorders>
            <w:shd w:val="clear" w:color="auto" w:fill="auto"/>
            <w:vAlign w:val="center"/>
            <w:hideMark/>
          </w:tcPr>
          <w:p w14:paraId="1ABC12A4" w14:textId="77777777" w:rsidR="0096393F" w:rsidRPr="002101A1" w:rsidRDefault="0096393F" w:rsidP="00332FF7">
            <w:pPr>
              <w:spacing w:after="0" w:line="240" w:lineRule="auto"/>
              <w:jc w:val="center"/>
              <w:rPr>
                <w:rFonts w:ascii="Calibri Light" w:eastAsia="Times New Roman" w:hAnsi="Calibri Light" w:cs="Calibri Light"/>
                <w:b/>
                <w:bCs/>
                <w:i/>
                <w:iCs/>
                <w:sz w:val="16"/>
                <w:szCs w:val="16"/>
                <w:lang w:val="ro-MD"/>
              </w:rPr>
            </w:pPr>
            <w:r w:rsidRPr="002101A1">
              <w:rPr>
                <w:rFonts w:ascii="Calibri Light" w:eastAsia="Times New Roman" w:hAnsi="Calibri Light" w:cs="Calibri Light"/>
                <w:b/>
                <w:bCs/>
                <w:i/>
                <w:iCs/>
                <w:sz w:val="16"/>
                <w:szCs w:val="16"/>
                <w:lang w:val="ro-MD"/>
              </w:rPr>
              <w:t>suma, mii lei</w:t>
            </w:r>
          </w:p>
        </w:tc>
        <w:tc>
          <w:tcPr>
            <w:tcW w:w="876" w:type="dxa"/>
            <w:vMerge/>
            <w:tcBorders>
              <w:top w:val="single" w:sz="8" w:space="0" w:color="auto"/>
              <w:left w:val="single" w:sz="8" w:space="0" w:color="auto"/>
              <w:bottom w:val="single" w:sz="8" w:space="0" w:color="000000"/>
              <w:right w:val="single" w:sz="8" w:space="0" w:color="auto"/>
            </w:tcBorders>
            <w:vAlign w:val="center"/>
            <w:hideMark/>
          </w:tcPr>
          <w:p w14:paraId="3C23ED4D" w14:textId="77777777" w:rsidR="0096393F" w:rsidRPr="002101A1" w:rsidRDefault="0096393F" w:rsidP="00332FF7">
            <w:pPr>
              <w:spacing w:after="0" w:line="240" w:lineRule="auto"/>
              <w:rPr>
                <w:rFonts w:ascii="Calibri Light" w:eastAsia="Times New Roman" w:hAnsi="Calibri Light" w:cs="Calibri Light"/>
                <w:b/>
                <w:bCs/>
                <w:i/>
                <w:iCs/>
                <w:sz w:val="16"/>
                <w:szCs w:val="16"/>
                <w:lang w:val="ro-MD"/>
              </w:rPr>
            </w:pPr>
          </w:p>
        </w:tc>
      </w:tr>
      <w:tr w:rsidR="005C3DCF" w:rsidRPr="00DB333D" w14:paraId="0756AA3F" w14:textId="77777777" w:rsidTr="002101A1">
        <w:trPr>
          <w:trHeight w:val="20"/>
        </w:trPr>
        <w:tc>
          <w:tcPr>
            <w:tcW w:w="413" w:type="dxa"/>
            <w:tcBorders>
              <w:top w:val="nil"/>
              <w:left w:val="single" w:sz="8" w:space="0" w:color="auto"/>
              <w:bottom w:val="single" w:sz="4" w:space="0" w:color="auto"/>
              <w:right w:val="single" w:sz="4" w:space="0" w:color="auto"/>
            </w:tcBorders>
            <w:shd w:val="clear" w:color="auto" w:fill="auto"/>
            <w:noWrap/>
            <w:vAlign w:val="center"/>
            <w:hideMark/>
          </w:tcPr>
          <w:p w14:paraId="246EF7A6" w14:textId="77777777" w:rsidR="0096393F" w:rsidRPr="002101A1" w:rsidRDefault="0096393F" w:rsidP="00332FF7">
            <w:pPr>
              <w:spacing w:after="0" w:line="240" w:lineRule="auto"/>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1</w:t>
            </w:r>
          </w:p>
        </w:tc>
        <w:tc>
          <w:tcPr>
            <w:tcW w:w="1067" w:type="dxa"/>
            <w:tcBorders>
              <w:top w:val="nil"/>
              <w:left w:val="nil"/>
              <w:bottom w:val="single" w:sz="4" w:space="0" w:color="auto"/>
              <w:right w:val="single" w:sz="4" w:space="0" w:color="auto"/>
            </w:tcBorders>
            <w:shd w:val="clear" w:color="auto" w:fill="auto"/>
            <w:vAlign w:val="center"/>
            <w:hideMark/>
          </w:tcPr>
          <w:p w14:paraId="501F5D51" w14:textId="77777777" w:rsidR="0096393F" w:rsidRPr="002101A1" w:rsidRDefault="0096393F" w:rsidP="00332FF7">
            <w:pPr>
              <w:spacing w:after="0" w:line="240" w:lineRule="auto"/>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Teren (garaje la casele de locuit)</w:t>
            </w:r>
          </w:p>
        </w:tc>
        <w:tc>
          <w:tcPr>
            <w:tcW w:w="1136" w:type="dxa"/>
            <w:tcBorders>
              <w:top w:val="nil"/>
              <w:left w:val="nil"/>
              <w:bottom w:val="single" w:sz="4" w:space="0" w:color="auto"/>
              <w:right w:val="single" w:sz="4" w:space="0" w:color="auto"/>
            </w:tcBorders>
            <w:shd w:val="clear" w:color="auto" w:fill="auto"/>
            <w:vAlign w:val="center"/>
            <w:hideMark/>
          </w:tcPr>
          <w:p w14:paraId="5E4BC73D" w14:textId="56D6E53B" w:rsidR="0096393F" w:rsidRPr="002101A1" w:rsidRDefault="0096393F" w:rsidP="00332FF7">
            <w:pPr>
              <w:spacing w:after="0" w:line="240" w:lineRule="auto"/>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r</w:t>
            </w:r>
            <w:r w:rsidR="00010558" w:rsidRPr="002101A1">
              <w:rPr>
                <w:rFonts w:ascii="Calibri Light" w:eastAsia="Times New Roman" w:hAnsi="Calibri Light" w:cs="Calibri Light"/>
                <w:sz w:val="16"/>
                <w:szCs w:val="16"/>
                <w:lang w:val="ro-MD"/>
              </w:rPr>
              <w:t>-nu</w:t>
            </w:r>
            <w:r w:rsidRPr="002101A1">
              <w:rPr>
                <w:rFonts w:ascii="Calibri Light" w:eastAsia="Times New Roman" w:hAnsi="Calibri Light" w:cs="Calibri Light"/>
                <w:sz w:val="16"/>
                <w:szCs w:val="16"/>
                <w:lang w:val="ro-MD"/>
              </w:rPr>
              <w:t>l</w:t>
            </w:r>
            <w:r w:rsidR="00010558" w:rsidRPr="002101A1">
              <w:rPr>
                <w:rFonts w:ascii="Calibri Light" w:eastAsia="Times New Roman" w:hAnsi="Calibri Light" w:cs="Calibri Light"/>
                <w:sz w:val="16"/>
                <w:szCs w:val="16"/>
                <w:lang w:val="ro-MD"/>
              </w:rPr>
              <w:t xml:space="preserve"> </w:t>
            </w:r>
            <w:r w:rsidRPr="002101A1">
              <w:rPr>
                <w:rFonts w:ascii="Calibri Light" w:eastAsia="Times New Roman" w:hAnsi="Calibri Light" w:cs="Calibri Light"/>
                <w:sz w:val="16"/>
                <w:szCs w:val="16"/>
                <w:lang w:val="ro-MD"/>
              </w:rPr>
              <w:t>Str</w:t>
            </w:r>
            <w:r w:rsidR="005C3DCF" w:rsidRPr="002101A1">
              <w:rPr>
                <w:rFonts w:ascii="Calibri Light" w:eastAsia="Times New Roman" w:hAnsi="Calibri Light" w:cs="Calibri Light"/>
                <w:sz w:val="16"/>
                <w:szCs w:val="16"/>
                <w:lang w:val="ro-MD"/>
              </w:rPr>
              <w:t>ă</w:t>
            </w:r>
            <w:r w:rsidR="00B13B9A" w:rsidRPr="002101A1">
              <w:rPr>
                <w:rFonts w:ascii="Calibri Light" w:eastAsia="Times New Roman" w:hAnsi="Calibri Light" w:cs="Calibri Light"/>
                <w:sz w:val="16"/>
                <w:szCs w:val="16"/>
                <w:lang w:val="ro-MD"/>
              </w:rPr>
              <w:t>ș</w:t>
            </w:r>
            <w:r w:rsidRPr="002101A1">
              <w:rPr>
                <w:rFonts w:ascii="Calibri Light" w:eastAsia="Times New Roman" w:hAnsi="Calibri Light" w:cs="Calibri Light"/>
                <w:sz w:val="16"/>
                <w:szCs w:val="16"/>
                <w:lang w:val="ro-MD"/>
              </w:rPr>
              <w:t>eni, s.Vorniceni</w:t>
            </w:r>
          </w:p>
        </w:tc>
        <w:tc>
          <w:tcPr>
            <w:tcW w:w="1033" w:type="dxa"/>
            <w:tcBorders>
              <w:top w:val="nil"/>
              <w:left w:val="nil"/>
              <w:bottom w:val="single" w:sz="4" w:space="0" w:color="auto"/>
              <w:right w:val="single" w:sz="4" w:space="0" w:color="auto"/>
            </w:tcBorders>
            <w:shd w:val="clear" w:color="auto" w:fill="auto"/>
            <w:vAlign w:val="center"/>
            <w:hideMark/>
          </w:tcPr>
          <w:p w14:paraId="1C274EB2" w14:textId="77777777" w:rsidR="0096393F" w:rsidRPr="002101A1" w:rsidRDefault="0096393F" w:rsidP="00332FF7">
            <w:pPr>
              <w:spacing w:after="0" w:line="240" w:lineRule="auto"/>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8042208423 13.01.2012</w:t>
            </w:r>
          </w:p>
        </w:tc>
        <w:tc>
          <w:tcPr>
            <w:tcW w:w="793" w:type="dxa"/>
            <w:tcBorders>
              <w:top w:val="nil"/>
              <w:left w:val="nil"/>
              <w:bottom w:val="single" w:sz="4" w:space="0" w:color="auto"/>
              <w:right w:val="single" w:sz="4" w:space="0" w:color="auto"/>
            </w:tcBorders>
            <w:shd w:val="clear" w:color="auto" w:fill="auto"/>
            <w:hideMark/>
          </w:tcPr>
          <w:p w14:paraId="2B02CCD8" w14:textId="77777777" w:rsidR="0096393F" w:rsidRPr="002101A1" w:rsidRDefault="0096393F" w:rsidP="00332FF7">
            <w:pPr>
              <w:spacing w:after="0" w:line="240" w:lineRule="auto"/>
              <w:jc w:val="center"/>
              <w:rPr>
                <w:rFonts w:ascii="Calibri Light" w:eastAsia="Times New Roman" w:hAnsi="Calibri Light" w:cs="Calibri Light"/>
                <w:b/>
                <w:bCs/>
                <w:sz w:val="16"/>
                <w:szCs w:val="16"/>
                <w:lang w:val="ro-MD"/>
              </w:rPr>
            </w:pPr>
            <w:r w:rsidRPr="002101A1">
              <w:rPr>
                <w:rFonts w:ascii="Calibri Light" w:eastAsia="Times New Roman" w:hAnsi="Calibri Light" w:cs="Calibri Light"/>
                <w:b/>
                <w:bCs/>
                <w:sz w:val="16"/>
                <w:szCs w:val="16"/>
                <w:lang w:val="ro-MD"/>
              </w:rPr>
              <w:t> </w:t>
            </w:r>
          </w:p>
        </w:tc>
        <w:tc>
          <w:tcPr>
            <w:tcW w:w="847" w:type="dxa"/>
            <w:tcBorders>
              <w:top w:val="nil"/>
              <w:left w:val="nil"/>
              <w:bottom w:val="single" w:sz="4" w:space="0" w:color="auto"/>
              <w:right w:val="single" w:sz="4" w:space="0" w:color="auto"/>
            </w:tcBorders>
            <w:shd w:val="clear" w:color="auto" w:fill="auto"/>
            <w:noWrap/>
            <w:vAlign w:val="center"/>
            <w:hideMark/>
          </w:tcPr>
          <w:p w14:paraId="25794D91" w14:textId="77777777" w:rsidR="0096393F" w:rsidRPr="002101A1" w:rsidRDefault="0096393F" w:rsidP="00332FF7">
            <w:pPr>
              <w:spacing w:after="0" w:line="240" w:lineRule="auto"/>
              <w:jc w:val="right"/>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0,2</w:t>
            </w:r>
          </w:p>
        </w:tc>
        <w:tc>
          <w:tcPr>
            <w:tcW w:w="852" w:type="dxa"/>
            <w:tcBorders>
              <w:top w:val="nil"/>
              <w:left w:val="nil"/>
              <w:bottom w:val="single" w:sz="4" w:space="0" w:color="auto"/>
              <w:right w:val="single" w:sz="4" w:space="0" w:color="auto"/>
            </w:tcBorders>
            <w:shd w:val="clear" w:color="auto" w:fill="auto"/>
            <w:noWrap/>
            <w:vAlign w:val="center"/>
            <w:hideMark/>
          </w:tcPr>
          <w:p w14:paraId="39A17803" w14:textId="77777777" w:rsidR="0096393F" w:rsidRPr="002101A1" w:rsidRDefault="0096393F" w:rsidP="00332FF7">
            <w:pPr>
              <w:spacing w:after="0" w:line="240" w:lineRule="auto"/>
              <w:jc w:val="center"/>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0,0176</w:t>
            </w:r>
          </w:p>
        </w:tc>
        <w:tc>
          <w:tcPr>
            <w:tcW w:w="765" w:type="dxa"/>
            <w:tcBorders>
              <w:top w:val="nil"/>
              <w:left w:val="nil"/>
              <w:bottom w:val="single" w:sz="4" w:space="0" w:color="auto"/>
              <w:right w:val="single" w:sz="4" w:space="0" w:color="auto"/>
            </w:tcBorders>
            <w:shd w:val="clear" w:color="auto" w:fill="auto"/>
            <w:noWrap/>
            <w:vAlign w:val="center"/>
            <w:hideMark/>
          </w:tcPr>
          <w:p w14:paraId="0285D7BF" w14:textId="77777777" w:rsidR="0096393F" w:rsidRPr="002101A1" w:rsidRDefault="0096393F" w:rsidP="00332FF7">
            <w:pPr>
              <w:spacing w:after="0" w:line="240" w:lineRule="auto"/>
              <w:jc w:val="center"/>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Da</w:t>
            </w:r>
          </w:p>
        </w:tc>
        <w:tc>
          <w:tcPr>
            <w:tcW w:w="739" w:type="dxa"/>
            <w:tcBorders>
              <w:top w:val="nil"/>
              <w:left w:val="nil"/>
              <w:bottom w:val="single" w:sz="4" w:space="0" w:color="auto"/>
              <w:right w:val="nil"/>
            </w:tcBorders>
            <w:shd w:val="clear" w:color="auto" w:fill="auto"/>
            <w:noWrap/>
            <w:vAlign w:val="center"/>
            <w:hideMark/>
          </w:tcPr>
          <w:p w14:paraId="63B266E4" w14:textId="77777777" w:rsidR="0096393F" w:rsidRPr="002101A1" w:rsidRDefault="0096393F" w:rsidP="00332FF7">
            <w:pPr>
              <w:spacing w:after="0" w:line="240" w:lineRule="auto"/>
              <w:jc w:val="center"/>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36,2</w:t>
            </w:r>
          </w:p>
        </w:tc>
        <w:tc>
          <w:tcPr>
            <w:tcW w:w="576" w:type="dxa"/>
            <w:tcBorders>
              <w:top w:val="nil"/>
              <w:left w:val="single" w:sz="4" w:space="0" w:color="auto"/>
              <w:bottom w:val="single" w:sz="4" w:space="0" w:color="auto"/>
              <w:right w:val="nil"/>
            </w:tcBorders>
            <w:shd w:val="clear" w:color="auto" w:fill="auto"/>
            <w:noWrap/>
            <w:vAlign w:val="center"/>
            <w:hideMark/>
          </w:tcPr>
          <w:p w14:paraId="4E2234FC" w14:textId="77777777" w:rsidR="0096393F" w:rsidRPr="002101A1" w:rsidRDefault="0096393F" w:rsidP="00332FF7">
            <w:pPr>
              <w:spacing w:after="0" w:line="240" w:lineRule="auto"/>
              <w:jc w:val="center"/>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65</w:t>
            </w:r>
          </w:p>
        </w:tc>
        <w:tc>
          <w:tcPr>
            <w:tcW w:w="664" w:type="dxa"/>
            <w:tcBorders>
              <w:top w:val="nil"/>
              <w:left w:val="single" w:sz="4" w:space="0" w:color="auto"/>
              <w:bottom w:val="single" w:sz="4" w:space="0" w:color="auto"/>
              <w:right w:val="nil"/>
            </w:tcBorders>
            <w:shd w:val="clear" w:color="auto" w:fill="auto"/>
            <w:noWrap/>
            <w:vAlign w:val="center"/>
            <w:hideMark/>
          </w:tcPr>
          <w:p w14:paraId="11579791" w14:textId="77777777" w:rsidR="0096393F" w:rsidRPr="002101A1" w:rsidRDefault="0096393F" w:rsidP="00332FF7">
            <w:pPr>
              <w:spacing w:after="0" w:line="240" w:lineRule="auto"/>
              <w:jc w:val="right"/>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41,4</w:t>
            </w:r>
          </w:p>
        </w:tc>
        <w:tc>
          <w:tcPr>
            <w:tcW w:w="876" w:type="dxa"/>
            <w:tcBorders>
              <w:top w:val="nil"/>
              <w:left w:val="single" w:sz="4" w:space="0" w:color="auto"/>
              <w:bottom w:val="single" w:sz="4" w:space="0" w:color="auto"/>
              <w:right w:val="single" w:sz="8" w:space="0" w:color="auto"/>
            </w:tcBorders>
            <w:shd w:val="clear" w:color="auto" w:fill="auto"/>
            <w:noWrap/>
            <w:vAlign w:val="center"/>
            <w:hideMark/>
          </w:tcPr>
          <w:p w14:paraId="685E5E5B" w14:textId="77777777" w:rsidR="0096393F" w:rsidRPr="002101A1" w:rsidRDefault="0096393F" w:rsidP="00332FF7">
            <w:pPr>
              <w:spacing w:after="0" w:line="240" w:lineRule="auto"/>
              <w:jc w:val="right"/>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41,4</w:t>
            </w:r>
          </w:p>
        </w:tc>
      </w:tr>
      <w:tr w:rsidR="005C3DCF" w:rsidRPr="00DB333D" w14:paraId="04A7EF8C" w14:textId="77777777" w:rsidTr="002101A1">
        <w:trPr>
          <w:trHeight w:val="20"/>
        </w:trPr>
        <w:tc>
          <w:tcPr>
            <w:tcW w:w="413" w:type="dxa"/>
            <w:tcBorders>
              <w:top w:val="nil"/>
              <w:left w:val="single" w:sz="8" w:space="0" w:color="auto"/>
              <w:bottom w:val="single" w:sz="4" w:space="0" w:color="auto"/>
              <w:right w:val="single" w:sz="4" w:space="0" w:color="auto"/>
            </w:tcBorders>
            <w:shd w:val="clear" w:color="auto" w:fill="auto"/>
            <w:noWrap/>
            <w:vAlign w:val="center"/>
            <w:hideMark/>
          </w:tcPr>
          <w:p w14:paraId="22CDD68E" w14:textId="77777777" w:rsidR="0096393F" w:rsidRPr="002101A1" w:rsidRDefault="0096393F" w:rsidP="00332FF7">
            <w:pPr>
              <w:spacing w:after="0" w:line="240" w:lineRule="auto"/>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2</w:t>
            </w:r>
          </w:p>
        </w:tc>
        <w:tc>
          <w:tcPr>
            <w:tcW w:w="1067" w:type="dxa"/>
            <w:tcBorders>
              <w:top w:val="nil"/>
              <w:left w:val="nil"/>
              <w:bottom w:val="single" w:sz="4" w:space="0" w:color="auto"/>
              <w:right w:val="single" w:sz="4" w:space="0" w:color="auto"/>
            </w:tcBorders>
            <w:shd w:val="clear" w:color="auto" w:fill="auto"/>
            <w:vAlign w:val="center"/>
            <w:hideMark/>
          </w:tcPr>
          <w:p w14:paraId="4DACCABF" w14:textId="77777777" w:rsidR="0096393F" w:rsidRPr="002101A1" w:rsidRDefault="0096393F" w:rsidP="00332FF7">
            <w:pPr>
              <w:spacing w:after="0" w:line="240" w:lineRule="auto"/>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Teren</w:t>
            </w:r>
          </w:p>
        </w:tc>
        <w:tc>
          <w:tcPr>
            <w:tcW w:w="1136" w:type="dxa"/>
            <w:tcBorders>
              <w:top w:val="nil"/>
              <w:left w:val="nil"/>
              <w:bottom w:val="single" w:sz="4" w:space="0" w:color="auto"/>
              <w:right w:val="single" w:sz="4" w:space="0" w:color="auto"/>
            </w:tcBorders>
            <w:shd w:val="clear" w:color="auto" w:fill="auto"/>
            <w:vAlign w:val="center"/>
            <w:hideMark/>
          </w:tcPr>
          <w:p w14:paraId="78EACDF6" w14:textId="5AC18C55" w:rsidR="0096393F" w:rsidRPr="002101A1" w:rsidRDefault="0096393F" w:rsidP="00332FF7">
            <w:pPr>
              <w:spacing w:after="0" w:line="240" w:lineRule="auto"/>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mun.Chi</w:t>
            </w:r>
            <w:r w:rsidR="00B13B9A" w:rsidRPr="002101A1">
              <w:rPr>
                <w:rFonts w:ascii="Calibri Light" w:eastAsia="Times New Roman" w:hAnsi="Calibri Light" w:cs="Calibri Light"/>
                <w:sz w:val="16"/>
                <w:szCs w:val="16"/>
                <w:lang w:val="ro-MD"/>
              </w:rPr>
              <w:t>ș</w:t>
            </w:r>
            <w:r w:rsidRPr="002101A1">
              <w:rPr>
                <w:rFonts w:ascii="Calibri Light" w:eastAsia="Times New Roman" w:hAnsi="Calibri Light" w:cs="Calibri Light"/>
                <w:sz w:val="16"/>
                <w:szCs w:val="16"/>
                <w:lang w:val="ro-MD"/>
              </w:rPr>
              <w:t>in</w:t>
            </w:r>
            <w:r w:rsidR="005C3DCF" w:rsidRPr="002101A1">
              <w:rPr>
                <w:rFonts w:ascii="Calibri Light" w:eastAsia="Times New Roman" w:hAnsi="Calibri Light" w:cs="Calibri Light"/>
                <w:sz w:val="16"/>
                <w:szCs w:val="16"/>
                <w:lang w:val="ro-MD"/>
              </w:rPr>
              <w:t>ă</w:t>
            </w:r>
            <w:r w:rsidRPr="002101A1">
              <w:rPr>
                <w:rFonts w:ascii="Calibri Light" w:eastAsia="Times New Roman" w:hAnsi="Calibri Light" w:cs="Calibri Light"/>
                <w:sz w:val="16"/>
                <w:szCs w:val="16"/>
                <w:lang w:val="ro-MD"/>
              </w:rPr>
              <w:t>u, str.C.</w:t>
            </w:r>
            <w:r w:rsidR="00010558" w:rsidRPr="002101A1">
              <w:rPr>
                <w:rFonts w:ascii="Calibri Light" w:eastAsia="Times New Roman" w:hAnsi="Calibri Light" w:cs="Calibri Light"/>
                <w:sz w:val="16"/>
                <w:szCs w:val="16"/>
                <w:lang w:val="ro-MD"/>
              </w:rPr>
              <w:t xml:space="preserve"> </w:t>
            </w:r>
            <w:r w:rsidRPr="002101A1">
              <w:rPr>
                <w:rFonts w:ascii="Calibri Light" w:eastAsia="Times New Roman" w:hAnsi="Calibri Light" w:cs="Calibri Light"/>
                <w:sz w:val="16"/>
                <w:szCs w:val="16"/>
                <w:lang w:val="ro-MD"/>
              </w:rPr>
              <w:t>Virnav, 13</w:t>
            </w:r>
          </w:p>
        </w:tc>
        <w:tc>
          <w:tcPr>
            <w:tcW w:w="1033" w:type="dxa"/>
            <w:tcBorders>
              <w:top w:val="nil"/>
              <w:left w:val="nil"/>
              <w:bottom w:val="single" w:sz="4" w:space="0" w:color="auto"/>
              <w:right w:val="single" w:sz="4" w:space="0" w:color="auto"/>
            </w:tcBorders>
            <w:shd w:val="clear" w:color="auto" w:fill="auto"/>
            <w:vAlign w:val="center"/>
            <w:hideMark/>
          </w:tcPr>
          <w:p w14:paraId="62EC48A2" w14:textId="77777777" w:rsidR="0096393F" w:rsidRPr="002101A1" w:rsidRDefault="0096393F" w:rsidP="00332FF7">
            <w:pPr>
              <w:spacing w:after="0" w:line="240" w:lineRule="auto"/>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100213541 01.07.2004</w:t>
            </w:r>
          </w:p>
        </w:tc>
        <w:tc>
          <w:tcPr>
            <w:tcW w:w="793" w:type="dxa"/>
            <w:tcBorders>
              <w:top w:val="nil"/>
              <w:left w:val="nil"/>
              <w:bottom w:val="single" w:sz="4" w:space="0" w:color="auto"/>
              <w:right w:val="single" w:sz="4" w:space="0" w:color="auto"/>
            </w:tcBorders>
            <w:shd w:val="clear" w:color="auto" w:fill="auto"/>
            <w:vAlign w:val="center"/>
            <w:hideMark/>
          </w:tcPr>
          <w:p w14:paraId="1DAB48D8" w14:textId="77777777" w:rsidR="0096393F" w:rsidRPr="002101A1" w:rsidRDefault="0096393F" w:rsidP="00332FF7">
            <w:pPr>
              <w:spacing w:after="0" w:line="240" w:lineRule="auto"/>
              <w:jc w:val="center"/>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7453,6</w:t>
            </w:r>
          </w:p>
        </w:tc>
        <w:tc>
          <w:tcPr>
            <w:tcW w:w="847" w:type="dxa"/>
            <w:tcBorders>
              <w:top w:val="nil"/>
              <w:left w:val="nil"/>
              <w:bottom w:val="single" w:sz="4" w:space="0" w:color="auto"/>
              <w:right w:val="single" w:sz="4" w:space="0" w:color="auto"/>
            </w:tcBorders>
            <w:shd w:val="clear" w:color="auto" w:fill="auto"/>
            <w:noWrap/>
            <w:vAlign w:val="center"/>
            <w:hideMark/>
          </w:tcPr>
          <w:p w14:paraId="4F163FB7" w14:textId="77777777" w:rsidR="0096393F" w:rsidRPr="002101A1" w:rsidRDefault="0096393F" w:rsidP="00332FF7">
            <w:pPr>
              <w:spacing w:after="0" w:line="240" w:lineRule="auto"/>
              <w:jc w:val="right"/>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6 832,9</w:t>
            </w:r>
          </w:p>
        </w:tc>
        <w:tc>
          <w:tcPr>
            <w:tcW w:w="852" w:type="dxa"/>
            <w:tcBorders>
              <w:top w:val="nil"/>
              <w:left w:val="nil"/>
              <w:bottom w:val="single" w:sz="4" w:space="0" w:color="auto"/>
              <w:right w:val="single" w:sz="4" w:space="0" w:color="auto"/>
            </w:tcBorders>
            <w:shd w:val="clear" w:color="auto" w:fill="auto"/>
            <w:noWrap/>
            <w:vAlign w:val="center"/>
            <w:hideMark/>
          </w:tcPr>
          <w:p w14:paraId="239720A1" w14:textId="77777777" w:rsidR="0096393F" w:rsidRPr="002101A1" w:rsidRDefault="0096393F" w:rsidP="00332FF7">
            <w:pPr>
              <w:spacing w:after="0" w:line="240" w:lineRule="auto"/>
              <w:jc w:val="center"/>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0,8538</w:t>
            </w:r>
          </w:p>
        </w:tc>
        <w:tc>
          <w:tcPr>
            <w:tcW w:w="765" w:type="dxa"/>
            <w:tcBorders>
              <w:top w:val="nil"/>
              <w:left w:val="nil"/>
              <w:bottom w:val="single" w:sz="4" w:space="0" w:color="auto"/>
              <w:right w:val="single" w:sz="4" w:space="0" w:color="auto"/>
            </w:tcBorders>
            <w:shd w:val="clear" w:color="auto" w:fill="auto"/>
            <w:noWrap/>
            <w:vAlign w:val="center"/>
            <w:hideMark/>
          </w:tcPr>
          <w:p w14:paraId="77CB8F76" w14:textId="77777777" w:rsidR="0096393F" w:rsidRPr="002101A1" w:rsidRDefault="0096393F" w:rsidP="00332FF7">
            <w:pPr>
              <w:spacing w:after="0" w:line="240" w:lineRule="auto"/>
              <w:jc w:val="center"/>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Da</w:t>
            </w:r>
          </w:p>
        </w:tc>
        <w:tc>
          <w:tcPr>
            <w:tcW w:w="739" w:type="dxa"/>
            <w:tcBorders>
              <w:top w:val="single" w:sz="8" w:space="0" w:color="auto"/>
              <w:left w:val="nil"/>
              <w:bottom w:val="single" w:sz="4" w:space="0" w:color="auto"/>
              <w:right w:val="nil"/>
            </w:tcBorders>
            <w:shd w:val="clear" w:color="auto" w:fill="auto"/>
            <w:noWrap/>
            <w:vAlign w:val="center"/>
            <w:hideMark/>
          </w:tcPr>
          <w:p w14:paraId="574B8CF0" w14:textId="77777777" w:rsidR="0096393F" w:rsidRPr="002101A1" w:rsidRDefault="0096393F" w:rsidP="00332FF7">
            <w:pPr>
              <w:spacing w:after="0" w:line="240" w:lineRule="auto"/>
              <w:jc w:val="center"/>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36,2</w:t>
            </w:r>
          </w:p>
        </w:tc>
        <w:tc>
          <w:tcPr>
            <w:tcW w:w="576" w:type="dxa"/>
            <w:tcBorders>
              <w:top w:val="nil"/>
              <w:left w:val="single" w:sz="4" w:space="0" w:color="auto"/>
              <w:bottom w:val="single" w:sz="4" w:space="0" w:color="auto"/>
              <w:right w:val="nil"/>
            </w:tcBorders>
            <w:shd w:val="clear" w:color="auto" w:fill="auto"/>
            <w:noWrap/>
            <w:vAlign w:val="center"/>
            <w:hideMark/>
          </w:tcPr>
          <w:p w14:paraId="086AC2C2" w14:textId="77777777" w:rsidR="0096393F" w:rsidRPr="002101A1" w:rsidRDefault="0096393F" w:rsidP="00332FF7">
            <w:pPr>
              <w:spacing w:after="0" w:line="240" w:lineRule="auto"/>
              <w:jc w:val="center"/>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65</w:t>
            </w:r>
          </w:p>
        </w:tc>
        <w:tc>
          <w:tcPr>
            <w:tcW w:w="664" w:type="dxa"/>
            <w:tcBorders>
              <w:top w:val="nil"/>
              <w:left w:val="single" w:sz="4" w:space="0" w:color="auto"/>
              <w:bottom w:val="single" w:sz="4" w:space="0" w:color="auto"/>
              <w:right w:val="nil"/>
            </w:tcBorders>
            <w:shd w:val="clear" w:color="auto" w:fill="auto"/>
            <w:noWrap/>
            <w:vAlign w:val="center"/>
            <w:hideMark/>
          </w:tcPr>
          <w:p w14:paraId="02BE51B7" w14:textId="77777777" w:rsidR="0096393F" w:rsidRPr="002101A1" w:rsidRDefault="0096393F" w:rsidP="00332FF7">
            <w:pPr>
              <w:spacing w:after="0" w:line="240" w:lineRule="auto"/>
              <w:jc w:val="right"/>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2 007,3</w:t>
            </w:r>
          </w:p>
        </w:tc>
        <w:tc>
          <w:tcPr>
            <w:tcW w:w="876" w:type="dxa"/>
            <w:tcBorders>
              <w:top w:val="nil"/>
              <w:left w:val="single" w:sz="4" w:space="0" w:color="auto"/>
              <w:bottom w:val="single" w:sz="4" w:space="0" w:color="auto"/>
              <w:right w:val="single" w:sz="8" w:space="0" w:color="auto"/>
            </w:tcBorders>
            <w:shd w:val="clear" w:color="auto" w:fill="auto"/>
            <w:noWrap/>
            <w:vAlign w:val="center"/>
            <w:hideMark/>
          </w:tcPr>
          <w:p w14:paraId="5A5186A9" w14:textId="77777777" w:rsidR="0096393F" w:rsidRPr="002101A1" w:rsidRDefault="0096393F" w:rsidP="00332FF7">
            <w:pPr>
              <w:spacing w:after="0" w:line="240" w:lineRule="auto"/>
              <w:jc w:val="right"/>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7 453,6</w:t>
            </w:r>
          </w:p>
        </w:tc>
      </w:tr>
      <w:tr w:rsidR="005C3DCF" w:rsidRPr="00DB333D" w14:paraId="41CA480D" w14:textId="77777777" w:rsidTr="002101A1">
        <w:trPr>
          <w:trHeight w:val="20"/>
        </w:trPr>
        <w:tc>
          <w:tcPr>
            <w:tcW w:w="413" w:type="dxa"/>
            <w:tcBorders>
              <w:top w:val="nil"/>
              <w:left w:val="single" w:sz="8" w:space="0" w:color="auto"/>
              <w:bottom w:val="single" w:sz="4" w:space="0" w:color="auto"/>
              <w:right w:val="single" w:sz="4" w:space="0" w:color="auto"/>
            </w:tcBorders>
            <w:shd w:val="clear" w:color="auto" w:fill="auto"/>
            <w:noWrap/>
            <w:vAlign w:val="center"/>
            <w:hideMark/>
          </w:tcPr>
          <w:p w14:paraId="399D726D" w14:textId="77777777" w:rsidR="0096393F" w:rsidRPr="002101A1" w:rsidRDefault="0096393F" w:rsidP="00332FF7">
            <w:pPr>
              <w:spacing w:after="0" w:line="240" w:lineRule="auto"/>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3</w:t>
            </w:r>
          </w:p>
        </w:tc>
        <w:tc>
          <w:tcPr>
            <w:tcW w:w="1067" w:type="dxa"/>
            <w:tcBorders>
              <w:top w:val="nil"/>
              <w:left w:val="nil"/>
              <w:bottom w:val="single" w:sz="4" w:space="0" w:color="auto"/>
              <w:right w:val="single" w:sz="4" w:space="0" w:color="auto"/>
            </w:tcBorders>
            <w:shd w:val="clear" w:color="auto" w:fill="auto"/>
            <w:vAlign w:val="center"/>
            <w:hideMark/>
          </w:tcPr>
          <w:p w14:paraId="683B8BA6" w14:textId="77777777" w:rsidR="0096393F" w:rsidRPr="002101A1" w:rsidRDefault="0096393F" w:rsidP="00332FF7">
            <w:pPr>
              <w:spacing w:after="0" w:line="240" w:lineRule="auto"/>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Teren</w:t>
            </w:r>
          </w:p>
        </w:tc>
        <w:tc>
          <w:tcPr>
            <w:tcW w:w="1136" w:type="dxa"/>
            <w:tcBorders>
              <w:top w:val="nil"/>
              <w:left w:val="nil"/>
              <w:bottom w:val="single" w:sz="4" w:space="0" w:color="auto"/>
              <w:right w:val="single" w:sz="4" w:space="0" w:color="auto"/>
            </w:tcBorders>
            <w:shd w:val="clear" w:color="auto" w:fill="auto"/>
            <w:vAlign w:val="center"/>
            <w:hideMark/>
          </w:tcPr>
          <w:p w14:paraId="4F694728" w14:textId="63C22C92" w:rsidR="0096393F" w:rsidRPr="002101A1" w:rsidRDefault="0096393F" w:rsidP="00332FF7">
            <w:pPr>
              <w:spacing w:after="0" w:line="240" w:lineRule="auto"/>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mun.</w:t>
            </w:r>
            <w:r w:rsidR="00010558" w:rsidRPr="002101A1">
              <w:rPr>
                <w:rFonts w:ascii="Calibri Light" w:eastAsia="Times New Roman" w:hAnsi="Calibri Light" w:cs="Calibri Light"/>
                <w:sz w:val="16"/>
                <w:szCs w:val="16"/>
                <w:lang w:val="ro-MD"/>
              </w:rPr>
              <w:t xml:space="preserve"> </w:t>
            </w:r>
            <w:r w:rsidRPr="002101A1">
              <w:rPr>
                <w:rFonts w:ascii="Calibri Light" w:eastAsia="Times New Roman" w:hAnsi="Calibri Light" w:cs="Calibri Light"/>
                <w:sz w:val="16"/>
                <w:szCs w:val="16"/>
                <w:lang w:val="ro-MD"/>
              </w:rPr>
              <w:t>Chisinau, str.C.Virnav, 13</w:t>
            </w:r>
          </w:p>
        </w:tc>
        <w:tc>
          <w:tcPr>
            <w:tcW w:w="1033" w:type="dxa"/>
            <w:tcBorders>
              <w:top w:val="nil"/>
              <w:left w:val="nil"/>
              <w:bottom w:val="single" w:sz="4" w:space="0" w:color="auto"/>
              <w:right w:val="single" w:sz="4" w:space="0" w:color="auto"/>
            </w:tcBorders>
            <w:shd w:val="clear" w:color="auto" w:fill="auto"/>
            <w:vAlign w:val="center"/>
            <w:hideMark/>
          </w:tcPr>
          <w:p w14:paraId="14DB99EF" w14:textId="77777777" w:rsidR="0096393F" w:rsidRPr="002101A1" w:rsidRDefault="0096393F" w:rsidP="00332FF7">
            <w:pPr>
              <w:spacing w:after="0" w:line="240" w:lineRule="auto"/>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100213274 01.07.2004</w:t>
            </w:r>
          </w:p>
        </w:tc>
        <w:tc>
          <w:tcPr>
            <w:tcW w:w="793" w:type="dxa"/>
            <w:tcBorders>
              <w:top w:val="nil"/>
              <w:left w:val="nil"/>
              <w:bottom w:val="single" w:sz="4" w:space="0" w:color="auto"/>
              <w:right w:val="single" w:sz="4" w:space="0" w:color="auto"/>
            </w:tcBorders>
            <w:shd w:val="clear" w:color="auto" w:fill="auto"/>
            <w:vAlign w:val="center"/>
            <w:hideMark/>
          </w:tcPr>
          <w:p w14:paraId="47AD157A" w14:textId="77777777" w:rsidR="0096393F" w:rsidRPr="002101A1" w:rsidRDefault="0096393F" w:rsidP="00332FF7">
            <w:pPr>
              <w:spacing w:after="0" w:line="240" w:lineRule="auto"/>
              <w:jc w:val="center"/>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1531,3</w:t>
            </w:r>
          </w:p>
        </w:tc>
        <w:tc>
          <w:tcPr>
            <w:tcW w:w="847" w:type="dxa"/>
            <w:tcBorders>
              <w:top w:val="nil"/>
              <w:left w:val="nil"/>
              <w:bottom w:val="single" w:sz="4" w:space="0" w:color="auto"/>
              <w:right w:val="single" w:sz="4" w:space="0" w:color="auto"/>
            </w:tcBorders>
            <w:shd w:val="clear" w:color="auto" w:fill="auto"/>
            <w:noWrap/>
            <w:vAlign w:val="center"/>
            <w:hideMark/>
          </w:tcPr>
          <w:p w14:paraId="561DD73D" w14:textId="77777777" w:rsidR="0096393F" w:rsidRPr="002101A1" w:rsidRDefault="0096393F" w:rsidP="00332FF7">
            <w:pPr>
              <w:spacing w:after="0" w:line="240" w:lineRule="auto"/>
              <w:jc w:val="right"/>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804,4</w:t>
            </w:r>
          </w:p>
        </w:tc>
        <w:tc>
          <w:tcPr>
            <w:tcW w:w="852" w:type="dxa"/>
            <w:tcBorders>
              <w:top w:val="nil"/>
              <w:left w:val="nil"/>
              <w:bottom w:val="single" w:sz="4" w:space="0" w:color="auto"/>
              <w:right w:val="single" w:sz="4" w:space="0" w:color="auto"/>
            </w:tcBorders>
            <w:shd w:val="clear" w:color="auto" w:fill="auto"/>
            <w:noWrap/>
            <w:vAlign w:val="center"/>
            <w:hideMark/>
          </w:tcPr>
          <w:p w14:paraId="51D72AE8" w14:textId="77777777" w:rsidR="0096393F" w:rsidRPr="002101A1" w:rsidRDefault="0096393F" w:rsidP="00332FF7">
            <w:pPr>
              <w:spacing w:after="0" w:line="240" w:lineRule="auto"/>
              <w:jc w:val="center"/>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1,9378</w:t>
            </w:r>
          </w:p>
        </w:tc>
        <w:tc>
          <w:tcPr>
            <w:tcW w:w="765" w:type="dxa"/>
            <w:tcBorders>
              <w:top w:val="nil"/>
              <w:left w:val="nil"/>
              <w:bottom w:val="single" w:sz="4" w:space="0" w:color="auto"/>
              <w:right w:val="single" w:sz="4" w:space="0" w:color="auto"/>
            </w:tcBorders>
            <w:shd w:val="clear" w:color="auto" w:fill="auto"/>
            <w:noWrap/>
            <w:vAlign w:val="center"/>
            <w:hideMark/>
          </w:tcPr>
          <w:p w14:paraId="4695E7C3" w14:textId="77777777" w:rsidR="0096393F" w:rsidRPr="002101A1" w:rsidRDefault="0096393F" w:rsidP="00332FF7">
            <w:pPr>
              <w:spacing w:after="0" w:line="240" w:lineRule="auto"/>
              <w:jc w:val="center"/>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Da</w:t>
            </w:r>
          </w:p>
        </w:tc>
        <w:tc>
          <w:tcPr>
            <w:tcW w:w="739" w:type="dxa"/>
            <w:tcBorders>
              <w:top w:val="single" w:sz="8" w:space="0" w:color="auto"/>
              <w:left w:val="nil"/>
              <w:bottom w:val="single" w:sz="4" w:space="0" w:color="auto"/>
              <w:right w:val="nil"/>
            </w:tcBorders>
            <w:shd w:val="clear" w:color="auto" w:fill="auto"/>
            <w:noWrap/>
            <w:vAlign w:val="center"/>
            <w:hideMark/>
          </w:tcPr>
          <w:p w14:paraId="7FE909BD" w14:textId="77777777" w:rsidR="0096393F" w:rsidRPr="002101A1" w:rsidRDefault="0096393F" w:rsidP="00332FF7">
            <w:pPr>
              <w:spacing w:after="0" w:line="240" w:lineRule="auto"/>
              <w:jc w:val="center"/>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36,2</w:t>
            </w:r>
          </w:p>
        </w:tc>
        <w:tc>
          <w:tcPr>
            <w:tcW w:w="576" w:type="dxa"/>
            <w:tcBorders>
              <w:top w:val="nil"/>
              <w:left w:val="single" w:sz="4" w:space="0" w:color="auto"/>
              <w:bottom w:val="single" w:sz="4" w:space="0" w:color="auto"/>
              <w:right w:val="nil"/>
            </w:tcBorders>
            <w:shd w:val="clear" w:color="auto" w:fill="auto"/>
            <w:noWrap/>
            <w:vAlign w:val="center"/>
            <w:hideMark/>
          </w:tcPr>
          <w:p w14:paraId="2A279910" w14:textId="77777777" w:rsidR="0096393F" w:rsidRPr="002101A1" w:rsidRDefault="0096393F" w:rsidP="00332FF7">
            <w:pPr>
              <w:spacing w:after="0" w:line="240" w:lineRule="auto"/>
              <w:jc w:val="center"/>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65</w:t>
            </w:r>
          </w:p>
        </w:tc>
        <w:tc>
          <w:tcPr>
            <w:tcW w:w="664" w:type="dxa"/>
            <w:tcBorders>
              <w:top w:val="nil"/>
              <w:left w:val="single" w:sz="4" w:space="0" w:color="auto"/>
              <w:bottom w:val="single" w:sz="4" w:space="0" w:color="auto"/>
              <w:right w:val="nil"/>
            </w:tcBorders>
            <w:shd w:val="clear" w:color="auto" w:fill="auto"/>
            <w:noWrap/>
            <w:vAlign w:val="center"/>
            <w:hideMark/>
          </w:tcPr>
          <w:p w14:paraId="4C27C8F6" w14:textId="77777777" w:rsidR="0096393F" w:rsidRPr="002101A1" w:rsidRDefault="0096393F" w:rsidP="00332FF7">
            <w:pPr>
              <w:spacing w:after="0" w:line="240" w:lineRule="auto"/>
              <w:jc w:val="right"/>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4 555,8</w:t>
            </w:r>
          </w:p>
        </w:tc>
        <w:tc>
          <w:tcPr>
            <w:tcW w:w="876" w:type="dxa"/>
            <w:tcBorders>
              <w:top w:val="nil"/>
              <w:left w:val="single" w:sz="4" w:space="0" w:color="auto"/>
              <w:bottom w:val="single" w:sz="4" w:space="0" w:color="auto"/>
              <w:right w:val="single" w:sz="8" w:space="0" w:color="auto"/>
            </w:tcBorders>
            <w:shd w:val="clear" w:color="auto" w:fill="auto"/>
            <w:noWrap/>
            <w:vAlign w:val="center"/>
            <w:hideMark/>
          </w:tcPr>
          <w:p w14:paraId="2D557084" w14:textId="77777777" w:rsidR="0096393F" w:rsidRPr="002101A1" w:rsidRDefault="0096393F" w:rsidP="00332FF7">
            <w:pPr>
              <w:spacing w:after="0" w:line="240" w:lineRule="auto"/>
              <w:jc w:val="right"/>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4 555,8</w:t>
            </w:r>
          </w:p>
        </w:tc>
      </w:tr>
      <w:tr w:rsidR="005C3DCF" w:rsidRPr="00DB333D" w14:paraId="7FD63598" w14:textId="77777777" w:rsidTr="002101A1">
        <w:trPr>
          <w:trHeight w:val="20"/>
        </w:trPr>
        <w:tc>
          <w:tcPr>
            <w:tcW w:w="413" w:type="dxa"/>
            <w:tcBorders>
              <w:top w:val="nil"/>
              <w:left w:val="single" w:sz="8" w:space="0" w:color="auto"/>
              <w:bottom w:val="single" w:sz="4" w:space="0" w:color="auto"/>
              <w:right w:val="single" w:sz="4" w:space="0" w:color="auto"/>
            </w:tcBorders>
            <w:shd w:val="clear" w:color="auto" w:fill="auto"/>
            <w:noWrap/>
            <w:vAlign w:val="center"/>
            <w:hideMark/>
          </w:tcPr>
          <w:p w14:paraId="083AFB3C" w14:textId="77777777" w:rsidR="0096393F" w:rsidRPr="002101A1" w:rsidRDefault="0096393F" w:rsidP="00332FF7">
            <w:pPr>
              <w:spacing w:after="0" w:line="240" w:lineRule="auto"/>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4</w:t>
            </w:r>
          </w:p>
        </w:tc>
        <w:tc>
          <w:tcPr>
            <w:tcW w:w="1067" w:type="dxa"/>
            <w:tcBorders>
              <w:top w:val="nil"/>
              <w:left w:val="nil"/>
              <w:bottom w:val="single" w:sz="4" w:space="0" w:color="auto"/>
              <w:right w:val="single" w:sz="4" w:space="0" w:color="auto"/>
            </w:tcBorders>
            <w:shd w:val="clear" w:color="auto" w:fill="auto"/>
            <w:vAlign w:val="center"/>
            <w:hideMark/>
          </w:tcPr>
          <w:p w14:paraId="59C4DE79" w14:textId="77777777" w:rsidR="0096393F" w:rsidRPr="002101A1" w:rsidRDefault="0096393F" w:rsidP="00332FF7">
            <w:pPr>
              <w:spacing w:after="0" w:line="240" w:lineRule="auto"/>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Teren</w:t>
            </w:r>
          </w:p>
        </w:tc>
        <w:tc>
          <w:tcPr>
            <w:tcW w:w="1136" w:type="dxa"/>
            <w:tcBorders>
              <w:top w:val="nil"/>
              <w:left w:val="nil"/>
              <w:bottom w:val="single" w:sz="4" w:space="0" w:color="auto"/>
              <w:right w:val="single" w:sz="4" w:space="0" w:color="auto"/>
            </w:tcBorders>
            <w:shd w:val="clear" w:color="auto" w:fill="auto"/>
            <w:vAlign w:val="center"/>
            <w:hideMark/>
          </w:tcPr>
          <w:p w14:paraId="7097B234" w14:textId="783C28A9" w:rsidR="0096393F" w:rsidRPr="002101A1" w:rsidRDefault="0096393F" w:rsidP="00332FF7">
            <w:pPr>
              <w:spacing w:after="0" w:line="240" w:lineRule="auto"/>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r</w:t>
            </w:r>
            <w:r w:rsidR="00010558" w:rsidRPr="002101A1">
              <w:rPr>
                <w:rFonts w:ascii="Calibri Light" w:eastAsia="Times New Roman" w:hAnsi="Calibri Light" w:cs="Calibri Light"/>
                <w:sz w:val="16"/>
                <w:szCs w:val="16"/>
                <w:lang w:val="ro-MD"/>
              </w:rPr>
              <w:t>-nu</w:t>
            </w:r>
            <w:r w:rsidRPr="002101A1">
              <w:rPr>
                <w:rFonts w:ascii="Calibri Light" w:eastAsia="Times New Roman" w:hAnsi="Calibri Light" w:cs="Calibri Light"/>
                <w:sz w:val="16"/>
                <w:szCs w:val="16"/>
                <w:lang w:val="ro-MD"/>
              </w:rPr>
              <w:t>l</w:t>
            </w:r>
            <w:r w:rsidR="00010558" w:rsidRPr="002101A1">
              <w:rPr>
                <w:rFonts w:ascii="Calibri Light" w:eastAsia="Times New Roman" w:hAnsi="Calibri Light" w:cs="Calibri Light"/>
                <w:sz w:val="16"/>
                <w:szCs w:val="16"/>
                <w:lang w:val="ro-MD"/>
              </w:rPr>
              <w:t xml:space="preserve"> </w:t>
            </w:r>
            <w:r w:rsidRPr="002101A1">
              <w:rPr>
                <w:rFonts w:ascii="Calibri Light" w:eastAsia="Times New Roman" w:hAnsi="Calibri Light" w:cs="Calibri Light"/>
                <w:sz w:val="16"/>
                <w:szCs w:val="16"/>
                <w:lang w:val="ro-MD"/>
              </w:rPr>
              <w:t>Straseni, s.Vorniceni</w:t>
            </w:r>
          </w:p>
        </w:tc>
        <w:tc>
          <w:tcPr>
            <w:tcW w:w="1033" w:type="dxa"/>
            <w:tcBorders>
              <w:top w:val="nil"/>
              <w:left w:val="nil"/>
              <w:bottom w:val="single" w:sz="4" w:space="0" w:color="auto"/>
              <w:right w:val="single" w:sz="4" w:space="0" w:color="auto"/>
            </w:tcBorders>
            <w:shd w:val="clear" w:color="auto" w:fill="auto"/>
            <w:vAlign w:val="center"/>
            <w:hideMark/>
          </w:tcPr>
          <w:p w14:paraId="069C6476" w14:textId="77777777" w:rsidR="0096393F" w:rsidRPr="002101A1" w:rsidRDefault="0096393F" w:rsidP="00332FF7">
            <w:pPr>
              <w:spacing w:after="0" w:line="240" w:lineRule="auto"/>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8042208425 13.01.2012</w:t>
            </w:r>
          </w:p>
        </w:tc>
        <w:tc>
          <w:tcPr>
            <w:tcW w:w="793" w:type="dxa"/>
            <w:tcBorders>
              <w:top w:val="nil"/>
              <w:left w:val="nil"/>
              <w:bottom w:val="single" w:sz="4" w:space="0" w:color="auto"/>
              <w:right w:val="single" w:sz="4" w:space="0" w:color="auto"/>
            </w:tcBorders>
            <w:shd w:val="clear" w:color="auto" w:fill="auto"/>
            <w:hideMark/>
          </w:tcPr>
          <w:p w14:paraId="38C6C82D" w14:textId="77777777" w:rsidR="0096393F" w:rsidRPr="002101A1" w:rsidRDefault="0096393F" w:rsidP="00332FF7">
            <w:pPr>
              <w:spacing w:after="0" w:line="240" w:lineRule="auto"/>
              <w:jc w:val="center"/>
              <w:rPr>
                <w:rFonts w:ascii="Calibri Light" w:eastAsia="Times New Roman" w:hAnsi="Calibri Light" w:cs="Calibri Light"/>
                <w:b/>
                <w:bCs/>
                <w:sz w:val="16"/>
                <w:szCs w:val="16"/>
                <w:lang w:val="ro-MD"/>
              </w:rPr>
            </w:pPr>
            <w:r w:rsidRPr="002101A1">
              <w:rPr>
                <w:rFonts w:ascii="Calibri Light" w:eastAsia="Times New Roman" w:hAnsi="Calibri Light" w:cs="Calibri Light"/>
                <w:b/>
                <w:bCs/>
                <w:sz w:val="16"/>
                <w:szCs w:val="16"/>
                <w:lang w:val="ro-MD"/>
              </w:rPr>
              <w:t> </w:t>
            </w:r>
          </w:p>
        </w:tc>
        <w:tc>
          <w:tcPr>
            <w:tcW w:w="847" w:type="dxa"/>
            <w:tcBorders>
              <w:top w:val="nil"/>
              <w:left w:val="nil"/>
              <w:bottom w:val="single" w:sz="4" w:space="0" w:color="auto"/>
              <w:right w:val="single" w:sz="4" w:space="0" w:color="auto"/>
            </w:tcBorders>
            <w:shd w:val="clear" w:color="auto" w:fill="auto"/>
            <w:noWrap/>
            <w:vAlign w:val="center"/>
            <w:hideMark/>
          </w:tcPr>
          <w:p w14:paraId="3CFA40DD" w14:textId="77777777" w:rsidR="0096393F" w:rsidRPr="002101A1" w:rsidRDefault="0096393F" w:rsidP="00332FF7">
            <w:pPr>
              <w:spacing w:after="0" w:line="240" w:lineRule="auto"/>
              <w:jc w:val="right"/>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46,9</w:t>
            </w:r>
          </w:p>
        </w:tc>
        <w:tc>
          <w:tcPr>
            <w:tcW w:w="852" w:type="dxa"/>
            <w:tcBorders>
              <w:top w:val="nil"/>
              <w:left w:val="nil"/>
              <w:bottom w:val="single" w:sz="4" w:space="0" w:color="auto"/>
              <w:right w:val="single" w:sz="4" w:space="0" w:color="auto"/>
            </w:tcBorders>
            <w:shd w:val="clear" w:color="auto" w:fill="auto"/>
            <w:noWrap/>
            <w:vAlign w:val="center"/>
            <w:hideMark/>
          </w:tcPr>
          <w:p w14:paraId="679721F1" w14:textId="77777777" w:rsidR="0096393F" w:rsidRPr="002101A1" w:rsidRDefault="0096393F" w:rsidP="00332FF7">
            <w:pPr>
              <w:spacing w:after="0" w:line="240" w:lineRule="auto"/>
              <w:jc w:val="center"/>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4,6622</w:t>
            </w:r>
          </w:p>
        </w:tc>
        <w:tc>
          <w:tcPr>
            <w:tcW w:w="765" w:type="dxa"/>
            <w:tcBorders>
              <w:top w:val="nil"/>
              <w:left w:val="nil"/>
              <w:bottom w:val="single" w:sz="4" w:space="0" w:color="auto"/>
              <w:right w:val="single" w:sz="4" w:space="0" w:color="auto"/>
            </w:tcBorders>
            <w:shd w:val="clear" w:color="auto" w:fill="auto"/>
            <w:noWrap/>
            <w:vAlign w:val="center"/>
            <w:hideMark/>
          </w:tcPr>
          <w:p w14:paraId="2BFE1B94" w14:textId="77777777" w:rsidR="0096393F" w:rsidRPr="002101A1" w:rsidRDefault="0096393F" w:rsidP="00332FF7">
            <w:pPr>
              <w:spacing w:after="0" w:line="240" w:lineRule="auto"/>
              <w:jc w:val="center"/>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Da</w:t>
            </w:r>
          </w:p>
        </w:tc>
        <w:tc>
          <w:tcPr>
            <w:tcW w:w="739" w:type="dxa"/>
            <w:tcBorders>
              <w:top w:val="single" w:sz="8" w:space="0" w:color="auto"/>
              <w:left w:val="nil"/>
              <w:bottom w:val="single" w:sz="4" w:space="0" w:color="auto"/>
              <w:right w:val="nil"/>
            </w:tcBorders>
            <w:shd w:val="clear" w:color="auto" w:fill="auto"/>
            <w:noWrap/>
            <w:vAlign w:val="center"/>
            <w:hideMark/>
          </w:tcPr>
          <w:p w14:paraId="4E74CE5D" w14:textId="77777777" w:rsidR="0096393F" w:rsidRPr="002101A1" w:rsidRDefault="0096393F" w:rsidP="00332FF7">
            <w:pPr>
              <w:spacing w:after="0" w:line="240" w:lineRule="auto"/>
              <w:jc w:val="center"/>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36,2</w:t>
            </w:r>
          </w:p>
        </w:tc>
        <w:tc>
          <w:tcPr>
            <w:tcW w:w="576" w:type="dxa"/>
            <w:tcBorders>
              <w:top w:val="nil"/>
              <w:left w:val="single" w:sz="4" w:space="0" w:color="auto"/>
              <w:bottom w:val="single" w:sz="4" w:space="0" w:color="auto"/>
              <w:right w:val="nil"/>
            </w:tcBorders>
            <w:shd w:val="clear" w:color="auto" w:fill="auto"/>
            <w:noWrap/>
            <w:vAlign w:val="center"/>
            <w:hideMark/>
          </w:tcPr>
          <w:p w14:paraId="721D9834" w14:textId="77777777" w:rsidR="0096393F" w:rsidRPr="002101A1" w:rsidRDefault="0096393F" w:rsidP="00332FF7">
            <w:pPr>
              <w:spacing w:after="0" w:line="240" w:lineRule="auto"/>
              <w:jc w:val="center"/>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65</w:t>
            </w:r>
          </w:p>
        </w:tc>
        <w:tc>
          <w:tcPr>
            <w:tcW w:w="664" w:type="dxa"/>
            <w:tcBorders>
              <w:top w:val="nil"/>
              <w:left w:val="single" w:sz="4" w:space="0" w:color="auto"/>
              <w:bottom w:val="single" w:sz="4" w:space="0" w:color="auto"/>
              <w:right w:val="nil"/>
            </w:tcBorders>
            <w:shd w:val="clear" w:color="auto" w:fill="auto"/>
            <w:noWrap/>
            <w:vAlign w:val="center"/>
            <w:hideMark/>
          </w:tcPr>
          <w:p w14:paraId="7464FB99" w14:textId="77777777" w:rsidR="0096393F" w:rsidRPr="002101A1" w:rsidRDefault="0096393F" w:rsidP="00332FF7">
            <w:pPr>
              <w:spacing w:after="0" w:line="240" w:lineRule="auto"/>
              <w:jc w:val="right"/>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10 960,9</w:t>
            </w:r>
          </w:p>
        </w:tc>
        <w:tc>
          <w:tcPr>
            <w:tcW w:w="876" w:type="dxa"/>
            <w:tcBorders>
              <w:top w:val="nil"/>
              <w:left w:val="single" w:sz="4" w:space="0" w:color="auto"/>
              <w:bottom w:val="single" w:sz="4" w:space="0" w:color="auto"/>
              <w:right w:val="single" w:sz="8" w:space="0" w:color="auto"/>
            </w:tcBorders>
            <w:shd w:val="clear" w:color="auto" w:fill="auto"/>
            <w:noWrap/>
            <w:vAlign w:val="center"/>
            <w:hideMark/>
          </w:tcPr>
          <w:p w14:paraId="61150E65" w14:textId="77777777" w:rsidR="0096393F" w:rsidRPr="002101A1" w:rsidRDefault="0096393F" w:rsidP="00332FF7">
            <w:pPr>
              <w:spacing w:after="0" w:line="240" w:lineRule="auto"/>
              <w:jc w:val="right"/>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10 960,9</w:t>
            </w:r>
          </w:p>
        </w:tc>
      </w:tr>
      <w:tr w:rsidR="005C3DCF" w:rsidRPr="00DB333D" w14:paraId="062DF194" w14:textId="77777777" w:rsidTr="002101A1">
        <w:trPr>
          <w:trHeight w:val="20"/>
        </w:trPr>
        <w:tc>
          <w:tcPr>
            <w:tcW w:w="413" w:type="dxa"/>
            <w:tcBorders>
              <w:top w:val="nil"/>
              <w:left w:val="single" w:sz="8" w:space="0" w:color="auto"/>
              <w:bottom w:val="single" w:sz="4" w:space="0" w:color="auto"/>
              <w:right w:val="single" w:sz="4" w:space="0" w:color="auto"/>
            </w:tcBorders>
            <w:shd w:val="clear" w:color="auto" w:fill="auto"/>
            <w:noWrap/>
            <w:vAlign w:val="center"/>
            <w:hideMark/>
          </w:tcPr>
          <w:p w14:paraId="57D3008D" w14:textId="77777777" w:rsidR="0096393F" w:rsidRPr="002101A1" w:rsidRDefault="0096393F" w:rsidP="00332FF7">
            <w:pPr>
              <w:spacing w:after="0" w:line="240" w:lineRule="auto"/>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5</w:t>
            </w:r>
          </w:p>
        </w:tc>
        <w:tc>
          <w:tcPr>
            <w:tcW w:w="1067" w:type="dxa"/>
            <w:tcBorders>
              <w:top w:val="nil"/>
              <w:left w:val="nil"/>
              <w:bottom w:val="single" w:sz="4" w:space="0" w:color="auto"/>
              <w:right w:val="single" w:sz="4" w:space="0" w:color="auto"/>
            </w:tcBorders>
            <w:shd w:val="clear" w:color="auto" w:fill="auto"/>
            <w:vAlign w:val="center"/>
            <w:hideMark/>
          </w:tcPr>
          <w:p w14:paraId="54C916A2" w14:textId="77777777" w:rsidR="0096393F" w:rsidRPr="002101A1" w:rsidRDefault="0096393F" w:rsidP="00332FF7">
            <w:pPr>
              <w:spacing w:after="0" w:line="240" w:lineRule="auto"/>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Teren / (rezervoar de apă nr. 1690)</w:t>
            </w:r>
          </w:p>
        </w:tc>
        <w:tc>
          <w:tcPr>
            <w:tcW w:w="1136" w:type="dxa"/>
            <w:tcBorders>
              <w:top w:val="nil"/>
              <w:left w:val="nil"/>
              <w:bottom w:val="single" w:sz="4" w:space="0" w:color="auto"/>
              <w:right w:val="single" w:sz="4" w:space="0" w:color="auto"/>
            </w:tcBorders>
            <w:shd w:val="clear" w:color="auto" w:fill="auto"/>
            <w:vAlign w:val="center"/>
            <w:hideMark/>
          </w:tcPr>
          <w:p w14:paraId="417636E5" w14:textId="36F0D65A" w:rsidR="0096393F" w:rsidRPr="002101A1" w:rsidRDefault="0096393F" w:rsidP="00332FF7">
            <w:pPr>
              <w:spacing w:after="0" w:line="240" w:lineRule="auto"/>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r</w:t>
            </w:r>
            <w:r w:rsidR="00010558" w:rsidRPr="002101A1">
              <w:rPr>
                <w:rFonts w:ascii="Calibri Light" w:eastAsia="Times New Roman" w:hAnsi="Calibri Light" w:cs="Calibri Light"/>
                <w:sz w:val="16"/>
                <w:szCs w:val="16"/>
                <w:lang w:val="ro-MD"/>
              </w:rPr>
              <w:t>-nu</w:t>
            </w:r>
            <w:r w:rsidRPr="002101A1">
              <w:rPr>
                <w:rFonts w:ascii="Calibri Light" w:eastAsia="Times New Roman" w:hAnsi="Calibri Light" w:cs="Calibri Light"/>
                <w:sz w:val="16"/>
                <w:szCs w:val="16"/>
                <w:lang w:val="ro-MD"/>
              </w:rPr>
              <w:t>l</w:t>
            </w:r>
            <w:r w:rsidR="00010558" w:rsidRPr="002101A1">
              <w:rPr>
                <w:rFonts w:ascii="Calibri Light" w:eastAsia="Times New Roman" w:hAnsi="Calibri Light" w:cs="Calibri Light"/>
                <w:sz w:val="16"/>
                <w:szCs w:val="16"/>
                <w:lang w:val="ro-MD"/>
              </w:rPr>
              <w:t xml:space="preserve"> </w:t>
            </w:r>
            <w:r w:rsidRPr="002101A1">
              <w:rPr>
                <w:rFonts w:ascii="Calibri Light" w:eastAsia="Times New Roman" w:hAnsi="Calibri Light" w:cs="Calibri Light"/>
                <w:sz w:val="16"/>
                <w:szCs w:val="16"/>
                <w:lang w:val="ro-MD"/>
              </w:rPr>
              <w:t>Straseni, s.Vorniceni</w:t>
            </w:r>
          </w:p>
        </w:tc>
        <w:tc>
          <w:tcPr>
            <w:tcW w:w="1033" w:type="dxa"/>
            <w:tcBorders>
              <w:top w:val="nil"/>
              <w:left w:val="nil"/>
              <w:bottom w:val="single" w:sz="4" w:space="0" w:color="auto"/>
              <w:right w:val="single" w:sz="4" w:space="0" w:color="auto"/>
            </w:tcBorders>
            <w:shd w:val="clear" w:color="auto" w:fill="auto"/>
            <w:vAlign w:val="center"/>
            <w:hideMark/>
          </w:tcPr>
          <w:p w14:paraId="6F24B433" w14:textId="77777777" w:rsidR="0096393F" w:rsidRPr="002101A1" w:rsidRDefault="0096393F" w:rsidP="00332FF7">
            <w:pPr>
              <w:spacing w:after="0" w:line="240" w:lineRule="auto"/>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8042208424 13.01.2012</w:t>
            </w:r>
          </w:p>
        </w:tc>
        <w:tc>
          <w:tcPr>
            <w:tcW w:w="793" w:type="dxa"/>
            <w:tcBorders>
              <w:top w:val="nil"/>
              <w:left w:val="nil"/>
              <w:bottom w:val="single" w:sz="4" w:space="0" w:color="auto"/>
              <w:right w:val="single" w:sz="4" w:space="0" w:color="auto"/>
            </w:tcBorders>
            <w:shd w:val="clear" w:color="auto" w:fill="auto"/>
            <w:hideMark/>
          </w:tcPr>
          <w:p w14:paraId="6E21ED87" w14:textId="77777777" w:rsidR="0096393F" w:rsidRPr="002101A1" w:rsidRDefault="0096393F" w:rsidP="00332FF7">
            <w:pPr>
              <w:spacing w:after="0" w:line="240" w:lineRule="auto"/>
              <w:jc w:val="center"/>
              <w:rPr>
                <w:rFonts w:ascii="Calibri Light" w:eastAsia="Times New Roman" w:hAnsi="Calibri Light" w:cs="Calibri Light"/>
                <w:b/>
                <w:bCs/>
                <w:sz w:val="16"/>
                <w:szCs w:val="16"/>
                <w:lang w:val="ro-MD"/>
              </w:rPr>
            </w:pPr>
            <w:r w:rsidRPr="002101A1">
              <w:rPr>
                <w:rFonts w:ascii="Calibri Light" w:eastAsia="Times New Roman" w:hAnsi="Calibri Light" w:cs="Calibri Light"/>
                <w:b/>
                <w:bCs/>
                <w:sz w:val="16"/>
                <w:szCs w:val="16"/>
                <w:lang w:val="ro-MD"/>
              </w:rPr>
              <w:t> </w:t>
            </w:r>
          </w:p>
        </w:tc>
        <w:tc>
          <w:tcPr>
            <w:tcW w:w="847" w:type="dxa"/>
            <w:tcBorders>
              <w:top w:val="nil"/>
              <w:left w:val="nil"/>
              <w:bottom w:val="single" w:sz="4" w:space="0" w:color="auto"/>
              <w:right w:val="single" w:sz="4" w:space="0" w:color="auto"/>
            </w:tcBorders>
            <w:shd w:val="clear" w:color="auto" w:fill="auto"/>
            <w:noWrap/>
            <w:vAlign w:val="center"/>
            <w:hideMark/>
          </w:tcPr>
          <w:p w14:paraId="26A24E8D" w14:textId="77777777" w:rsidR="0096393F" w:rsidRPr="002101A1" w:rsidRDefault="0096393F" w:rsidP="00332FF7">
            <w:pPr>
              <w:spacing w:after="0" w:line="240" w:lineRule="auto"/>
              <w:jc w:val="right"/>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1,3</w:t>
            </w:r>
          </w:p>
        </w:tc>
        <w:tc>
          <w:tcPr>
            <w:tcW w:w="852" w:type="dxa"/>
            <w:tcBorders>
              <w:top w:val="nil"/>
              <w:left w:val="nil"/>
              <w:bottom w:val="single" w:sz="4" w:space="0" w:color="auto"/>
              <w:right w:val="single" w:sz="4" w:space="0" w:color="auto"/>
            </w:tcBorders>
            <w:shd w:val="clear" w:color="auto" w:fill="auto"/>
            <w:noWrap/>
            <w:vAlign w:val="center"/>
            <w:hideMark/>
          </w:tcPr>
          <w:p w14:paraId="3BAC5076" w14:textId="77777777" w:rsidR="0096393F" w:rsidRPr="002101A1" w:rsidRDefault="0096393F" w:rsidP="00332FF7">
            <w:pPr>
              <w:spacing w:after="0" w:line="240" w:lineRule="auto"/>
              <w:jc w:val="center"/>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0,1325</w:t>
            </w:r>
          </w:p>
        </w:tc>
        <w:tc>
          <w:tcPr>
            <w:tcW w:w="765" w:type="dxa"/>
            <w:tcBorders>
              <w:top w:val="nil"/>
              <w:left w:val="nil"/>
              <w:bottom w:val="single" w:sz="4" w:space="0" w:color="auto"/>
              <w:right w:val="single" w:sz="4" w:space="0" w:color="auto"/>
            </w:tcBorders>
            <w:shd w:val="clear" w:color="auto" w:fill="auto"/>
            <w:noWrap/>
            <w:vAlign w:val="center"/>
            <w:hideMark/>
          </w:tcPr>
          <w:p w14:paraId="5C97A584" w14:textId="77777777" w:rsidR="0096393F" w:rsidRPr="002101A1" w:rsidRDefault="0096393F" w:rsidP="00332FF7">
            <w:pPr>
              <w:spacing w:after="0" w:line="240" w:lineRule="auto"/>
              <w:jc w:val="center"/>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Da</w:t>
            </w:r>
          </w:p>
        </w:tc>
        <w:tc>
          <w:tcPr>
            <w:tcW w:w="739" w:type="dxa"/>
            <w:tcBorders>
              <w:top w:val="single" w:sz="8" w:space="0" w:color="auto"/>
              <w:left w:val="nil"/>
              <w:bottom w:val="single" w:sz="4" w:space="0" w:color="auto"/>
              <w:right w:val="nil"/>
            </w:tcBorders>
            <w:shd w:val="clear" w:color="auto" w:fill="auto"/>
            <w:noWrap/>
            <w:vAlign w:val="center"/>
            <w:hideMark/>
          </w:tcPr>
          <w:p w14:paraId="40B5B350" w14:textId="77777777" w:rsidR="0096393F" w:rsidRPr="002101A1" w:rsidRDefault="0096393F" w:rsidP="00332FF7">
            <w:pPr>
              <w:spacing w:after="0" w:line="240" w:lineRule="auto"/>
              <w:jc w:val="center"/>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36,2</w:t>
            </w:r>
          </w:p>
        </w:tc>
        <w:tc>
          <w:tcPr>
            <w:tcW w:w="576" w:type="dxa"/>
            <w:tcBorders>
              <w:top w:val="nil"/>
              <w:left w:val="single" w:sz="4" w:space="0" w:color="auto"/>
              <w:bottom w:val="single" w:sz="4" w:space="0" w:color="auto"/>
              <w:right w:val="nil"/>
            </w:tcBorders>
            <w:shd w:val="clear" w:color="auto" w:fill="auto"/>
            <w:noWrap/>
            <w:vAlign w:val="center"/>
            <w:hideMark/>
          </w:tcPr>
          <w:p w14:paraId="15ACCF4B" w14:textId="77777777" w:rsidR="0096393F" w:rsidRPr="002101A1" w:rsidRDefault="0096393F" w:rsidP="00332FF7">
            <w:pPr>
              <w:spacing w:after="0" w:line="240" w:lineRule="auto"/>
              <w:jc w:val="center"/>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65</w:t>
            </w:r>
          </w:p>
        </w:tc>
        <w:tc>
          <w:tcPr>
            <w:tcW w:w="664" w:type="dxa"/>
            <w:tcBorders>
              <w:top w:val="nil"/>
              <w:left w:val="single" w:sz="4" w:space="0" w:color="auto"/>
              <w:bottom w:val="single" w:sz="4" w:space="0" w:color="auto"/>
              <w:right w:val="nil"/>
            </w:tcBorders>
            <w:shd w:val="clear" w:color="auto" w:fill="auto"/>
            <w:noWrap/>
            <w:vAlign w:val="center"/>
            <w:hideMark/>
          </w:tcPr>
          <w:p w14:paraId="219931CF" w14:textId="77777777" w:rsidR="0096393F" w:rsidRPr="002101A1" w:rsidRDefault="0096393F" w:rsidP="00332FF7">
            <w:pPr>
              <w:spacing w:after="0" w:line="240" w:lineRule="auto"/>
              <w:jc w:val="right"/>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311,5</w:t>
            </w:r>
          </w:p>
        </w:tc>
        <w:tc>
          <w:tcPr>
            <w:tcW w:w="876" w:type="dxa"/>
            <w:tcBorders>
              <w:top w:val="nil"/>
              <w:left w:val="single" w:sz="4" w:space="0" w:color="auto"/>
              <w:bottom w:val="single" w:sz="4" w:space="0" w:color="auto"/>
              <w:right w:val="single" w:sz="8" w:space="0" w:color="auto"/>
            </w:tcBorders>
            <w:shd w:val="clear" w:color="auto" w:fill="auto"/>
            <w:noWrap/>
            <w:vAlign w:val="center"/>
            <w:hideMark/>
          </w:tcPr>
          <w:p w14:paraId="0D18A992" w14:textId="77777777" w:rsidR="0096393F" w:rsidRPr="002101A1" w:rsidRDefault="0096393F" w:rsidP="00332FF7">
            <w:pPr>
              <w:spacing w:after="0" w:line="240" w:lineRule="auto"/>
              <w:jc w:val="right"/>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311,5</w:t>
            </w:r>
          </w:p>
        </w:tc>
      </w:tr>
      <w:tr w:rsidR="005C3DCF" w:rsidRPr="00DB333D" w14:paraId="3F735FEC" w14:textId="77777777" w:rsidTr="002101A1">
        <w:trPr>
          <w:trHeight w:val="20"/>
        </w:trPr>
        <w:tc>
          <w:tcPr>
            <w:tcW w:w="413" w:type="dxa"/>
            <w:tcBorders>
              <w:top w:val="nil"/>
              <w:left w:val="single" w:sz="8" w:space="0" w:color="auto"/>
              <w:bottom w:val="single" w:sz="4" w:space="0" w:color="auto"/>
              <w:right w:val="single" w:sz="4" w:space="0" w:color="auto"/>
            </w:tcBorders>
            <w:shd w:val="clear" w:color="auto" w:fill="auto"/>
            <w:noWrap/>
            <w:vAlign w:val="center"/>
            <w:hideMark/>
          </w:tcPr>
          <w:p w14:paraId="2B995C56" w14:textId="77777777" w:rsidR="0096393F" w:rsidRPr="002101A1" w:rsidRDefault="0096393F" w:rsidP="00332FF7">
            <w:pPr>
              <w:spacing w:after="0" w:line="240" w:lineRule="auto"/>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6</w:t>
            </w:r>
          </w:p>
        </w:tc>
        <w:tc>
          <w:tcPr>
            <w:tcW w:w="1067" w:type="dxa"/>
            <w:tcBorders>
              <w:top w:val="nil"/>
              <w:left w:val="nil"/>
              <w:bottom w:val="single" w:sz="4" w:space="0" w:color="auto"/>
              <w:right w:val="single" w:sz="4" w:space="0" w:color="auto"/>
            </w:tcBorders>
            <w:shd w:val="clear" w:color="auto" w:fill="auto"/>
            <w:vAlign w:val="center"/>
            <w:hideMark/>
          </w:tcPr>
          <w:p w14:paraId="3578111B" w14:textId="77777777" w:rsidR="0096393F" w:rsidRPr="002101A1" w:rsidRDefault="0096393F" w:rsidP="00332FF7">
            <w:pPr>
              <w:spacing w:after="0" w:line="240" w:lineRule="auto"/>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Teren / sondă arteziană nr. 1067</w:t>
            </w:r>
          </w:p>
        </w:tc>
        <w:tc>
          <w:tcPr>
            <w:tcW w:w="1136" w:type="dxa"/>
            <w:tcBorders>
              <w:top w:val="nil"/>
              <w:left w:val="nil"/>
              <w:bottom w:val="single" w:sz="4" w:space="0" w:color="auto"/>
              <w:right w:val="single" w:sz="4" w:space="0" w:color="auto"/>
            </w:tcBorders>
            <w:shd w:val="clear" w:color="auto" w:fill="auto"/>
            <w:vAlign w:val="center"/>
            <w:hideMark/>
          </w:tcPr>
          <w:p w14:paraId="5A3505AF" w14:textId="505C1762" w:rsidR="0096393F" w:rsidRPr="002101A1" w:rsidRDefault="0096393F" w:rsidP="00332FF7">
            <w:pPr>
              <w:spacing w:after="0" w:line="240" w:lineRule="auto"/>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r</w:t>
            </w:r>
            <w:r w:rsidR="00010558" w:rsidRPr="002101A1">
              <w:rPr>
                <w:rFonts w:ascii="Calibri Light" w:eastAsia="Times New Roman" w:hAnsi="Calibri Light" w:cs="Calibri Light"/>
                <w:sz w:val="16"/>
                <w:szCs w:val="16"/>
                <w:lang w:val="ro-MD"/>
              </w:rPr>
              <w:t>-nu</w:t>
            </w:r>
            <w:r w:rsidRPr="002101A1">
              <w:rPr>
                <w:rFonts w:ascii="Calibri Light" w:eastAsia="Times New Roman" w:hAnsi="Calibri Light" w:cs="Calibri Light"/>
                <w:sz w:val="16"/>
                <w:szCs w:val="16"/>
                <w:lang w:val="ro-MD"/>
              </w:rPr>
              <w:t>l</w:t>
            </w:r>
            <w:r w:rsidR="00010558" w:rsidRPr="002101A1">
              <w:rPr>
                <w:rFonts w:ascii="Calibri Light" w:eastAsia="Times New Roman" w:hAnsi="Calibri Light" w:cs="Calibri Light"/>
                <w:sz w:val="16"/>
                <w:szCs w:val="16"/>
                <w:lang w:val="ro-MD"/>
              </w:rPr>
              <w:t xml:space="preserve"> </w:t>
            </w:r>
            <w:r w:rsidRPr="002101A1">
              <w:rPr>
                <w:rFonts w:ascii="Calibri Light" w:eastAsia="Times New Roman" w:hAnsi="Calibri Light" w:cs="Calibri Light"/>
                <w:sz w:val="16"/>
                <w:szCs w:val="16"/>
                <w:lang w:val="ro-MD"/>
              </w:rPr>
              <w:t>Straseni, s.Vorniceni</w:t>
            </w:r>
          </w:p>
        </w:tc>
        <w:tc>
          <w:tcPr>
            <w:tcW w:w="1033" w:type="dxa"/>
            <w:tcBorders>
              <w:top w:val="nil"/>
              <w:left w:val="nil"/>
              <w:bottom w:val="single" w:sz="4" w:space="0" w:color="auto"/>
              <w:right w:val="single" w:sz="4" w:space="0" w:color="auto"/>
            </w:tcBorders>
            <w:shd w:val="clear" w:color="auto" w:fill="auto"/>
            <w:vAlign w:val="center"/>
            <w:hideMark/>
          </w:tcPr>
          <w:p w14:paraId="3F27F25A" w14:textId="77777777" w:rsidR="0096393F" w:rsidRPr="002101A1" w:rsidRDefault="0096393F" w:rsidP="00332FF7">
            <w:pPr>
              <w:spacing w:after="0" w:line="240" w:lineRule="auto"/>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8042208388 13.01.2012</w:t>
            </w:r>
          </w:p>
        </w:tc>
        <w:tc>
          <w:tcPr>
            <w:tcW w:w="793" w:type="dxa"/>
            <w:tcBorders>
              <w:top w:val="nil"/>
              <w:left w:val="nil"/>
              <w:bottom w:val="single" w:sz="4" w:space="0" w:color="auto"/>
              <w:right w:val="single" w:sz="4" w:space="0" w:color="auto"/>
            </w:tcBorders>
            <w:shd w:val="clear" w:color="auto" w:fill="auto"/>
            <w:hideMark/>
          </w:tcPr>
          <w:p w14:paraId="7A89301F" w14:textId="77777777" w:rsidR="0096393F" w:rsidRPr="002101A1" w:rsidRDefault="0096393F" w:rsidP="00332FF7">
            <w:pPr>
              <w:spacing w:after="0" w:line="240" w:lineRule="auto"/>
              <w:jc w:val="center"/>
              <w:rPr>
                <w:rFonts w:ascii="Calibri Light" w:eastAsia="Times New Roman" w:hAnsi="Calibri Light" w:cs="Calibri Light"/>
                <w:b/>
                <w:bCs/>
                <w:sz w:val="16"/>
                <w:szCs w:val="16"/>
                <w:lang w:val="ro-MD"/>
              </w:rPr>
            </w:pPr>
            <w:r w:rsidRPr="002101A1">
              <w:rPr>
                <w:rFonts w:ascii="Calibri Light" w:eastAsia="Times New Roman" w:hAnsi="Calibri Light" w:cs="Calibri Light"/>
                <w:b/>
                <w:bCs/>
                <w:sz w:val="16"/>
                <w:szCs w:val="16"/>
                <w:lang w:val="ro-MD"/>
              </w:rPr>
              <w:t> </w:t>
            </w:r>
          </w:p>
        </w:tc>
        <w:tc>
          <w:tcPr>
            <w:tcW w:w="847" w:type="dxa"/>
            <w:tcBorders>
              <w:top w:val="nil"/>
              <w:left w:val="nil"/>
              <w:bottom w:val="single" w:sz="4" w:space="0" w:color="auto"/>
              <w:right w:val="single" w:sz="4" w:space="0" w:color="auto"/>
            </w:tcBorders>
            <w:shd w:val="clear" w:color="auto" w:fill="auto"/>
            <w:noWrap/>
            <w:vAlign w:val="center"/>
            <w:hideMark/>
          </w:tcPr>
          <w:p w14:paraId="7C0815C3" w14:textId="77777777" w:rsidR="0096393F" w:rsidRPr="002101A1" w:rsidRDefault="0096393F" w:rsidP="00332FF7">
            <w:pPr>
              <w:spacing w:after="0" w:line="240" w:lineRule="auto"/>
              <w:jc w:val="right"/>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1,5</w:t>
            </w:r>
          </w:p>
        </w:tc>
        <w:tc>
          <w:tcPr>
            <w:tcW w:w="852" w:type="dxa"/>
            <w:tcBorders>
              <w:top w:val="nil"/>
              <w:left w:val="nil"/>
              <w:bottom w:val="single" w:sz="4" w:space="0" w:color="auto"/>
              <w:right w:val="single" w:sz="4" w:space="0" w:color="auto"/>
            </w:tcBorders>
            <w:shd w:val="clear" w:color="auto" w:fill="auto"/>
            <w:noWrap/>
            <w:vAlign w:val="center"/>
            <w:hideMark/>
          </w:tcPr>
          <w:p w14:paraId="5D37C775" w14:textId="77777777" w:rsidR="0096393F" w:rsidRPr="002101A1" w:rsidRDefault="0096393F" w:rsidP="00332FF7">
            <w:pPr>
              <w:spacing w:after="0" w:line="240" w:lineRule="auto"/>
              <w:jc w:val="center"/>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0,1470</w:t>
            </w:r>
          </w:p>
        </w:tc>
        <w:tc>
          <w:tcPr>
            <w:tcW w:w="765" w:type="dxa"/>
            <w:tcBorders>
              <w:top w:val="nil"/>
              <w:left w:val="nil"/>
              <w:bottom w:val="single" w:sz="4" w:space="0" w:color="auto"/>
              <w:right w:val="single" w:sz="4" w:space="0" w:color="auto"/>
            </w:tcBorders>
            <w:shd w:val="clear" w:color="auto" w:fill="auto"/>
            <w:noWrap/>
            <w:vAlign w:val="center"/>
            <w:hideMark/>
          </w:tcPr>
          <w:p w14:paraId="3FEBC9D1" w14:textId="77777777" w:rsidR="0096393F" w:rsidRPr="002101A1" w:rsidRDefault="0096393F" w:rsidP="00332FF7">
            <w:pPr>
              <w:spacing w:after="0" w:line="240" w:lineRule="auto"/>
              <w:jc w:val="center"/>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Da</w:t>
            </w:r>
          </w:p>
        </w:tc>
        <w:tc>
          <w:tcPr>
            <w:tcW w:w="739" w:type="dxa"/>
            <w:tcBorders>
              <w:top w:val="single" w:sz="8" w:space="0" w:color="auto"/>
              <w:left w:val="nil"/>
              <w:bottom w:val="single" w:sz="4" w:space="0" w:color="auto"/>
              <w:right w:val="nil"/>
            </w:tcBorders>
            <w:shd w:val="clear" w:color="auto" w:fill="auto"/>
            <w:noWrap/>
            <w:vAlign w:val="center"/>
            <w:hideMark/>
          </w:tcPr>
          <w:p w14:paraId="53AA297F" w14:textId="77777777" w:rsidR="0096393F" w:rsidRPr="002101A1" w:rsidRDefault="0096393F" w:rsidP="00332FF7">
            <w:pPr>
              <w:spacing w:after="0" w:line="240" w:lineRule="auto"/>
              <w:jc w:val="center"/>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36,2</w:t>
            </w:r>
          </w:p>
        </w:tc>
        <w:tc>
          <w:tcPr>
            <w:tcW w:w="576" w:type="dxa"/>
            <w:tcBorders>
              <w:top w:val="nil"/>
              <w:left w:val="single" w:sz="4" w:space="0" w:color="auto"/>
              <w:bottom w:val="single" w:sz="4" w:space="0" w:color="auto"/>
              <w:right w:val="nil"/>
            </w:tcBorders>
            <w:shd w:val="clear" w:color="auto" w:fill="auto"/>
            <w:noWrap/>
            <w:vAlign w:val="center"/>
            <w:hideMark/>
          </w:tcPr>
          <w:p w14:paraId="4206CD6B" w14:textId="77777777" w:rsidR="0096393F" w:rsidRPr="002101A1" w:rsidRDefault="0096393F" w:rsidP="00332FF7">
            <w:pPr>
              <w:spacing w:after="0" w:line="240" w:lineRule="auto"/>
              <w:jc w:val="center"/>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65</w:t>
            </w:r>
          </w:p>
        </w:tc>
        <w:tc>
          <w:tcPr>
            <w:tcW w:w="664" w:type="dxa"/>
            <w:tcBorders>
              <w:top w:val="nil"/>
              <w:left w:val="single" w:sz="4" w:space="0" w:color="auto"/>
              <w:bottom w:val="single" w:sz="4" w:space="0" w:color="auto"/>
              <w:right w:val="nil"/>
            </w:tcBorders>
            <w:shd w:val="clear" w:color="auto" w:fill="auto"/>
            <w:noWrap/>
            <w:vAlign w:val="center"/>
            <w:hideMark/>
          </w:tcPr>
          <w:p w14:paraId="1A036B5F" w14:textId="77777777" w:rsidR="0096393F" w:rsidRPr="002101A1" w:rsidRDefault="0096393F" w:rsidP="00332FF7">
            <w:pPr>
              <w:spacing w:after="0" w:line="240" w:lineRule="auto"/>
              <w:jc w:val="right"/>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345,6</w:t>
            </w:r>
          </w:p>
        </w:tc>
        <w:tc>
          <w:tcPr>
            <w:tcW w:w="876" w:type="dxa"/>
            <w:tcBorders>
              <w:top w:val="nil"/>
              <w:left w:val="single" w:sz="4" w:space="0" w:color="auto"/>
              <w:bottom w:val="single" w:sz="4" w:space="0" w:color="auto"/>
              <w:right w:val="single" w:sz="8" w:space="0" w:color="auto"/>
            </w:tcBorders>
            <w:shd w:val="clear" w:color="auto" w:fill="auto"/>
            <w:noWrap/>
            <w:vAlign w:val="center"/>
            <w:hideMark/>
          </w:tcPr>
          <w:p w14:paraId="103AEBC3" w14:textId="77777777" w:rsidR="0096393F" w:rsidRPr="002101A1" w:rsidRDefault="0096393F" w:rsidP="00332FF7">
            <w:pPr>
              <w:spacing w:after="0" w:line="240" w:lineRule="auto"/>
              <w:jc w:val="right"/>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345,6</w:t>
            </w:r>
          </w:p>
        </w:tc>
      </w:tr>
      <w:tr w:rsidR="005C3DCF" w:rsidRPr="00DB333D" w14:paraId="695FE7DB" w14:textId="77777777" w:rsidTr="002101A1">
        <w:trPr>
          <w:trHeight w:val="20"/>
        </w:trPr>
        <w:tc>
          <w:tcPr>
            <w:tcW w:w="413" w:type="dxa"/>
            <w:tcBorders>
              <w:top w:val="nil"/>
              <w:left w:val="single" w:sz="8" w:space="0" w:color="auto"/>
              <w:bottom w:val="single" w:sz="4" w:space="0" w:color="auto"/>
              <w:right w:val="single" w:sz="4" w:space="0" w:color="auto"/>
            </w:tcBorders>
            <w:shd w:val="clear" w:color="auto" w:fill="auto"/>
            <w:noWrap/>
            <w:vAlign w:val="center"/>
            <w:hideMark/>
          </w:tcPr>
          <w:p w14:paraId="4833B088" w14:textId="77777777" w:rsidR="0096393F" w:rsidRPr="002101A1" w:rsidRDefault="0096393F" w:rsidP="00332FF7">
            <w:pPr>
              <w:spacing w:after="0" w:line="240" w:lineRule="auto"/>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7</w:t>
            </w:r>
          </w:p>
        </w:tc>
        <w:tc>
          <w:tcPr>
            <w:tcW w:w="1067" w:type="dxa"/>
            <w:tcBorders>
              <w:top w:val="nil"/>
              <w:left w:val="nil"/>
              <w:bottom w:val="single" w:sz="4" w:space="0" w:color="auto"/>
              <w:right w:val="single" w:sz="4" w:space="0" w:color="auto"/>
            </w:tcBorders>
            <w:shd w:val="clear" w:color="auto" w:fill="auto"/>
            <w:vAlign w:val="center"/>
            <w:hideMark/>
          </w:tcPr>
          <w:p w14:paraId="02083C68" w14:textId="77777777" w:rsidR="0096393F" w:rsidRPr="002101A1" w:rsidRDefault="0096393F" w:rsidP="00332FF7">
            <w:pPr>
              <w:spacing w:after="0" w:line="240" w:lineRule="auto"/>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Teren agricol/arabil</w:t>
            </w:r>
          </w:p>
        </w:tc>
        <w:tc>
          <w:tcPr>
            <w:tcW w:w="1136" w:type="dxa"/>
            <w:tcBorders>
              <w:top w:val="nil"/>
              <w:left w:val="nil"/>
              <w:bottom w:val="single" w:sz="4" w:space="0" w:color="auto"/>
              <w:right w:val="single" w:sz="4" w:space="0" w:color="auto"/>
            </w:tcBorders>
            <w:shd w:val="clear" w:color="auto" w:fill="auto"/>
            <w:vAlign w:val="center"/>
            <w:hideMark/>
          </w:tcPr>
          <w:p w14:paraId="110223F2" w14:textId="77F9D886" w:rsidR="0096393F" w:rsidRPr="002101A1" w:rsidRDefault="00010558" w:rsidP="00332FF7">
            <w:pPr>
              <w:spacing w:after="0" w:line="240" w:lineRule="auto"/>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r-nul</w:t>
            </w:r>
            <w:r w:rsidRPr="002101A1" w:rsidDel="00010558">
              <w:rPr>
                <w:rFonts w:ascii="Calibri Light" w:eastAsia="Times New Roman" w:hAnsi="Calibri Light" w:cs="Calibri Light"/>
                <w:sz w:val="16"/>
                <w:szCs w:val="16"/>
                <w:lang w:val="ro-MD"/>
              </w:rPr>
              <w:t xml:space="preserve"> </w:t>
            </w:r>
            <w:r w:rsidR="0096393F" w:rsidRPr="002101A1">
              <w:rPr>
                <w:rFonts w:ascii="Calibri Light" w:eastAsia="Times New Roman" w:hAnsi="Calibri Light" w:cs="Calibri Light"/>
                <w:sz w:val="16"/>
                <w:szCs w:val="16"/>
                <w:lang w:val="ro-MD"/>
              </w:rPr>
              <w:t>Straseni, s.Vorniceni</w:t>
            </w:r>
          </w:p>
        </w:tc>
        <w:tc>
          <w:tcPr>
            <w:tcW w:w="1033" w:type="dxa"/>
            <w:tcBorders>
              <w:top w:val="nil"/>
              <w:left w:val="nil"/>
              <w:bottom w:val="single" w:sz="4" w:space="0" w:color="auto"/>
              <w:right w:val="single" w:sz="4" w:space="0" w:color="auto"/>
            </w:tcBorders>
            <w:shd w:val="clear" w:color="auto" w:fill="auto"/>
            <w:vAlign w:val="center"/>
            <w:hideMark/>
          </w:tcPr>
          <w:p w14:paraId="1A29BD4E" w14:textId="77777777" w:rsidR="0096393F" w:rsidRPr="002101A1" w:rsidRDefault="0096393F" w:rsidP="00332FF7">
            <w:pPr>
              <w:spacing w:after="0" w:line="240" w:lineRule="auto"/>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8042208389 13.01.2012</w:t>
            </w:r>
          </w:p>
        </w:tc>
        <w:tc>
          <w:tcPr>
            <w:tcW w:w="793" w:type="dxa"/>
            <w:tcBorders>
              <w:top w:val="nil"/>
              <w:left w:val="nil"/>
              <w:bottom w:val="single" w:sz="4" w:space="0" w:color="auto"/>
              <w:right w:val="single" w:sz="4" w:space="0" w:color="auto"/>
            </w:tcBorders>
            <w:shd w:val="clear" w:color="auto" w:fill="auto"/>
            <w:hideMark/>
          </w:tcPr>
          <w:p w14:paraId="4E502144" w14:textId="77777777" w:rsidR="0096393F" w:rsidRPr="002101A1" w:rsidRDefault="0096393F" w:rsidP="00332FF7">
            <w:pPr>
              <w:spacing w:after="0" w:line="240" w:lineRule="auto"/>
              <w:jc w:val="center"/>
              <w:rPr>
                <w:rFonts w:ascii="Calibri Light" w:eastAsia="Times New Roman" w:hAnsi="Calibri Light" w:cs="Calibri Light"/>
                <w:b/>
                <w:bCs/>
                <w:sz w:val="16"/>
                <w:szCs w:val="16"/>
                <w:lang w:val="ro-MD"/>
              </w:rPr>
            </w:pPr>
            <w:r w:rsidRPr="002101A1">
              <w:rPr>
                <w:rFonts w:ascii="Calibri Light" w:eastAsia="Times New Roman" w:hAnsi="Calibri Light" w:cs="Calibri Light"/>
                <w:b/>
                <w:bCs/>
                <w:sz w:val="16"/>
                <w:szCs w:val="16"/>
                <w:lang w:val="ro-MD"/>
              </w:rPr>
              <w:t> </w:t>
            </w:r>
          </w:p>
        </w:tc>
        <w:tc>
          <w:tcPr>
            <w:tcW w:w="847" w:type="dxa"/>
            <w:tcBorders>
              <w:top w:val="nil"/>
              <w:left w:val="nil"/>
              <w:bottom w:val="single" w:sz="4" w:space="0" w:color="auto"/>
              <w:right w:val="single" w:sz="4" w:space="0" w:color="auto"/>
            </w:tcBorders>
            <w:shd w:val="clear" w:color="auto" w:fill="auto"/>
            <w:noWrap/>
            <w:vAlign w:val="center"/>
            <w:hideMark/>
          </w:tcPr>
          <w:p w14:paraId="731915ED" w14:textId="77777777" w:rsidR="0096393F" w:rsidRPr="002101A1" w:rsidRDefault="0096393F" w:rsidP="00332FF7">
            <w:pPr>
              <w:spacing w:after="0" w:line="240" w:lineRule="auto"/>
              <w:jc w:val="right"/>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9,4</w:t>
            </w:r>
          </w:p>
        </w:tc>
        <w:tc>
          <w:tcPr>
            <w:tcW w:w="852" w:type="dxa"/>
            <w:tcBorders>
              <w:top w:val="nil"/>
              <w:left w:val="nil"/>
              <w:bottom w:val="single" w:sz="4" w:space="0" w:color="auto"/>
              <w:right w:val="single" w:sz="4" w:space="0" w:color="auto"/>
            </w:tcBorders>
            <w:shd w:val="clear" w:color="auto" w:fill="auto"/>
            <w:noWrap/>
            <w:vAlign w:val="center"/>
            <w:hideMark/>
          </w:tcPr>
          <w:p w14:paraId="246B1857" w14:textId="77777777" w:rsidR="0096393F" w:rsidRPr="002101A1" w:rsidRDefault="0096393F" w:rsidP="00332FF7">
            <w:pPr>
              <w:spacing w:after="0" w:line="240" w:lineRule="auto"/>
              <w:jc w:val="center"/>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0,9326</w:t>
            </w:r>
          </w:p>
        </w:tc>
        <w:tc>
          <w:tcPr>
            <w:tcW w:w="765" w:type="dxa"/>
            <w:tcBorders>
              <w:top w:val="nil"/>
              <w:left w:val="nil"/>
              <w:bottom w:val="single" w:sz="4" w:space="0" w:color="auto"/>
              <w:right w:val="single" w:sz="4" w:space="0" w:color="auto"/>
            </w:tcBorders>
            <w:shd w:val="clear" w:color="auto" w:fill="auto"/>
            <w:noWrap/>
            <w:vAlign w:val="center"/>
            <w:hideMark/>
          </w:tcPr>
          <w:p w14:paraId="3B91832B" w14:textId="77777777" w:rsidR="0096393F" w:rsidRPr="002101A1" w:rsidRDefault="0096393F" w:rsidP="00332FF7">
            <w:pPr>
              <w:spacing w:after="0" w:line="240" w:lineRule="auto"/>
              <w:jc w:val="center"/>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Da</w:t>
            </w:r>
          </w:p>
        </w:tc>
        <w:tc>
          <w:tcPr>
            <w:tcW w:w="739" w:type="dxa"/>
            <w:tcBorders>
              <w:top w:val="nil"/>
              <w:left w:val="nil"/>
              <w:bottom w:val="single" w:sz="4" w:space="0" w:color="auto"/>
              <w:right w:val="nil"/>
            </w:tcBorders>
            <w:shd w:val="clear" w:color="auto" w:fill="auto"/>
            <w:noWrap/>
            <w:vAlign w:val="center"/>
            <w:hideMark/>
          </w:tcPr>
          <w:p w14:paraId="5861DFFC" w14:textId="77777777" w:rsidR="0096393F" w:rsidRPr="002101A1" w:rsidRDefault="0096393F" w:rsidP="00332FF7">
            <w:pPr>
              <w:spacing w:after="0" w:line="240" w:lineRule="auto"/>
              <w:jc w:val="center"/>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1,1</w:t>
            </w:r>
          </w:p>
        </w:tc>
        <w:tc>
          <w:tcPr>
            <w:tcW w:w="576" w:type="dxa"/>
            <w:tcBorders>
              <w:top w:val="nil"/>
              <w:left w:val="single" w:sz="4" w:space="0" w:color="auto"/>
              <w:bottom w:val="single" w:sz="4" w:space="0" w:color="auto"/>
              <w:right w:val="nil"/>
            </w:tcBorders>
            <w:shd w:val="clear" w:color="auto" w:fill="auto"/>
            <w:noWrap/>
            <w:vAlign w:val="center"/>
            <w:hideMark/>
          </w:tcPr>
          <w:p w14:paraId="3DDABECF" w14:textId="77777777" w:rsidR="0096393F" w:rsidRPr="002101A1" w:rsidRDefault="0096393F" w:rsidP="00332FF7">
            <w:pPr>
              <w:spacing w:after="0" w:line="240" w:lineRule="auto"/>
              <w:jc w:val="center"/>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49</w:t>
            </w:r>
          </w:p>
        </w:tc>
        <w:tc>
          <w:tcPr>
            <w:tcW w:w="664" w:type="dxa"/>
            <w:tcBorders>
              <w:top w:val="nil"/>
              <w:left w:val="single" w:sz="4" w:space="0" w:color="auto"/>
              <w:bottom w:val="single" w:sz="4" w:space="0" w:color="auto"/>
              <w:right w:val="nil"/>
            </w:tcBorders>
            <w:shd w:val="clear" w:color="auto" w:fill="auto"/>
            <w:noWrap/>
            <w:vAlign w:val="center"/>
            <w:hideMark/>
          </w:tcPr>
          <w:p w14:paraId="0BD6D322" w14:textId="77777777" w:rsidR="0096393F" w:rsidRPr="002101A1" w:rsidRDefault="0096393F" w:rsidP="00332FF7">
            <w:pPr>
              <w:spacing w:after="0" w:line="240" w:lineRule="auto"/>
              <w:jc w:val="right"/>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51,7</w:t>
            </w:r>
          </w:p>
        </w:tc>
        <w:tc>
          <w:tcPr>
            <w:tcW w:w="876" w:type="dxa"/>
            <w:tcBorders>
              <w:top w:val="nil"/>
              <w:left w:val="single" w:sz="4" w:space="0" w:color="auto"/>
              <w:bottom w:val="single" w:sz="4" w:space="0" w:color="auto"/>
              <w:right w:val="single" w:sz="8" w:space="0" w:color="auto"/>
            </w:tcBorders>
            <w:shd w:val="clear" w:color="auto" w:fill="auto"/>
            <w:noWrap/>
            <w:vAlign w:val="center"/>
            <w:hideMark/>
          </w:tcPr>
          <w:p w14:paraId="4B6E8137" w14:textId="77777777" w:rsidR="0096393F" w:rsidRPr="002101A1" w:rsidRDefault="0096393F" w:rsidP="00332FF7">
            <w:pPr>
              <w:spacing w:after="0" w:line="240" w:lineRule="auto"/>
              <w:jc w:val="right"/>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51,7</w:t>
            </w:r>
          </w:p>
        </w:tc>
      </w:tr>
      <w:tr w:rsidR="005C3DCF" w:rsidRPr="00DB333D" w14:paraId="4BA7FE32" w14:textId="77777777" w:rsidTr="002101A1">
        <w:trPr>
          <w:trHeight w:val="20"/>
        </w:trPr>
        <w:tc>
          <w:tcPr>
            <w:tcW w:w="413" w:type="dxa"/>
            <w:tcBorders>
              <w:top w:val="nil"/>
              <w:left w:val="single" w:sz="8" w:space="0" w:color="auto"/>
              <w:bottom w:val="single" w:sz="4" w:space="0" w:color="auto"/>
              <w:right w:val="single" w:sz="4" w:space="0" w:color="auto"/>
            </w:tcBorders>
            <w:shd w:val="clear" w:color="auto" w:fill="auto"/>
            <w:noWrap/>
            <w:vAlign w:val="center"/>
            <w:hideMark/>
          </w:tcPr>
          <w:p w14:paraId="1F4EA456" w14:textId="77777777" w:rsidR="0096393F" w:rsidRPr="002101A1" w:rsidRDefault="0096393F" w:rsidP="00332FF7">
            <w:pPr>
              <w:spacing w:after="0" w:line="240" w:lineRule="auto"/>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8</w:t>
            </w:r>
          </w:p>
        </w:tc>
        <w:tc>
          <w:tcPr>
            <w:tcW w:w="1067" w:type="dxa"/>
            <w:tcBorders>
              <w:top w:val="nil"/>
              <w:left w:val="nil"/>
              <w:bottom w:val="single" w:sz="4" w:space="0" w:color="auto"/>
              <w:right w:val="single" w:sz="4" w:space="0" w:color="auto"/>
            </w:tcBorders>
            <w:shd w:val="clear" w:color="auto" w:fill="auto"/>
            <w:vAlign w:val="center"/>
            <w:hideMark/>
          </w:tcPr>
          <w:p w14:paraId="270340AC" w14:textId="77777777" w:rsidR="0096393F" w:rsidRPr="002101A1" w:rsidRDefault="0096393F" w:rsidP="00332FF7">
            <w:pPr>
              <w:spacing w:after="0" w:line="240" w:lineRule="auto"/>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Teren</w:t>
            </w:r>
          </w:p>
        </w:tc>
        <w:tc>
          <w:tcPr>
            <w:tcW w:w="1136" w:type="dxa"/>
            <w:tcBorders>
              <w:top w:val="nil"/>
              <w:left w:val="nil"/>
              <w:bottom w:val="single" w:sz="4" w:space="0" w:color="auto"/>
              <w:right w:val="single" w:sz="4" w:space="0" w:color="auto"/>
            </w:tcBorders>
            <w:shd w:val="clear" w:color="auto" w:fill="auto"/>
            <w:vAlign w:val="center"/>
            <w:hideMark/>
          </w:tcPr>
          <w:p w14:paraId="42D4E0A0" w14:textId="46F48949" w:rsidR="0096393F" w:rsidRPr="002101A1" w:rsidRDefault="00010558" w:rsidP="00332FF7">
            <w:pPr>
              <w:spacing w:after="0" w:line="240" w:lineRule="auto"/>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r-nul</w:t>
            </w:r>
            <w:r w:rsidRPr="002101A1" w:rsidDel="00010558">
              <w:rPr>
                <w:rFonts w:ascii="Calibri Light" w:eastAsia="Times New Roman" w:hAnsi="Calibri Light" w:cs="Calibri Light"/>
                <w:sz w:val="16"/>
                <w:szCs w:val="16"/>
                <w:lang w:val="ro-MD"/>
              </w:rPr>
              <w:t xml:space="preserve"> </w:t>
            </w:r>
            <w:r w:rsidR="0096393F" w:rsidRPr="002101A1">
              <w:rPr>
                <w:rFonts w:ascii="Calibri Light" w:eastAsia="Times New Roman" w:hAnsi="Calibri Light" w:cs="Calibri Light"/>
                <w:sz w:val="16"/>
                <w:szCs w:val="16"/>
                <w:lang w:val="ro-MD"/>
              </w:rPr>
              <w:t>Straseni, s.Vorniceni</w:t>
            </w:r>
          </w:p>
        </w:tc>
        <w:tc>
          <w:tcPr>
            <w:tcW w:w="1033" w:type="dxa"/>
            <w:tcBorders>
              <w:top w:val="nil"/>
              <w:left w:val="nil"/>
              <w:bottom w:val="single" w:sz="4" w:space="0" w:color="auto"/>
              <w:right w:val="single" w:sz="4" w:space="0" w:color="auto"/>
            </w:tcBorders>
            <w:shd w:val="clear" w:color="auto" w:fill="auto"/>
            <w:vAlign w:val="center"/>
            <w:hideMark/>
          </w:tcPr>
          <w:p w14:paraId="7BBA214E" w14:textId="77777777" w:rsidR="0096393F" w:rsidRPr="002101A1" w:rsidRDefault="0096393F" w:rsidP="00332FF7">
            <w:pPr>
              <w:spacing w:after="0" w:line="240" w:lineRule="auto"/>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8042208387 13.01.2012</w:t>
            </w:r>
          </w:p>
        </w:tc>
        <w:tc>
          <w:tcPr>
            <w:tcW w:w="793" w:type="dxa"/>
            <w:tcBorders>
              <w:top w:val="nil"/>
              <w:left w:val="nil"/>
              <w:bottom w:val="single" w:sz="4" w:space="0" w:color="auto"/>
              <w:right w:val="single" w:sz="4" w:space="0" w:color="auto"/>
            </w:tcBorders>
            <w:shd w:val="clear" w:color="auto" w:fill="auto"/>
            <w:hideMark/>
          </w:tcPr>
          <w:p w14:paraId="2E9C9C9B" w14:textId="77777777" w:rsidR="0096393F" w:rsidRPr="002101A1" w:rsidRDefault="0096393F" w:rsidP="00332FF7">
            <w:pPr>
              <w:spacing w:after="0" w:line="240" w:lineRule="auto"/>
              <w:jc w:val="center"/>
              <w:rPr>
                <w:rFonts w:ascii="Calibri Light" w:eastAsia="Times New Roman" w:hAnsi="Calibri Light" w:cs="Calibri Light"/>
                <w:b/>
                <w:bCs/>
                <w:sz w:val="16"/>
                <w:szCs w:val="16"/>
                <w:lang w:val="ro-MD"/>
              </w:rPr>
            </w:pPr>
            <w:r w:rsidRPr="002101A1">
              <w:rPr>
                <w:rFonts w:ascii="Calibri Light" w:eastAsia="Times New Roman" w:hAnsi="Calibri Light" w:cs="Calibri Light"/>
                <w:b/>
                <w:bCs/>
                <w:sz w:val="16"/>
                <w:szCs w:val="16"/>
                <w:lang w:val="ro-MD"/>
              </w:rPr>
              <w:t> </w:t>
            </w:r>
          </w:p>
        </w:tc>
        <w:tc>
          <w:tcPr>
            <w:tcW w:w="847" w:type="dxa"/>
            <w:tcBorders>
              <w:top w:val="nil"/>
              <w:left w:val="nil"/>
              <w:bottom w:val="single" w:sz="4" w:space="0" w:color="auto"/>
              <w:right w:val="single" w:sz="4" w:space="0" w:color="auto"/>
            </w:tcBorders>
            <w:shd w:val="clear" w:color="auto" w:fill="auto"/>
            <w:noWrap/>
            <w:vAlign w:val="center"/>
            <w:hideMark/>
          </w:tcPr>
          <w:p w14:paraId="4930B61B" w14:textId="77777777" w:rsidR="0096393F" w:rsidRPr="002101A1" w:rsidRDefault="0096393F" w:rsidP="00332FF7">
            <w:pPr>
              <w:spacing w:after="0" w:line="240" w:lineRule="auto"/>
              <w:jc w:val="right"/>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371,8</w:t>
            </w:r>
          </w:p>
        </w:tc>
        <w:tc>
          <w:tcPr>
            <w:tcW w:w="852" w:type="dxa"/>
            <w:tcBorders>
              <w:top w:val="nil"/>
              <w:left w:val="nil"/>
              <w:bottom w:val="single" w:sz="4" w:space="0" w:color="auto"/>
              <w:right w:val="single" w:sz="4" w:space="0" w:color="auto"/>
            </w:tcBorders>
            <w:shd w:val="clear" w:color="auto" w:fill="auto"/>
            <w:noWrap/>
            <w:vAlign w:val="center"/>
            <w:hideMark/>
          </w:tcPr>
          <w:p w14:paraId="6CC714CE" w14:textId="77777777" w:rsidR="0096393F" w:rsidRPr="002101A1" w:rsidRDefault="0096393F" w:rsidP="00332FF7">
            <w:pPr>
              <w:spacing w:after="0" w:line="240" w:lineRule="auto"/>
              <w:jc w:val="center"/>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36,9588</w:t>
            </w:r>
          </w:p>
        </w:tc>
        <w:tc>
          <w:tcPr>
            <w:tcW w:w="765" w:type="dxa"/>
            <w:tcBorders>
              <w:top w:val="nil"/>
              <w:left w:val="nil"/>
              <w:bottom w:val="single" w:sz="4" w:space="0" w:color="auto"/>
              <w:right w:val="single" w:sz="4" w:space="0" w:color="auto"/>
            </w:tcBorders>
            <w:shd w:val="clear" w:color="auto" w:fill="auto"/>
            <w:noWrap/>
            <w:vAlign w:val="center"/>
            <w:hideMark/>
          </w:tcPr>
          <w:p w14:paraId="2C760B5D" w14:textId="77777777" w:rsidR="0096393F" w:rsidRPr="002101A1" w:rsidRDefault="0096393F" w:rsidP="00332FF7">
            <w:pPr>
              <w:spacing w:after="0" w:line="240" w:lineRule="auto"/>
              <w:jc w:val="center"/>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Da</w:t>
            </w:r>
          </w:p>
        </w:tc>
        <w:tc>
          <w:tcPr>
            <w:tcW w:w="739" w:type="dxa"/>
            <w:tcBorders>
              <w:top w:val="single" w:sz="8" w:space="0" w:color="auto"/>
              <w:left w:val="nil"/>
              <w:bottom w:val="single" w:sz="4" w:space="0" w:color="auto"/>
              <w:right w:val="nil"/>
            </w:tcBorders>
            <w:shd w:val="clear" w:color="auto" w:fill="auto"/>
            <w:noWrap/>
            <w:vAlign w:val="center"/>
            <w:hideMark/>
          </w:tcPr>
          <w:p w14:paraId="479EB13F" w14:textId="77777777" w:rsidR="0096393F" w:rsidRPr="002101A1" w:rsidRDefault="0096393F" w:rsidP="00332FF7">
            <w:pPr>
              <w:spacing w:after="0" w:line="240" w:lineRule="auto"/>
              <w:jc w:val="center"/>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36,2</w:t>
            </w:r>
          </w:p>
        </w:tc>
        <w:tc>
          <w:tcPr>
            <w:tcW w:w="576" w:type="dxa"/>
            <w:tcBorders>
              <w:top w:val="nil"/>
              <w:left w:val="single" w:sz="4" w:space="0" w:color="auto"/>
              <w:bottom w:val="single" w:sz="4" w:space="0" w:color="auto"/>
              <w:right w:val="nil"/>
            </w:tcBorders>
            <w:shd w:val="clear" w:color="auto" w:fill="auto"/>
            <w:noWrap/>
            <w:vAlign w:val="center"/>
            <w:hideMark/>
          </w:tcPr>
          <w:p w14:paraId="2E029C26" w14:textId="77777777" w:rsidR="0096393F" w:rsidRPr="002101A1" w:rsidRDefault="0096393F" w:rsidP="00332FF7">
            <w:pPr>
              <w:spacing w:after="0" w:line="240" w:lineRule="auto"/>
              <w:jc w:val="center"/>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65</w:t>
            </w:r>
          </w:p>
        </w:tc>
        <w:tc>
          <w:tcPr>
            <w:tcW w:w="664" w:type="dxa"/>
            <w:tcBorders>
              <w:top w:val="nil"/>
              <w:left w:val="single" w:sz="4" w:space="0" w:color="auto"/>
              <w:bottom w:val="single" w:sz="4" w:space="0" w:color="auto"/>
              <w:right w:val="nil"/>
            </w:tcBorders>
            <w:shd w:val="clear" w:color="auto" w:fill="auto"/>
            <w:noWrap/>
            <w:vAlign w:val="center"/>
            <w:hideMark/>
          </w:tcPr>
          <w:p w14:paraId="352D249D" w14:textId="77777777" w:rsidR="0096393F" w:rsidRPr="002101A1" w:rsidRDefault="0096393F" w:rsidP="00332FF7">
            <w:pPr>
              <w:spacing w:after="0" w:line="240" w:lineRule="auto"/>
              <w:jc w:val="right"/>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86 890,70</w:t>
            </w:r>
          </w:p>
        </w:tc>
        <w:tc>
          <w:tcPr>
            <w:tcW w:w="876" w:type="dxa"/>
            <w:tcBorders>
              <w:top w:val="nil"/>
              <w:left w:val="single" w:sz="4" w:space="0" w:color="auto"/>
              <w:bottom w:val="single" w:sz="4" w:space="0" w:color="auto"/>
              <w:right w:val="single" w:sz="8" w:space="0" w:color="auto"/>
            </w:tcBorders>
            <w:shd w:val="clear" w:color="auto" w:fill="auto"/>
            <w:noWrap/>
            <w:vAlign w:val="center"/>
            <w:hideMark/>
          </w:tcPr>
          <w:p w14:paraId="1FE26777" w14:textId="77777777" w:rsidR="0096393F" w:rsidRPr="002101A1" w:rsidRDefault="0096393F" w:rsidP="00332FF7">
            <w:pPr>
              <w:spacing w:after="0" w:line="240" w:lineRule="auto"/>
              <w:jc w:val="right"/>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86 890,7</w:t>
            </w:r>
          </w:p>
        </w:tc>
      </w:tr>
      <w:tr w:rsidR="005C3DCF" w:rsidRPr="00DB333D" w14:paraId="7F4EF44E" w14:textId="77777777" w:rsidTr="002101A1">
        <w:trPr>
          <w:trHeight w:val="20"/>
        </w:trPr>
        <w:tc>
          <w:tcPr>
            <w:tcW w:w="413" w:type="dxa"/>
            <w:tcBorders>
              <w:top w:val="nil"/>
              <w:left w:val="single" w:sz="8" w:space="0" w:color="auto"/>
              <w:bottom w:val="single" w:sz="8" w:space="0" w:color="auto"/>
              <w:right w:val="single" w:sz="4" w:space="0" w:color="auto"/>
            </w:tcBorders>
            <w:shd w:val="clear" w:color="auto" w:fill="auto"/>
            <w:noWrap/>
            <w:vAlign w:val="center"/>
            <w:hideMark/>
          </w:tcPr>
          <w:p w14:paraId="06CFA653" w14:textId="77777777" w:rsidR="0096393F" w:rsidRPr="002101A1" w:rsidRDefault="0096393F" w:rsidP="00332FF7">
            <w:pPr>
              <w:spacing w:after="0" w:line="240" w:lineRule="auto"/>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9</w:t>
            </w:r>
          </w:p>
        </w:tc>
        <w:tc>
          <w:tcPr>
            <w:tcW w:w="1067" w:type="dxa"/>
            <w:tcBorders>
              <w:top w:val="nil"/>
              <w:left w:val="nil"/>
              <w:bottom w:val="single" w:sz="8" w:space="0" w:color="auto"/>
              <w:right w:val="single" w:sz="4" w:space="0" w:color="auto"/>
            </w:tcBorders>
            <w:shd w:val="clear" w:color="auto" w:fill="auto"/>
            <w:vAlign w:val="center"/>
            <w:hideMark/>
          </w:tcPr>
          <w:p w14:paraId="672C6FAE" w14:textId="77777777" w:rsidR="0096393F" w:rsidRPr="002101A1" w:rsidRDefault="0096393F" w:rsidP="00332FF7">
            <w:pPr>
              <w:spacing w:after="0" w:line="240" w:lineRule="auto"/>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Teren arabil</w:t>
            </w:r>
          </w:p>
        </w:tc>
        <w:tc>
          <w:tcPr>
            <w:tcW w:w="1136" w:type="dxa"/>
            <w:tcBorders>
              <w:top w:val="nil"/>
              <w:left w:val="nil"/>
              <w:bottom w:val="single" w:sz="8" w:space="0" w:color="auto"/>
              <w:right w:val="single" w:sz="4" w:space="0" w:color="auto"/>
            </w:tcBorders>
            <w:shd w:val="clear" w:color="auto" w:fill="auto"/>
            <w:vAlign w:val="center"/>
            <w:hideMark/>
          </w:tcPr>
          <w:p w14:paraId="2EC54286" w14:textId="2E43920F" w:rsidR="0096393F" w:rsidRPr="002101A1" w:rsidRDefault="00010558" w:rsidP="00332FF7">
            <w:pPr>
              <w:spacing w:after="0" w:line="240" w:lineRule="auto"/>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r-nul</w:t>
            </w:r>
            <w:r w:rsidRPr="002101A1" w:rsidDel="00010558">
              <w:rPr>
                <w:rFonts w:ascii="Calibri Light" w:eastAsia="Times New Roman" w:hAnsi="Calibri Light" w:cs="Calibri Light"/>
                <w:sz w:val="16"/>
                <w:szCs w:val="16"/>
                <w:lang w:val="ro-MD"/>
              </w:rPr>
              <w:t xml:space="preserve"> </w:t>
            </w:r>
            <w:r w:rsidR="0096393F" w:rsidRPr="002101A1">
              <w:rPr>
                <w:rFonts w:ascii="Calibri Light" w:eastAsia="Times New Roman" w:hAnsi="Calibri Light" w:cs="Calibri Light"/>
                <w:sz w:val="16"/>
                <w:szCs w:val="16"/>
                <w:lang w:val="ro-MD"/>
              </w:rPr>
              <w:t>Straseni, s.Vorniceni</w:t>
            </w:r>
          </w:p>
        </w:tc>
        <w:tc>
          <w:tcPr>
            <w:tcW w:w="1033" w:type="dxa"/>
            <w:tcBorders>
              <w:top w:val="nil"/>
              <w:left w:val="nil"/>
              <w:bottom w:val="single" w:sz="8" w:space="0" w:color="auto"/>
              <w:right w:val="single" w:sz="4" w:space="0" w:color="auto"/>
            </w:tcBorders>
            <w:shd w:val="clear" w:color="auto" w:fill="auto"/>
            <w:vAlign w:val="center"/>
            <w:hideMark/>
          </w:tcPr>
          <w:p w14:paraId="6095E020" w14:textId="77777777" w:rsidR="0096393F" w:rsidRPr="002101A1" w:rsidRDefault="0096393F" w:rsidP="00332FF7">
            <w:pPr>
              <w:spacing w:after="0" w:line="240" w:lineRule="auto"/>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8042208390 13.01.2012</w:t>
            </w:r>
          </w:p>
        </w:tc>
        <w:tc>
          <w:tcPr>
            <w:tcW w:w="793" w:type="dxa"/>
            <w:tcBorders>
              <w:top w:val="nil"/>
              <w:left w:val="nil"/>
              <w:bottom w:val="single" w:sz="8" w:space="0" w:color="auto"/>
              <w:right w:val="single" w:sz="4" w:space="0" w:color="auto"/>
            </w:tcBorders>
            <w:shd w:val="clear" w:color="auto" w:fill="auto"/>
            <w:hideMark/>
          </w:tcPr>
          <w:p w14:paraId="70C41678" w14:textId="77777777" w:rsidR="0096393F" w:rsidRPr="002101A1" w:rsidRDefault="0096393F" w:rsidP="00332FF7">
            <w:pPr>
              <w:spacing w:after="0" w:line="240" w:lineRule="auto"/>
              <w:jc w:val="center"/>
              <w:rPr>
                <w:rFonts w:ascii="Calibri Light" w:eastAsia="Times New Roman" w:hAnsi="Calibri Light" w:cs="Calibri Light"/>
                <w:b/>
                <w:bCs/>
                <w:sz w:val="16"/>
                <w:szCs w:val="16"/>
                <w:lang w:val="ro-MD"/>
              </w:rPr>
            </w:pPr>
            <w:r w:rsidRPr="002101A1">
              <w:rPr>
                <w:rFonts w:ascii="Calibri Light" w:eastAsia="Times New Roman" w:hAnsi="Calibri Light" w:cs="Calibri Light"/>
                <w:b/>
                <w:bCs/>
                <w:sz w:val="16"/>
                <w:szCs w:val="16"/>
                <w:lang w:val="ro-MD"/>
              </w:rPr>
              <w:t> </w:t>
            </w:r>
          </w:p>
        </w:tc>
        <w:tc>
          <w:tcPr>
            <w:tcW w:w="847" w:type="dxa"/>
            <w:tcBorders>
              <w:top w:val="nil"/>
              <w:left w:val="nil"/>
              <w:bottom w:val="single" w:sz="8" w:space="0" w:color="auto"/>
              <w:right w:val="single" w:sz="4" w:space="0" w:color="auto"/>
            </w:tcBorders>
            <w:shd w:val="clear" w:color="auto" w:fill="auto"/>
            <w:noWrap/>
            <w:vAlign w:val="center"/>
            <w:hideMark/>
          </w:tcPr>
          <w:p w14:paraId="2D9EFA8C" w14:textId="77777777" w:rsidR="0096393F" w:rsidRPr="002101A1" w:rsidRDefault="0096393F" w:rsidP="00332FF7">
            <w:pPr>
              <w:spacing w:after="0" w:line="240" w:lineRule="auto"/>
              <w:jc w:val="right"/>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20,5</w:t>
            </w:r>
          </w:p>
        </w:tc>
        <w:tc>
          <w:tcPr>
            <w:tcW w:w="852" w:type="dxa"/>
            <w:tcBorders>
              <w:top w:val="nil"/>
              <w:left w:val="nil"/>
              <w:bottom w:val="single" w:sz="8" w:space="0" w:color="auto"/>
              <w:right w:val="single" w:sz="4" w:space="0" w:color="auto"/>
            </w:tcBorders>
            <w:shd w:val="clear" w:color="auto" w:fill="auto"/>
            <w:noWrap/>
            <w:vAlign w:val="center"/>
            <w:hideMark/>
          </w:tcPr>
          <w:p w14:paraId="46FE9790" w14:textId="77777777" w:rsidR="0096393F" w:rsidRPr="002101A1" w:rsidRDefault="0096393F" w:rsidP="00332FF7">
            <w:pPr>
              <w:spacing w:after="0" w:line="240" w:lineRule="auto"/>
              <w:jc w:val="center"/>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2,0355</w:t>
            </w:r>
          </w:p>
        </w:tc>
        <w:tc>
          <w:tcPr>
            <w:tcW w:w="765" w:type="dxa"/>
            <w:tcBorders>
              <w:top w:val="nil"/>
              <w:left w:val="nil"/>
              <w:bottom w:val="single" w:sz="8" w:space="0" w:color="auto"/>
              <w:right w:val="single" w:sz="4" w:space="0" w:color="auto"/>
            </w:tcBorders>
            <w:shd w:val="clear" w:color="auto" w:fill="auto"/>
            <w:noWrap/>
            <w:vAlign w:val="center"/>
            <w:hideMark/>
          </w:tcPr>
          <w:p w14:paraId="30094CD3" w14:textId="77777777" w:rsidR="0096393F" w:rsidRPr="002101A1" w:rsidRDefault="0096393F" w:rsidP="00332FF7">
            <w:pPr>
              <w:spacing w:after="0" w:line="240" w:lineRule="auto"/>
              <w:jc w:val="center"/>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Da</w:t>
            </w:r>
          </w:p>
        </w:tc>
        <w:tc>
          <w:tcPr>
            <w:tcW w:w="739" w:type="dxa"/>
            <w:tcBorders>
              <w:top w:val="nil"/>
              <w:left w:val="nil"/>
              <w:bottom w:val="single" w:sz="8" w:space="0" w:color="auto"/>
              <w:right w:val="nil"/>
            </w:tcBorders>
            <w:shd w:val="clear" w:color="auto" w:fill="auto"/>
            <w:noWrap/>
            <w:vAlign w:val="center"/>
            <w:hideMark/>
          </w:tcPr>
          <w:p w14:paraId="6FD50880" w14:textId="77777777" w:rsidR="0096393F" w:rsidRPr="002101A1" w:rsidRDefault="0096393F" w:rsidP="00332FF7">
            <w:pPr>
              <w:spacing w:after="0" w:line="240" w:lineRule="auto"/>
              <w:jc w:val="center"/>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1,1</w:t>
            </w:r>
          </w:p>
        </w:tc>
        <w:tc>
          <w:tcPr>
            <w:tcW w:w="576" w:type="dxa"/>
            <w:tcBorders>
              <w:top w:val="nil"/>
              <w:left w:val="single" w:sz="4" w:space="0" w:color="auto"/>
              <w:bottom w:val="single" w:sz="8" w:space="0" w:color="auto"/>
              <w:right w:val="nil"/>
            </w:tcBorders>
            <w:shd w:val="clear" w:color="auto" w:fill="auto"/>
            <w:noWrap/>
            <w:vAlign w:val="center"/>
            <w:hideMark/>
          </w:tcPr>
          <w:p w14:paraId="5AB40C23" w14:textId="77777777" w:rsidR="0096393F" w:rsidRPr="002101A1" w:rsidRDefault="0096393F" w:rsidP="00332FF7">
            <w:pPr>
              <w:spacing w:after="0" w:line="240" w:lineRule="auto"/>
              <w:jc w:val="center"/>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49</w:t>
            </w:r>
          </w:p>
        </w:tc>
        <w:tc>
          <w:tcPr>
            <w:tcW w:w="664" w:type="dxa"/>
            <w:tcBorders>
              <w:top w:val="nil"/>
              <w:left w:val="single" w:sz="4" w:space="0" w:color="auto"/>
              <w:bottom w:val="single" w:sz="8" w:space="0" w:color="auto"/>
              <w:right w:val="nil"/>
            </w:tcBorders>
            <w:shd w:val="clear" w:color="auto" w:fill="auto"/>
            <w:noWrap/>
            <w:vAlign w:val="center"/>
            <w:hideMark/>
          </w:tcPr>
          <w:p w14:paraId="48427B72" w14:textId="77777777" w:rsidR="0096393F" w:rsidRPr="002101A1" w:rsidRDefault="0096393F" w:rsidP="00332FF7">
            <w:pPr>
              <w:spacing w:after="0" w:line="240" w:lineRule="auto"/>
              <w:jc w:val="right"/>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112,70</w:t>
            </w:r>
          </w:p>
        </w:tc>
        <w:tc>
          <w:tcPr>
            <w:tcW w:w="876" w:type="dxa"/>
            <w:tcBorders>
              <w:top w:val="nil"/>
              <w:left w:val="single" w:sz="4" w:space="0" w:color="auto"/>
              <w:bottom w:val="single" w:sz="8" w:space="0" w:color="auto"/>
              <w:right w:val="single" w:sz="8" w:space="0" w:color="auto"/>
            </w:tcBorders>
            <w:shd w:val="clear" w:color="auto" w:fill="auto"/>
            <w:noWrap/>
            <w:vAlign w:val="center"/>
            <w:hideMark/>
          </w:tcPr>
          <w:p w14:paraId="3986B15C" w14:textId="77777777" w:rsidR="0096393F" w:rsidRPr="002101A1" w:rsidRDefault="0096393F" w:rsidP="00332FF7">
            <w:pPr>
              <w:spacing w:after="0" w:line="240" w:lineRule="auto"/>
              <w:jc w:val="right"/>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112,7</w:t>
            </w:r>
          </w:p>
        </w:tc>
      </w:tr>
      <w:tr w:rsidR="005C3DCF" w:rsidRPr="00DB333D" w14:paraId="309F9D93" w14:textId="77777777" w:rsidTr="002101A1">
        <w:trPr>
          <w:trHeight w:val="20"/>
        </w:trPr>
        <w:tc>
          <w:tcPr>
            <w:tcW w:w="413" w:type="dxa"/>
            <w:tcBorders>
              <w:top w:val="nil"/>
              <w:left w:val="single" w:sz="8" w:space="0" w:color="auto"/>
              <w:bottom w:val="single" w:sz="8" w:space="0" w:color="auto"/>
              <w:right w:val="single" w:sz="4" w:space="0" w:color="auto"/>
            </w:tcBorders>
            <w:shd w:val="clear" w:color="auto" w:fill="auto"/>
            <w:noWrap/>
            <w:vAlign w:val="center"/>
            <w:hideMark/>
          </w:tcPr>
          <w:p w14:paraId="12FF4508" w14:textId="77777777" w:rsidR="0096393F" w:rsidRPr="002101A1" w:rsidRDefault="0096393F" w:rsidP="00332FF7">
            <w:pPr>
              <w:spacing w:after="0" w:line="240" w:lineRule="auto"/>
              <w:rPr>
                <w:rFonts w:ascii="Calibri Light" w:eastAsia="Times New Roman" w:hAnsi="Calibri Light" w:cs="Calibri Light"/>
                <w:sz w:val="16"/>
                <w:szCs w:val="16"/>
                <w:lang w:val="ro-MD"/>
              </w:rPr>
            </w:pPr>
            <w:r w:rsidRPr="002101A1">
              <w:rPr>
                <w:rFonts w:ascii="Calibri Light" w:eastAsia="Times New Roman" w:hAnsi="Calibri Light" w:cs="Calibri Light"/>
                <w:sz w:val="16"/>
                <w:szCs w:val="16"/>
                <w:lang w:val="ro-MD"/>
              </w:rPr>
              <w:t> </w:t>
            </w:r>
          </w:p>
        </w:tc>
        <w:tc>
          <w:tcPr>
            <w:tcW w:w="3236" w:type="dxa"/>
            <w:gridSpan w:val="3"/>
            <w:tcBorders>
              <w:top w:val="single" w:sz="8" w:space="0" w:color="auto"/>
              <w:left w:val="nil"/>
              <w:bottom w:val="single" w:sz="8" w:space="0" w:color="auto"/>
              <w:right w:val="nil"/>
            </w:tcBorders>
            <w:shd w:val="clear" w:color="auto" w:fill="auto"/>
            <w:vAlign w:val="center"/>
            <w:hideMark/>
          </w:tcPr>
          <w:p w14:paraId="6607FE93" w14:textId="77777777" w:rsidR="0096393F" w:rsidRPr="002101A1" w:rsidRDefault="0096393F" w:rsidP="00332FF7">
            <w:pPr>
              <w:spacing w:after="0" w:line="240" w:lineRule="auto"/>
              <w:jc w:val="center"/>
              <w:rPr>
                <w:rFonts w:ascii="Calibri Light" w:eastAsia="Times New Roman" w:hAnsi="Calibri Light" w:cs="Calibri Light"/>
                <w:b/>
                <w:bCs/>
                <w:sz w:val="16"/>
                <w:szCs w:val="16"/>
                <w:lang w:val="ro-MD"/>
              </w:rPr>
            </w:pPr>
            <w:r w:rsidRPr="002101A1">
              <w:rPr>
                <w:rFonts w:ascii="Calibri Light" w:eastAsia="Times New Roman" w:hAnsi="Calibri Light" w:cs="Calibri Light"/>
                <w:b/>
                <w:bCs/>
                <w:sz w:val="16"/>
                <w:szCs w:val="16"/>
                <w:lang w:val="ro-MD"/>
              </w:rPr>
              <w:t>Total</w:t>
            </w:r>
          </w:p>
        </w:tc>
        <w:tc>
          <w:tcPr>
            <w:tcW w:w="793" w:type="dxa"/>
            <w:tcBorders>
              <w:top w:val="nil"/>
              <w:left w:val="single" w:sz="4" w:space="0" w:color="auto"/>
              <w:bottom w:val="single" w:sz="8" w:space="0" w:color="auto"/>
              <w:right w:val="single" w:sz="4" w:space="0" w:color="auto"/>
            </w:tcBorders>
            <w:shd w:val="clear" w:color="auto" w:fill="auto"/>
            <w:noWrap/>
            <w:vAlign w:val="center"/>
            <w:hideMark/>
          </w:tcPr>
          <w:p w14:paraId="5BBE2FDB" w14:textId="77777777" w:rsidR="0096393F" w:rsidRPr="002101A1" w:rsidRDefault="0096393F" w:rsidP="00332FF7">
            <w:pPr>
              <w:spacing w:after="0" w:line="240" w:lineRule="auto"/>
              <w:jc w:val="center"/>
              <w:rPr>
                <w:rFonts w:ascii="Calibri Light" w:eastAsia="Times New Roman" w:hAnsi="Calibri Light" w:cs="Calibri Light"/>
                <w:b/>
                <w:bCs/>
                <w:sz w:val="16"/>
                <w:szCs w:val="16"/>
                <w:lang w:val="ro-MD"/>
              </w:rPr>
            </w:pPr>
            <w:r w:rsidRPr="002101A1">
              <w:rPr>
                <w:rFonts w:ascii="Calibri Light" w:eastAsia="Times New Roman" w:hAnsi="Calibri Light" w:cs="Calibri Light"/>
                <w:b/>
                <w:bCs/>
                <w:sz w:val="16"/>
                <w:szCs w:val="16"/>
                <w:lang w:val="ro-MD"/>
              </w:rPr>
              <w:t>8984,9</w:t>
            </w:r>
          </w:p>
        </w:tc>
        <w:tc>
          <w:tcPr>
            <w:tcW w:w="847" w:type="dxa"/>
            <w:tcBorders>
              <w:top w:val="nil"/>
              <w:left w:val="nil"/>
              <w:bottom w:val="single" w:sz="8" w:space="0" w:color="auto"/>
              <w:right w:val="single" w:sz="4" w:space="0" w:color="auto"/>
            </w:tcBorders>
            <w:shd w:val="clear" w:color="auto" w:fill="auto"/>
            <w:noWrap/>
            <w:vAlign w:val="center"/>
            <w:hideMark/>
          </w:tcPr>
          <w:p w14:paraId="2A3ED853" w14:textId="77777777" w:rsidR="0096393F" w:rsidRPr="002101A1" w:rsidRDefault="0096393F" w:rsidP="00332FF7">
            <w:pPr>
              <w:spacing w:after="0" w:line="240" w:lineRule="auto"/>
              <w:jc w:val="center"/>
              <w:rPr>
                <w:rFonts w:ascii="Calibri Light" w:eastAsia="Times New Roman" w:hAnsi="Calibri Light" w:cs="Calibri Light"/>
                <w:b/>
                <w:bCs/>
                <w:sz w:val="16"/>
                <w:szCs w:val="16"/>
                <w:lang w:val="ro-MD"/>
              </w:rPr>
            </w:pPr>
            <w:r w:rsidRPr="002101A1">
              <w:rPr>
                <w:rFonts w:ascii="Calibri Light" w:eastAsia="Times New Roman" w:hAnsi="Calibri Light" w:cs="Calibri Light"/>
                <w:b/>
                <w:bCs/>
                <w:sz w:val="16"/>
                <w:szCs w:val="16"/>
                <w:lang w:val="ro-MD"/>
              </w:rPr>
              <w:t>8 088,9</w:t>
            </w:r>
          </w:p>
        </w:tc>
        <w:tc>
          <w:tcPr>
            <w:tcW w:w="852" w:type="dxa"/>
            <w:tcBorders>
              <w:top w:val="nil"/>
              <w:left w:val="nil"/>
              <w:bottom w:val="single" w:sz="8" w:space="0" w:color="auto"/>
              <w:right w:val="single" w:sz="4" w:space="0" w:color="auto"/>
            </w:tcBorders>
            <w:shd w:val="clear" w:color="auto" w:fill="auto"/>
            <w:noWrap/>
            <w:vAlign w:val="center"/>
            <w:hideMark/>
          </w:tcPr>
          <w:p w14:paraId="47FDB3FB" w14:textId="77777777" w:rsidR="0096393F" w:rsidRPr="002101A1" w:rsidRDefault="0096393F" w:rsidP="00332FF7">
            <w:pPr>
              <w:spacing w:after="0" w:line="240" w:lineRule="auto"/>
              <w:jc w:val="center"/>
              <w:rPr>
                <w:rFonts w:ascii="Calibri Light" w:eastAsia="Times New Roman" w:hAnsi="Calibri Light" w:cs="Calibri Light"/>
                <w:b/>
                <w:bCs/>
                <w:sz w:val="16"/>
                <w:szCs w:val="16"/>
                <w:lang w:val="ro-MD"/>
              </w:rPr>
            </w:pPr>
            <w:r w:rsidRPr="002101A1">
              <w:rPr>
                <w:rFonts w:ascii="Calibri Light" w:eastAsia="Times New Roman" w:hAnsi="Calibri Light" w:cs="Calibri Light"/>
                <w:b/>
                <w:bCs/>
                <w:sz w:val="16"/>
                <w:szCs w:val="16"/>
                <w:lang w:val="ro-MD"/>
              </w:rPr>
              <w:t>47,68</w:t>
            </w:r>
          </w:p>
        </w:tc>
        <w:tc>
          <w:tcPr>
            <w:tcW w:w="765" w:type="dxa"/>
            <w:tcBorders>
              <w:top w:val="nil"/>
              <w:left w:val="nil"/>
              <w:bottom w:val="single" w:sz="8" w:space="0" w:color="auto"/>
              <w:right w:val="single" w:sz="4" w:space="0" w:color="auto"/>
            </w:tcBorders>
            <w:shd w:val="clear" w:color="auto" w:fill="auto"/>
            <w:noWrap/>
            <w:vAlign w:val="center"/>
            <w:hideMark/>
          </w:tcPr>
          <w:p w14:paraId="6AEE7720" w14:textId="77777777" w:rsidR="0096393F" w:rsidRPr="002101A1" w:rsidRDefault="0096393F" w:rsidP="00332FF7">
            <w:pPr>
              <w:spacing w:after="0" w:line="240" w:lineRule="auto"/>
              <w:jc w:val="center"/>
              <w:rPr>
                <w:rFonts w:ascii="Calibri Light" w:eastAsia="Times New Roman" w:hAnsi="Calibri Light" w:cs="Calibri Light"/>
                <w:b/>
                <w:bCs/>
                <w:sz w:val="16"/>
                <w:szCs w:val="16"/>
                <w:lang w:val="ro-MD"/>
              </w:rPr>
            </w:pPr>
            <w:r w:rsidRPr="002101A1">
              <w:rPr>
                <w:rFonts w:ascii="Calibri Light" w:eastAsia="Times New Roman" w:hAnsi="Calibri Light" w:cs="Calibri Light"/>
                <w:b/>
                <w:bCs/>
                <w:sz w:val="16"/>
                <w:szCs w:val="16"/>
                <w:lang w:val="ro-MD"/>
              </w:rPr>
              <w:t> </w:t>
            </w:r>
          </w:p>
        </w:tc>
        <w:tc>
          <w:tcPr>
            <w:tcW w:w="739" w:type="dxa"/>
            <w:tcBorders>
              <w:top w:val="nil"/>
              <w:left w:val="nil"/>
              <w:bottom w:val="single" w:sz="8" w:space="0" w:color="auto"/>
              <w:right w:val="nil"/>
            </w:tcBorders>
            <w:shd w:val="clear" w:color="auto" w:fill="auto"/>
            <w:noWrap/>
            <w:vAlign w:val="center"/>
            <w:hideMark/>
          </w:tcPr>
          <w:p w14:paraId="595D09C0" w14:textId="77777777" w:rsidR="0096393F" w:rsidRPr="002101A1" w:rsidRDefault="0096393F" w:rsidP="00332FF7">
            <w:pPr>
              <w:spacing w:after="0" w:line="240" w:lineRule="auto"/>
              <w:jc w:val="center"/>
              <w:rPr>
                <w:rFonts w:ascii="Calibri Light" w:eastAsia="Times New Roman" w:hAnsi="Calibri Light" w:cs="Calibri Light"/>
                <w:b/>
                <w:bCs/>
                <w:sz w:val="16"/>
                <w:szCs w:val="16"/>
                <w:lang w:val="ro-MD"/>
              </w:rPr>
            </w:pPr>
            <w:r w:rsidRPr="002101A1">
              <w:rPr>
                <w:rFonts w:ascii="Calibri Light" w:eastAsia="Times New Roman" w:hAnsi="Calibri Light" w:cs="Calibri Light"/>
                <w:b/>
                <w:bCs/>
                <w:sz w:val="16"/>
                <w:szCs w:val="16"/>
                <w:lang w:val="ro-MD"/>
              </w:rPr>
              <w:t> </w:t>
            </w:r>
          </w:p>
        </w:tc>
        <w:tc>
          <w:tcPr>
            <w:tcW w:w="576" w:type="dxa"/>
            <w:tcBorders>
              <w:top w:val="nil"/>
              <w:left w:val="single" w:sz="4" w:space="0" w:color="auto"/>
              <w:bottom w:val="single" w:sz="8" w:space="0" w:color="auto"/>
              <w:right w:val="nil"/>
            </w:tcBorders>
            <w:shd w:val="clear" w:color="auto" w:fill="auto"/>
            <w:noWrap/>
            <w:vAlign w:val="center"/>
            <w:hideMark/>
          </w:tcPr>
          <w:p w14:paraId="614BDFCB" w14:textId="77777777" w:rsidR="0096393F" w:rsidRPr="002101A1" w:rsidRDefault="0096393F" w:rsidP="00332FF7">
            <w:pPr>
              <w:spacing w:after="0" w:line="240" w:lineRule="auto"/>
              <w:jc w:val="center"/>
              <w:rPr>
                <w:rFonts w:ascii="Calibri Light" w:eastAsia="Times New Roman" w:hAnsi="Calibri Light" w:cs="Calibri Light"/>
                <w:b/>
                <w:bCs/>
                <w:sz w:val="16"/>
                <w:szCs w:val="16"/>
                <w:lang w:val="ro-MD"/>
              </w:rPr>
            </w:pPr>
            <w:r w:rsidRPr="002101A1">
              <w:rPr>
                <w:rFonts w:ascii="Calibri Light" w:eastAsia="Times New Roman" w:hAnsi="Calibri Light" w:cs="Calibri Light"/>
                <w:b/>
                <w:bCs/>
                <w:sz w:val="16"/>
                <w:szCs w:val="16"/>
                <w:lang w:val="ro-MD"/>
              </w:rPr>
              <w:t> </w:t>
            </w:r>
          </w:p>
        </w:tc>
        <w:tc>
          <w:tcPr>
            <w:tcW w:w="664" w:type="dxa"/>
            <w:tcBorders>
              <w:top w:val="nil"/>
              <w:left w:val="single" w:sz="4" w:space="0" w:color="auto"/>
              <w:bottom w:val="single" w:sz="8" w:space="0" w:color="auto"/>
              <w:right w:val="nil"/>
            </w:tcBorders>
            <w:shd w:val="clear" w:color="auto" w:fill="auto"/>
            <w:noWrap/>
            <w:vAlign w:val="center"/>
            <w:hideMark/>
          </w:tcPr>
          <w:p w14:paraId="36D54ECE" w14:textId="77777777" w:rsidR="0096393F" w:rsidRPr="002101A1" w:rsidRDefault="0096393F" w:rsidP="00332FF7">
            <w:pPr>
              <w:spacing w:after="0" w:line="240" w:lineRule="auto"/>
              <w:jc w:val="right"/>
              <w:rPr>
                <w:rFonts w:ascii="Calibri Light" w:eastAsia="Times New Roman" w:hAnsi="Calibri Light" w:cs="Calibri Light"/>
                <w:b/>
                <w:bCs/>
                <w:sz w:val="16"/>
                <w:szCs w:val="16"/>
                <w:lang w:val="ro-MD"/>
              </w:rPr>
            </w:pPr>
            <w:r w:rsidRPr="002101A1">
              <w:rPr>
                <w:rFonts w:ascii="Calibri Light" w:eastAsia="Times New Roman" w:hAnsi="Calibri Light" w:cs="Calibri Light"/>
                <w:b/>
                <w:bCs/>
                <w:sz w:val="16"/>
                <w:szCs w:val="16"/>
                <w:lang w:val="ro-MD"/>
              </w:rPr>
              <w:t>105 277,6</w:t>
            </w:r>
          </w:p>
        </w:tc>
        <w:tc>
          <w:tcPr>
            <w:tcW w:w="876" w:type="dxa"/>
            <w:tcBorders>
              <w:top w:val="nil"/>
              <w:left w:val="single" w:sz="4" w:space="0" w:color="auto"/>
              <w:bottom w:val="single" w:sz="8" w:space="0" w:color="auto"/>
              <w:right w:val="single" w:sz="8" w:space="0" w:color="auto"/>
            </w:tcBorders>
            <w:shd w:val="clear" w:color="auto" w:fill="auto"/>
            <w:noWrap/>
            <w:vAlign w:val="center"/>
            <w:hideMark/>
          </w:tcPr>
          <w:p w14:paraId="303D096E" w14:textId="77777777" w:rsidR="0096393F" w:rsidRPr="002101A1" w:rsidRDefault="0096393F" w:rsidP="00332FF7">
            <w:pPr>
              <w:spacing w:after="0" w:line="240" w:lineRule="auto"/>
              <w:jc w:val="right"/>
              <w:rPr>
                <w:rFonts w:ascii="Calibri Light" w:eastAsia="Times New Roman" w:hAnsi="Calibri Light" w:cs="Calibri Light"/>
                <w:b/>
                <w:bCs/>
                <w:sz w:val="16"/>
                <w:szCs w:val="16"/>
                <w:lang w:val="ro-MD"/>
              </w:rPr>
            </w:pPr>
            <w:r w:rsidRPr="002101A1">
              <w:rPr>
                <w:rFonts w:ascii="Calibri Light" w:eastAsia="Times New Roman" w:hAnsi="Calibri Light" w:cs="Calibri Light"/>
                <w:b/>
                <w:bCs/>
                <w:sz w:val="16"/>
                <w:szCs w:val="16"/>
                <w:lang w:val="ro-MD"/>
              </w:rPr>
              <w:t>110 723,9</w:t>
            </w:r>
          </w:p>
        </w:tc>
      </w:tr>
    </w:tbl>
    <w:p w14:paraId="766CD75B" w14:textId="34D8CD3E" w:rsidR="0096393F" w:rsidRPr="00B13B9A" w:rsidRDefault="0096393F" w:rsidP="0096393F">
      <w:pPr>
        <w:pStyle w:val="cn"/>
        <w:spacing w:line="276" w:lineRule="auto"/>
        <w:ind w:right="71"/>
        <w:jc w:val="both"/>
        <w:rPr>
          <w:rFonts w:asciiTheme="majorHAnsi" w:eastAsiaTheme="minorHAnsi" w:hAnsiTheme="majorHAnsi" w:cstheme="minorHAnsi"/>
          <w:i/>
          <w:sz w:val="20"/>
          <w:szCs w:val="20"/>
          <w:lang w:val="ro-MD" w:eastAsia="en-US"/>
        </w:rPr>
      </w:pPr>
      <w:r w:rsidRPr="00B13B9A">
        <w:rPr>
          <w:rFonts w:asciiTheme="majorHAnsi" w:eastAsiaTheme="minorHAnsi" w:hAnsiTheme="majorHAnsi" w:cstheme="minorHAnsi"/>
          <w:b/>
          <w:i/>
          <w:sz w:val="20"/>
          <w:szCs w:val="20"/>
          <w:lang w:val="ro-MD" w:eastAsia="en-US"/>
        </w:rPr>
        <w:t>Sursa:</w:t>
      </w:r>
      <w:r w:rsidRPr="00B13B9A">
        <w:rPr>
          <w:rFonts w:asciiTheme="majorHAnsi" w:eastAsiaTheme="minorHAnsi" w:hAnsiTheme="majorHAnsi" w:cstheme="minorHAnsi"/>
          <w:i/>
          <w:sz w:val="20"/>
          <w:szCs w:val="20"/>
          <w:lang w:val="ro-MD" w:eastAsia="en-US"/>
        </w:rPr>
        <w:t xml:space="preserve"> Întocmit de audit în baza cadrului legal</w:t>
      </w:r>
      <w:r w:rsidR="00010558" w:rsidRPr="00B13B9A">
        <w:rPr>
          <w:rFonts w:asciiTheme="majorHAnsi" w:eastAsiaTheme="minorHAnsi" w:hAnsiTheme="majorHAnsi" w:cstheme="minorHAnsi"/>
          <w:i/>
          <w:sz w:val="20"/>
          <w:szCs w:val="20"/>
          <w:lang w:val="ro-MD" w:eastAsia="en-US"/>
        </w:rPr>
        <w:t>.</w:t>
      </w:r>
    </w:p>
    <w:p w14:paraId="488EBEC9" w14:textId="77777777" w:rsidR="00D3471D" w:rsidRPr="00B13B9A" w:rsidRDefault="00D3471D" w:rsidP="00FA7B71">
      <w:pPr>
        <w:spacing w:after="0" w:line="240" w:lineRule="auto"/>
        <w:rPr>
          <w:rFonts w:asciiTheme="majorHAnsi" w:hAnsiTheme="majorHAnsi" w:cstheme="majorHAnsi"/>
          <w:b/>
          <w:iCs/>
          <w:sz w:val="24"/>
          <w:szCs w:val="24"/>
          <w:lang w:val="ro-MD"/>
        </w:rPr>
      </w:pPr>
    </w:p>
    <w:p w14:paraId="09EE6E5D" w14:textId="2C89CD18" w:rsidR="001457CE" w:rsidRPr="00B13B9A" w:rsidRDefault="001457CE" w:rsidP="00FB1833">
      <w:pPr>
        <w:spacing w:after="0" w:line="240" w:lineRule="auto"/>
        <w:rPr>
          <w:rFonts w:asciiTheme="majorHAnsi" w:eastAsia="Times New Roman" w:hAnsiTheme="majorHAnsi" w:cstheme="majorHAnsi"/>
          <w:b/>
          <w:bCs/>
          <w:color w:val="000000"/>
          <w:sz w:val="20"/>
          <w:szCs w:val="20"/>
          <w:lang w:val="ro-MD"/>
        </w:rPr>
      </w:pPr>
    </w:p>
    <w:p w14:paraId="41908D54" w14:textId="77777777" w:rsidR="00027B88" w:rsidRDefault="00027B88" w:rsidP="00FB1833">
      <w:pPr>
        <w:spacing w:after="0" w:line="240" w:lineRule="auto"/>
        <w:rPr>
          <w:rFonts w:asciiTheme="majorHAnsi" w:eastAsia="Times New Roman" w:hAnsiTheme="majorHAnsi" w:cstheme="majorHAnsi"/>
          <w:b/>
          <w:bCs/>
          <w:color w:val="000000"/>
          <w:sz w:val="20"/>
          <w:szCs w:val="20"/>
          <w:lang w:val="ro-MD"/>
        </w:rPr>
        <w:sectPr w:rsidR="00027B88" w:rsidSect="00046446">
          <w:pgSz w:w="12240" w:h="15840"/>
          <w:pgMar w:top="851" w:right="758" w:bottom="993" w:left="1701" w:header="708" w:footer="272" w:gutter="0"/>
          <w:cols w:space="708"/>
          <w:titlePg/>
          <w:docGrid w:linePitch="360"/>
        </w:sectPr>
      </w:pPr>
    </w:p>
    <w:p w14:paraId="1B0CA939" w14:textId="316D1A23" w:rsidR="001457CE" w:rsidRPr="00B13B9A" w:rsidRDefault="001457CE" w:rsidP="00FB1833">
      <w:pPr>
        <w:spacing w:after="0" w:line="240" w:lineRule="auto"/>
        <w:rPr>
          <w:rFonts w:asciiTheme="majorHAnsi" w:eastAsia="Times New Roman" w:hAnsiTheme="majorHAnsi" w:cstheme="majorHAnsi"/>
          <w:b/>
          <w:bCs/>
          <w:color w:val="000000"/>
          <w:sz w:val="20"/>
          <w:szCs w:val="20"/>
          <w:lang w:val="ro-MD"/>
        </w:rPr>
      </w:pPr>
    </w:p>
    <w:p w14:paraId="4FC4B577" w14:textId="77777777" w:rsidR="00FB1833" w:rsidRPr="00B13B9A" w:rsidRDefault="00FB1833" w:rsidP="00FB1833">
      <w:pPr>
        <w:pStyle w:val="3"/>
        <w:jc w:val="right"/>
        <w:rPr>
          <w:rFonts w:cstheme="majorHAnsi"/>
          <w:b/>
          <w:iCs/>
          <w:color w:val="auto"/>
        </w:rPr>
      </w:pPr>
      <w:bookmarkStart w:id="67" w:name="_Toc154562537"/>
      <w:r w:rsidRPr="00B13B9A">
        <w:rPr>
          <w:rFonts w:cstheme="majorHAnsi"/>
          <w:b/>
          <w:iCs/>
          <w:color w:val="auto"/>
        </w:rPr>
        <w:t>Anexa nr. 1</w:t>
      </w:r>
      <w:r w:rsidR="001457CE" w:rsidRPr="00B13B9A">
        <w:rPr>
          <w:rFonts w:cstheme="majorHAnsi"/>
          <w:b/>
          <w:iCs/>
          <w:color w:val="auto"/>
        </w:rPr>
        <w:t>4</w:t>
      </w:r>
      <w:bookmarkEnd w:id="67"/>
    </w:p>
    <w:p w14:paraId="48727431" w14:textId="5000A382" w:rsidR="00FB1833" w:rsidRPr="00B13B9A" w:rsidRDefault="00FB1833" w:rsidP="00FB1833">
      <w:pPr>
        <w:spacing w:after="0" w:line="240" w:lineRule="auto"/>
        <w:jc w:val="center"/>
        <w:rPr>
          <w:rFonts w:asciiTheme="majorHAnsi" w:eastAsia="Times New Roman" w:hAnsiTheme="majorHAnsi" w:cstheme="majorHAnsi"/>
          <w:b/>
          <w:bCs/>
          <w:color w:val="000000"/>
          <w:sz w:val="24"/>
          <w:szCs w:val="20"/>
          <w:lang w:val="ro-MD"/>
        </w:rPr>
      </w:pPr>
      <w:r w:rsidRPr="00B13B9A">
        <w:rPr>
          <w:rFonts w:asciiTheme="majorHAnsi" w:eastAsia="Times New Roman" w:hAnsiTheme="majorHAnsi" w:cstheme="majorHAnsi"/>
          <w:b/>
          <w:bCs/>
          <w:color w:val="000000"/>
          <w:sz w:val="24"/>
          <w:szCs w:val="20"/>
          <w:lang w:val="ro-MD"/>
        </w:rPr>
        <w:t>Lista dispozitivelor medicale puse în func</w:t>
      </w:r>
      <w:r w:rsidR="00B13B9A" w:rsidRPr="00B13B9A">
        <w:rPr>
          <w:rFonts w:asciiTheme="majorHAnsi" w:eastAsia="Times New Roman" w:hAnsiTheme="majorHAnsi" w:cstheme="majorHAnsi"/>
          <w:b/>
          <w:bCs/>
          <w:color w:val="000000"/>
          <w:sz w:val="24"/>
          <w:szCs w:val="20"/>
          <w:lang w:val="ro-MD"/>
        </w:rPr>
        <w:t>ț</w:t>
      </w:r>
      <w:r w:rsidRPr="00B13B9A">
        <w:rPr>
          <w:rFonts w:asciiTheme="majorHAnsi" w:eastAsia="Times New Roman" w:hAnsiTheme="majorHAnsi" w:cstheme="majorHAnsi"/>
          <w:b/>
          <w:bCs/>
          <w:color w:val="000000"/>
          <w:sz w:val="24"/>
          <w:szCs w:val="20"/>
          <w:lang w:val="ro-MD"/>
        </w:rPr>
        <w:t>iune în perioada 2021-2023 (6 luni)</w:t>
      </w:r>
    </w:p>
    <w:tbl>
      <w:tblPr>
        <w:tblW w:w="9140" w:type="dxa"/>
        <w:tblLook w:val="04A0" w:firstRow="1" w:lastRow="0" w:firstColumn="1" w:lastColumn="0" w:noHBand="0" w:noVBand="1"/>
      </w:tblPr>
      <w:tblGrid>
        <w:gridCol w:w="5100"/>
        <w:gridCol w:w="1480"/>
        <w:gridCol w:w="2560"/>
      </w:tblGrid>
      <w:tr w:rsidR="00FB1833" w:rsidRPr="00B13B9A" w14:paraId="78A750AF" w14:textId="77777777" w:rsidTr="001457CE">
        <w:trPr>
          <w:trHeight w:val="20"/>
        </w:trPr>
        <w:tc>
          <w:tcPr>
            <w:tcW w:w="5100" w:type="dxa"/>
            <w:tcBorders>
              <w:top w:val="single" w:sz="4" w:space="0" w:color="auto"/>
              <w:left w:val="single" w:sz="4" w:space="0" w:color="auto"/>
              <w:bottom w:val="single" w:sz="4" w:space="0" w:color="auto"/>
              <w:right w:val="single" w:sz="4" w:space="0" w:color="auto"/>
            </w:tcBorders>
            <w:shd w:val="clear" w:color="auto" w:fill="auto"/>
            <w:hideMark/>
          </w:tcPr>
          <w:p w14:paraId="69E04D19" w14:textId="7147096F" w:rsidR="00FB1833" w:rsidRPr="00B13B9A" w:rsidRDefault="00FB1833" w:rsidP="005C3DCF">
            <w:pPr>
              <w:spacing w:after="0" w:line="240" w:lineRule="auto"/>
              <w:contextualSpacing/>
              <w:jc w:val="center"/>
              <w:rPr>
                <w:rFonts w:ascii="Calibri Light" w:eastAsia="Times New Roman" w:hAnsi="Calibri Light" w:cs="Calibri Light"/>
                <w:b/>
                <w:bCs/>
                <w:color w:val="000000"/>
                <w:sz w:val="20"/>
                <w:lang w:val="ro-MD"/>
              </w:rPr>
            </w:pPr>
            <w:r w:rsidRPr="00B13B9A">
              <w:rPr>
                <w:rFonts w:ascii="Calibri Light" w:eastAsia="Times New Roman" w:hAnsi="Calibri Light" w:cs="Calibri Light"/>
                <w:b/>
                <w:bCs/>
                <w:color w:val="000000"/>
                <w:sz w:val="20"/>
                <w:lang w:val="ro-MD"/>
              </w:rPr>
              <w:t xml:space="preserve">Denumirea </w:t>
            </w:r>
            <w:r w:rsidR="005C3DCF" w:rsidRPr="00B13B9A">
              <w:rPr>
                <w:rFonts w:ascii="Calibri Light" w:eastAsia="Times New Roman" w:hAnsi="Calibri Light" w:cs="Calibri Light"/>
                <w:b/>
                <w:bCs/>
                <w:color w:val="000000"/>
                <w:sz w:val="20"/>
                <w:lang w:val="ro-MD"/>
              </w:rPr>
              <w:t>u</w:t>
            </w:r>
            <w:r w:rsidRPr="00B13B9A">
              <w:rPr>
                <w:rFonts w:ascii="Calibri Light" w:eastAsia="Times New Roman" w:hAnsi="Calibri Light" w:cs="Calibri Light"/>
                <w:b/>
                <w:bCs/>
                <w:color w:val="000000"/>
                <w:sz w:val="20"/>
                <w:lang w:val="ro-MD"/>
              </w:rPr>
              <w:t>tilajului medical</w:t>
            </w:r>
          </w:p>
        </w:tc>
        <w:tc>
          <w:tcPr>
            <w:tcW w:w="1480" w:type="dxa"/>
            <w:tcBorders>
              <w:top w:val="single" w:sz="4" w:space="0" w:color="auto"/>
              <w:left w:val="nil"/>
              <w:bottom w:val="single" w:sz="4" w:space="0" w:color="auto"/>
              <w:right w:val="single" w:sz="4" w:space="0" w:color="auto"/>
            </w:tcBorders>
            <w:shd w:val="clear" w:color="auto" w:fill="auto"/>
            <w:hideMark/>
          </w:tcPr>
          <w:p w14:paraId="5CFA94FE" w14:textId="26D06A88" w:rsidR="00FB1833" w:rsidRPr="00B13B9A" w:rsidRDefault="00FB1833" w:rsidP="001457CE">
            <w:pPr>
              <w:spacing w:after="0" w:line="240" w:lineRule="auto"/>
              <w:contextualSpacing/>
              <w:jc w:val="center"/>
              <w:rPr>
                <w:rFonts w:ascii="Calibri Light" w:eastAsia="Times New Roman" w:hAnsi="Calibri Light" w:cs="Calibri Light"/>
                <w:b/>
                <w:bCs/>
                <w:color w:val="000000"/>
                <w:sz w:val="20"/>
                <w:lang w:val="ro-MD"/>
              </w:rPr>
            </w:pPr>
            <w:r w:rsidRPr="00B13B9A">
              <w:rPr>
                <w:rFonts w:ascii="Calibri Light" w:eastAsia="Times New Roman" w:hAnsi="Calibri Light" w:cs="Calibri Light"/>
                <w:b/>
                <w:bCs/>
                <w:color w:val="000000"/>
                <w:sz w:val="20"/>
                <w:lang w:val="ro-MD"/>
              </w:rPr>
              <w:t>Nr. de unită</w:t>
            </w:r>
            <w:r w:rsidR="00B13B9A" w:rsidRPr="00B13B9A">
              <w:rPr>
                <w:rFonts w:ascii="Calibri Light" w:eastAsia="Times New Roman" w:hAnsi="Calibri Light" w:cs="Calibri Light"/>
                <w:b/>
                <w:bCs/>
                <w:color w:val="000000"/>
                <w:sz w:val="20"/>
                <w:lang w:val="ro-MD"/>
              </w:rPr>
              <w:t>ț</w:t>
            </w:r>
            <w:r w:rsidRPr="00B13B9A">
              <w:rPr>
                <w:rFonts w:ascii="Calibri Light" w:eastAsia="Times New Roman" w:hAnsi="Calibri Light" w:cs="Calibri Light"/>
                <w:b/>
                <w:bCs/>
                <w:color w:val="000000"/>
                <w:sz w:val="20"/>
                <w:lang w:val="ro-MD"/>
              </w:rPr>
              <w:t>i</w:t>
            </w:r>
          </w:p>
        </w:tc>
        <w:tc>
          <w:tcPr>
            <w:tcW w:w="2560" w:type="dxa"/>
            <w:tcBorders>
              <w:top w:val="single" w:sz="4" w:space="0" w:color="auto"/>
              <w:left w:val="nil"/>
              <w:bottom w:val="single" w:sz="4" w:space="0" w:color="auto"/>
              <w:right w:val="single" w:sz="4" w:space="0" w:color="auto"/>
            </w:tcBorders>
            <w:shd w:val="clear" w:color="auto" w:fill="auto"/>
            <w:hideMark/>
          </w:tcPr>
          <w:p w14:paraId="1432B71B" w14:textId="1A1BF72D" w:rsidR="00FB1833" w:rsidRPr="00B13B9A" w:rsidRDefault="00FB1833" w:rsidP="001457CE">
            <w:pPr>
              <w:spacing w:after="0" w:line="240" w:lineRule="auto"/>
              <w:contextualSpacing/>
              <w:jc w:val="center"/>
              <w:rPr>
                <w:rFonts w:ascii="Calibri Light" w:eastAsia="Times New Roman" w:hAnsi="Calibri Light" w:cs="Calibri Light"/>
                <w:b/>
                <w:bCs/>
                <w:color w:val="000000"/>
                <w:sz w:val="20"/>
                <w:lang w:val="ro-MD"/>
              </w:rPr>
            </w:pPr>
            <w:r w:rsidRPr="00B13B9A">
              <w:rPr>
                <w:rFonts w:ascii="Calibri Light" w:eastAsia="Times New Roman" w:hAnsi="Calibri Light" w:cs="Calibri Light"/>
                <w:b/>
                <w:bCs/>
                <w:color w:val="000000"/>
                <w:sz w:val="20"/>
                <w:lang w:val="ro-MD"/>
              </w:rPr>
              <w:t>Valoare</w:t>
            </w:r>
            <w:r w:rsidR="00FB2E99" w:rsidRPr="00B13B9A">
              <w:rPr>
                <w:rFonts w:ascii="Calibri Light" w:eastAsia="Times New Roman" w:hAnsi="Calibri Light" w:cs="Calibri Light"/>
                <w:b/>
                <w:bCs/>
                <w:color w:val="000000"/>
                <w:sz w:val="20"/>
                <w:lang w:val="ro-MD"/>
              </w:rPr>
              <w:t>a</w:t>
            </w:r>
            <w:r w:rsidRPr="00B13B9A">
              <w:rPr>
                <w:rFonts w:ascii="Calibri Light" w:eastAsia="Times New Roman" w:hAnsi="Calibri Light" w:cs="Calibri Light"/>
                <w:b/>
                <w:bCs/>
                <w:color w:val="000000"/>
                <w:sz w:val="20"/>
                <w:lang w:val="ro-MD"/>
              </w:rPr>
              <w:t xml:space="preserve"> totală de intrare (lei)</w:t>
            </w:r>
          </w:p>
        </w:tc>
      </w:tr>
      <w:tr w:rsidR="00FB1833" w:rsidRPr="00B13B9A" w14:paraId="3CDDE293" w14:textId="77777777" w:rsidTr="001457CE">
        <w:trPr>
          <w:trHeight w:val="20"/>
        </w:trPr>
        <w:tc>
          <w:tcPr>
            <w:tcW w:w="9140"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14:paraId="45CF4D86" w14:textId="77777777" w:rsidR="00FB1833" w:rsidRPr="00B13B9A" w:rsidRDefault="00FB1833" w:rsidP="001457CE">
            <w:pPr>
              <w:spacing w:after="0" w:line="240" w:lineRule="auto"/>
              <w:contextualSpacing/>
              <w:jc w:val="center"/>
              <w:rPr>
                <w:rFonts w:ascii="Calibri Light" w:eastAsia="Times New Roman" w:hAnsi="Calibri Light" w:cs="Calibri Light"/>
                <w:b/>
                <w:bCs/>
                <w:color w:val="000000"/>
                <w:sz w:val="20"/>
                <w:lang w:val="ro-MD"/>
              </w:rPr>
            </w:pPr>
            <w:r w:rsidRPr="00B13B9A">
              <w:rPr>
                <w:rFonts w:ascii="Calibri Light" w:eastAsia="Times New Roman" w:hAnsi="Calibri Light" w:cs="Calibri Light"/>
                <w:b/>
                <w:bCs/>
                <w:color w:val="000000"/>
                <w:sz w:val="20"/>
                <w:lang w:val="ro-MD"/>
              </w:rPr>
              <w:t>2021</w:t>
            </w:r>
          </w:p>
        </w:tc>
      </w:tr>
      <w:tr w:rsidR="00FB1833" w:rsidRPr="00B13B9A" w14:paraId="0F4D4EEE" w14:textId="77777777" w:rsidTr="001457CE">
        <w:trPr>
          <w:trHeight w:val="20"/>
        </w:trPr>
        <w:tc>
          <w:tcPr>
            <w:tcW w:w="5100" w:type="dxa"/>
            <w:tcBorders>
              <w:top w:val="nil"/>
              <w:left w:val="single" w:sz="4" w:space="0" w:color="auto"/>
              <w:bottom w:val="single" w:sz="4" w:space="0" w:color="auto"/>
              <w:right w:val="single" w:sz="4" w:space="0" w:color="auto"/>
            </w:tcBorders>
            <w:shd w:val="clear" w:color="auto" w:fill="auto"/>
            <w:hideMark/>
          </w:tcPr>
          <w:p w14:paraId="2749F387" w14:textId="77777777" w:rsidR="00FB1833" w:rsidRPr="00B13B9A" w:rsidRDefault="00FB1833" w:rsidP="001457CE">
            <w:pPr>
              <w:spacing w:after="0" w:line="240" w:lineRule="auto"/>
              <w:contextualSpacing/>
              <w:rPr>
                <w:rFonts w:ascii="Calibri Light" w:eastAsia="Times New Roman" w:hAnsi="Calibri Light" w:cs="Calibri Light"/>
                <w:sz w:val="20"/>
                <w:lang w:val="ro-MD"/>
              </w:rPr>
            </w:pPr>
            <w:r w:rsidRPr="00B13B9A">
              <w:rPr>
                <w:rFonts w:ascii="Calibri Light" w:eastAsia="Times New Roman" w:hAnsi="Calibri Light" w:cs="Calibri Light"/>
                <w:sz w:val="20"/>
                <w:lang w:val="ro-MD"/>
              </w:rPr>
              <w:t>Unitate de radiologie digitala mobila X-RAY Italtray</w:t>
            </w:r>
          </w:p>
        </w:tc>
        <w:tc>
          <w:tcPr>
            <w:tcW w:w="1480" w:type="dxa"/>
            <w:tcBorders>
              <w:top w:val="nil"/>
              <w:left w:val="nil"/>
              <w:bottom w:val="single" w:sz="4" w:space="0" w:color="auto"/>
              <w:right w:val="single" w:sz="4" w:space="0" w:color="auto"/>
            </w:tcBorders>
            <w:shd w:val="clear" w:color="auto" w:fill="auto"/>
            <w:noWrap/>
            <w:hideMark/>
          </w:tcPr>
          <w:p w14:paraId="5B103884" w14:textId="77777777" w:rsidR="00FB1833" w:rsidRPr="00B13B9A" w:rsidRDefault="00FB1833" w:rsidP="001457CE">
            <w:pPr>
              <w:spacing w:after="0" w:line="240" w:lineRule="auto"/>
              <w:contextualSpacing/>
              <w:jc w:val="center"/>
              <w:rPr>
                <w:rFonts w:ascii="Calibri Light" w:eastAsia="Times New Roman" w:hAnsi="Calibri Light" w:cs="Calibri Light"/>
                <w:color w:val="000000"/>
                <w:sz w:val="20"/>
                <w:lang w:val="ro-MD"/>
              </w:rPr>
            </w:pPr>
            <w:r w:rsidRPr="00B13B9A">
              <w:rPr>
                <w:rFonts w:ascii="Calibri Light" w:eastAsia="Times New Roman" w:hAnsi="Calibri Light" w:cs="Calibri Light"/>
                <w:color w:val="000000"/>
                <w:sz w:val="20"/>
                <w:lang w:val="ro-MD"/>
              </w:rPr>
              <w:t>1</w:t>
            </w:r>
          </w:p>
        </w:tc>
        <w:tc>
          <w:tcPr>
            <w:tcW w:w="2560" w:type="dxa"/>
            <w:tcBorders>
              <w:top w:val="nil"/>
              <w:left w:val="nil"/>
              <w:bottom w:val="single" w:sz="4" w:space="0" w:color="auto"/>
              <w:right w:val="single" w:sz="4" w:space="0" w:color="auto"/>
            </w:tcBorders>
            <w:shd w:val="clear" w:color="auto" w:fill="auto"/>
            <w:noWrap/>
            <w:hideMark/>
          </w:tcPr>
          <w:p w14:paraId="1854FBD1" w14:textId="77777777" w:rsidR="00FB1833" w:rsidRPr="00B13B9A" w:rsidRDefault="00FB1833" w:rsidP="001457CE">
            <w:pPr>
              <w:spacing w:after="0" w:line="240" w:lineRule="auto"/>
              <w:contextualSpacing/>
              <w:jc w:val="right"/>
              <w:rPr>
                <w:rFonts w:ascii="Calibri Light" w:eastAsia="Times New Roman" w:hAnsi="Calibri Light" w:cs="Calibri Light"/>
                <w:color w:val="000000"/>
                <w:sz w:val="20"/>
                <w:lang w:val="ro-MD"/>
              </w:rPr>
            </w:pPr>
            <w:r w:rsidRPr="00B13B9A">
              <w:rPr>
                <w:rFonts w:ascii="Calibri Light" w:eastAsia="Times New Roman" w:hAnsi="Calibri Light" w:cs="Calibri Light"/>
                <w:color w:val="000000"/>
                <w:sz w:val="20"/>
                <w:lang w:val="ro-MD"/>
              </w:rPr>
              <w:t>1055899,45</w:t>
            </w:r>
          </w:p>
        </w:tc>
      </w:tr>
      <w:tr w:rsidR="00FB1833" w:rsidRPr="00B13B9A" w14:paraId="413B5890" w14:textId="77777777" w:rsidTr="001457CE">
        <w:trPr>
          <w:trHeight w:val="20"/>
        </w:trPr>
        <w:tc>
          <w:tcPr>
            <w:tcW w:w="5100" w:type="dxa"/>
            <w:tcBorders>
              <w:top w:val="nil"/>
              <w:left w:val="single" w:sz="4" w:space="0" w:color="auto"/>
              <w:bottom w:val="single" w:sz="4" w:space="0" w:color="auto"/>
              <w:right w:val="single" w:sz="4" w:space="0" w:color="auto"/>
            </w:tcBorders>
            <w:shd w:val="clear" w:color="auto" w:fill="auto"/>
            <w:hideMark/>
          </w:tcPr>
          <w:p w14:paraId="23D9B74F" w14:textId="77777777" w:rsidR="00FB1833" w:rsidRPr="00B13B9A" w:rsidRDefault="00FB1833" w:rsidP="001457CE">
            <w:pPr>
              <w:spacing w:after="0" w:line="240" w:lineRule="auto"/>
              <w:contextualSpacing/>
              <w:rPr>
                <w:rFonts w:ascii="Calibri Light" w:eastAsia="Times New Roman" w:hAnsi="Calibri Light" w:cs="Calibri Light"/>
                <w:sz w:val="20"/>
                <w:lang w:val="ro-MD"/>
              </w:rPr>
            </w:pPr>
            <w:r w:rsidRPr="00B13B9A">
              <w:rPr>
                <w:rFonts w:ascii="Calibri Light" w:eastAsia="Times New Roman" w:hAnsi="Calibri Light" w:cs="Calibri Light"/>
                <w:sz w:val="20"/>
                <w:lang w:val="ro-MD"/>
              </w:rPr>
              <w:t>Ventilator pulmonar</w:t>
            </w:r>
          </w:p>
        </w:tc>
        <w:tc>
          <w:tcPr>
            <w:tcW w:w="1480" w:type="dxa"/>
            <w:tcBorders>
              <w:top w:val="nil"/>
              <w:left w:val="nil"/>
              <w:bottom w:val="single" w:sz="4" w:space="0" w:color="auto"/>
              <w:right w:val="single" w:sz="4" w:space="0" w:color="auto"/>
            </w:tcBorders>
            <w:shd w:val="clear" w:color="auto" w:fill="auto"/>
            <w:noWrap/>
            <w:hideMark/>
          </w:tcPr>
          <w:p w14:paraId="725A2A09" w14:textId="77777777" w:rsidR="00FB1833" w:rsidRPr="00B13B9A" w:rsidRDefault="00FB1833" w:rsidP="001457CE">
            <w:pPr>
              <w:spacing w:after="0" w:line="240" w:lineRule="auto"/>
              <w:contextualSpacing/>
              <w:jc w:val="center"/>
              <w:rPr>
                <w:rFonts w:ascii="Calibri Light" w:eastAsia="Times New Roman" w:hAnsi="Calibri Light" w:cs="Calibri Light"/>
                <w:color w:val="000000"/>
                <w:sz w:val="20"/>
                <w:lang w:val="ro-MD"/>
              </w:rPr>
            </w:pPr>
            <w:r w:rsidRPr="00B13B9A">
              <w:rPr>
                <w:rFonts w:ascii="Calibri Light" w:eastAsia="Times New Roman" w:hAnsi="Calibri Light" w:cs="Calibri Light"/>
                <w:color w:val="000000"/>
                <w:sz w:val="20"/>
                <w:lang w:val="ro-MD"/>
              </w:rPr>
              <w:t>7</w:t>
            </w:r>
          </w:p>
        </w:tc>
        <w:tc>
          <w:tcPr>
            <w:tcW w:w="2560" w:type="dxa"/>
            <w:tcBorders>
              <w:top w:val="nil"/>
              <w:left w:val="nil"/>
              <w:bottom w:val="single" w:sz="4" w:space="0" w:color="auto"/>
              <w:right w:val="single" w:sz="4" w:space="0" w:color="auto"/>
            </w:tcBorders>
            <w:shd w:val="clear" w:color="auto" w:fill="auto"/>
            <w:noWrap/>
            <w:hideMark/>
          </w:tcPr>
          <w:p w14:paraId="080BA165" w14:textId="77777777" w:rsidR="00FB1833" w:rsidRPr="00B13B9A" w:rsidRDefault="00FB1833" w:rsidP="001457CE">
            <w:pPr>
              <w:spacing w:after="0" w:line="240" w:lineRule="auto"/>
              <w:contextualSpacing/>
              <w:jc w:val="right"/>
              <w:rPr>
                <w:rFonts w:ascii="Calibri Light" w:eastAsia="Times New Roman" w:hAnsi="Calibri Light" w:cs="Calibri Light"/>
                <w:color w:val="000000"/>
                <w:sz w:val="20"/>
                <w:lang w:val="ro-MD"/>
              </w:rPr>
            </w:pPr>
            <w:r w:rsidRPr="00B13B9A">
              <w:rPr>
                <w:rFonts w:ascii="Calibri Light" w:eastAsia="Times New Roman" w:hAnsi="Calibri Light" w:cs="Calibri Light"/>
                <w:color w:val="000000"/>
                <w:sz w:val="20"/>
                <w:lang w:val="ro-MD"/>
              </w:rPr>
              <w:t>2237352,16</w:t>
            </w:r>
          </w:p>
        </w:tc>
      </w:tr>
      <w:tr w:rsidR="00FB1833" w:rsidRPr="00B13B9A" w14:paraId="20561460" w14:textId="77777777" w:rsidTr="001457CE">
        <w:trPr>
          <w:trHeight w:val="20"/>
        </w:trPr>
        <w:tc>
          <w:tcPr>
            <w:tcW w:w="5100" w:type="dxa"/>
            <w:tcBorders>
              <w:top w:val="nil"/>
              <w:left w:val="single" w:sz="4" w:space="0" w:color="auto"/>
              <w:bottom w:val="single" w:sz="4" w:space="0" w:color="auto"/>
              <w:right w:val="single" w:sz="4" w:space="0" w:color="auto"/>
            </w:tcBorders>
            <w:shd w:val="clear" w:color="auto" w:fill="auto"/>
            <w:hideMark/>
          </w:tcPr>
          <w:p w14:paraId="1CC160FC" w14:textId="77777777" w:rsidR="00FB1833" w:rsidRPr="00B13B9A" w:rsidRDefault="00FB1833" w:rsidP="001457CE">
            <w:pPr>
              <w:spacing w:after="0" w:line="240" w:lineRule="auto"/>
              <w:contextualSpacing/>
              <w:rPr>
                <w:rFonts w:ascii="Calibri Light" w:eastAsia="Times New Roman" w:hAnsi="Calibri Light" w:cs="Calibri Light"/>
                <w:sz w:val="20"/>
                <w:lang w:val="ro-MD"/>
              </w:rPr>
            </w:pPr>
            <w:r w:rsidRPr="00B13B9A">
              <w:rPr>
                <w:rFonts w:ascii="Calibri Light" w:eastAsia="Times New Roman" w:hAnsi="Calibri Light" w:cs="Calibri Light"/>
                <w:sz w:val="20"/>
                <w:lang w:val="ro-MD"/>
              </w:rPr>
              <w:t>Concentrator de oxigen</w:t>
            </w:r>
          </w:p>
        </w:tc>
        <w:tc>
          <w:tcPr>
            <w:tcW w:w="1480" w:type="dxa"/>
            <w:tcBorders>
              <w:top w:val="nil"/>
              <w:left w:val="nil"/>
              <w:bottom w:val="single" w:sz="4" w:space="0" w:color="auto"/>
              <w:right w:val="single" w:sz="4" w:space="0" w:color="auto"/>
            </w:tcBorders>
            <w:shd w:val="clear" w:color="auto" w:fill="auto"/>
            <w:noWrap/>
            <w:hideMark/>
          </w:tcPr>
          <w:p w14:paraId="41B260C3" w14:textId="77777777" w:rsidR="00FB1833" w:rsidRPr="00B13B9A" w:rsidRDefault="00FB1833" w:rsidP="001457CE">
            <w:pPr>
              <w:spacing w:after="0" w:line="240" w:lineRule="auto"/>
              <w:contextualSpacing/>
              <w:jc w:val="center"/>
              <w:rPr>
                <w:rFonts w:ascii="Calibri Light" w:eastAsia="Times New Roman" w:hAnsi="Calibri Light" w:cs="Calibri Light"/>
                <w:color w:val="000000"/>
                <w:sz w:val="20"/>
                <w:lang w:val="ro-MD"/>
              </w:rPr>
            </w:pPr>
            <w:r w:rsidRPr="00B13B9A">
              <w:rPr>
                <w:rFonts w:ascii="Calibri Light" w:eastAsia="Times New Roman" w:hAnsi="Calibri Light" w:cs="Calibri Light"/>
                <w:color w:val="000000"/>
                <w:sz w:val="20"/>
                <w:lang w:val="ro-MD"/>
              </w:rPr>
              <w:t>29</w:t>
            </w:r>
          </w:p>
        </w:tc>
        <w:tc>
          <w:tcPr>
            <w:tcW w:w="2560" w:type="dxa"/>
            <w:tcBorders>
              <w:top w:val="nil"/>
              <w:left w:val="nil"/>
              <w:bottom w:val="single" w:sz="4" w:space="0" w:color="auto"/>
              <w:right w:val="single" w:sz="4" w:space="0" w:color="auto"/>
            </w:tcBorders>
            <w:shd w:val="clear" w:color="auto" w:fill="auto"/>
            <w:noWrap/>
            <w:hideMark/>
          </w:tcPr>
          <w:p w14:paraId="73370209" w14:textId="77777777" w:rsidR="00FB1833" w:rsidRPr="00B13B9A" w:rsidRDefault="00FB1833" w:rsidP="001457CE">
            <w:pPr>
              <w:spacing w:after="0" w:line="240" w:lineRule="auto"/>
              <w:contextualSpacing/>
              <w:jc w:val="right"/>
              <w:rPr>
                <w:rFonts w:ascii="Calibri Light" w:eastAsia="Times New Roman" w:hAnsi="Calibri Light" w:cs="Calibri Light"/>
                <w:color w:val="000000"/>
                <w:sz w:val="20"/>
                <w:lang w:val="ro-MD"/>
              </w:rPr>
            </w:pPr>
            <w:r w:rsidRPr="00B13B9A">
              <w:rPr>
                <w:rFonts w:ascii="Calibri Light" w:eastAsia="Times New Roman" w:hAnsi="Calibri Light" w:cs="Calibri Light"/>
                <w:color w:val="000000"/>
                <w:sz w:val="20"/>
                <w:lang w:val="ro-MD"/>
              </w:rPr>
              <w:t>355171,15</w:t>
            </w:r>
          </w:p>
        </w:tc>
      </w:tr>
      <w:tr w:rsidR="00FB1833" w:rsidRPr="00B13B9A" w14:paraId="7EE64C1C" w14:textId="77777777" w:rsidTr="001457CE">
        <w:trPr>
          <w:trHeight w:val="20"/>
        </w:trPr>
        <w:tc>
          <w:tcPr>
            <w:tcW w:w="5100" w:type="dxa"/>
            <w:tcBorders>
              <w:top w:val="nil"/>
              <w:left w:val="single" w:sz="4" w:space="0" w:color="auto"/>
              <w:bottom w:val="single" w:sz="4" w:space="0" w:color="auto"/>
              <w:right w:val="single" w:sz="4" w:space="0" w:color="auto"/>
            </w:tcBorders>
            <w:shd w:val="clear" w:color="auto" w:fill="auto"/>
            <w:hideMark/>
          </w:tcPr>
          <w:p w14:paraId="21585927" w14:textId="77777777" w:rsidR="00FB1833" w:rsidRPr="00B13B9A" w:rsidRDefault="00FB1833" w:rsidP="001457CE">
            <w:pPr>
              <w:spacing w:after="0" w:line="240" w:lineRule="auto"/>
              <w:contextualSpacing/>
              <w:rPr>
                <w:rFonts w:ascii="Calibri Light" w:eastAsia="Times New Roman" w:hAnsi="Calibri Light" w:cs="Calibri Light"/>
                <w:sz w:val="20"/>
                <w:lang w:val="ro-MD"/>
              </w:rPr>
            </w:pPr>
            <w:r w:rsidRPr="00B13B9A">
              <w:rPr>
                <w:rFonts w:ascii="Calibri Light" w:eastAsia="Times New Roman" w:hAnsi="Calibri Light" w:cs="Calibri Light"/>
                <w:sz w:val="20"/>
                <w:lang w:val="ro-MD"/>
              </w:rPr>
              <w:t>Aparat de terapie respiratorie IBREEZE</w:t>
            </w:r>
          </w:p>
        </w:tc>
        <w:tc>
          <w:tcPr>
            <w:tcW w:w="1480" w:type="dxa"/>
            <w:tcBorders>
              <w:top w:val="nil"/>
              <w:left w:val="nil"/>
              <w:bottom w:val="single" w:sz="4" w:space="0" w:color="auto"/>
              <w:right w:val="single" w:sz="4" w:space="0" w:color="auto"/>
            </w:tcBorders>
            <w:shd w:val="clear" w:color="auto" w:fill="auto"/>
            <w:noWrap/>
            <w:hideMark/>
          </w:tcPr>
          <w:p w14:paraId="5561026F" w14:textId="77777777" w:rsidR="00FB1833" w:rsidRPr="00B13B9A" w:rsidRDefault="00FB1833" w:rsidP="001457CE">
            <w:pPr>
              <w:spacing w:after="0" w:line="240" w:lineRule="auto"/>
              <w:contextualSpacing/>
              <w:jc w:val="center"/>
              <w:rPr>
                <w:rFonts w:ascii="Calibri Light" w:eastAsia="Times New Roman" w:hAnsi="Calibri Light" w:cs="Calibri Light"/>
                <w:color w:val="000000"/>
                <w:sz w:val="20"/>
                <w:lang w:val="ro-MD"/>
              </w:rPr>
            </w:pPr>
            <w:r w:rsidRPr="00B13B9A">
              <w:rPr>
                <w:rFonts w:ascii="Calibri Light" w:eastAsia="Times New Roman" w:hAnsi="Calibri Light" w:cs="Calibri Light"/>
                <w:color w:val="000000"/>
                <w:sz w:val="20"/>
                <w:lang w:val="ro-MD"/>
              </w:rPr>
              <w:t>1</w:t>
            </w:r>
          </w:p>
        </w:tc>
        <w:tc>
          <w:tcPr>
            <w:tcW w:w="2560" w:type="dxa"/>
            <w:tcBorders>
              <w:top w:val="nil"/>
              <w:left w:val="nil"/>
              <w:bottom w:val="single" w:sz="4" w:space="0" w:color="auto"/>
              <w:right w:val="single" w:sz="4" w:space="0" w:color="auto"/>
            </w:tcBorders>
            <w:shd w:val="clear" w:color="auto" w:fill="auto"/>
            <w:noWrap/>
            <w:hideMark/>
          </w:tcPr>
          <w:p w14:paraId="05A7514B" w14:textId="77777777" w:rsidR="00FB1833" w:rsidRPr="00B13B9A" w:rsidRDefault="00FB1833" w:rsidP="001457CE">
            <w:pPr>
              <w:spacing w:after="0" w:line="240" w:lineRule="auto"/>
              <w:contextualSpacing/>
              <w:jc w:val="right"/>
              <w:rPr>
                <w:rFonts w:ascii="Calibri Light" w:eastAsia="Times New Roman" w:hAnsi="Calibri Light" w:cs="Calibri Light"/>
                <w:color w:val="000000"/>
                <w:sz w:val="20"/>
                <w:lang w:val="ro-MD"/>
              </w:rPr>
            </w:pPr>
            <w:r w:rsidRPr="00B13B9A">
              <w:rPr>
                <w:rFonts w:ascii="Calibri Light" w:eastAsia="Times New Roman" w:hAnsi="Calibri Light" w:cs="Calibri Light"/>
                <w:color w:val="000000"/>
                <w:sz w:val="20"/>
                <w:lang w:val="ro-MD"/>
              </w:rPr>
              <w:t>26354,50</w:t>
            </w:r>
          </w:p>
        </w:tc>
      </w:tr>
      <w:tr w:rsidR="00FB1833" w:rsidRPr="00B13B9A" w14:paraId="2E5CF7E9" w14:textId="77777777" w:rsidTr="001457CE">
        <w:trPr>
          <w:trHeight w:val="20"/>
        </w:trPr>
        <w:tc>
          <w:tcPr>
            <w:tcW w:w="5100" w:type="dxa"/>
            <w:tcBorders>
              <w:top w:val="nil"/>
              <w:left w:val="single" w:sz="4" w:space="0" w:color="auto"/>
              <w:bottom w:val="single" w:sz="4" w:space="0" w:color="auto"/>
              <w:right w:val="single" w:sz="4" w:space="0" w:color="auto"/>
            </w:tcBorders>
            <w:shd w:val="clear" w:color="auto" w:fill="auto"/>
            <w:hideMark/>
          </w:tcPr>
          <w:p w14:paraId="6402D245" w14:textId="77777777" w:rsidR="00FB1833" w:rsidRPr="00B13B9A" w:rsidRDefault="00FB1833" w:rsidP="001457CE">
            <w:pPr>
              <w:spacing w:after="0" w:line="240" w:lineRule="auto"/>
              <w:contextualSpacing/>
              <w:rPr>
                <w:rFonts w:ascii="Calibri Light" w:eastAsia="Times New Roman" w:hAnsi="Calibri Light" w:cs="Calibri Light"/>
                <w:sz w:val="20"/>
                <w:lang w:val="ro-MD"/>
              </w:rPr>
            </w:pPr>
            <w:r w:rsidRPr="00B13B9A">
              <w:rPr>
                <w:rFonts w:ascii="Calibri Light" w:eastAsia="Times New Roman" w:hAnsi="Calibri Light" w:cs="Calibri Light"/>
                <w:sz w:val="20"/>
                <w:lang w:val="ro-MD"/>
              </w:rPr>
              <w:t>Aparat terapie intensiva LUMIS 150 VPAPST</w:t>
            </w:r>
          </w:p>
        </w:tc>
        <w:tc>
          <w:tcPr>
            <w:tcW w:w="1480" w:type="dxa"/>
            <w:tcBorders>
              <w:top w:val="nil"/>
              <w:left w:val="nil"/>
              <w:bottom w:val="single" w:sz="4" w:space="0" w:color="auto"/>
              <w:right w:val="single" w:sz="4" w:space="0" w:color="auto"/>
            </w:tcBorders>
            <w:shd w:val="clear" w:color="auto" w:fill="auto"/>
            <w:noWrap/>
            <w:hideMark/>
          </w:tcPr>
          <w:p w14:paraId="5B4983E5" w14:textId="77777777" w:rsidR="00FB1833" w:rsidRPr="00B13B9A" w:rsidRDefault="00FB1833" w:rsidP="001457CE">
            <w:pPr>
              <w:spacing w:after="0" w:line="240" w:lineRule="auto"/>
              <w:contextualSpacing/>
              <w:jc w:val="center"/>
              <w:rPr>
                <w:rFonts w:ascii="Calibri Light" w:eastAsia="Times New Roman" w:hAnsi="Calibri Light" w:cs="Calibri Light"/>
                <w:color w:val="000000"/>
                <w:sz w:val="20"/>
                <w:lang w:val="ro-MD"/>
              </w:rPr>
            </w:pPr>
            <w:r w:rsidRPr="00B13B9A">
              <w:rPr>
                <w:rFonts w:ascii="Calibri Light" w:eastAsia="Times New Roman" w:hAnsi="Calibri Light" w:cs="Calibri Light"/>
                <w:color w:val="000000"/>
                <w:sz w:val="20"/>
                <w:lang w:val="ro-MD"/>
              </w:rPr>
              <w:t>2</w:t>
            </w:r>
          </w:p>
        </w:tc>
        <w:tc>
          <w:tcPr>
            <w:tcW w:w="2560" w:type="dxa"/>
            <w:tcBorders>
              <w:top w:val="nil"/>
              <w:left w:val="nil"/>
              <w:bottom w:val="single" w:sz="4" w:space="0" w:color="auto"/>
              <w:right w:val="single" w:sz="4" w:space="0" w:color="auto"/>
            </w:tcBorders>
            <w:shd w:val="clear" w:color="auto" w:fill="auto"/>
            <w:noWrap/>
            <w:hideMark/>
          </w:tcPr>
          <w:p w14:paraId="2E55D86F" w14:textId="77777777" w:rsidR="00FB1833" w:rsidRPr="00B13B9A" w:rsidRDefault="00FB1833" w:rsidP="001457CE">
            <w:pPr>
              <w:spacing w:after="0" w:line="240" w:lineRule="auto"/>
              <w:contextualSpacing/>
              <w:jc w:val="right"/>
              <w:rPr>
                <w:rFonts w:ascii="Calibri Light" w:eastAsia="Times New Roman" w:hAnsi="Calibri Light" w:cs="Calibri Light"/>
                <w:color w:val="000000"/>
                <w:sz w:val="20"/>
                <w:lang w:val="ro-MD"/>
              </w:rPr>
            </w:pPr>
            <w:r w:rsidRPr="00B13B9A">
              <w:rPr>
                <w:rFonts w:ascii="Calibri Light" w:eastAsia="Times New Roman" w:hAnsi="Calibri Light" w:cs="Calibri Light"/>
                <w:color w:val="000000"/>
                <w:sz w:val="20"/>
                <w:lang w:val="ro-MD"/>
              </w:rPr>
              <w:t>97530,22</w:t>
            </w:r>
          </w:p>
        </w:tc>
      </w:tr>
      <w:tr w:rsidR="00FB1833" w:rsidRPr="00B13B9A" w14:paraId="361E9B70" w14:textId="77777777" w:rsidTr="001457CE">
        <w:trPr>
          <w:trHeight w:val="20"/>
        </w:trPr>
        <w:tc>
          <w:tcPr>
            <w:tcW w:w="5100" w:type="dxa"/>
            <w:tcBorders>
              <w:top w:val="nil"/>
              <w:left w:val="single" w:sz="4" w:space="0" w:color="auto"/>
              <w:bottom w:val="single" w:sz="4" w:space="0" w:color="auto"/>
              <w:right w:val="single" w:sz="4" w:space="0" w:color="auto"/>
            </w:tcBorders>
            <w:shd w:val="clear" w:color="auto" w:fill="auto"/>
            <w:hideMark/>
          </w:tcPr>
          <w:p w14:paraId="3F9F7A77" w14:textId="77777777" w:rsidR="00FB1833" w:rsidRPr="00B13B9A" w:rsidRDefault="00FB1833" w:rsidP="001457CE">
            <w:pPr>
              <w:spacing w:after="0" w:line="240" w:lineRule="auto"/>
              <w:contextualSpacing/>
              <w:rPr>
                <w:rFonts w:ascii="Calibri Light" w:eastAsia="Times New Roman" w:hAnsi="Calibri Light" w:cs="Calibri Light"/>
                <w:sz w:val="20"/>
                <w:lang w:val="ro-MD"/>
              </w:rPr>
            </w:pPr>
            <w:r w:rsidRPr="00B13B9A">
              <w:rPr>
                <w:rFonts w:ascii="Calibri Light" w:eastAsia="Times New Roman" w:hAnsi="Calibri Light" w:cs="Calibri Light"/>
                <w:sz w:val="20"/>
                <w:lang w:val="ro-MD"/>
              </w:rPr>
              <w:t>Aparat ventilare "Vent 50-C LM"</w:t>
            </w:r>
          </w:p>
        </w:tc>
        <w:tc>
          <w:tcPr>
            <w:tcW w:w="1480" w:type="dxa"/>
            <w:tcBorders>
              <w:top w:val="nil"/>
              <w:left w:val="nil"/>
              <w:bottom w:val="single" w:sz="4" w:space="0" w:color="auto"/>
              <w:right w:val="single" w:sz="4" w:space="0" w:color="auto"/>
            </w:tcBorders>
            <w:shd w:val="clear" w:color="auto" w:fill="auto"/>
            <w:noWrap/>
            <w:hideMark/>
          </w:tcPr>
          <w:p w14:paraId="6429F262" w14:textId="77777777" w:rsidR="00FB1833" w:rsidRPr="00B13B9A" w:rsidRDefault="00FB1833" w:rsidP="001457CE">
            <w:pPr>
              <w:spacing w:after="0" w:line="240" w:lineRule="auto"/>
              <w:contextualSpacing/>
              <w:jc w:val="center"/>
              <w:rPr>
                <w:rFonts w:ascii="Calibri Light" w:eastAsia="Times New Roman" w:hAnsi="Calibri Light" w:cs="Calibri Light"/>
                <w:color w:val="000000"/>
                <w:sz w:val="20"/>
                <w:lang w:val="ro-MD"/>
              </w:rPr>
            </w:pPr>
            <w:r w:rsidRPr="00B13B9A">
              <w:rPr>
                <w:rFonts w:ascii="Calibri Light" w:eastAsia="Times New Roman" w:hAnsi="Calibri Light" w:cs="Calibri Light"/>
                <w:color w:val="000000"/>
                <w:sz w:val="20"/>
                <w:lang w:val="ro-MD"/>
              </w:rPr>
              <w:t>1</w:t>
            </w:r>
          </w:p>
        </w:tc>
        <w:tc>
          <w:tcPr>
            <w:tcW w:w="2560" w:type="dxa"/>
            <w:tcBorders>
              <w:top w:val="nil"/>
              <w:left w:val="nil"/>
              <w:bottom w:val="single" w:sz="4" w:space="0" w:color="auto"/>
              <w:right w:val="single" w:sz="4" w:space="0" w:color="auto"/>
            </w:tcBorders>
            <w:shd w:val="clear" w:color="auto" w:fill="auto"/>
            <w:noWrap/>
            <w:hideMark/>
          </w:tcPr>
          <w:p w14:paraId="38447A8F" w14:textId="77777777" w:rsidR="00FB1833" w:rsidRPr="00B13B9A" w:rsidRDefault="00FB1833" w:rsidP="001457CE">
            <w:pPr>
              <w:spacing w:after="0" w:line="240" w:lineRule="auto"/>
              <w:contextualSpacing/>
              <w:jc w:val="right"/>
              <w:rPr>
                <w:rFonts w:ascii="Calibri Light" w:eastAsia="Times New Roman" w:hAnsi="Calibri Light" w:cs="Calibri Light"/>
                <w:sz w:val="20"/>
                <w:lang w:val="ro-MD"/>
              </w:rPr>
            </w:pPr>
            <w:r w:rsidRPr="00B13B9A">
              <w:rPr>
                <w:rFonts w:ascii="Calibri Light" w:eastAsia="Times New Roman" w:hAnsi="Calibri Light" w:cs="Calibri Light"/>
                <w:sz w:val="20"/>
                <w:lang w:val="ro-MD"/>
              </w:rPr>
              <w:t>116280,44</w:t>
            </w:r>
          </w:p>
        </w:tc>
      </w:tr>
      <w:tr w:rsidR="00FB1833" w:rsidRPr="00B13B9A" w14:paraId="3F42A4BB" w14:textId="77777777" w:rsidTr="001457CE">
        <w:trPr>
          <w:trHeight w:val="20"/>
        </w:trPr>
        <w:tc>
          <w:tcPr>
            <w:tcW w:w="5100" w:type="dxa"/>
            <w:tcBorders>
              <w:top w:val="nil"/>
              <w:left w:val="single" w:sz="4" w:space="0" w:color="auto"/>
              <w:bottom w:val="single" w:sz="4" w:space="0" w:color="auto"/>
              <w:right w:val="single" w:sz="4" w:space="0" w:color="auto"/>
            </w:tcBorders>
            <w:shd w:val="clear" w:color="auto" w:fill="auto"/>
            <w:hideMark/>
          </w:tcPr>
          <w:p w14:paraId="4F3DE935" w14:textId="77777777" w:rsidR="00FB1833" w:rsidRPr="00B13B9A" w:rsidRDefault="00FB1833" w:rsidP="001457CE">
            <w:pPr>
              <w:spacing w:after="0" w:line="240" w:lineRule="auto"/>
              <w:contextualSpacing/>
              <w:rPr>
                <w:rFonts w:ascii="Calibri Light" w:eastAsia="Times New Roman" w:hAnsi="Calibri Light" w:cs="Calibri Light"/>
                <w:sz w:val="20"/>
                <w:lang w:val="ro-MD"/>
              </w:rPr>
            </w:pPr>
            <w:r w:rsidRPr="00B13B9A">
              <w:rPr>
                <w:rFonts w:ascii="Calibri Light" w:eastAsia="Times New Roman" w:hAnsi="Calibri Light" w:cs="Calibri Light"/>
                <w:sz w:val="20"/>
                <w:lang w:val="ro-MD"/>
              </w:rPr>
              <w:t>Baie de apa Model NB9</w:t>
            </w:r>
          </w:p>
        </w:tc>
        <w:tc>
          <w:tcPr>
            <w:tcW w:w="1480" w:type="dxa"/>
            <w:tcBorders>
              <w:top w:val="nil"/>
              <w:left w:val="nil"/>
              <w:bottom w:val="single" w:sz="4" w:space="0" w:color="auto"/>
              <w:right w:val="single" w:sz="4" w:space="0" w:color="auto"/>
            </w:tcBorders>
            <w:shd w:val="clear" w:color="auto" w:fill="auto"/>
            <w:noWrap/>
            <w:hideMark/>
          </w:tcPr>
          <w:p w14:paraId="15288813" w14:textId="77777777" w:rsidR="00FB1833" w:rsidRPr="00B13B9A" w:rsidRDefault="00FB1833" w:rsidP="001457CE">
            <w:pPr>
              <w:spacing w:after="0" w:line="240" w:lineRule="auto"/>
              <w:contextualSpacing/>
              <w:jc w:val="center"/>
              <w:rPr>
                <w:rFonts w:ascii="Calibri Light" w:eastAsia="Times New Roman" w:hAnsi="Calibri Light" w:cs="Calibri Light"/>
                <w:color w:val="000000"/>
                <w:sz w:val="20"/>
                <w:lang w:val="ro-MD"/>
              </w:rPr>
            </w:pPr>
            <w:r w:rsidRPr="00B13B9A">
              <w:rPr>
                <w:rFonts w:ascii="Calibri Light" w:eastAsia="Times New Roman" w:hAnsi="Calibri Light" w:cs="Calibri Light"/>
                <w:color w:val="000000"/>
                <w:sz w:val="20"/>
                <w:lang w:val="ro-MD"/>
              </w:rPr>
              <w:t>2</w:t>
            </w:r>
          </w:p>
        </w:tc>
        <w:tc>
          <w:tcPr>
            <w:tcW w:w="2560" w:type="dxa"/>
            <w:tcBorders>
              <w:top w:val="nil"/>
              <w:left w:val="nil"/>
              <w:bottom w:val="single" w:sz="4" w:space="0" w:color="auto"/>
              <w:right w:val="single" w:sz="4" w:space="0" w:color="auto"/>
            </w:tcBorders>
            <w:shd w:val="clear" w:color="auto" w:fill="auto"/>
            <w:noWrap/>
            <w:hideMark/>
          </w:tcPr>
          <w:p w14:paraId="4EF8F101" w14:textId="77777777" w:rsidR="00FB1833" w:rsidRPr="00B13B9A" w:rsidRDefault="00FB1833" w:rsidP="001457CE">
            <w:pPr>
              <w:spacing w:after="0" w:line="240" w:lineRule="auto"/>
              <w:contextualSpacing/>
              <w:jc w:val="right"/>
              <w:rPr>
                <w:rFonts w:ascii="Calibri Light" w:eastAsia="Times New Roman" w:hAnsi="Calibri Light" w:cs="Calibri Light"/>
                <w:color w:val="000000"/>
                <w:sz w:val="20"/>
                <w:lang w:val="ro-MD"/>
              </w:rPr>
            </w:pPr>
            <w:r w:rsidRPr="00B13B9A">
              <w:rPr>
                <w:rFonts w:ascii="Calibri Light" w:eastAsia="Times New Roman" w:hAnsi="Calibri Light" w:cs="Calibri Light"/>
                <w:color w:val="000000"/>
                <w:sz w:val="20"/>
                <w:lang w:val="ro-MD"/>
              </w:rPr>
              <w:t>22470,00</w:t>
            </w:r>
          </w:p>
        </w:tc>
      </w:tr>
      <w:tr w:rsidR="00FB1833" w:rsidRPr="00B13B9A" w14:paraId="4E448BE3" w14:textId="77777777" w:rsidTr="001457CE">
        <w:trPr>
          <w:trHeight w:val="20"/>
        </w:trPr>
        <w:tc>
          <w:tcPr>
            <w:tcW w:w="5100" w:type="dxa"/>
            <w:tcBorders>
              <w:top w:val="nil"/>
              <w:left w:val="single" w:sz="4" w:space="0" w:color="auto"/>
              <w:bottom w:val="single" w:sz="4" w:space="0" w:color="auto"/>
              <w:right w:val="single" w:sz="4" w:space="0" w:color="auto"/>
            </w:tcBorders>
            <w:shd w:val="clear" w:color="auto" w:fill="auto"/>
            <w:hideMark/>
          </w:tcPr>
          <w:p w14:paraId="7AB66CF3" w14:textId="77777777" w:rsidR="00FB1833" w:rsidRPr="00B13B9A" w:rsidRDefault="00FB1833" w:rsidP="001457CE">
            <w:pPr>
              <w:spacing w:after="0" w:line="240" w:lineRule="auto"/>
              <w:contextualSpacing/>
              <w:rPr>
                <w:rFonts w:ascii="Calibri Light" w:eastAsia="Times New Roman" w:hAnsi="Calibri Light" w:cs="Calibri Light"/>
                <w:sz w:val="20"/>
                <w:lang w:val="ro-MD"/>
              </w:rPr>
            </w:pPr>
            <w:r w:rsidRPr="00B13B9A">
              <w:rPr>
                <w:rFonts w:ascii="Calibri Light" w:eastAsia="Times New Roman" w:hAnsi="Calibri Light" w:cs="Calibri Light"/>
                <w:sz w:val="20"/>
                <w:lang w:val="ro-MD"/>
              </w:rPr>
              <w:t>Balance Electronic analytical&amp; Precision balance ACN 120</w:t>
            </w:r>
          </w:p>
        </w:tc>
        <w:tc>
          <w:tcPr>
            <w:tcW w:w="1480" w:type="dxa"/>
            <w:tcBorders>
              <w:top w:val="nil"/>
              <w:left w:val="nil"/>
              <w:bottom w:val="single" w:sz="4" w:space="0" w:color="auto"/>
              <w:right w:val="single" w:sz="4" w:space="0" w:color="auto"/>
            </w:tcBorders>
            <w:shd w:val="clear" w:color="auto" w:fill="auto"/>
            <w:noWrap/>
            <w:hideMark/>
          </w:tcPr>
          <w:p w14:paraId="437EB05F" w14:textId="77777777" w:rsidR="00FB1833" w:rsidRPr="00B13B9A" w:rsidRDefault="00FB1833" w:rsidP="001457CE">
            <w:pPr>
              <w:spacing w:after="0" w:line="240" w:lineRule="auto"/>
              <w:contextualSpacing/>
              <w:jc w:val="center"/>
              <w:rPr>
                <w:rFonts w:ascii="Calibri Light" w:eastAsia="Times New Roman" w:hAnsi="Calibri Light" w:cs="Calibri Light"/>
                <w:color w:val="000000"/>
                <w:sz w:val="20"/>
                <w:lang w:val="ro-MD"/>
              </w:rPr>
            </w:pPr>
            <w:r w:rsidRPr="00B13B9A">
              <w:rPr>
                <w:rFonts w:ascii="Calibri Light" w:eastAsia="Times New Roman" w:hAnsi="Calibri Light" w:cs="Calibri Light"/>
                <w:color w:val="000000"/>
                <w:sz w:val="20"/>
                <w:lang w:val="ro-MD"/>
              </w:rPr>
              <w:t>2</w:t>
            </w:r>
          </w:p>
        </w:tc>
        <w:tc>
          <w:tcPr>
            <w:tcW w:w="2560" w:type="dxa"/>
            <w:tcBorders>
              <w:top w:val="nil"/>
              <w:left w:val="nil"/>
              <w:bottom w:val="single" w:sz="4" w:space="0" w:color="auto"/>
              <w:right w:val="single" w:sz="4" w:space="0" w:color="auto"/>
            </w:tcBorders>
            <w:shd w:val="clear" w:color="auto" w:fill="auto"/>
            <w:noWrap/>
            <w:hideMark/>
          </w:tcPr>
          <w:p w14:paraId="6E40FD5B" w14:textId="77777777" w:rsidR="00FB1833" w:rsidRPr="00B13B9A" w:rsidRDefault="00FB1833" w:rsidP="001457CE">
            <w:pPr>
              <w:spacing w:after="0" w:line="240" w:lineRule="auto"/>
              <w:contextualSpacing/>
              <w:jc w:val="right"/>
              <w:rPr>
                <w:rFonts w:ascii="Calibri Light" w:eastAsia="Times New Roman" w:hAnsi="Calibri Light" w:cs="Calibri Light"/>
                <w:color w:val="000000"/>
                <w:sz w:val="20"/>
                <w:lang w:val="ro-MD"/>
              </w:rPr>
            </w:pPr>
            <w:r w:rsidRPr="00B13B9A">
              <w:rPr>
                <w:rFonts w:ascii="Calibri Light" w:eastAsia="Times New Roman" w:hAnsi="Calibri Light" w:cs="Calibri Light"/>
                <w:color w:val="000000"/>
                <w:sz w:val="20"/>
                <w:lang w:val="ro-MD"/>
              </w:rPr>
              <w:t>28000,00</w:t>
            </w:r>
          </w:p>
        </w:tc>
      </w:tr>
      <w:tr w:rsidR="00FB1833" w:rsidRPr="00B13B9A" w14:paraId="720E31F4" w14:textId="77777777" w:rsidTr="001457CE">
        <w:trPr>
          <w:trHeight w:val="20"/>
        </w:trPr>
        <w:tc>
          <w:tcPr>
            <w:tcW w:w="5100" w:type="dxa"/>
            <w:tcBorders>
              <w:top w:val="nil"/>
              <w:left w:val="single" w:sz="4" w:space="0" w:color="auto"/>
              <w:bottom w:val="single" w:sz="4" w:space="0" w:color="auto"/>
              <w:right w:val="single" w:sz="4" w:space="0" w:color="auto"/>
            </w:tcBorders>
            <w:shd w:val="clear" w:color="auto" w:fill="auto"/>
            <w:vAlign w:val="bottom"/>
            <w:hideMark/>
          </w:tcPr>
          <w:p w14:paraId="36B758CF" w14:textId="2D930C89" w:rsidR="00FB1833" w:rsidRPr="00B13B9A" w:rsidRDefault="00FB1833" w:rsidP="001457CE">
            <w:pPr>
              <w:spacing w:after="0" w:line="240" w:lineRule="auto"/>
              <w:contextualSpacing/>
              <w:rPr>
                <w:rFonts w:ascii="Calibri Light" w:eastAsia="Times New Roman" w:hAnsi="Calibri Light" w:cs="Calibri Light"/>
                <w:sz w:val="20"/>
                <w:lang w:val="ro-MD"/>
              </w:rPr>
            </w:pPr>
            <w:r w:rsidRPr="00B13B9A">
              <w:rPr>
                <w:rFonts w:ascii="Calibri Light" w:eastAsia="Times New Roman" w:hAnsi="Calibri Light" w:cs="Calibri Light"/>
                <w:sz w:val="20"/>
                <w:lang w:val="ro-MD"/>
              </w:rPr>
              <w:t>Pat p</w:t>
            </w:r>
            <w:r w:rsidR="00FB2E99" w:rsidRPr="00B13B9A">
              <w:rPr>
                <w:rFonts w:ascii="Calibri Light" w:eastAsia="Times New Roman" w:hAnsi="Calibri Light" w:cs="Calibri Light"/>
                <w:sz w:val="20"/>
                <w:lang w:val="ro-MD"/>
              </w:rPr>
              <w:t>entr</w:t>
            </w:r>
            <w:r w:rsidRPr="00B13B9A">
              <w:rPr>
                <w:rFonts w:ascii="Calibri Light" w:eastAsia="Times New Roman" w:hAnsi="Calibri Light" w:cs="Calibri Light"/>
                <w:sz w:val="20"/>
                <w:lang w:val="ro-MD"/>
              </w:rPr>
              <w:t>u terapie intensivă</w:t>
            </w:r>
          </w:p>
        </w:tc>
        <w:tc>
          <w:tcPr>
            <w:tcW w:w="1480" w:type="dxa"/>
            <w:tcBorders>
              <w:top w:val="nil"/>
              <w:left w:val="nil"/>
              <w:bottom w:val="single" w:sz="4" w:space="0" w:color="auto"/>
              <w:right w:val="single" w:sz="4" w:space="0" w:color="auto"/>
            </w:tcBorders>
            <w:shd w:val="clear" w:color="auto" w:fill="auto"/>
            <w:noWrap/>
            <w:hideMark/>
          </w:tcPr>
          <w:p w14:paraId="32D6D2C5" w14:textId="77777777" w:rsidR="00FB1833" w:rsidRPr="00B13B9A" w:rsidRDefault="00FB1833" w:rsidP="001457CE">
            <w:pPr>
              <w:spacing w:after="0" w:line="240" w:lineRule="auto"/>
              <w:contextualSpacing/>
              <w:jc w:val="center"/>
              <w:rPr>
                <w:rFonts w:ascii="Calibri Light" w:eastAsia="Times New Roman" w:hAnsi="Calibri Light" w:cs="Calibri Light"/>
                <w:color w:val="000000"/>
                <w:sz w:val="20"/>
                <w:lang w:val="ro-MD"/>
              </w:rPr>
            </w:pPr>
            <w:r w:rsidRPr="00B13B9A">
              <w:rPr>
                <w:rFonts w:ascii="Calibri Light" w:eastAsia="Times New Roman" w:hAnsi="Calibri Light" w:cs="Calibri Light"/>
                <w:color w:val="000000"/>
                <w:sz w:val="20"/>
                <w:lang w:val="ro-MD"/>
              </w:rPr>
              <w:t>6</w:t>
            </w:r>
          </w:p>
        </w:tc>
        <w:tc>
          <w:tcPr>
            <w:tcW w:w="2560" w:type="dxa"/>
            <w:tcBorders>
              <w:top w:val="nil"/>
              <w:left w:val="nil"/>
              <w:bottom w:val="single" w:sz="4" w:space="0" w:color="auto"/>
              <w:right w:val="single" w:sz="4" w:space="0" w:color="auto"/>
            </w:tcBorders>
            <w:shd w:val="clear" w:color="auto" w:fill="auto"/>
            <w:noWrap/>
            <w:hideMark/>
          </w:tcPr>
          <w:p w14:paraId="766093AC" w14:textId="77777777" w:rsidR="00FB1833" w:rsidRPr="00B13B9A" w:rsidRDefault="00FB1833" w:rsidP="001457CE">
            <w:pPr>
              <w:spacing w:after="0" w:line="240" w:lineRule="auto"/>
              <w:contextualSpacing/>
              <w:jc w:val="right"/>
              <w:rPr>
                <w:rFonts w:ascii="Calibri Light" w:eastAsia="Times New Roman" w:hAnsi="Calibri Light" w:cs="Calibri Light"/>
                <w:color w:val="000000"/>
                <w:sz w:val="20"/>
                <w:lang w:val="ro-MD"/>
              </w:rPr>
            </w:pPr>
            <w:r w:rsidRPr="00B13B9A">
              <w:rPr>
                <w:rFonts w:ascii="Calibri Light" w:eastAsia="Times New Roman" w:hAnsi="Calibri Light" w:cs="Calibri Light"/>
                <w:color w:val="000000"/>
                <w:sz w:val="20"/>
                <w:lang w:val="ro-MD"/>
              </w:rPr>
              <w:t>291290,64</w:t>
            </w:r>
          </w:p>
        </w:tc>
      </w:tr>
      <w:tr w:rsidR="00FB1833" w:rsidRPr="00B13B9A" w14:paraId="685FC975" w14:textId="77777777" w:rsidTr="001457CE">
        <w:trPr>
          <w:trHeight w:val="20"/>
        </w:trPr>
        <w:tc>
          <w:tcPr>
            <w:tcW w:w="5100" w:type="dxa"/>
            <w:tcBorders>
              <w:top w:val="nil"/>
              <w:left w:val="single" w:sz="4" w:space="0" w:color="auto"/>
              <w:bottom w:val="single" w:sz="4" w:space="0" w:color="auto"/>
              <w:right w:val="single" w:sz="4" w:space="0" w:color="auto"/>
            </w:tcBorders>
            <w:shd w:val="clear" w:color="auto" w:fill="auto"/>
            <w:hideMark/>
          </w:tcPr>
          <w:p w14:paraId="259F633D" w14:textId="77777777" w:rsidR="00FB1833" w:rsidRPr="00B13B9A" w:rsidRDefault="00FB1833" w:rsidP="001457CE">
            <w:pPr>
              <w:spacing w:after="0" w:line="240" w:lineRule="auto"/>
              <w:contextualSpacing/>
              <w:rPr>
                <w:rFonts w:ascii="Calibri Light" w:eastAsia="Times New Roman" w:hAnsi="Calibri Light" w:cs="Calibri Light"/>
                <w:sz w:val="20"/>
                <w:lang w:val="ro-MD"/>
              </w:rPr>
            </w:pPr>
            <w:r w:rsidRPr="00B13B9A">
              <w:rPr>
                <w:rFonts w:ascii="Calibri Light" w:eastAsia="Times New Roman" w:hAnsi="Calibri Light" w:cs="Calibri Light"/>
                <w:sz w:val="20"/>
                <w:lang w:val="ro-MD"/>
              </w:rPr>
              <w:t>Detector de particule (pentru hote)</w:t>
            </w:r>
          </w:p>
        </w:tc>
        <w:tc>
          <w:tcPr>
            <w:tcW w:w="1480" w:type="dxa"/>
            <w:tcBorders>
              <w:top w:val="nil"/>
              <w:left w:val="nil"/>
              <w:bottom w:val="single" w:sz="4" w:space="0" w:color="auto"/>
              <w:right w:val="single" w:sz="4" w:space="0" w:color="auto"/>
            </w:tcBorders>
            <w:shd w:val="clear" w:color="auto" w:fill="auto"/>
            <w:noWrap/>
            <w:hideMark/>
          </w:tcPr>
          <w:p w14:paraId="6EAEEFE7" w14:textId="77777777" w:rsidR="00FB1833" w:rsidRPr="00B13B9A" w:rsidRDefault="00FB1833" w:rsidP="001457CE">
            <w:pPr>
              <w:spacing w:after="0" w:line="240" w:lineRule="auto"/>
              <w:contextualSpacing/>
              <w:jc w:val="center"/>
              <w:rPr>
                <w:rFonts w:ascii="Calibri Light" w:eastAsia="Times New Roman" w:hAnsi="Calibri Light" w:cs="Calibri Light"/>
                <w:color w:val="000000"/>
                <w:sz w:val="20"/>
                <w:lang w:val="ro-MD"/>
              </w:rPr>
            </w:pPr>
            <w:r w:rsidRPr="00B13B9A">
              <w:rPr>
                <w:rFonts w:ascii="Calibri Light" w:eastAsia="Times New Roman" w:hAnsi="Calibri Light" w:cs="Calibri Light"/>
                <w:color w:val="000000"/>
                <w:sz w:val="20"/>
                <w:lang w:val="ro-MD"/>
              </w:rPr>
              <w:t>2</w:t>
            </w:r>
          </w:p>
        </w:tc>
        <w:tc>
          <w:tcPr>
            <w:tcW w:w="2560" w:type="dxa"/>
            <w:tcBorders>
              <w:top w:val="nil"/>
              <w:left w:val="nil"/>
              <w:bottom w:val="single" w:sz="4" w:space="0" w:color="auto"/>
              <w:right w:val="single" w:sz="4" w:space="0" w:color="auto"/>
            </w:tcBorders>
            <w:shd w:val="clear" w:color="auto" w:fill="auto"/>
            <w:noWrap/>
            <w:hideMark/>
          </w:tcPr>
          <w:p w14:paraId="48365B77" w14:textId="77777777" w:rsidR="00FB1833" w:rsidRPr="00B13B9A" w:rsidRDefault="00FB1833" w:rsidP="001457CE">
            <w:pPr>
              <w:spacing w:after="0" w:line="240" w:lineRule="auto"/>
              <w:contextualSpacing/>
              <w:jc w:val="right"/>
              <w:rPr>
                <w:rFonts w:ascii="Calibri Light" w:eastAsia="Times New Roman" w:hAnsi="Calibri Light" w:cs="Calibri Light"/>
                <w:color w:val="000000"/>
                <w:sz w:val="20"/>
                <w:lang w:val="ro-MD"/>
              </w:rPr>
            </w:pPr>
            <w:r w:rsidRPr="00B13B9A">
              <w:rPr>
                <w:rFonts w:ascii="Calibri Light" w:eastAsia="Times New Roman" w:hAnsi="Calibri Light" w:cs="Calibri Light"/>
                <w:color w:val="000000"/>
                <w:sz w:val="20"/>
                <w:lang w:val="ro-MD"/>
              </w:rPr>
              <w:t>115450,00</w:t>
            </w:r>
          </w:p>
        </w:tc>
      </w:tr>
      <w:tr w:rsidR="00FB1833" w:rsidRPr="00B13B9A" w14:paraId="46B7997B" w14:textId="77777777" w:rsidTr="001457CE">
        <w:trPr>
          <w:trHeight w:val="20"/>
        </w:trPr>
        <w:tc>
          <w:tcPr>
            <w:tcW w:w="5100" w:type="dxa"/>
            <w:tcBorders>
              <w:top w:val="nil"/>
              <w:left w:val="single" w:sz="4" w:space="0" w:color="auto"/>
              <w:bottom w:val="single" w:sz="4" w:space="0" w:color="auto"/>
              <w:right w:val="single" w:sz="4" w:space="0" w:color="auto"/>
            </w:tcBorders>
            <w:shd w:val="clear" w:color="auto" w:fill="auto"/>
            <w:hideMark/>
          </w:tcPr>
          <w:p w14:paraId="3DC0768E" w14:textId="77777777" w:rsidR="00FB1833" w:rsidRPr="00B13B9A" w:rsidRDefault="00FB1833" w:rsidP="001457CE">
            <w:pPr>
              <w:spacing w:after="0" w:line="240" w:lineRule="auto"/>
              <w:contextualSpacing/>
              <w:rPr>
                <w:rFonts w:ascii="Calibri Light" w:eastAsia="Times New Roman" w:hAnsi="Calibri Light" w:cs="Calibri Light"/>
                <w:sz w:val="20"/>
                <w:lang w:val="ro-MD"/>
              </w:rPr>
            </w:pPr>
            <w:r w:rsidRPr="00B13B9A">
              <w:rPr>
                <w:rFonts w:ascii="Calibri Light" w:eastAsia="Times New Roman" w:hAnsi="Calibri Light" w:cs="Calibri Light"/>
                <w:sz w:val="20"/>
                <w:lang w:val="ro-MD"/>
              </w:rPr>
              <w:t>DOZIMETER KIT, DAP</w:t>
            </w:r>
          </w:p>
        </w:tc>
        <w:tc>
          <w:tcPr>
            <w:tcW w:w="1480" w:type="dxa"/>
            <w:tcBorders>
              <w:top w:val="nil"/>
              <w:left w:val="nil"/>
              <w:bottom w:val="single" w:sz="4" w:space="0" w:color="auto"/>
              <w:right w:val="single" w:sz="4" w:space="0" w:color="auto"/>
            </w:tcBorders>
            <w:shd w:val="clear" w:color="auto" w:fill="auto"/>
            <w:noWrap/>
            <w:hideMark/>
          </w:tcPr>
          <w:p w14:paraId="1B90F264" w14:textId="77777777" w:rsidR="00FB1833" w:rsidRPr="00B13B9A" w:rsidRDefault="00FB1833" w:rsidP="001457CE">
            <w:pPr>
              <w:spacing w:after="0" w:line="240" w:lineRule="auto"/>
              <w:contextualSpacing/>
              <w:jc w:val="center"/>
              <w:rPr>
                <w:rFonts w:ascii="Calibri Light" w:eastAsia="Times New Roman" w:hAnsi="Calibri Light" w:cs="Calibri Light"/>
                <w:color w:val="000000"/>
                <w:sz w:val="20"/>
                <w:lang w:val="ro-MD"/>
              </w:rPr>
            </w:pPr>
            <w:r w:rsidRPr="00B13B9A">
              <w:rPr>
                <w:rFonts w:ascii="Calibri Light" w:eastAsia="Times New Roman" w:hAnsi="Calibri Light" w:cs="Calibri Light"/>
                <w:color w:val="000000"/>
                <w:sz w:val="20"/>
                <w:lang w:val="ro-MD"/>
              </w:rPr>
              <w:t>1</w:t>
            </w:r>
          </w:p>
        </w:tc>
        <w:tc>
          <w:tcPr>
            <w:tcW w:w="2560" w:type="dxa"/>
            <w:tcBorders>
              <w:top w:val="nil"/>
              <w:left w:val="nil"/>
              <w:bottom w:val="single" w:sz="4" w:space="0" w:color="auto"/>
              <w:right w:val="single" w:sz="4" w:space="0" w:color="auto"/>
            </w:tcBorders>
            <w:shd w:val="clear" w:color="auto" w:fill="auto"/>
            <w:noWrap/>
            <w:hideMark/>
          </w:tcPr>
          <w:p w14:paraId="22AFA0C6" w14:textId="77777777" w:rsidR="00FB1833" w:rsidRPr="00B13B9A" w:rsidRDefault="00FB1833" w:rsidP="001457CE">
            <w:pPr>
              <w:spacing w:after="0" w:line="240" w:lineRule="auto"/>
              <w:contextualSpacing/>
              <w:jc w:val="right"/>
              <w:rPr>
                <w:rFonts w:ascii="Calibri Light" w:eastAsia="Times New Roman" w:hAnsi="Calibri Light" w:cs="Calibri Light"/>
                <w:color w:val="000000"/>
                <w:sz w:val="20"/>
                <w:lang w:val="ro-MD"/>
              </w:rPr>
            </w:pPr>
            <w:r w:rsidRPr="00B13B9A">
              <w:rPr>
                <w:rFonts w:ascii="Calibri Light" w:eastAsia="Times New Roman" w:hAnsi="Calibri Light" w:cs="Calibri Light"/>
                <w:color w:val="000000"/>
                <w:sz w:val="20"/>
                <w:lang w:val="ro-MD"/>
              </w:rPr>
              <w:t>51637,65</w:t>
            </w:r>
          </w:p>
        </w:tc>
      </w:tr>
      <w:tr w:rsidR="00FB1833" w:rsidRPr="00B13B9A" w14:paraId="140AEF04" w14:textId="77777777" w:rsidTr="001457CE">
        <w:trPr>
          <w:trHeight w:val="20"/>
        </w:trPr>
        <w:tc>
          <w:tcPr>
            <w:tcW w:w="5100" w:type="dxa"/>
            <w:tcBorders>
              <w:top w:val="nil"/>
              <w:left w:val="single" w:sz="4" w:space="0" w:color="auto"/>
              <w:bottom w:val="single" w:sz="4" w:space="0" w:color="auto"/>
              <w:right w:val="single" w:sz="4" w:space="0" w:color="auto"/>
            </w:tcBorders>
            <w:shd w:val="clear" w:color="auto" w:fill="auto"/>
            <w:hideMark/>
          </w:tcPr>
          <w:p w14:paraId="0C87DD73" w14:textId="77777777" w:rsidR="00FB1833" w:rsidRPr="00B13B9A" w:rsidRDefault="00FB1833" w:rsidP="001457CE">
            <w:pPr>
              <w:spacing w:after="0" w:line="240" w:lineRule="auto"/>
              <w:contextualSpacing/>
              <w:rPr>
                <w:rFonts w:ascii="Calibri Light" w:eastAsia="Times New Roman" w:hAnsi="Calibri Light" w:cs="Calibri Light"/>
                <w:sz w:val="20"/>
                <w:lang w:val="ro-MD"/>
              </w:rPr>
            </w:pPr>
            <w:r w:rsidRPr="00B13B9A">
              <w:rPr>
                <w:rFonts w:ascii="Calibri Light" w:eastAsia="Times New Roman" w:hAnsi="Calibri Light" w:cs="Calibri Light"/>
                <w:sz w:val="20"/>
                <w:lang w:val="ro-MD"/>
              </w:rPr>
              <w:t>Fit Test Kit FT-30 Bitrex</w:t>
            </w:r>
          </w:p>
        </w:tc>
        <w:tc>
          <w:tcPr>
            <w:tcW w:w="1480" w:type="dxa"/>
            <w:tcBorders>
              <w:top w:val="nil"/>
              <w:left w:val="nil"/>
              <w:bottom w:val="single" w:sz="4" w:space="0" w:color="auto"/>
              <w:right w:val="single" w:sz="4" w:space="0" w:color="auto"/>
            </w:tcBorders>
            <w:shd w:val="clear" w:color="auto" w:fill="auto"/>
            <w:noWrap/>
            <w:hideMark/>
          </w:tcPr>
          <w:p w14:paraId="53474F7B" w14:textId="77777777" w:rsidR="00FB1833" w:rsidRPr="00B13B9A" w:rsidRDefault="00FB1833" w:rsidP="001457CE">
            <w:pPr>
              <w:spacing w:after="0" w:line="240" w:lineRule="auto"/>
              <w:contextualSpacing/>
              <w:jc w:val="center"/>
              <w:rPr>
                <w:rFonts w:ascii="Calibri Light" w:eastAsia="Times New Roman" w:hAnsi="Calibri Light" w:cs="Calibri Light"/>
                <w:color w:val="000000"/>
                <w:sz w:val="20"/>
                <w:lang w:val="ro-MD"/>
              </w:rPr>
            </w:pPr>
            <w:r w:rsidRPr="00B13B9A">
              <w:rPr>
                <w:rFonts w:ascii="Calibri Light" w:eastAsia="Times New Roman" w:hAnsi="Calibri Light" w:cs="Calibri Light"/>
                <w:color w:val="000000"/>
                <w:sz w:val="20"/>
                <w:lang w:val="ro-MD"/>
              </w:rPr>
              <w:t>8</w:t>
            </w:r>
          </w:p>
        </w:tc>
        <w:tc>
          <w:tcPr>
            <w:tcW w:w="2560" w:type="dxa"/>
            <w:tcBorders>
              <w:top w:val="nil"/>
              <w:left w:val="nil"/>
              <w:bottom w:val="single" w:sz="4" w:space="0" w:color="auto"/>
              <w:right w:val="single" w:sz="4" w:space="0" w:color="auto"/>
            </w:tcBorders>
            <w:shd w:val="clear" w:color="auto" w:fill="auto"/>
            <w:noWrap/>
            <w:hideMark/>
          </w:tcPr>
          <w:p w14:paraId="71C0FF31" w14:textId="77777777" w:rsidR="00FB1833" w:rsidRPr="00B13B9A" w:rsidRDefault="00FB1833" w:rsidP="001457CE">
            <w:pPr>
              <w:spacing w:after="0" w:line="240" w:lineRule="auto"/>
              <w:contextualSpacing/>
              <w:jc w:val="right"/>
              <w:rPr>
                <w:rFonts w:ascii="Calibri Light" w:eastAsia="Times New Roman" w:hAnsi="Calibri Light" w:cs="Calibri Light"/>
                <w:color w:val="000000"/>
                <w:sz w:val="20"/>
                <w:lang w:val="ro-MD"/>
              </w:rPr>
            </w:pPr>
            <w:r w:rsidRPr="00B13B9A">
              <w:rPr>
                <w:rFonts w:ascii="Calibri Light" w:eastAsia="Times New Roman" w:hAnsi="Calibri Light" w:cs="Calibri Light"/>
                <w:color w:val="000000"/>
                <w:sz w:val="20"/>
                <w:lang w:val="ro-MD"/>
              </w:rPr>
              <w:t>120000,00</w:t>
            </w:r>
          </w:p>
        </w:tc>
      </w:tr>
      <w:tr w:rsidR="00FB1833" w:rsidRPr="00B13B9A" w14:paraId="3FAE6DAC" w14:textId="77777777" w:rsidTr="001457CE">
        <w:trPr>
          <w:trHeight w:val="20"/>
        </w:trPr>
        <w:tc>
          <w:tcPr>
            <w:tcW w:w="5100" w:type="dxa"/>
            <w:tcBorders>
              <w:top w:val="nil"/>
              <w:left w:val="single" w:sz="4" w:space="0" w:color="auto"/>
              <w:bottom w:val="single" w:sz="4" w:space="0" w:color="auto"/>
              <w:right w:val="single" w:sz="4" w:space="0" w:color="auto"/>
            </w:tcBorders>
            <w:shd w:val="clear" w:color="auto" w:fill="auto"/>
            <w:hideMark/>
          </w:tcPr>
          <w:p w14:paraId="02803BCE" w14:textId="77777777" w:rsidR="00FB1833" w:rsidRPr="00B13B9A" w:rsidRDefault="00FB1833" w:rsidP="001457CE">
            <w:pPr>
              <w:spacing w:after="0" w:line="240" w:lineRule="auto"/>
              <w:contextualSpacing/>
              <w:rPr>
                <w:rFonts w:ascii="Calibri Light" w:eastAsia="Times New Roman" w:hAnsi="Calibri Light" w:cs="Calibri Light"/>
                <w:sz w:val="20"/>
                <w:lang w:val="ro-MD"/>
              </w:rPr>
            </w:pPr>
            <w:r w:rsidRPr="00B13B9A">
              <w:rPr>
                <w:rFonts w:ascii="Calibri Light" w:eastAsia="Times New Roman" w:hAnsi="Calibri Light" w:cs="Calibri Light"/>
                <w:sz w:val="20"/>
                <w:lang w:val="ro-MD"/>
              </w:rPr>
              <w:t>Fotoliu bronhoscopie/28006</w:t>
            </w:r>
          </w:p>
        </w:tc>
        <w:tc>
          <w:tcPr>
            <w:tcW w:w="1480" w:type="dxa"/>
            <w:tcBorders>
              <w:top w:val="nil"/>
              <w:left w:val="nil"/>
              <w:bottom w:val="single" w:sz="4" w:space="0" w:color="auto"/>
              <w:right w:val="single" w:sz="4" w:space="0" w:color="auto"/>
            </w:tcBorders>
            <w:shd w:val="clear" w:color="auto" w:fill="auto"/>
            <w:noWrap/>
            <w:hideMark/>
          </w:tcPr>
          <w:p w14:paraId="0C830F07" w14:textId="77777777" w:rsidR="00FB1833" w:rsidRPr="00B13B9A" w:rsidRDefault="00FB1833" w:rsidP="001457CE">
            <w:pPr>
              <w:spacing w:after="0" w:line="240" w:lineRule="auto"/>
              <w:contextualSpacing/>
              <w:jc w:val="center"/>
              <w:rPr>
                <w:rFonts w:ascii="Calibri Light" w:eastAsia="Times New Roman" w:hAnsi="Calibri Light" w:cs="Calibri Light"/>
                <w:color w:val="000000"/>
                <w:sz w:val="20"/>
                <w:lang w:val="ro-MD"/>
              </w:rPr>
            </w:pPr>
            <w:r w:rsidRPr="00B13B9A">
              <w:rPr>
                <w:rFonts w:ascii="Calibri Light" w:eastAsia="Times New Roman" w:hAnsi="Calibri Light" w:cs="Calibri Light"/>
                <w:color w:val="000000"/>
                <w:sz w:val="20"/>
                <w:lang w:val="ro-MD"/>
              </w:rPr>
              <w:t>2</w:t>
            </w:r>
          </w:p>
        </w:tc>
        <w:tc>
          <w:tcPr>
            <w:tcW w:w="2560" w:type="dxa"/>
            <w:tcBorders>
              <w:top w:val="nil"/>
              <w:left w:val="nil"/>
              <w:bottom w:val="single" w:sz="4" w:space="0" w:color="auto"/>
              <w:right w:val="single" w:sz="4" w:space="0" w:color="auto"/>
            </w:tcBorders>
            <w:shd w:val="clear" w:color="auto" w:fill="auto"/>
            <w:noWrap/>
            <w:hideMark/>
          </w:tcPr>
          <w:p w14:paraId="1AE43413" w14:textId="77777777" w:rsidR="00FB1833" w:rsidRPr="00B13B9A" w:rsidRDefault="00FB1833" w:rsidP="001457CE">
            <w:pPr>
              <w:spacing w:after="0" w:line="240" w:lineRule="auto"/>
              <w:contextualSpacing/>
              <w:jc w:val="right"/>
              <w:rPr>
                <w:rFonts w:ascii="Calibri Light" w:eastAsia="Times New Roman" w:hAnsi="Calibri Light" w:cs="Calibri Light"/>
                <w:color w:val="000000"/>
                <w:sz w:val="20"/>
                <w:lang w:val="ro-MD"/>
              </w:rPr>
            </w:pPr>
            <w:r w:rsidRPr="00B13B9A">
              <w:rPr>
                <w:rFonts w:ascii="Calibri Light" w:eastAsia="Times New Roman" w:hAnsi="Calibri Light" w:cs="Calibri Light"/>
                <w:color w:val="000000"/>
                <w:sz w:val="20"/>
                <w:lang w:val="ro-MD"/>
              </w:rPr>
              <w:t>44496,00</w:t>
            </w:r>
          </w:p>
        </w:tc>
      </w:tr>
      <w:tr w:rsidR="00FB1833" w:rsidRPr="00B13B9A" w14:paraId="59AF6FA7" w14:textId="77777777" w:rsidTr="001457CE">
        <w:trPr>
          <w:trHeight w:val="20"/>
        </w:trPr>
        <w:tc>
          <w:tcPr>
            <w:tcW w:w="5100" w:type="dxa"/>
            <w:tcBorders>
              <w:top w:val="nil"/>
              <w:left w:val="single" w:sz="4" w:space="0" w:color="auto"/>
              <w:bottom w:val="single" w:sz="4" w:space="0" w:color="auto"/>
              <w:right w:val="single" w:sz="4" w:space="0" w:color="auto"/>
            </w:tcBorders>
            <w:shd w:val="clear" w:color="auto" w:fill="auto"/>
            <w:hideMark/>
          </w:tcPr>
          <w:p w14:paraId="21B23398" w14:textId="77777777" w:rsidR="00FB1833" w:rsidRPr="00B13B9A" w:rsidRDefault="00FB1833" w:rsidP="001457CE">
            <w:pPr>
              <w:spacing w:after="0" w:line="240" w:lineRule="auto"/>
              <w:contextualSpacing/>
              <w:rPr>
                <w:rFonts w:ascii="Calibri Light" w:eastAsia="Times New Roman" w:hAnsi="Calibri Light" w:cs="Calibri Light"/>
                <w:sz w:val="20"/>
                <w:lang w:val="ro-MD"/>
              </w:rPr>
            </w:pPr>
            <w:r w:rsidRPr="00B13B9A">
              <w:rPr>
                <w:rFonts w:ascii="Calibri Light" w:eastAsia="Times New Roman" w:hAnsi="Calibri Light" w:cs="Calibri Light"/>
                <w:sz w:val="20"/>
                <w:lang w:val="ro-MD"/>
              </w:rPr>
              <w:t>Monitor pentru pacient</w:t>
            </w:r>
          </w:p>
        </w:tc>
        <w:tc>
          <w:tcPr>
            <w:tcW w:w="1480" w:type="dxa"/>
            <w:tcBorders>
              <w:top w:val="nil"/>
              <w:left w:val="nil"/>
              <w:bottom w:val="single" w:sz="4" w:space="0" w:color="auto"/>
              <w:right w:val="single" w:sz="4" w:space="0" w:color="auto"/>
            </w:tcBorders>
            <w:shd w:val="clear" w:color="auto" w:fill="auto"/>
            <w:noWrap/>
            <w:hideMark/>
          </w:tcPr>
          <w:p w14:paraId="4C7210C1" w14:textId="77777777" w:rsidR="00FB1833" w:rsidRPr="00B13B9A" w:rsidRDefault="00FB1833" w:rsidP="001457CE">
            <w:pPr>
              <w:spacing w:after="0" w:line="240" w:lineRule="auto"/>
              <w:contextualSpacing/>
              <w:jc w:val="center"/>
              <w:rPr>
                <w:rFonts w:ascii="Calibri Light" w:eastAsia="Times New Roman" w:hAnsi="Calibri Light" w:cs="Calibri Light"/>
                <w:color w:val="000000"/>
                <w:sz w:val="20"/>
                <w:lang w:val="ro-MD"/>
              </w:rPr>
            </w:pPr>
            <w:r w:rsidRPr="00B13B9A">
              <w:rPr>
                <w:rFonts w:ascii="Calibri Light" w:eastAsia="Times New Roman" w:hAnsi="Calibri Light" w:cs="Calibri Light"/>
                <w:color w:val="000000"/>
                <w:sz w:val="20"/>
                <w:lang w:val="ro-MD"/>
              </w:rPr>
              <w:t>6</w:t>
            </w:r>
          </w:p>
        </w:tc>
        <w:tc>
          <w:tcPr>
            <w:tcW w:w="2560" w:type="dxa"/>
            <w:tcBorders>
              <w:top w:val="nil"/>
              <w:left w:val="nil"/>
              <w:bottom w:val="single" w:sz="4" w:space="0" w:color="auto"/>
              <w:right w:val="single" w:sz="4" w:space="0" w:color="auto"/>
            </w:tcBorders>
            <w:shd w:val="clear" w:color="auto" w:fill="auto"/>
            <w:noWrap/>
            <w:hideMark/>
          </w:tcPr>
          <w:p w14:paraId="4EF9A157" w14:textId="77777777" w:rsidR="00FB1833" w:rsidRPr="00B13B9A" w:rsidRDefault="00FB1833" w:rsidP="001457CE">
            <w:pPr>
              <w:spacing w:after="0" w:line="240" w:lineRule="auto"/>
              <w:contextualSpacing/>
              <w:jc w:val="right"/>
              <w:rPr>
                <w:rFonts w:ascii="Calibri Light" w:eastAsia="Times New Roman" w:hAnsi="Calibri Light" w:cs="Calibri Light"/>
                <w:color w:val="000000"/>
                <w:sz w:val="20"/>
                <w:lang w:val="ro-MD"/>
              </w:rPr>
            </w:pPr>
            <w:r w:rsidRPr="00B13B9A">
              <w:rPr>
                <w:rFonts w:ascii="Calibri Light" w:eastAsia="Times New Roman" w:hAnsi="Calibri Light" w:cs="Calibri Light"/>
                <w:color w:val="000000"/>
                <w:sz w:val="20"/>
                <w:lang w:val="ro-MD"/>
              </w:rPr>
              <w:t>85384,20</w:t>
            </w:r>
          </w:p>
        </w:tc>
      </w:tr>
      <w:tr w:rsidR="00FB1833" w:rsidRPr="00B13B9A" w14:paraId="211AB1AD" w14:textId="77777777" w:rsidTr="001457CE">
        <w:trPr>
          <w:trHeight w:val="20"/>
        </w:trPr>
        <w:tc>
          <w:tcPr>
            <w:tcW w:w="5100" w:type="dxa"/>
            <w:tcBorders>
              <w:top w:val="nil"/>
              <w:left w:val="single" w:sz="4" w:space="0" w:color="auto"/>
              <w:bottom w:val="single" w:sz="4" w:space="0" w:color="auto"/>
              <w:right w:val="single" w:sz="4" w:space="0" w:color="auto"/>
            </w:tcBorders>
            <w:shd w:val="clear" w:color="auto" w:fill="auto"/>
            <w:hideMark/>
          </w:tcPr>
          <w:p w14:paraId="3A5B4CD5" w14:textId="77777777" w:rsidR="00FB1833" w:rsidRPr="00B13B9A" w:rsidRDefault="00FB1833" w:rsidP="001457CE">
            <w:pPr>
              <w:spacing w:after="0" w:line="240" w:lineRule="auto"/>
              <w:contextualSpacing/>
              <w:rPr>
                <w:rFonts w:ascii="Calibri Light" w:eastAsia="Times New Roman" w:hAnsi="Calibri Light" w:cs="Calibri Light"/>
                <w:sz w:val="20"/>
                <w:lang w:val="ro-MD"/>
              </w:rPr>
            </w:pPr>
            <w:r w:rsidRPr="00B13B9A">
              <w:rPr>
                <w:rFonts w:ascii="Calibri Light" w:eastAsia="Times New Roman" w:hAnsi="Calibri Light" w:cs="Calibri Light"/>
                <w:sz w:val="20"/>
                <w:lang w:val="ro-MD"/>
              </w:rPr>
              <w:t>Pompa de perfuzie cu seringa Alaris GH Plus</w:t>
            </w:r>
          </w:p>
        </w:tc>
        <w:tc>
          <w:tcPr>
            <w:tcW w:w="1480" w:type="dxa"/>
            <w:tcBorders>
              <w:top w:val="nil"/>
              <w:left w:val="nil"/>
              <w:bottom w:val="single" w:sz="4" w:space="0" w:color="auto"/>
              <w:right w:val="single" w:sz="4" w:space="0" w:color="auto"/>
            </w:tcBorders>
            <w:shd w:val="clear" w:color="auto" w:fill="auto"/>
            <w:noWrap/>
            <w:hideMark/>
          </w:tcPr>
          <w:p w14:paraId="5B9F682F" w14:textId="77777777" w:rsidR="00FB1833" w:rsidRPr="00B13B9A" w:rsidRDefault="00FB1833" w:rsidP="001457CE">
            <w:pPr>
              <w:spacing w:after="0" w:line="240" w:lineRule="auto"/>
              <w:contextualSpacing/>
              <w:jc w:val="center"/>
              <w:rPr>
                <w:rFonts w:ascii="Calibri Light" w:eastAsia="Times New Roman" w:hAnsi="Calibri Light" w:cs="Calibri Light"/>
                <w:color w:val="000000"/>
                <w:sz w:val="20"/>
                <w:lang w:val="ro-MD"/>
              </w:rPr>
            </w:pPr>
            <w:r w:rsidRPr="00B13B9A">
              <w:rPr>
                <w:rFonts w:ascii="Calibri Light" w:eastAsia="Times New Roman" w:hAnsi="Calibri Light" w:cs="Calibri Light"/>
                <w:color w:val="000000"/>
                <w:sz w:val="20"/>
                <w:lang w:val="ro-MD"/>
              </w:rPr>
              <w:t>12</w:t>
            </w:r>
          </w:p>
        </w:tc>
        <w:tc>
          <w:tcPr>
            <w:tcW w:w="2560" w:type="dxa"/>
            <w:tcBorders>
              <w:top w:val="nil"/>
              <w:left w:val="nil"/>
              <w:bottom w:val="single" w:sz="4" w:space="0" w:color="auto"/>
              <w:right w:val="single" w:sz="4" w:space="0" w:color="auto"/>
            </w:tcBorders>
            <w:shd w:val="clear" w:color="auto" w:fill="auto"/>
            <w:noWrap/>
            <w:hideMark/>
          </w:tcPr>
          <w:p w14:paraId="0D6CC6FE" w14:textId="77777777" w:rsidR="00FB1833" w:rsidRPr="00B13B9A" w:rsidRDefault="00FB1833" w:rsidP="001457CE">
            <w:pPr>
              <w:spacing w:after="0" w:line="240" w:lineRule="auto"/>
              <w:contextualSpacing/>
              <w:jc w:val="right"/>
              <w:rPr>
                <w:rFonts w:ascii="Calibri Light" w:eastAsia="Times New Roman" w:hAnsi="Calibri Light" w:cs="Calibri Light"/>
                <w:color w:val="000000"/>
                <w:sz w:val="20"/>
                <w:lang w:val="ro-MD"/>
              </w:rPr>
            </w:pPr>
            <w:r w:rsidRPr="00B13B9A">
              <w:rPr>
                <w:rFonts w:ascii="Calibri Light" w:eastAsia="Times New Roman" w:hAnsi="Calibri Light" w:cs="Calibri Light"/>
                <w:color w:val="000000"/>
                <w:sz w:val="20"/>
                <w:lang w:val="ro-MD"/>
              </w:rPr>
              <w:t>204854,04</w:t>
            </w:r>
          </w:p>
        </w:tc>
      </w:tr>
      <w:tr w:rsidR="00FB1833" w:rsidRPr="00B13B9A" w14:paraId="7602D527" w14:textId="77777777" w:rsidTr="001457CE">
        <w:trPr>
          <w:trHeight w:val="20"/>
        </w:trPr>
        <w:tc>
          <w:tcPr>
            <w:tcW w:w="5100" w:type="dxa"/>
            <w:tcBorders>
              <w:top w:val="nil"/>
              <w:left w:val="single" w:sz="4" w:space="0" w:color="auto"/>
              <w:bottom w:val="single" w:sz="4" w:space="0" w:color="auto"/>
              <w:right w:val="single" w:sz="4" w:space="0" w:color="auto"/>
            </w:tcBorders>
            <w:shd w:val="clear" w:color="auto" w:fill="auto"/>
            <w:hideMark/>
          </w:tcPr>
          <w:p w14:paraId="181F048E" w14:textId="75214649" w:rsidR="00FB1833" w:rsidRPr="00B13B9A" w:rsidRDefault="00FB1833" w:rsidP="001457CE">
            <w:pPr>
              <w:spacing w:after="0" w:line="240" w:lineRule="auto"/>
              <w:contextualSpacing/>
              <w:rPr>
                <w:rFonts w:ascii="Calibri Light" w:eastAsia="Times New Roman" w:hAnsi="Calibri Light" w:cs="Calibri Light"/>
                <w:sz w:val="20"/>
                <w:lang w:val="ro-MD"/>
              </w:rPr>
            </w:pPr>
            <w:r w:rsidRPr="00B13B9A">
              <w:rPr>
                <w:rFonts w:ascii="Calibri Light" w:eastAsia="Times New Roman" w:hAnsi="Calibri Light" w:cs="Calibri Light"/>
                <w:sz w:val="20"/>
                <w:lang w:val="ro-MD"/>
              </w:rPr>
              <w:t>Rampa p</w:t>
            </w:r>
            <w:r w:rsidR="00FB2E99" w:rsidRPr="00B13B9A">
              <w:rPr>
                <w:rFonts w:ascii="Calibri Light" w:eastAsia="Times New Roman" w:hAnsi="Calibri Light" w:cs="Calibri Light"/>
                <w:sz w:val="20"/>
                <w:lang w:val="ro-MD"/>
              </w:rPr>
              <w:t>entr</w:t>
            </w:r>
            <w:r w:rsidRPr="00B13B9A">
              <w:rPr>
                <w:rFonts w:ascii="Calibri Light" w:eastAsia="Times New Roman" w:hAnsi="Calibri Light" w:cs="Calibri Light"/>
                <w:sz w:val="20"/>
                <w:lang w:val="ro-MD"/>
              </w:rPr>
              <w:t>u oxigen</w:t>
            </w:r>
          </w:p>
        </w:tc>
        <w:tc>
          <w:tcPr>
            <w:tcW w:w="1480" w:type="dxa"/>
            <w:tcBorders>
              <w:top w:val="nil"/>
              <w:left w:val="nil"/>
              <w:bottom w:val="single" w:sz="4" w:space="0" w:color="auto"/>
              <w:right w:val="single" w:sz="4" w:space="0" w:color="auto"/>
            </w:tcBorders>
            <w:shd w:val="clear" w:color="auto" w:fill="auto"/>
            <w:noWrap/>
            <w:hideMark/>
          </w:tcPr>
          <w:p w14:paraId="78FE72BB" w14:textId="77777777" w:rsidR="00FB1833" w:rsidRPr="00B13B9A" w:rsidRDefault="00FB1833" w:rsidP="001457CE">
            <w:pPr>
              <w:spacing w:after="0" w:line="240" w:lineRule="auto"/>
              <w:contextualSpacing/>
              <w:jc w:val="center"/>
              <w:rPr>
                <w:rFonts w:ascii="Calibri Light" w:eastAsia="Times New Roman" w:hAnsi="Calibri Light" w:cs="Calibri Light"/>
                <w:color w:val="000000"/>
                <w:sz w:val="20"/>
                <w:lang w:val="ro-MD"/>
              </w:rPr>
            </w:pPr>
            <w:r w:rsidRPr="00B13B9A">
              <w:rPr>
                <w:rFonts w:ascii="Calibri Light" w:eastAsia="Times New Roman" w:hAnsi="Calibri Light" w:cs="Calibri Light"/>
                <w:color w:val="000000"/>
                <w:sz w:val="20"/>
                <w:lang w:val="ro-MD"/>
              </w:rPr>
              <w:t>1</w:t>
            </w:r>
          </w:p>
        </w:tc>
        <w:tc>
          <w:tcPr>
            <w:tcW w:w="2560" w:type="dxa"/>
            <w:tcBorders>
              <w:top w:val="nil"/>
              <w:left w:val="nil"/>
              <w:bottom w:val="single" w:sz="4" w:space="0" w:color="auto"/>
              <w:right w:val="single" w:sz="4" w:space="0" w:color="auto"/>
            </w:tcBorders>
            <w:shd w:val="clear" w:color="auto" w:fill="auto"/>
            <w:noWrap/>
            <w:hideMark/>
          </w:tcPr>
          <w:p w14:paraId="54846425" w14:textId="77777777" w:rsidR="00FB1833" w:rsidRPr="00B13B9A" w:rsidRDefault="00FB1833" w:rsidP="001457CE">
            <w:pPr>
              <w:spacing w:after="0" w:line="240" w:lineRule="auto"/>
              <w:contextualSpacing/>
              <w:jc w:val="right"/>
              <w:rPr>
                <w:rFonts w:ascii="Calibri Light" w:eastAsia="Times New Roman" w:hAnsi="Calibri Light" w:cs="Calibri Light"/>
                <w:color w:val="000000"/>
                <w:sz w:val="20"/>
                <w:lang w:val="ro-MD"/>
              </w:rPr>
            </w:pPr>
            <w:r w:rsidRPr="00B13B9A">
              <w:rPr>
                <w:rFonts w:ascii="Calibri Light" w:eastAsia="Times New Roman" w:hAnsi="Calibri Light" w:cs="Calibri Light"/>
                <w:color w:val="000000"/>
                <w:sz w:val="20"/>
                <w:lang w:val="ro-MD"/>
              </w:rPr>
              <w:t>77987,18</w:t>
            </w:r>
          </w:p>
        </w:tc>
      </w:tr>
      <w:tr w:rsidR="00FB1833" w:rsidRPr="00B13B9A" w14:paraId="1C5F5387" w14:textId="77777777" w:rsidTr="001457CE">
        <w:trPr>
          <w:trHeight w:val="20"/>
        </w:trPr>
        <w:tc>
          <w:tcPr>
            <w:tcW w:w="5100" w:type="dxa"/>
            <w:tcBorders>
              <w:top w:val="nil"/>
              <w:left w:val="single" w:sz="4" w:space="0" w:color="auto"/>
              <w:bottom w:val="single" w:sz="4" w:space="0" w:color="auto"/>
              <w:right w:val="single" w:sz="4" w:space="0" w:color="auto"/>
            </w:tcBorders>
            <w:shd w:val="clear" w:color="auto" w:fill="auto"/>
            <w:hideMark/>
          </w:tcPr>
          <w:p w14:paraId="65B820B8" w14:textId="77777777" w:rsidR="00FB1833" w:rsidRPr="00B13B9A" w:rsidRDefault="00FB1833" w:rsidP="001457CE">
            <w:pPr>
              <w:spacing w:after="0" w:line="240" w:lineRule="auto"/>
              <w:contextualSpacing/>
              <w:rPr>
                <w:rFonts w:ascii="Calibri Light" w:eastAsia="Times New Roman" w:hAnsi="Calibri Light" w:cs="Calibri Light"/>
                <w:sz w:val="20"/>
                <w:lang w:val="ro-MD"/>
              </w:rPr>
            </w:pPr>
            <w:r w:rsidRPr="00B13B9A">
              <w:rPr>
                <w:rFonts w:ascii="Calibri Light" w:eastAsia="Times New Roman" w:hAnsi="Calibri Light" w:cs="Calibri Light"/>
                <w:sz w:val="20"/>
                <w:lang w:val="ro-MD"/>
              </w:rPr>
              <w:t>Scaner Newland HR5280RT-BT-C Bonito</w:t>
            </w:r>
          </w:p>
        </w:tc>
        <w:tc>
          <w:tcPr>
            <w:tcW w:w="1480" w:type="dxa"/>
            <w:tcBorders>
              <w:top w:val="nil"/>
              <w:left w:val="nil"/>
              <w:bottom w:val="single" w:sz="4" w:space="0" w:color="auto"/>
              <w:right w:val="single" w:sz="4" w:space="0" w:color="auto"/>
            </w:tcBorders>
            <w:shd w:val="clear" w:color="auto" w:fill="auto"/>
            <w:noWrap/>
            <w:hideMark/>
          </w:tcPr>
          <w:p w14:paraId="63CC0DE1" w14:textId="77777777" w:rsidR="00FB1833" w:rsidRPr="00B13B9A" w:rsidRDefault="00FB1833" w:rsidP="001457CE">
            <w:pPr>
              <w:spacing w:after="0" w:line="240" w:lineRule="auto"/>
              <w:contextualSpacing/>
              <w:jc w:val="center"/>
              <w:rPr>
                <w:rFonts w:ascii="Calibri Light" w:eastAsia="Times New Roman" w:hAnsi="Calibri Light" w:cs="Calibri Light"/>
                <w:color w:val="000000"/>
                <w:sz w:val="20"/>
                <w:lang w:val="ro-MD"/>
              </w:rPr>
            </w:pPr>
            <w:r w:rsidRPr="00B13B9A">
              <w:rPr>
                <w:rFonts w:ascii="Calibri Light" w:eastAsia="Times New Roman" w:hAnsi="Calibri Light" w:cs="Calibri Light"/>
                <w:color w:val="000000"/>
                <w:sz w:val="20"/>
                <w:lang w:val="ro-MD"/>
              </w:rPr>
              <w:t>6</w:t>
            </w:r>
          </w:p>
        </w:tc>
        <w:tc>
          <w:tcPr>
            <w:tcW w:w="2560" w:type="dxa"/>
            <w:tcBorders>
              <w:top w:val="nil"/>
              <w:left w:val="nil"/>
              <w:bottom w:val="single" w:sz="4" w:space="0" w:color="auto"/>
              <w:right w:val="single" w:sz="4" w:space="0" w:color="auto"/>
            </w:tcBorders>
            <w:shd w:val="clear" w:color="auto" w:fill="auto"/>
            <w:noWrap/>
            <w:hideMark/>
          </w:tcPr>
          <w:p w14:paraId="263D652E" w14:textId="77777777" w:rsidR="00FB1833" w:rsidRPr="00B13B9A" w:rsidRDefault="00FB1833" w:rsidP="001457CE">
            <w:pPr>
              <w:spacing w:after="0" w:line="240" w:lineRule="auto"/>
              <w:contextualSpacing/>
              <w:jc w:val="right"/>
              <w:rPr>
                <w:rFonts w:ascii="Calibri Light" w:eastAsia="Times New Roman" w:hAnsi="Calibri Light" w:cs="Calibri Light"/>
                <w:color w:val="000000"/>
                <w:sz w:val="20"/>
                <w:lang w:val="ro-MD"/>
              </w:rPr>
            </w:pPr>
            <w:r w:rsidRPr="00B13B9A">
              <w:rPr>
                <w:rFonts w:ascii="Calibri Light" w:eastAsia="Times New Roman" w:hAnsi="Calibri Light" w:cs="Calibri Light"/>
                <w:color w:val="000000"/>
                <w:sz w:val="20"/>
                <w:lang w:val="ro-MD"/>
              </w:rPr>
              <w:t>37008,00</w:t>
            </w:r>
          </w:p>
        </w:tc>
      </w:tr>
      <w:tr w:rsidR="00FB1833" w:rsidRPr="00B13B9A" w14:paraId="714577F4" w14:textId="77777777" w:rsidTr="001457CE">
        <w:trPr>
          <w:trHeight w:val="20"/>
        </w:trPr>
        <w:tc>
          <w:tcPr>
            <w:tcW w:w="5100" w:type="dxa"/>
            <w:tcBorders>
              <w:top w:val="nil"/>
              <w:left w:val="single" w:sz="4" w:space="0" w:color="auto"/>
              <w:bottom w:val="single" w:sz="4" w:space="0" w:color="auto"/>
              <w:right w:val="single" w:sz="4" w:space="0" w:color="auto"/>
            </w:tcBorders>
            <w:shd w:val="clear" w:color="auto" w:fill="auto"/>
            <w:hideMark/>
          </w:tcPr>
          <w:p w14:paraId="10143644" w14:textId="77777777" w:rsidR="00FB1833" w:rsidRPr="00B13B9A" w:rsidRDefault="00FB1833" w:rsidP="001457CE">
            <w:pPr>
              <w:spacing w:after="0" w:line="240" w:lineRule="auto"/>
              <w:contextualSpacing/>
              <w:rPr>
                <w:rFonts w:ascii="Calibri Light" w:eastAsia="Times New Roman" w:hAnsi="Calibri Light" w:cs="Calibri Light"/>
                <w:sz w:val="20"/>
                <w:lang w:val="ro-MD"/>
              </w:rPr>
            </w:pPr>
            <w:r w:rsidRPr="00B13B9A">
              <w:rPr>
                <w:rFonts w:ascii="Calibri Light" w:eastAsia="Times New Roman" w:hAnsi="Calibri Light" w:cs="Calibri Light"/>
                <w:sz w:val="20"/>
                <w:lang w:val="ro-MD"/>
              </w:rPr>
              <w:t>Precision Incubator CLW 400 Smart POL-ECO</w:t>
            </w:r>
          </w:p>
        </w:tc>
        <w:tc>
          <w:tcPr>
            <w:tcW w:w="1480" w:type="dxa"/>
            <w:tcBorders>
              <w:top w:val="nil"/>
              <w:left w:val="nil"/>
              <w:bottom w:val="single" w:sz="4" w:space="0" w:color="auto"/>
              <w:right w:val="single" w:sz="4" w:space="0" w:color="auto"/>
            </w:tcBorders>
            <w:shd w:val="clear" w:color="auto" w:fill="auto"/>
            <w:noWrap/>
            <w:hideMark/>
          </w:tcPr>
          <w:p w14:paraId="72728878" w14:textId="77777777" w:rsidR="00FB1833" w:rsidRPr="00B13B9A" w:rsidRDefault="00FB1833" w:rsidP="001457CE">
            <w:pPr>
              <w:spacing w:after="0" w:line="240" w:lineRule="auto"/>
              <w:contextualSpacing/>
              <w:jc w:val="center"/>
              <w:rPr>
                <w:rFonts w:ascii="Calibri Light" w:eastAsia="Times New Roman" w:hAnsi="Calibri Light" w:cs="Calibri Light"/>
                <w:color w:val="000000"/>
                <w:sz w:val="20"/>
                <w:lang w:val="ro-MD"/>
              </w:rPr>
            </w:pPr>
            <w:r w:rsidRPr="00B13B9A">
              <w:rPr>
                <w:rFonts w:ascii="Calibri Light" w:eastAsia="Times New Roman" w:hAnsi="Calibri Light" w:cs="Calibri Light"/>
                <w:color w:val="000000"/>
                <w:sz w:val="20"/>
                <w:lang w:val="ro-MD"/>
              </w:rPr>
              <w:t>3</w:t>
            </w:r>
          </w:p>
        </w:tc>
        <w:tc>
          <w:tcPr>
            <w:tcW w:w="2560" w:type="dxa"/>
            <w:tcBorders>
              <w:top w:val="nil"/>
              <w:left w:val="nil"/>
              <w:bottom w:val="single" w:sz="4" w:space="0" w:color="auto"/>
              <w:right w:val="single" w:sz="4" w:space="0" w:color="auto"/>
            </w:tcBorders>
            <w:shd w:val="clear" w:color="auto" w:fill="auto"/>
            <w:noWrap/>
            <w:hideMark/>
          </w:tcPr>
          <w:p w14:paraId="2EEA6585" w14:textId="77777777" w:rsidR="00FB1833" w:rsidRPr="00B13B9A" w:rsidRDefault="00FB1833" w:rsidP="001457CE">
            <w:pPr>
              <w:spacing w:after="0" w:line="240" w:lineRule="auto"/>
              <w:contextualSpacing/>
              <w:jc w:val="right"/>
              <w:rPr>
                <w:rFonts w:ascii="Calibri Light" w:eastAsia="Times New Roman" w:hAnsi="Calibri Light" w:cs="Calibri Light"/>
                <w:color w:val="000000"/>
                <w:sz w:val="20"/>
                <w:lang w:val="ro-MD"/>
              </w:rPr>
            </w:pPr>
            <w:r w:rsidRPr="00B13B9A">
              <w:rPr>
                <w:rFonts w:ascii="Calibri Light" w:eastAsia="Times New Roman" w:hAnsi="Calibri Light" w:cs="Calibri Light"/>
                <w:color w:val="000000"/>
                <w:sz w:val="20"/>
                <w:lang w:val="ro-MD"/>
              </w:rPr>
              <w:t>245100,00</w:t>
            </w:r>
          </w:p>
        </w:tc>
      </w:tr>
      <w:tr w:rsidR="00FB1833" w:rsidRPr="00B13B9A" w14:paraId="794AAE3A" w14:textId="77777777" w:rsidTr="001457CE">
        <w:trPr>
          <w:trHeight w:val="20"/>
        </w:trPr>
        <w:tc>
          <w:tcPr>
            <w:tcW w:w="5100" w:type="dxa"/>
            <w:tcBorders>
              <w:top w:val="nil"/>
              <w:left w:val="single" w:sz="4" w:space="0" w:color="auto"/>
              <w:bottom w:val="single" w:sz="4" w:space="0" w:color="auto"/>
              <w:right w:val="single" w:sz="4" w:space="0" w:color="auto"/>
            </w:tcBorders>
            <w:shd w:val="clear" w:color="auto" w:fill="auto"/>
            <w:hideMark/>
          </w:tcPr>
          <w:p w14:paraId="1117C747" w14:textId="77777777" w:rsidR="00FB1833" w:rsidRPr="00B13B9A" w:rsidRDefault="00FB1833" w:rsidP="001457CE">
            <w:pPr>
              <w:spacing w:after="0" w:line="240" w:lineRule="auto"/>
              <w:contextualSpacing/>
              <w:jc w:val="center"/>
              <w:rPr>
                <w:rFonts w:ascii="Calibri Light" w:eastAsia="Times New Roman" w:hAnsi="Calibri Light" w:cs="Calibri Light"/>
                <w:b/>
                <w:bCs/>
                <w:sz w:val="20"/>
                <w:lang w:val="ro-MD"/>
              </w:rPr>
            </w:pPr>
            <w:r w:rsidRPr="00B13B9A">
              <w:rPr>
                <w:rFonts w:ascii="Calibri Light" w:eastAsia="Times New Roman" w:hAnsi="Calibri Light" w:cs="Calibri Light"/>
                <w:b/>
                <w:bCs/>
                <w:sz w:val="20"/>
                <w:lang w:val="ro-MD"/>
              </w:rPr>
              <w:t>Total 2021</w:t>
            </w:r>
          </w:p>
        </w:tc>
        <w:tc>
          <w:tcPr>
            <w:tcW w:w="1480" w:type="dxa"/>
            <w:tcBorders>
              <w:top w:val="nil"/>
              <w:left w:val="nil"/>
              <w:bottom w:val="single" w:sz="4" w:space="0" w:color="auto"/>
              <w:right w:val="single" w:sz="4" w:space="0" w:color="auto"/>
            </w:tcBorders>
            <w:shd w:val="clear" w:color="auto" w:fill="auto"/>
            <w:noWrap/>
            <w:hideMark/>
          </w:tcPr>
          <w:p w14:paraId="5844972E" w14:textId="77777777" w:rsidR="00FB1833" w:rsidRPr="00B13B9A" w:rsidRDefault="00FB1833" w:rsidP="001457CE">
            <w:pPr>
              <w:spacing w:after="0" w:line="240" w:lineRule="auto"/>
              <w:contextualSpacing/>
              <w:jc w:val="center"/>
              <w:rPr>
                <w:rFonts w:ascii="Calibri Light" w:eastAsia="Times New Roman" w:hAnsi="Calibri Light" w:cs="Calibri Light"/>
                <w:b/>
                <w:bCs/>
                <w:color w:val="000000"/>
                <w:sz w:val="20"/>
                <w:lang w:val="ro-MD"/>
              </w:rPr>
            </w:pPr>
            <w:r w:rsidRPr="00B13B9A">
              <w:rPr>
                <w:rFonts w:ascii="Calibri Light" w:eastAsia="Times New Roman" w:hAnsi="Calibri Light" w:cs="Calibri Light"/>
                <w:b/>
                <w:bCs/>
                <w:color w:val="000000"/>
                <w:sz w:val="20"/>
                <w:lang w:val="ro-MD"/>
              </w:rPr>
              <w:t>92</w:t>
            </w:r>
          </w:p>
        </w:tc>
        <w:tc>
          <w:tcPr>
            <w:tcW w:w="2560" w:type="dxa"/>
            <w:tcBorders>
              <w:top w:val="nil"/>
              <w:left w:val="nil"/>
              <w:bottom w:val="single" w:sz="4" w:space="0" w:color="auto"/>
              <w:right w:val="single" w:sz="4" w:space="0" w:color="auto"/>
            </w:tcBorders>
            <w:shd w:val="clear" w:color="auto" w:fill="auto"/>
            <w:noWrap/>
            <w:hideMark/>
          </w:tcPr>
          <w:p w14:paraId="5A6895E1" w14:textId="77777777" w:rsidR="00FB1833" w:rsidRPr="00B13B9A" w:rsidRDefault="00FB1833" w:rsidP="001457CE">
            <w:pPr>
              <w:spacing w:after="0" w:line="240" w:lineRule="auto"/>
              <w:contextualSpacing/>
              <w:jc w:val="right"/>
              <w:rPr>
                <w:rFonts w:ascii="Calibri Light" w:eastAsia="Times New Roman" w:hAnsi="Calibri Light" w:cs="Calibri Light"/>
                <w:b/>
                <w:bCs/>
                <w:color w:val="000000"/>
                <w:sz w:val="20"/>
                <w:lang w:val="ro-MD"/>
              </w:rPr>
            </w:pPr>
            <w:r w:rsidRPr="00B13B9A">
              <w:rPr>
                <w:rFonts w:ascii="Calibri Light" w:eastAsia="Times New Roman" w:hAnsi="Calibri Light" w:cs="Calibri Light"/>
                <w:b/>
                <w:bCs/>
                <w:color w:val="000000"/>
                <w:sz w:val="20"/>
                <w:lang w:val="ro-MD"/>
              </w:rPr>
              <w:t>5212265,66</w:t>
            </w:r>
          </w:p>
        </w:tc>
      </w:tr>
      <w:tr w:rsidR="00FB1833" w:rsidRPr="00B13B9A" w14:paraId="5BCA096B" w14:textId="77777777" w:rsidTr="001457CE">
        <w:trPr>
          <w:trHeight w:val="20"/>
        </w:trPr>
        <w:tc>
          <w:tcPr>
            <w:tcW w:w="9140"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410AF0F0" w14:textId="77777777" w:rsidR="00FB1833" w:rsidRPr="00B13B9A" w:rsidRDefault="00FB1833" w:rsidP="001457CE">
            <w:pPr>
              <w:spacing w:after="0" w:line="240" w:lineRule="auto"/>
              <w:contextualSpacing/>
              <w:jc w:val="center"/>
              <w:rPr>
                <w:rFonts w:ascii="Calibri Light" w:eastAsia="Times New Roman" w:hAnsi="Calibri Light" w:cs="Calibri Light"/>
                <w:b/>
                <w:bCs/>
                <w:color w:val="000000"/>
                <w:sz w:val="20"/>
                <w:lang w:val="ro-MD"/>
              </w:rPr>
            </w:pPr>
            <w:r w:rsidRPr="00B13B9A">
              <w:rPr>
                <w:rFonts w:ascii="Calibri Light" w:eastAsia="Times New Roman" w:hAnsi="Calibri Light" w:cs="Calibri Light"/>
                <w:b/>
                <w:bCs/>
                <w:color w:val="000000"/>
                <w:sz w:val="20"/>
                <w:lang w:val="ro-MD"/>
              </w:rPr>
              <w:t>2022</w:t>
            </w:r>
          </w:p>
        </w:tc>
      </w:tr>
      <w:tr w:rsidR="00FB1833" w:rsidRPr="00B13B9A" w14:paraId="096A0F9D" w14:textId="77777777" w:rsidTr="001457CE">
        <w:trPr>
          <w:trHeight w:val="20"/>
        </w:trPr>
        <w:tc>
          <w:tcPr>
            <w:tcW w:w="5100" w:type="dxa"/>
            <w:tcBorders>
              <w:top w:val="nil"/>
              <w:left w:val="single" w:sz="4" w:space="0" w:color="auto"/>
              <w:bottom w:val="single" w:sz="4" w:space="0" w:color="auto"/>
              <w:right w:val="single" w:sz="4" w:space="0" w:color="auto"/>
            </w:tcBorders>
            <w:shd w:val="clear" w:color="auto" w:fill="auto"/>
            <w:hideMark/>
          </w:tcPr>
          <w:p w14:paraId="70D82CBA" w14:textId="77777777" w:rsidR="00FB1833" w:rsidRPr="00B13B9A" w:rsidRDefault="00FB1833" w:rsidP="001457CE">
            <w:pPr>
              <w:spacing w:after="0" w:line="240" w:lineRule="auto"/>
              <w:contextualSpacing/>
              <w:rPr>
                <w:rFonts w:ascii="Calibri Light" w:eastAsia="Times New Roman" w:hAnsi="Calibri Light" w:cs="Calibri Light"/>
                <w:sz w:val="20"/>
                <w:lang w:val="ro-MD"/>
              </w:rPr>
            </w:pPr>
            <w:r w:rsidRPr="00B13B9A">
              <w:rPr>
                <w:rFonts w:ascii="Calibri Light" w:eastAsia="Times New Roman" w:hAnsi="Calibri Light" w:cs="Calibri Light"/>
                <w:sz w:val="20"/>
                <w:lang w:val="ro-MD"/>
              </w:rPr>
              <w:t>GeneXpert IV, 4-Modules, Laptop, 10-color</w:t>
            </w:r>
          </w:p>
        </w:tc>
        <w:tc>
          <w:tcPr>
            <w:tcW w:w="1480" w:type="dxa"/>
            <w:tcBorders>
              <w:top w:val="nil"/>
              <w:left w:val="nil"/>
              <w:bottom w:val="single" w:sz="4" w:space="0" w:color="auto"/>
              <w:right w:val="single" w:sz="4" w:space="0" w:color="auto"/>
            </w:tcBorders>
            <w:shd w:val="clear" w:color="auto" w:fill="auto"/>
            <w:noWrap/>
            <w:hideMark/>
          </w:tcPr>
          <w:p w14:paraId="3038DA20" w14:textId="77777777" w:rsidR="00FB1833" w:rsidRPr="00B13B9A" w:rsidRDefault="00FB1833" w:rsidP="001457CE">
            <w:pPr>
              <w:spacing w:after="0" w:line="240" w:lineRule="auto"/>
              <w:contextualSpacing/>
              <w:jc w:val="center"/>
              <w:rPr>
                <w:rFonts w:ascii="Calibri Light" w:eastAsia="Times New Roman" w:hAnsi="Calibri Light" w:cs="Calibri Light"/>
                <w:color w:val="000000"/>
                <w:sz w:val="20"/>
                <w:lang w:val="ro-MD"/>
              </w:rPr>
            </w:pPr>
            <w:r w:rsidRPr="00B13B9A">
              <w:rPr>
                <w:rFonts w:ascii="Calibri Light" w:eastAsia="Times New Roman" w:hAnsi="Calibri Light" w:cs="Calibri Light"/>
                <w:color w:val="000000"/>
                <w:sz w:val="20"/>
                <w:lang w:val="ro-MD"/>
              </w:rPr>
              <w:t>3</w:t>
            </w:r>
          </w:p>
        </w:tc>
        <w:tc>
          <w:tcPr>
            <w:tcW w:w="2560" w:type="dxa"/>
            <w:tcBorders>
              <w:top w:val="nil"/>
              <w:left w:val="nil"/>
              <w:bottom w:val="single" w:sz="4" w:space="0" w:color="auto"/>
              <w:right w:val="single" w:sz="4" w:space="0" w:color="auto"/>
            </w:tcBorders>
            <w:shd w:val="clear" w:color="auto" w:fill="auto"/>
            <w:noWrap/>
            <w:hideMark/>
          </w:tcPr>
          <w:p w14:paraId="1014CF86" w14:textId="77777777" w:rsidR="00FB1833" w:rsidRPr="00B13B9A" w:rsidRDefault="00FB1833" w:rsidP="001457CE">
            <w:pPr>
              <w:spacing w:after="0" w:line="240" w:lineRule="auto"/>
              <w:contextualSpacing/>
              <w:jc w:val="right"/>
              <w:rPr>
                <w:rFonts w:ascii="Calibri Light" w:eastAsia="Times New Roman" w:hAnsi="Calibri Light" w:cs="Calibri Light"/>
                <w:color w:val="000000"/>
                <w:sz w:val="20"/>
                <w:lang w:val="ro-MD"/>
              </w:rPr>
            </w:pPr>
            <w:r w:rsidRPr="00B13B9A">
              <w:rPr>
                <w:rFonts w:ascii="Calibri Light" w:eastAsia="Times New Roman" w:hAnsi="Calibri Light" w:cs="Calibri Light"/>
                <w:color w:val="000000"/>
                <w:sz w:val="20"/>
                <w:lang w:val="ro-MD"/>
              </w:rPr>
              <w:t>1092621,87</w:t>
            </w:r>
          </w:p>
        </w:tc>
      </w:tr>
      <w:tr w:rsidR="00FB1833" w:rsidRPr="00B13B9A" w14:paraId="3E6D1E17" w14:textId="77777777" w:rsidTr="001457CE">
        <w:trPr>
          <w:trHeight w:val="20"/>
        </w:trPr>
        <w:tc>
          <w:tcPr>
            <w:tcW w:w="5100" w:type="dxa"/>
            <w:tcBorders>
              <w:top w:val="nil"/>
              <w:left w:val="single" w:sz="4" w:space="0" w:color="auto"/>
              <w:bottom w:val="single" w:sz="4" w:space="0" w:color="auto"/>
              <w:right w:val="single" w:sz="4" w:space="0" w:color="auto"/>
            </w:tcBorders>
            <w:shd w:val="clear" w:color="auto" w:fill="auto"/>
            <w:hideMark/>
          </w:tcPr>
          <w:p w14:paraId="44E5BBE6" w14:textId="77777777" w:rsidR="00FB1833" w:rsidRPr="00B13B9A" w:rsidRDefault="00FB1833" w:rsidP="001457CE">
            <w:pPr>
              <w:spacing w:after="0" w:line="240" w:lineRule="auto"/>
              <w:contextualSpacing/>
              <w:rPr>
                <w:rFonts w:ascii="Calibri Light" w:eastAsia="Times New Roman" w:hAnsi="Calibri Light" w:cs="Calibri Light"/>
                <w:sz w:val="20"/>
                <w:lang w:val="ro-MD"/>
              </w:rPr>
            </w:pPr>
            <w:r w:rsidRPr="00B13B9A">
              <w:rPr>
                <w:rFonts w:ascii="Calibri Light" w:eastAsia="Times New Roman" w:hAnsi="Calibri Light" w:cs="Calibri Light"/>
                <w:sz w:val="20"/>
                <w:lang w:val="ro-MD"/>
              </w:rPr>
              <w:t>Respirator medical (Ventilator Laerdal Servi)</w:t>
            </w:r>
          </w:p>
        </w:tc>
        <w:tc>
          <w:tcPr>
            <w:tcW w:w="1480" w:type="dxa"/>
            <w:tcBorders>
              <w:top w:val="nil"/>
              <w:left w:val="nil"/>
              <w:bottom w:val="single" w:sz="4" w:space="0" w:color="auto"/>
              <w:right w:val="single" w:sz="4" w:space="0" w:color="auto"/>
            </w:tcBorders>
            <w:shd w:val="clear" w:color="auto" w:fill="auto"/>
            <w:noWrap/>
            <w:hideMark/>
          </w:tcPr>
          <w:p w14:paraId="3C66336F" w14:textId="77777777" w:rsidR="00FB1833" w:rsidRPr="00B13B9A" w:rsidRDefault="00FB1833" w:rsidP="001457CE">
            <w:pPr>
              <w:spacing w:after="0" w:line="240" w:lineRule="auto"/>
              <w:contextualSpacing/>
              <w:jc w:val="center"/>
              <w:rPr>
                <w:rFonts w:ascii="Calibri Light" w:eastAsia="Times New Roman" w:hAnsi="Calibri Light" w:cs="Calibri Light"/>
                <w:color w:val="000000"/>
                <w:sz w:val="20"/>
                <w:lang w:val="ro-MD"/>
              </w:rPr>
            </w:pPr>
            <w:r w:rsidRPr="00B13B9A">
              <w:rPr>
                <w:rFonts w:ascii="Calibri Light" w:eastAsia="Times New Roman" w:hAnsi="Calibri Light" w:cs="Calibri Light"/>
                <w:color w:val="000000"/>
                <w:sz w:val="20"/>
                <w:lang w:val="ro-MD"/>
              </w:rPr>
              <w:t>2</w:t>
            </w:r>
          </w:p>
        </w:tc>
        <w:tc>
          <w:tcPr>
            <w:tcW w:w="2560" w:type="dxa"/>
            <w:tcBorders>
              <w:top w:val="nil"/>
              <w:left w:val="nil"/>
              <w:bottom w:val="single" w:sz="4" w:space="0" w:color="auto"/>
              <w:right w:val="single" w:sz="4" w:space="0" w:color="auto"/>
            </w:tcBorders>
            <w:shd w:val="clear" w:color="auto" w:fill="auto"/>
            <w:noWrap/>
            <w:hideMark/>
          </w:tcPr>
          <w:p w14:paraId="37CFEABD" w14:textId="77777777" w:rsidR="00FB1833" w:rsidRPr="00B13B9A" w:rsidRDefault="00FB1833" w:rsidP="001457CE">
            <w:pPr>
              <w:spacing w:after="0" w:line="240" w:lineRule="auto"/>
              <w:contextualSpacing/>
              <w:jc w:val="right"/>
              <w:rPr>
                <w:rFonts w:ascii="Calibri Light" w:eastAsia="Times New Roman" w:hAnsi="Calibri Light" w:cs="Calibri Light"/>
                <w:color w:val="000000"/>
                <w:sz w:val="20"/>
                <w:lang w:val="ro-MD"/>
              </w:rPr>
            </w:pPr>
            <w:r w:rsidRPr="00B13B9A">
              <w:rPr>
                <w:rFonts w:ascii="Calibri Light" w:eastAsia="Times New Roman" w:hAnsi="Calibri Light" w:cs="Calibri Light"/>
                <w:color w:val="000000"/>
                <w:sz w:val="20"/>
                <w:lang w:val="ro-MD"/>
              </w:rPr>
              <w:t>194747,40</w:t>
            </w:r>
          </w:p>
        </w:tc>
      </w:tr>
      <w:tr w:rsidR="00FB1833" w:rsidRPr="00B13B9A" w14:paraId="699A4720" w14:textId="77777777" w:rsidTr="001457CE">
        <w:trPr>
          <w:trHeight w:val="20"/>
        </w:trPr>
        <w:tc>
          <w:tcPr>
            <w:tcW w:w="5100" w:type="dxa"/>
            <w:tcBorders>
              <w:top w:val="nil"/>
              <w:left w:val="single" w:sz="4" w:space="0" w:color="auto"/>
              <w:bottom w:val="single" w:sz="4" w:space="0" w:color="auto"/>
              <w:right w:val="single" w:sz="4" w:space="0" w:color="auto"/>
            </w:tcBorders>
            <w:shd w:val="clear" w:color="auto" w:fill="auto"/>
            <w:hideMark/>
          </w:tcPr>
          <w:p w14:paraId="7B28327E" w14:textId="77777777" w:rsidR="00FB1833" w:rsidRPr="00B13B9A" w:rsidRDefault="00FB1833" w:rsidP="001457CE">
            <w:pPr>
              <w:spacing w:after="0" w:line="240" w:lineRule="auto"/>
              <w:contextualSpacing/>
              <w:rPr>
                <w:rFonts w:ascii="Calibri Light" w:eastAsia="Times New Roman" w:hAnsi="Calibri Light" w:cs="Calibri Light"/>
                <w:sz w:val="20"/>
                <w:lang w:val="ro-MD"/>
              </w:rPr>
            </w:pPr>
            <w:r w:rsidRPr="00B13B9A">
              <w:rPr>
                <w:rFonts w:ascii="Calibri Light" w:eastAsia="Times New Roman" w:hAnsi="Calibri Light" w:cs="Calibri Light"/>
                <w:sz w:val="20"/>
                <w:lang w:val="ro-MD"/>
              </w:rPr>
              <w:t xml:space="preserve">Aparat terapie intensiva LUMIS 150 VPAP ST-A </w:t>
            </w:r>
          </w:p>
        </w:tc>
        <w:tc>
          <w:tcPr>
            <w:tcW w:w="1480" w:type="dxa"/>
            <w:tcBorders>
              <w:top w:val="nil"/>
              <w:left w:val="nil"/>
              <w:bottom w:val="single" w:sz="4" w:space="0" w:color="auto"/>
              <w:right w:val="single" w:sz="4" w:space="0" w:color="auto"/>
            </w:tcBorders>
            <w:shd w:val="clear" w:color="auto" w:fill="auto"/>
            <w:noWrap/>
            <w:hideMark/>
          </w:tcPr>
          <w:p w14:paraId="5025F951" w14:textId="77777777" w:rsidR="00FB1833" w:rsidRPr="00B13B9A" w:rsidRDefault="00FB1833" w:rsidP="001457CE">
            <w:pPr>
              <w:spacing w:after="0" w:line="240" w:lineRule="auto"/>
              <w:contextualSpacing/>
              <w:jc w:val="center"/>
              <w:rPr>
                <w:rFonts w:ascii="Calibri Light" w:eastAsia="Times New Roman" w:hAnsi="Calibri Light" w:cs="Calibri Light"/>
                <w:color w:val="000000"/>
                <w:sz w:val="20"/>
                <w:lang w:val="ro-MD"/>
              </w:rPr>
            </w:pPr>
            <w:r w:rsidRPr="00B13B9A">
              <w:rPr>
                <w:rFonts w:ascii="Calibri Light" w:eastAsia="Times New Roman" w:hAnsi="Calibri Light" w:cs="Calibri Light"/>
                <w:color w:val="000000"/>
                <w:sz w:val="20"/>
                <w:lang w:val="ro-MD"/>
              </w:rPr>
              <w:t>3</w:t>
            </w:r>
          </w:p>
        </w:tc>
        <w:tc>
          <w:tcPr>
            <w:tcW w:w="2560" w:type="dxa"/>
            <w:tcBorders>
              <w:top w:val="nil"/>
              <w:left w:val="nil"/>
              <w:bottom w:val="single" w:sz="4" w:space="0" w:color="auto"/>
              <w:right w:val="single" w:sz="4" w:space="0" w:color="auto"/>
            </w:tcBorders>
            <w:shd w:val="clear" w:color="auto" w:fill="auto"/>
            <w:noWrap/>
            <w:hideMark/>
          </w:tcPr>
          <w:p w14:paraId="5BDA87D8" w14:textId="77777777" w:rsidR="00FB1833" w:rsidRPr="00B13B9A" w:rsidRDefault="00FB1833" w:rsidP="001457CE">
            <w:pPr>
              <w:spacing w:after="0" w:line="240" w:lineRule="auto"/>
              <w:contextualSpacing/>
              <w:jc w:val="right"/>
              <w:rPr>
                <w:rFonts w:ascii="Calibri Light" w:eastAsia="Times New Roman" w:hAnsi="Calibri Light" w:cs="Calibri Light"/>
                <w:color w:val="000000"/>
                <w:sz w:val="20"/>
                <w:lang w:val="ro-MD"/>
              </w:rPr>
            </w:pPr>
            <w:r w:rsidRPr="00B13B9A">
              <w:rPr>
                <w:rFonts w:ascii="Calibri Light" w:eastAsia="Times New Roman" w:hAnsi="Calibri Light" w:cs="Calibri Light"/>
                <w:color w:val="000000"/>
                <w:sz w:val="20"/>
                <w:lang w:val="ro-MD"/>
              </w:rPr>
              <w:t>146295,35</w:t>
            </w:r>
          </w:p>
        </w:tc>
      </w:tr>
      <w:tr w:rsidR="00FB1833" w:rsidRPr="00B13B9A" w14:paraId="33C4F304" w14:textId="77777777" w:rsidTr="001457CE">
        <w:trPr>
          <w:trHeight w:val="20"/>
        </w:trPr>
        <w:tc>
          <w:tcPr>
            <w:tcW w:w="5100" w:type="dxa"/>
            <w:tcBorders>
              <w:top w:val="nil"/>
              <w:left w:val="single" w:sz="4" w:space="0" w:color="auto"/>
              <w:bottom w:val="single" w:sz="4" w:space="0" w:color="auto"/>
              <w:right w:val="single" w:sz="4" w:space="0" w:color="auto"/>
            </w:tcBorders>
            <w:shd w:val="clear" w:color="auto" w:fill="auto"/>
            <w:hideMark/>
          </w:tcPr>
          <w:p w14:paraId="5EA798C6" w14:textId="77777777" w:rsidR="00FB1833" w:rsidRPr="00B13B9A" w:rsidRDefault="00FB1833" w:rsidP="001457CE">
            <w:pPr>
              <w:spacing w:after="0" w:line="240" w:lineRule="auto"/>
              <w:contextualSpacing/>
              <w:rPr>
                <w:rFonts w:ascii="Calibri Light" w:eastAsia="Times New Roman" w:hAnsi="Calibri Light" w:cs="Calibri Light"/>
                <w:sz w:val="20"/>
                <w:lang w:val="ro-MD"/>
              </w:rPr>
            </w:pPr>
            <w:r w:rsidRPr="00B13B9A">
              <w:rPr>
                <w:rFonts w:ascii="Calibri Light" w:eastAsia="Times New Roman" w:hAnsi="Calibri Light" w:cs="Calibri Light"/>
                <w:sz w:val="20"/>
                <w:lang w:val="ro-MD"/>
              </w:rPr>
              <w:t>Centrifuga VORTEX</w:t>
            </w:r>
          </w:p>
        </w:tc>
        <w:tc>
          <w:tcPr>
            <w:tcW w:w="1480" w:type="dxa"/>
            <w:tcBorders>
              <w:top w:val="nil"/>
              <w:left w:val="nil"/>
              <w:bottom w:val="single" w:sz="4" w:space="0" w:color="auto"/>
              <w:right w:val="single" w:sz="4" w:space="0" w:color="auto"/>
            </w:tcBorders>
            <w:shd w:val="clear" w:color="auto" w:fill="auto"/>
            <w:noWrap/>
            <w:hideMark/>
          </w:tcPr>
          <w:p w14:paraId="5E9CD153" w14:textId="77777777" w:rsidR="00FB1833" w:rsidRPr="00B13B9A" w:rsidRDefault="00FB1833" w:rsidP="001457CE">
            <w:pPr>
              <w:spacing w:after="0" w:line="240" w:lineRule="auto"/>
              <w:contextualSpacing/>
              <w:jc w:val="center"/>
              <w:rPr>
                <w:rFonts w:ascii="Calibri Light" w:eastAsia="Times New Roman" w:hAnsi="Calibri Light" w:cs="Calibri Light"/>
                <w:color w:val="000000"/>
                <w:sz w:val="20"/>
                <w:lang w:val="ro-MD"/>
              </w:rPr>
            </w:pPr>
            <w:r w:rsidRPr="00B13B9A">
              <w:rPr>
                <w:rFonts w:ascii="Calibri Light" w:eastAsia="Times New Roman" w:hAnsi="Calibri Light" w:cs="Calibri Light"/>
                <w:color w:val="000000"/>
                <w:sz w:val="20"/>
                <w:lang w:val="ro-MD"/>
              </w:rPr>
              <w:t>4</w:t>
            </w:r>
          </w:p>
        </w:tc>
        <w:tc>
          <w:tcPr>
            <w:tcW w:w="2560" w:type="dxa"/>
            <w:tcBorders>
              <w:top w:val="nil"/>
              <w:left w:val="nil"/>
              <w:bottom w:val="single" w:sz="4" w:space="0" w:color="auto"/>
              <w:right w:val="single" w:sz="4" w:space="0" w:color="auto"/>
            </w:tcBorders>
            <w:shd w:val="clear" w:color="auto" w:fill="auto"/>
            <w:noWrap/>
            <w:hideMark/>
          </w:tcPr>
          <w:p w14:paraId="41173E7C" w14:textId="77777777" w:rsidR="00FB1833" w:rsidRPr="00B13B9A" w:rsidRDefault="00FB1833" w:rsidP="001457CE">
            <w:pPr>
              <w:spacing w:after="0" w:line="240" w:lineRule="auto"/>
              <w:contextualSpacing/>
              <w:jc w:val="right"/>
              <w:rPr>
                <w:rFonts w:ascii="Calibri Light" w:eastAsia="Times New Roman" w:hAnsi="Calibri Light" w:cs="Calibri Light"/>
                <w:color w:val="000000"/>
                <w:sz w:val="20"/>
                <w:lang w:val="ro-MD"/>
              </w:rPr>
            </w:pPr>
            <w:r w:rsidRPr="00B13B9A">
              <w:rPr>
                <w:rFonts w:ascii="Calibri Light" w:eastAsia="Times New Roman" w:hAnsi="Calibri Light" w:cs="Calibri Light"/>
                <w:color w:val="000000"/>
                <w:sz w:val="20"/>
                <w:lang w:val="ro-MD"/>
              </w:rPr>
              <w:t>38380,00</w:t>
            </w:r>
          </w:p>
        </w:tc>
      </w:tr>
      <w:tr w:rsidR="00FB1833" w:rsidRPr="00B13B9A" w14:paraId="52D288CC" w14:textId="77777777" w:rsidTr="001457CE">
        <w:trPr>
          <w:trHeight w:val="20"/>
        </w:trPr>
        <w:tc>
          <w:tcPr>
            <w:tcW w:w="5100" w:type="dxa"/>
            <w:tcBorders>
              <w:top w:val="nil"/>
              <w:left w:val="single" w:sz="4" w:space="0" w:color="auto"/>
              <w:bottom w:val="single" w:sz="4" w:space="0" w:color="auto"/>
              <w:right w:val="single" w:sz="4" w:space="0" w:color="auto"/>
            </w:tcBorders>
            <w:shd w:val="clear" w:color="auto" w:fill="auto"/>
            <w:hideMark/>
          </w:tcPr>
          <w:p w14:paraId="25AB9D5F" w14:textId="77777777" w:rsidR="00FB1833" w:rsidRPr="00B13B9A" w:rsidRDefault="00FB1833" w:rsidP="001457CE">
            <w:pPr>
              <w:spacing w:after="0" w:line="240" w:lineRule="auto"/>
              <w:contextualSpacing/>
              <w:rPr>
                <w:rFonts w:ascii="Calibri Light" w:eastAsia="Times New Roman" w:hAnsi="Calibri Light" w:cs="Calibri Light"/>
                <w:sz w:val="20"/>
                <w:lang w:val="ro-MD"/>
              </w:rPr>
            </w:pPr>
            <w:r w:rsidRPr="00B13B9A">
              <w:rPr>
                <w:rFonts w:ascii="Calibri Light" w:eastAsia="Times New Roman" w:hAnsi="Calibri Light" w:cs="Calibri Light"/>
                <w:sz w:val="20"/>
                <w:lang w:val="ro-MD"/>
              </w:rPr>
              <w:t>Electrocardiograf  cu 6channels</w:t>
            </w:r>
          </w:p>
        </w:tc>
        <w:tc>
          <w:tcPr>
            <w:tcW w:w="1480" w:type="dxa"/>
            <w:tcBorders>
              <w:top w:val="nil"/>
              <w:left w:val="nil"/>
              <w:bottom w:val="single" w:sz="4" w:space="0" w:color="auto"/>
              <w:right w:val="single" w:sz="4" w:space="0" w:color="auto"/>
            </w:tcBorders>
            <w:shd w:val="clear" w:color="auto" w:fill="auto"/>
            <w:noWrap/>
            <w:hideMark/>
          </w:tcPr>
          <w:p w14:paraId="43C112D6" w14:textId="77777777" w:rsidR="00FB1833" w:rsidRPr="00B13B9A" w:rsidRDefault="00FB1833" w:rsidP="001457CE">
            <w:pPr>
              <w:spacing w:after="0" w:line="240" w:lineRule="auto"/>
              <w:contextualSpacing/>
              <w:jc w:val="center"/>
              <w:rPr>
                <w:rFonts w:ascii="Calibri Light" w:eastAsia="Times New Roman" w:hAnsi="Calibri Light" w:cs="Calibri Light"/>
                <w:color w:val="000000"/>
                <w:sz w:val="20"/>
                <w:lang w:val="ro-MD"/>
              </w:rPr>
            </w:pPr>
            <w:r w:rsidRPr="00B13B9A">
              <w:rPr>
                <w:rFonts w:ascii="Calibri Light" w:eastAsia="Times New Roman" w:hAnsi="Calibri Light" w:cs="Calibri Light"/>
                <w:color w:val="000000"/>
                <w:sz w:val="20"/>
                <w:lang w:val="ro-MD"/>
              </w:rPr>
              <w:t>1</w:t>
            </w:r>
          </w:p>
        </w:tc>
        <w:tc>
          <w:tcPr>
            <w:tcW w:w="2560" w:type="dxa"/>
            <w:tcBorders>
              <w:top w:val="nil"/>
              <w:left w:val="nil"/>
              <w:bottom w:val="single" w:sz="4" w:space="0" w:color="auto"/>
              <w:right w:val="single" w:sz="4" w:space="0" w:color="auto"/>
            </w:tcBorders>
            <w:shd w:val="clear" w:color="auto" w:fill="auto"/>
            <w:noWrap/>
            <w:hideMark/>
          </w:tcPr>
          <w:p w14:paraId="60FC86F6" w14:textId="77777777" w:rsidR="00FB1833" w:rsidRPr="00B13B9A" w:rsidRDefault="00FB1833" w:rsidP="001457CE">
            <w:pPr>
              <w:spacing w:after="0" w:line="240" w:lineRule="auto"/>
              <w:contextualSpacing/>
              <w:jc w:val="right"/>
              <w:rPr>
                <w:rFonts w:ascii="Calibri Light" w:eastAsia="Times New Roman" w:hAnsi="Calibri Light" w:cs="Calibri Light"/>
                <w:color w:val="000000"/>
                <w:sz w:val="20"/>
                <w:lang w:val="ro-MD"/>
              </w:rPr>
            </w:pPr>
            <w:r w:rsidRPr="00B13B9A">
              <w:rPr>
                <w:rFonts w:ascii="Calibri Light" w:eastAsia="Times New Roman" w:hAnsi="Calibri Light" w:cs="Calibri Light"/>
                <w:color w:val="000000"/>
                <w:sz w:val="20"/>
                <w:lang w:val="ro-MD"/>
              </w:rPr>
              <w:t>21720,00</w:t>
            </w:r>
          </w:p>
        </w:tc>
      </w:tr>
      <w:tr w:rsidR="00FB1833" w:rsidRPr="00B13B9A" w14:paraId="6A60DE3D" w14:textId="77777777" w:rsidTr="001457CE">
        <w:trPr>
          <w:trHeight w:val="20"/>
        </w:trPr>
        <w:tc>
          <w:tcPr>
            <w:tcW w:w="5100" w:type="dxa"/>
            <w:tcBorders>
              <w:top w:val="nil"/>
              <w:left w:val="single" w:sz="4" w:space="0" w:color="auto"/>
              <w:bottom w:val="single" w:sz="4" w:space="0" w:color="auto"/>
              <w:right w:val="single" w:sz="4" w:space="0" w:color="auto"/>
            </w:tcBorders>
            <w:shd w:val="clear" w:color="auto" w:fill="auto"/>
            <w:hideMark/>
          </w:tcPr>
          <w:p w14:paraId="71D6D67E" w14:textId="77777777" w:rsidR="00FB1833" w:rsidRPr="00B13B9A" w:rsidRDefault="00FB1833" w:rsidP="001457CE">
            <w:pPr>
              <w:spacing w:after="0" w:line="240" w:lineRule="auto"/>
              <w:contextualSpacing/>
              <w:rPr>
                <w:rFonts w:ascii="Calibri Light" w:eastAsia="Times New Roman" w:hAnsi="Calibri Light" w:cs="Calibri Light"/>
                <w:sz w:val="20"/>
                <w:lang w:val="ro-MD"/>
              </w:rPr>
            </w:pPr>
            <w:r w:rsidRPr="00B13B9A">
              <w:rPr>
                <w:rFonts w:ascii="Calibri Light" w:eastAsia="Times New Roman" w:hAnsi="Calibri Light" w:cs="Calibri Light"/>
                <w:sz w:val="20"/>
                <w:lang w:val="ro-MD"/>
              </w:rPr>
              <w:t>PH-300 metru  Extech</w:t>
            </w:r>
          </w:p>
        </w:tc>
        <w:tc>
          <w:tcPr>
            <w:tcW w:w="1480" w:type="dxa"/>
            <w:tcBorders>
              <w:top w:val="nil"/>
              <w:left w:val="nil"/>
              <w:bottom w:val="single" w:sz="4" w:space="0" w:color="auto"/>
              <w:right w:val="single" w:sz="4" w:space="0" w:color="auto"/>
            </w:tcBorders>
            <w:shd w:val="clear" w:color="auto" w:fill="auto"/>
            <w:noWrap/>
            <w:hideMark/>
          </w:tcPr>
          <w:p w14:paraId="59EF9E8D" w14:textId="77777777" w:rsidR="00FB1833" w:rsidRPr="00B13B9A" w:rsidRDefault="00FB1833" w:rsidP="001457CE">
            <w:pPr>
              <w:spacing w:after="0" w:line="240" w:lineRule="auto"/>
              <w:contextualSpacing/>
              <w:jc w:val="center"/>
              <w:rPr>
                <w:rFonts w:ascii="Calibri Light" w:eastAsia="Times New Roman" w:hAnsi="Calibri Light" w:cs="Calibri Light"/>
                <w:color w:val="000000"/>
                <w:sz w:val="20"/>
                <w:lang w:val="ro-MD"/>
              </w:rPr>
            </w:pPr>
            <w:r w:rsidRPr="00B13B9A">
              <w:rPr>
                <w:rFonts w:ascii="Calibri Light" w:eastAsia="Times New Roman" w:hAnsi="Calibri Light" w:cs="Calibri Light"/>
                <w:color w:val="000000"/>
                <w:sz w:val="20"/>
                <w:lang w:val="ro-MD"/>
              </w:rPr>
              <w:t>2</w:t>
            </w:r>
          </w:p>
        </w:tc>
        <w:tc>
          <w:tcPr>
            <w:tcW w:w="2560" w:type="dxa"/>
            <w:tcBorders>
              <w:top w:val="nil"/>
              <w:left w:val="nil"/>
              <w:bottom w:val="single" w:sz="4" w:space="0" w:color="auto"/>
              <w:right w:val="single" w:sz="4" w:space="0" w:color="auto"/>
            </w:tcBorders>
            <w:shd w:val="clear" w:color="auto" w:fill="auto"/>
            <w:noWrap/>
            <w:hideMark/>
          </w:tcPr>
          <w:p w14:paraId="58A26DF3" w14:textId="77777777" w:rsidR="00FB1833" w:rsidRPr="00B13B9A" w:rsidRDefault="00FB1833" w:rsidP="001457CE">
            <w:pPr>
              <w:spacing w:after="0" w:line="240" w:lineRule="auto"/>
              <w:contextualSpacing/>
              <w:jc w:val="right"/>
              <w:rPr>
                <w:rFonts w:ascii="Calibri Light" w:eastAsia="Times New Roman" w:hAnsi="Calibri Light" w:cs="Calibri Light"/>
                <w:color w:val="000000"/>
                <w:sz w:val="20"/>
                <w:lang w:val="ro-MD"/>
              </w:rPr>
            </w:pPr>
            <w:r w:rsidRPr="00B13B9A">
              <w:rPr>
                <w:rFonts w:ascii="Calibri Light" w:eastAsia="Times New Roman" w:hAnsi="Calibri Light" w:cs="Calibri Light"/>
                <w:color w:val="000000"/>
                <w:sz w:val="20"/>
                <w:lang w:val="ro-MD"/>
              </w:rPr>
              <w:t>12520,00</w:t>
            </w:r>
          </w:p>
        </w:tc>
      </w:tr>
      <w:tr w:rsidR="00FB1833" w:rsidRPr="00B13B9A" w14:paraId="588C84B9" w14:textId="77777777" w:rsidTr="001457CE">
        <w:trPr>
          <w:trHeight w:val="20"/>
        </w:trPr>
        <w:tc>
          <w:tcPr>
            <w:tcW w:w="5100" w:type="dxa"/>
            <w:tcBorders>
              <w:top w:val="nil"/>
              <w:left w:val="single" w:sz="4" w:space="0" w:color="auto"/>
              <w:bottom w:val="single" w:sz="4" w:space="0" w:color="auto"/>
              <w:right w:val="single" w:sz="4" w:space="0" w:color="auto"/>
            </w:tcBorders>
            <w:shd w:val="clear" w:color="auto" w:fill="auto"/>
            <w:hideMark/>
          </w:tcPr>
          <w:p w14:paraId="213AB7A2" w14:textId="77777777" w:rsidR="00FB1833" w:rsidRPr="00B13B9A" w:rsidRDefault="00FB1833" w:rsidP="001457CE">
            <w:pPr>
              <w:spacing w:after="0" w:line="240" w:lineRule="auto"/>
              <w:contextualSpacing/>
              <w:rPr>
                <w:rFonts w:ascii="Calibri Light" w:eastAsia="Times New Roman" w:hAnsi="Calibri Light" w:cs="Calibri Light"/>
                <w:sz w:val="20"/>
                <w:lang w:val="ro-MD"/>
              </w:rPr>
            </w:pPr>
            <w:r w:rsidRPr="00B13B9A">
              <w:rPr>
                <w:rFonts w:ascii="Calibri Light" w:eastAsia="Times New Roman" w:hAnsi="Calibri Light" w:cs="Calibri Light"/>
                <w:sz w:val="20"/>
                <w:lang w:val="ro-MD"/>
              </w:rPr>
              <w:t>Spiroergometru Meta Control 3000</w:t>
            </w:r>
          </w:p>
        </w:tc>
        <w:tc>
          <w:tcPr>
            <w:tcW w:w="1480" w:type="dxa"/>
            <w:tcBorders>
              <w:top w:val="nil"/>
              <w:left w:val="nil"/>
              <w:bottom w:val="single" w:sz="4" w:space="0" w:color="auto"/>
              <w:right w:val="single" w:sz="4" w:space="0" w:color="auto"/>
            </w:tcBorders>
            <w:shd w:val="clear" w:color="auto" w:fill="auto"/>
            <w:noWrap/>
            <w:hideMark/>
          </w:tcPr>
          <w:p w14:paraId="64A383C9" w14:textId="77777777" w:rsidR="00FB1833" w:rsidRPr="00B13B9A" w:rsidRDefault="00FB1833" w:rsidP="001457CE">
            <w:pPr>
              <w:spacing w:after="0" w:line="240" w:lineRule="auto"/>
              <w:contextualSpacing/>
              <w:jc w:val="center"/>
              <w:rPr>
                <w:rFonts w:ascii="Calibri Light" w:eastAsia="Times New Roman" w:hAnsi="Calibri Light" w:cs="Calibri Light"/>
                <w:color w:val="000000"/>
                <w:sz w:val="20"/>
                <w:lang w:val="ro-MD"/>
              </w:rPr>
            </w:pPr>
            <w:r w:rsidRPr="00B13B9A">
              <w:rPr>
                <w:rFonts w:ascii="Calibri Light" w:eastAsia="Times New Roman" w:hAnsi="Calibri Light" w:cs="Calibri Light"/>
                <w:color w:val="000000"/>
                <w:sz w:val="20"/>
                <w:lang w:val="ro-MD"/>
              </w:rPr>
              <w:t>1</w:t>
            </w:r>
          </w:p>
        </w:tc>
        <w:tc>
          <w:tcPr>
            <w:tcW w:w="2560" w:type="dxa"/>
            <w:tcBorders>
              <w:top w:val="nil"/>
              <w:left w:val="nil"/>
              <w:bottom w:val="single" w:sz="4" w:space="0" w:color="auto"/>
              <w:right w:val="single" w:sz="4" w:space="0" w:color="auto"/>
            </w:tcBorders>
            <w:shd w:val="clear" w:color="auto" w:fill="auto"/>
            <w:noWrap/>
            <w:hideMark/>
          </w:tcPr>
          <w:p w14:paraId="7003B03A" w14:textId="77777777" w:rsidR="00FB1833" w:rsidRPr="00B13B9A" w:rsidRDefault="00FB1833" w:rsidP="001457CE">
            <w:pPr>
              <w:spacing w:after="0" w:line="240" w:lineRule="auto"/>
              <w:contextualSpacing/>
              <w:jc w:val="right"/>
              <w:rPr>
                <w:rFonts w:ascii="Calibri Light" w:eastAsia="Times New Roman" w:hAnsi="Calibri Light" w:cs="Calibri Light"/>
                <w:color w:val="000000"/>
                <w:sz w:val="20"/>
                <w:lang w:val="ro-MD"/>
              </w:rPr>
            </w:pPr>
            <w:r w:rsidRPr="00B13B9A">
              <w:rPr>
                <w:rFonts w:ascii="Calibri Light" w:eastAsia="Times New Roman" w:hAnsi="Calibri Light" w:cs="Calibri Light"/>
                <w:color w:val="000000"/>
                <w:sz w:val="20"/>
                <w:lang w:val="ro-MD"/>
              </w:rPr>
              <w:t>676581,50</w:t>
            </w:r>
          </w:p>
        </w:tc>
      </w:tr>
      <w:tr w:rsidR="00FB1833" w:rsidRPr="00B13B9A" w14:paraId="04FF3BAB" w14:textId="77777777" w:rsidTr="001457CE">
        <w:trPr>
          <w:trHeight w:val="20"/>
        </w:trPr>
        <w:tc>
          <w:tcPr>
            <w:tcW w:w="5100" w:type="dxa"/>
            <w:tcBorders>
              <w:top w:val="nil"/>
              <w:left w:val="single" w:sz="4" w:space="0" w:color="auto"/>
              <w:bottom w:val="single" w:sz="4" w:space="0" w:color="auto"/>
              <w:right w:val="single" w:sz="4" w:space="0" w:color="auto"/>
            </w:tcBorders>
            <w:shd w:val="clear" w:color="auto" w:fill="auto"/>
            <w:hideMark/>
          </w:tcPr>
          <w:p w14:paraId="21CC9D87" w14:textId="77777777" w:rsidR="00FB1833" w:rsidRPr="00B13B9A" w:rsidRDefault="00FB1833" w:rsidP="001457CE">
            <w:pPr>
              <w:spacing w:after="0" w:line="240" w:lineRule="auto"/>
              <w:contextualSpacing/>
              <w:rPr>
                <w:rFonts w:ascii="Calibri Light" w:eastAsia="Times New Roman" w:hAnsi="Calibri Light" w:cs="Calibri Light"/>
                <w:sz w:val="20"/>
                <w:lang w:val="ro-MD"/>
              </w:rPr>
            </w:pPr>
            <w:r w:rsidRPr="00B13B9A">
              <w:rPr>
                <w:rFonts w:ascii="Calibri Light" w:eastAsia="Times New Roman" w:hAnsi="Calibri Light" w:cs="Calibri Light"/>
                <w:sz w:val="20"/>
                <w:lang w:val="ro-MD"/>
              </w:rPr>
              <w:t>Termostat TV-80-1</w:t>
            </w:r>
          </w:p>
        </w:tc>
        <w:tc>
          <w:tcPr>
            <w:tcW w:w="1480" w:type="dxa"/>
            <w:tcBorders>
              <w:top w:val="nil"/>
              <w:left w:val="nil"/>
              <w:bottom w:val="single" w:sz="4" w:space="0" w:color="auto"/>
              <w:right w:val="single" w:sz="4" w:space="0" w:color="auto"/>
            </w:tcBorders>
            <w:shd w:val="clear" w:color="auto" w:fill="auto"/>
            <w:noWrap/>
            <w:hideMark/>
          </w:tcPr>
          <w:p w14:paraId="41C4023C" w14:textId="77777777" w:rsidR="00FB1833" w:rsidRPr="00B13B9A" w:rsidRDefault="00FB1833" w:rsidP="001457CE">
            <w:pPr>
              <w:spacing w:after="0" w:line="240" w:lineRule="auto"/>
              <w:contextualSpacing/>
              <w:jc w:val="center"/>
              <w:rPr>
                <w:rFonts w:ascii="Calibri Light" w:eastAsia="Times New Roman" w:hAnsi="Calibri Light" w:cs="Calibri Light"/>
                <w:color w:val="000000"/>
                <w:sz w:val="20"/>
                <w:lang w:val="ro-MD"/>
              </w:rPr>
            </w:pPr>
            <w:r w:rsidRPr="00B13B9A">
              <w:rPr>
                <w:rFonts w:ascii="Calibri Light" w:eastAsia="Times New Roman" w:hAnsi="Calibri Light" w:cs="Calibri Light"/>
                <w:color w:val="000000"/>
                <w:sz w:val="20"/>
                <w:lang w:val="ro-MD"/>
              </w:rPr>
              <w:t>2</w:t>
            </w:r>
          </w:p>
        </w:tc>
        <w:tc>
          <w:tcPr>
            <w:tcW w:w="2560" w:type="dxa"/>
            <w:tcBorders>
              <w:top w:val="nil"/>
              <w:left w:val="nil"/>
              <w:bottom w:val="single" w:sz="4" w:space="0" w:color="auto"/>
              <w:right w:val="single" w:sz="4" w:space="0" w:color="auto"/>
            </w:tcBorders>
            <w:shd w:val="clear" w:color="auto" w:fill="auto"/>
            <w:noWrap/>
            <w:hideMark/>
          </w:tcPr>
          <w:p w14:paraId="1796887F" w14:textId="77777777" w:rsidR="00FB1833" w:rsidRPr="00B13B9A" w:rsidRDefault="00FB1833" w:rsidP="001457CE">
            <w:pPr>
              <w:spacing w:after="0" w:line="240" w:lineRule="auto"/>
              <w:contextualSpacing/>
              <w:jc w:val="right"/>
              <w:rPr>
                <w:rFonts w:ascii="Calibri Light" w:eastAsia="Times New Roman" w:hAnsi="Calibri Light" w:cs="Calibri Light"/>
                <w:color w:val="000000"/>
                <w:sz w:val="20"/>
                <w:lang w:val="ro-MD"/>
              </w:rPr>
            </w:pPr>
            <w:r w:rsidRPr="00B13B9A">
              <w:rPr>
                <w:rFonts w:ascii="Calibri Light" w:eastAsia="Times New Roman" w:hAnsi="Calibri Light" w:cs="Calibri Light"/>
                <w:color w:val="000000"/>
                <w:sz w:val="20"/>
                <w:lang w:val="ro-MD"/>
              </w:rPr>
              <w:t>29856,00</w:t>
            </w:r>
          </w:p>
        </w:tc>
      </w:tr>
      <w:tr w:rsidR="00FB1833" w:rsidRPr="00B13B9A" w14:paraId="25C29A53" w14:textId="77777777" w:rsidTr="001457CE">
        <w:trPr>
          <w:trHeight w:val="20"/>
        </w:trPr>
        <w:tc>
          <w:tcPr>
            <w:tcW w:w="5100" w:type="dxa"/>
            <w:tcBorders>
              <w:top w:val="nil"/>
              <w:left w:val="single" w:sz="4" w:space="0" w:color="auto"/>
              <w:bottom w:val="single" w:sz="4" w:space="0" w:color="auto"/>
              <w:right w:val="single" w:sz="4" w:space="0" w:color="auto"/>
            </w:tcBorders>
            <w:shd w:val="clear" w:color="auto" w:fill="auto"/>
            <w:hideMark/>
          </w:tcPr>
          <w:p w14:paraId="4EA0C631" w14:textId="77777777" w:rsidR="00FB1833" w:rsidRPr="00B13B9A" w:rsidRDefault="00FB1833" w:rsidP="001457CE">
            <w:pPr>
              <w:spacing w:after="0" w:line="240" w:lineRule="auto"/>
              <w:contextualSpacing/>
              <w:rPr>
                <w:rFonts w:ascii="Calibri Light" w:eastAsia="Times New Roman" w:hAnsi="Calibri Light" w:cs="Calibri Light"/>
                <w:sz w:val="20"/>
                <w:lang w:val="ro-MD"/>
              </w:rPr>
            </w:pPr>
            <w:r w:rsidRPr="00B13B9A">
              <w:rPr>
                <w:rFonts w:ascii="Calibri Light" w:eastAsia="Times New Roman" w:hAnsi="Calibri Light" w:cs="Calibri Light"/>
                <w:sz w:val="20"/>
                <w:lang w:val="ro-MD"/>
              </w:rPr>
              <w:t>Termometru digital WiFi</w:t>
            </w:r>
          </w:p>
        </w:tc>
        <w:tc>
          <w:tcPr>
            <w:tcW w:w="1480" w:type="dxa"/>
            <w:tcBorders>
              <w:top w:val="nil"/>
              <w:left w:val="nil"/>
              <w:bottom w:val="single" w:sz="4" w:space="0" w:color="auto"/>
              <w:right w:val="single" w:sz="4" w:space="0" w:color="auto"/>
            </w:tcBorders>
            <w:shd w:val="clear" w:color="auto" w:fill="auto"/>
            <w:noWrap/>
            <w:hideMark/>
          </w:tcPr>
          <w:p w14:paraId="08E0330D" w14:textId="77777777" w:rsidR="00FB1833" w:rsidRPr="00B13B9A" w:rsidRDefault="00FB1833" w:rsidP="001457CE">
            <w:pPr>
              <w:spacing w:after="0" w:line="240" w:lineRule="auto"/>
              <w:contextualSpacing/>
              <w:jc w:val="center"/>
              <w:rPr>
                <w:rFonts w:ascii="Calibri Light" w:eastAsia="Times New Roman" w:hAnsi="Calibri Light" w:cs="Calibri Light"/>
                <w:color w:val="000000"/>
                <w:sz w:val="20"/>
                <w:lang w:val="ro-MD"/>
              </w:rPr>
            </w:pPr>
            <w:r w:rsidRPr="00B13B9A">
              <w:rPr>
                <w:rFonts w:ascii="Calibri Light" w:eastAsia="Times New Roman" w:hAnsi="Calibri Light" w:cs="Calibri Light"/>
                <w:color w:val="000000"/>
                <w:sz w:val="20"/>
                <w:lang w:val="ro-MD"/>
              </w:rPr>
              <w:t>9</w:t>
            </w:r>
          </w:p>
        </w:tc>
        <w:tc>
          <w:tcPr>
            <w:tcW w:w="2560" w:type="dxa"/>
            <w:tcBorders>
              <w:top w:val="nil"/>
              <w:left w:val="nil"/>
              <w:bottom w:val="single" w:sz="4" w:space="0" w:color="auto"/>
              <w:right w:val="single" w:sz="4" w:space="0" w:color="auto"/>
            </w:tcBorders>
            <w:shd w:val="clear" w:color="auto" w:fill="auto"/>
            <w:noWrap/>
            <w:hideMark/>
          </w:tcPr>
          <w:p w14:paraId="1C1326C2" w14:textId="77777777" w:rsidR="00FB1833" w:rsidRPr="00B13B9A" w:rsidRDefault="00FB1833" w:rsidP="001457CE">
            <w:pPr>
              <w:spacing w:after="0" w:line="240" w:lineRule="auto"/>
              <w:contextualSpacing/>
              <w:jc w:val="right"/>
              <w:rPr>
                <w:rFonts w:ascii="Calibri Light" w:eastAsia="Times New Roman" w:hAnsi="Calibri Light" w:cs="Calibri Light"/>
                <w:color w:val="000000"/>
                <w:sz w:val="20"/>
                <w:lang w:val="ro-MD"/>
              </w:rPr>
            </w:pPr>
            <w:r w:rsidRPr="00B13B9A">
              <w:rPr>
                <w:rFonts w:ascii="Calibri Light" w:eastAsia="Times New Roman" w:hAnsi="Calibri Light" w:cs="Calibri Light"/>
                <w:color w:val="000000"/>
                <w:sz w:val="20"/>
                <w:lang w:val="ro-MD"/>
              </w:rPr>
              <w:t>80760,00</w:t>
            </w:r>
          </w:p>
        </w:tc>
      </w:tr>
      <w:tr w:rsidR="00FB1833" w:rsidRPr="00B13B9A" w14:paraId="499DC744" w14:textId="77777777" w:rsidTr="001457CE">
        <w:trPr>
          <w:trHeight w:val="20"/>
        </w:trPr>
        <w:tc>
          <w:tcPr>
            <w:tcW w:w="5100" w:type="dxa"/>
            <w:tcBorders>
              <w:top w:val="nil"/>
              <w:left w:val="single" w:sz="4" w:space="0" w:color="auto"/>
              <w:bottom w:val="single" w:sz="4" w:space="0" w:color="auto"/>
              <w:right w:val="single" w:sz="4" w:space="0" w:color="auto"/>
            </w:tcBorders>
            <w:shd w:val="clear" w:color="auto" w:fill="auto"/>
            <w:noWrap/>
            <w:hideMark/>
          </w:tcPr>
          <w:p w14:paraId="35A71E52" w14:textId="77777777" w:rsidR="00FB1833" w:rsidRPr="00B13B9A" w:rsidRDefault="00FB1833" w:rsidP="001457CE">
            <w:pPr>
              <w:spacing w:after="0" w:line="240" w:lineRule="auto"/>
              <w:contextualSpacing/>
              <w:jc w:val="center"/>
              <w:rPr>
                <w:rFonts w:ascii="Calibri Light" w:eastAsia="Times New Roman" w:hAnsi="Calibri Light" w:cs="Calibri Light"/>
                <w:b/>
                <w:bCs/>
                <w:color w:val="000000"/>
                <w:sz w:val="20"/>
                <w:lang w:val="ro-MD"/>
              </w:rPr>
            </w:pPr>
            <w:r w:rsidRPr="00B13B9A">
              <w:rPr>
                <w:rFonts w:ascii="Calibri Light" w:eastAsia="Times New Roman" w:hAnsi="Calibri Light" w:cs="Calibri Light"/>
                <w:b/>
                <w:bCs/>
                <w:color w:val="000000"/>
                <w:sz w:val="20"/>
                <w:lang w:val="ro-MD"/>
              </w:rPr>
              <w:t>Total 2022</w:t>
            </w:r>
          </w:p>
        </w:tc>
        <w:tc>
          <w:tcPr>
            <w:tcW w:w="1480" w:type="dxa"/>
            <w:tcBorders>
              <w:top w:val="nil"/>
              <w:left w:val="nil"/>
              <w:bottom w:val="single" w:sz="4" w:space="0" w:color="auto"/>
              <w:right w:val="single" w:sz="4" w:space="0" w:color="auto"/>
            </w:tcBorders>
            <w:shd w:val="clear" w:color="auto" w:fill="auto"/>
            <w:noWrap/>
            <w:hideMark/>
          </w:tcPr>
          <w:p w14:paraId="67430428" w14:textId="77777777" w:rsidR="00FB1833" w:rsidRPr="00B13B9A" w:rsidRDefault="00FB1833" w:rsidP="001457CE">
            <w:pPr>
              <w:spacing w:after="0" w:line="240" w:lineRule="auto"/>
              <w:contextualSpacing/>
              <w:jc w:val="center"/>
              <w:rPr>
                <w:rFonts w:ascii="Calibri Light" w:eastAsia="Times New Roman" w:hAnsi="Calibri Light" w:cs="Calibri Light"/>
                <w:b/>
                <w:bCs/>
                <w:color w:val="000000"/>
                <w:sz w:val="20"/>
                <w:lang w:val="ro-MD"/>
              </w:rPr>
            </w:pPr>
            <w:r w:rsidRPr="00B13B9A">
              <w:rPr>
                <w:rFonts w:ascii="Calibri Light" w:eastAsia="Times New Roman" w:hAnsi="Calibri Light" w:cs="Calibri Light"/>
                <w:b/>
                <w:bCs/>
                <w:color w:val="000000"/>
                <w:sz w:val="20"/>
                <w:lang w:val="ro-MD"/>
              </w:rPr>
              <w:t>27</w:t>
            </w:r>
          </w:p>
        </w:tc>
        <w:tc>
          <w:tcPr>
            <w:tcW w:w="2560" w:type="dxa"/>
            <w:tcBorders>
              <w:top w:val="nil"/>
              <w:left w:val="nil"/>
              <w:bottom w:val="single" w:sz="4" w:space="0" w:color="auto"/>
              <w:right w:val="single" w:sz="4" w:space="0" w:color="auto"/>
            </w:tcBorders>
            <w:shd w:val="clear" w:color="auto" w:fill="auto"/>
            <w:noWrap/>
            <w:hideMark/>
          </w:tcPr>
          <w:p w14:paraId="1103609B" w14:textId="77777777" w:rsidR="00FB1833" w:rsidRPr="00B13B9A" w:rsidRDefault="00FB1833" w:rsidP="001457CE">
            <w:pPr>
              <w:spacing w:after="0" w:line="240" w:lineRule="auto"/>
              <w:contextualSpacing/>
              <w:jc w:val="right"/>
              <w:rPr>
                <w:rFonts w:ascii="Calibri Light" w:eastAsia="Times New Roman" w:hAnsi="Calibri Light" w:cs="Calibri Light"/>
                <w:b/>
                <w:bCs/>
                <w:color w:val="000000"/>
                <w:sz w:val="20"/>
                <w:lang w:val="ro-MD"/>
              </w:rPr>
            </w:pPr>
            <w:r w:rsidRPr="00B13B9A">
              <w:rPr>
                <w:rFonts w:ascii="Calibri Light" w:eastAsia="Times New Roman" w:hAnsi="Calibri Light" w:cs="Calibri Light"/>
                <w:b/>
                <w:bCs/>
                <w:color w:val="000000"/>
                <w:sz w:val="20"/>
                <w:lang w:val="ro-MD"/>
              </w:rPr>
              <w:t>2293482,12</w:t>
            </w:r>
          </w:p>
        </w:tc>
      </w:tr>
      <w:tr w:rsidR="00FB1833" w:rsidRPr="00B13B9A" w14:paraId="1FB18834" w14:textId="77777777" w:rsidTr="001457CE">
        <w:trPr>
          <w:trHeight w:val="20"/>
        </w:trPr>
        <w:tc>
          <w:tcPr>
            <w:tcW w:w="9140"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14:paraId="44F254F1" w14:textId="77777777" w:rsidR="00FB1833" w:rsidRPr="00B13B9A" w:rsidRDefault="00FB1833" w:rsidP="001457CE">
            <w:pPr>
              <w:spacing w:after="0" w:line="240" w:lineRule="auto"/>
              <w:contextualSpacing/>
              <w:jc w:val="center"/>
              <w:rPr>
                <w:rFonts w:ascii="Calibri Light" w:eastAsia="Times New Roman" w:hAnsi="Calibri Light" w:cs="Calibri Light"/>
                <w:b/>
                <w:bCs/>
                <w:color w:val="000000"/>
                <w:sz w:val="20"/>
                <w:lang w:val="ro-MD"/>
              </w:rPr>
            </w:pPr>
            <w:r w:rsidRPr="00B13B9A">
              <w:rPr>
                <w:rFonts w:ascii="Calibri Light" w:eastAsia="Times New Roman" w:hAnsi="Calibri Light" w:cs="Calibri Light"/>
                <w:b/>
                <w:bCs/>
                <w:color w:val="000000"/>
                <w:sz w:val="20"/>
                <w:lang w:val="ro-MD"/>
              </w:rPr>
              <w:t>2023</w:t>
            </w:r>
          </w:p>
        </w:tc>
      </w:tr>
      <w:tr w:rsidR="00FB1833" w:rsidRPr="00B13B9A" w14:paraId="54CF2383" w14:textId="77777777" w:rsidTr="001457CE">
        <w:trPr>
          <w:trHeight w:val="20"/>
        </w:trPr>
        <w:tc>
          <w:tcPr>
            <w:tcW w:w="5100" w:type="dxa"/>
            <w:tcBorders>
              <w:top w:val="nil"/>
              <w:left w:val="single" w:sz="4" w:space="0" w:color="auto"/>
              <w:bottom w:val="single" w:sz="4" w:space="0" w:color="auto"/>
              <w:right w:val="single" w:sz="4" w:space="0" w:color="auto"/>
            </w:tcBorders>
            <w:shd w:val="clear" w:color="auto" w:fill="auto"/>
            <w:hideMark/>
          </w:tcPr>
          <w:p w14:paraId="78C306E2" w14:textId="750E2FC5" w:rsidR="00FB1833" w:rsidRPr="00B13B9A" w:rsidRDefault="00FB1833" w:rsidP="00FB2E99">
            <w:pPr>
              <w:spacing w:after="0" w:line="240" w:lineRule="auto"/>
              <w:contextualSpacing/>
              <w:rPr>
                <w:rFonts w:ascii="Calibri Light" w:eastAsia="Times New Roman" w:hAnsi="Calibri Light" w:cs="Calibri Light"/>
                <w:sz w:val="20"/>
                <w:lang w:val="ro-MD"/>
              </w:rPr>
            </w:pPr>
            <w:r w:rsidRPr="00B13B9A">
              <w:rPr>
                <w:rFonts w:ascii="Calibri Light" w:eastAsia="Times New Roman" w:hAnsi="Calibri Light" w:cs="Calibri Light"/>
                <w:sz w:val="20"/>
                <w:lang w:val="ro-MD"/>
              </w:rPr>
              <w:t>Analizator automat a</w:t>
            </w:r>
            <w:r w:rsidR="00FB2E99" w:rsidRPr="00B13B9A">
              <w:rPr>
                <w:rFonts w:ascii="Calibri Light" w:eastAsia="Times New Roman" w:hAnsi="Calibri Light" w:cs="Calibri Light"/>
                <w:sz w:val="20"/>
                <w:lang w:val="ro-MD"/>
              </w:rPr>
              <w:t>l</w:t>
            </w:r>
            <w:r w:rsidRPr="00B13B9A">
              <w:rPr>
                <w:rFonts w:ascii="Calibri Light" w:eastAsia="Times New Roman" w:hAnsi="Calibri Light" w:cs="Calibri Light"/>
                <w:sz w:val="20"/>
                <w:lang w:val="ro-MD"/>
              </w:rPr>
              <w:t xml:space="preserve"> gazelor si electrolitilor </w:t>
            </w:r>
            <w:r w:rsidR="00FB2E99" w:rsidRPr="00B13B9A">
              <w:rPr>
                <w:rFonts w:ascii="Calibri Light" w:eastAsia="Times New Roman" w:hAnsi="Calibri Light" w:cs="Calibri Light"/>
                <w:sz w:val="20"/>
                <w:lang w:val="ro-MD"/>
              </w:rPr>
              <w:t>î</w:t>
            </w:r>
            <w:r w:rsidRPr="00B13B9A">
              <w:rPr>
                <w:rFonts w:ascii="Calibri Light" w:eastAsia="Times New Roman" w:hAnsi="Calibri Light" w:cs="Calibri Light"/>
                <w:sz w:val="20"/>
                <w:lang w:val="ro-MD"/>
              </w:rPr>
              <w:t>n s</w:t>
            </w:r>
            <w:r w:rsidR="00FB2E99" w:rsidRPr="00B13B9A">
              <w:rPr>
                <w:rFonts w:ascii="Calibri Light" w:eastAsia="Times New Roman" w:hAnsi="Calibri Light" w:cs="Calibri Light"/>
                <w:sz w:val="20"/>
                <w:lang w:val="ro-MD"/>
              </w:rPr>
              <w:t>â</w:t>
            </w:r>
            <w:r w:rsidRPr="00B13B9A">
              <w:rPr>
                <w:rFonts w:ascii="Calibri Light" w:eastAsia="Times New Roman" w:hAnsi="Calibri Light" w:cs="Calibri Light"/>
                <w:sz w:val="20"/>
                <w:lang w:val="ro-MD"/>
              </w:rPr>
              <w:t>nge (200 teste)</w:t>
            </w:r>
          </w:p>
        </w:tc>
        <w:tc>
          <w:tcPr>
            <w:tcW w:w="1480" w:type="dxa"/>
            <w:tcBorders>
              <w:top w:val="nil"/>
              <w:left w:val="nil"/>
              <w:bottom w:val="single" w:sz="4" w:space="0" w:color="auto"/>
              <w:right w:val="single" w:sz="4" w:space="0" w:color="auto"/>
            </w:tcBorders>
            <w:shd w:val="clear" w:color="auto" w:fill="auto"/>
            <w:noWrap/>
            <w:hideMark/>
          </w:tcPr>
          <w:p w14:paraId="6CEBFDB1" w14:textId="77777777" w:rsidR="00FB1833" w:rsidRPr="00B13B9A" w:rsidRDefault="00FB1833" w:rsidP="001457CE">
            <w:pPr>
              <w:spacing w:after="0" w:line="240" w:lineRule="auto"/>
              <w:contextualSpacing/>
              <w:jc w:val="center"/>
              <w:rPr>
                <w:rFonts w:ascii="Calibri Light" w:eastAsia="Times New Roman" w:hAnsi="Calibri Light" w:cs="Calibri Light"/>
                <w:color w:val="000000"/>
                <w:sz w:val="20"/>
                <w:lang w:val="ro-MD"/>
              </w:rPr>
            </w:pPr>
            <w:r w:rsidRPr="00B13B9A">
              <w:rPr>
                <w:rFonts w:ascii="Calibri Light" w:eastAsia="Times New Roman" w:hAnsi="Calibri Light" w:cs="Calibri Light"/>
                <w:color w:val="000000"/>
                <w:sz w:val="20"/>
                <w:lang w:val="ro-MD"/>
              </w:rPr>
              <w:t>2</w:t>
            </w:r>
          </w:p>
        </w:tc>
        <w:tc>
          <w:tcPr>
            <w:tcW w:w="2560" w:type="dxa"/>
            <w:tcBorders>
              <w:top w:val="nil"/>
              <w:left w:val="nil"/>
              <w:bottom w:val="single" w:sz="4" w:space="0" w:color="auto"/>
              <w:right w:val="single" w:sz="4" w:space="0" w:color="auto"/>
            </w:tcBorders>
            <w:shd w:val="clear" w:color="auto" w:fill="auto"/>
            <w:noWrap/>
            <w:hideMark/>
          </w:tcPr>
          <w:p w14:paraId="3470573A" w14:textId="77777777" w:rsidR="00FB1833" w:rsidRPr="00B13B9A" w:rsidRDefault="00FB1833" w:rsidP="001457CE">
            <w:pPr>
              <w:spacing w:after="0" w:line="240" w:lineRule="auto"/>
              <w:contextualSpacing/>
              <w:jc w:val="right"/>
              <w:rPr>
                <w:rFonts w:ascii="Calibri Light" w:eastAsia="Times New Roman" w:hAnsi="Calibri Light" w:cs="Calibri Light"/>
                <w:color w:val="000000"/>
                <w:sz w:val="20"/>
                <w:lang w:val="ro-MD"/>
              </w:rPr>
            </w:pPr>
            <w:r w:rsidRPr="00B13B9A">
              <w:rPr>
                <w:rFonts w:ascii="Calibri Light" w:eastAsia="Times New Roman" w:hAnsi="Calibri Light" w:cs="Calibri Light"/>
                <w:color w:val="000000"/>
                <w:sz w:val="20"/>
                <w:lang w:val="ro-MD"/>
              </w:rPr>
              <w:t>379680,00</w:t>
            </w:r>
          </w:p>
        </w:tc>
      </w:tr>
      <w:tr w:rsidR="00FB1833" w:rsidRPr="00B13B9A" w14:paraId="6B38151C" w14:textId="77777777" w:rsidTr="001457CE">
        <w:trPr>
          <w:trHeight w:val="20"/>
        </w:trPr>
        <w:tc>
          <w:tcPr>
            <w:tcW w:w="5100" w:type="dxa"/>
            <w:tcBorders>
              <w:top w:val="nil"/>
              <w:left w:val="single" w:sz="4" w:space="0" w:color="auto"/>
              <w:bottom w:val="single" w:sz="4" w:space="0" w:color="auto"/>
              <w:right w:val="single" w:sz="4" w:space="0" w:color="auto"/>
            </w:tcBorders>
            <w:shd w:val="clear" w:color="auto" w:fill="auto"/>
            <w:noWrap/>
            <w:hideMark/>
          </w:tcPr>
          <w:p w14:paraId="29923175" w14:textId="77777777" w:rsidR="00FB1833" w:rsidRPr="00B13B9A" w:rsidRDefault="00FB1833" w:rsidP="001457CE">
            <w:pPr>
              <w:spacing w:after="0" w:line="240" w:lineRule="auto"/>
              <w:contextualSpacing/>
              <w:rPr>
                <w:rFonts w:ascii="Calibri Light" w:eastAsia="Times New Roman" w:hAnsi="Calibri Light" w:cs="Calibri Light"/>
                <w:color w:val="000000"/>
                <w:sz w:val="20"/>
                <w:lang w:val="ro-MD"/>
              </w:rPr>
            </w:pPr>
            <w:r w:rsidRPr="00B13B9A">
              <w:rPr>
                <w:rFonts w:ascii="Calibri Light" w:eastAsia="Times New Roman" w:hAnsi="Calibri Light" w:cs="Calibri Light"/>
                <w:color w:val="000000"/>
                <w:sz w:val="20"/>
                <w:lang w:val="ro-MD"/>
              </w:rPr>
              <w:t>Concentrator de oxigen</w:t>
            </w:r>
          </w:p>
        </w:tc>
        <w:tc>
          <w:tcPr>
            <w:tcW w:w="1480" w:type="dxa"/>
            <w:tcBorders>
              <w:top w:val="nil"/>
              <w:left w:val="nil"/>
              <w:bottom w:val="single" w:sz="4" w:space="0" w:color="auto"/>
              <w:right w:val="single" w:sz="4" w:space="0" w:color="auto"/>
            </w:tcBorders>
            <w:shd w:val="clear" w:color="auto" w:fill="auto"/>
            <w:noWrap/>
            <w:hideMark/>
          </w:tcPr>
          <w:p w14:paraId="68801950" w14:textId="77777777" w:rsidR="00FB1833" w:rsidRPr="00B13B9A" w:rsidRDefault="00FB1833" w:rsidP="001457CE">
            <w:pPr>
              <w:spacing w:after="0" w:line="240" w:lineRule="auto"/>
              <w:contextualSpacing/>
              <w:jc w:val="center"/>
              <w:rPr>
                <w:rFonts w:ascii="Calibri Light" w:eastAsia="Times New Roman" w:hAnsi="Calibri Light" w:cs="Calibri Light"/>
                <w:color w:val="000000"/>
                <w:sz w:val="20"/>
                <w:lang w:val="ro-MD"/>
              </w:rPr>
            </w:pPr>
            <w:r w:rsidRPr="00B13B9A">
              <w:rPr>
                <w:rFonts w:ascii="Calibri Light" w:eastAsia="Times New Roman" w:hAnsi="Calibri Light" w:cs="Calibri Light"/>
                <w:color w:val="000000"/>
                <w:sz w:val="20"/>
                <w:lang w:val="ro-MD"/>
              </w:rPr>
              <w:t>16</w:t>
            </w:r>
          </w:p>
        </w:tc>
        <w:tc>
          <w:tcPr>
            <w:tcW w:w="2560" w:type="dxa"/>
            <w:tcBorders>
              <w:top w:val="nil"/>
              <w:left w:val="nil"/>
              <w:bottom w:val="single" w:sz="4" w:space="0" w:color="auto"/>
              <w:right w:val="single" w:sz="4" w:space="0" w:color="auto"/>
            </w:tcBorders>
            <w:shd w:val="clear" w:color="auto" w:fill="auto"/>
            <w:noWrap/>
            <w:hideMark/>
          </w:tcPr>
          <w:p w14:paraId="1557FAAA" w14:textId="77777777" w:rsidR="00FB1833" w:rsidRPr="00B13B9A" w:rsidRDefault="00FB1833" w:rsidP="001457CE">
            <w:pPr>
              <w:spacing w:after="0" w:line="240" w:lineRule="auto"/>
              <w:contextualSpacing/>
              <w:jc w:val="right"/>
              <w:rPr>
                <w:rFonts w:ascii="Calibri Light" w:eastAsia="Times New Roman" w:hAnsi="Calibri Light" w:cs="Calibri Light"/>
                <w:color w:val="000000"/>
                <w:sz w:val="20"/>
                <w:lang w:val="ro-MD"/>
              </w:rPr>
            </w:pPr>
            <w:r w:rsidRPr="00B13B9A">
              <w:rPr>
                <w:rFonts w:ascii="Calibri Light" w:eastAsia="Times New Roman" w:hAnsi="Calibri Light" w:cs="Calibri Light"/>
                <w:color w:val="000000"/>
                <w:sz w:val="20"/>
                <w:lang w:val="ro-MD"/>
              </w:rPr>
              <w:t>234986,09</w:t>
            </w:r>
          </w:p>
        </w:tc>
      </w:tr>
      <w:tr w:rsidR="00FB1833" w:rsidRPr="00B13B9A" w14:paraId="423F4E36" w14:textId="77777777" w:rsidTr="001457CE">
        <w:trPr>
          <w:trHeight w:val="20"/>
        </w:trPr>
        <w:tc>
          <w:tcPr>
            <w:tcW w:w="5100" w:type="dxa"/>
            <w:tcBorders>
              <w:top w:val="nil"/>
              <w:left w:val="single" w:sz="4" w:space="0" w:color="auto"/>
              <w:bottom w:val="single" w:sz="4" w:space="0" w:color="auto"/>
              <w:right w:val="single" w:sz="4" w:space="0" w:color="auto"/>
            </w:tcBorders>
            <w:shd w:val="clear" w:color="auto" w:fill="auto"/>
            <w:hideMark/>
          </w:tcPr>
          <w:p w14:paraId="618ECCB4" w14:textId="77777777" w:rsidR="00FB1833" w:rsidRPr="00B13B9A" w:rsidRDefault="00FB1833" w:rsidP="001457CE">
            <w:pPr>
              <w:spacing w:after="0" w:line="240" w:lineRule="auto"/>
              <w:contextualSpacing/>
              <w:rPr>
                <w:rFonts w:ascii="Calibri Light" w:eastAsia="Times New Roman" w:hAnsi="Calibri Light" w:cs="Calibri Light"/>
                <w:sz w:val="20"/>
                <w:lang w:val="ro-MD"/>
              </w:rPr>
            </w:pPr>
            <w:r w:rsidRPr="00B13B9A">
              <w:rPr>
                <w:rFonts w:ascii="Calibri Light" w:eastAsia="Times New Roman" w:hAnsi="Calibri Light" w:cs="Calibri Light"/>
                <w:sz w:val="20"/>
                <w:lang w:val="ro-MD"/>
              </w:rPr>
              <w:t>Digital color dopler Ultrasound Diagnostic Mirror 2</w:t>
            </w:r>
          </w:p>
        </w:tc>
        <w:tc>
          <w:tcPr>
            <w:tcW w:w="1480" w:type="dxa"/>
            <w:tcBorders>
              <w:top w:val="nil"/>
              <w:left w:val="nil"/>
              <w:bottom w:val="single" w:sz="4" w:space="0" w:color="auto"/>
              <w:right w:val="single" w:sz="4" w:space="0" w:color="auto"/>
            </w:tcBorders>
            <w:shd w:val="clear" w:color="auto" w:fill="auto"/>
            <w:noWrap/>
            <w:hideMark/>
          </w:tcPr>
          <w:p w14:paraId="3E500735" w14:textId="77777777" w:rsidR="00FB1833" w:rsidRPr="00B13B9A" w:rsidRDefault="00FB1833" w:rsidP="001457CE">
            <w:pPr>
              <w:spacing w:after="0" w:line="240" w:lineRule="auto"/>
              <w:contextualSpacing/>
              <w:jc w:val="center"/>
              <w:rPr>
                <w:rFonts w:ascii="Calibri Light" w:eastAsia="Times New Roman" w:hAnsi="Calibri Light" w:cs="Calibri Light"/>
                <w:color w:val="000000"/>
                <w:sz w:val="20"/>
                <w:lang w:val="ro-MD"/>
              </w:rPr>
            </w:pPr>
            <w:r w:rsidRPr="00B13B9A">
              <w:rPr>
                <w:rFonts w:ascii="Calibri Light" w:eastAsia="Times New Roman" w:hAnsi="Calibri Light" w:cs="Calibri Light"/>
                <w:color w:val="000000"/>
                <w:sz w:val="20"/>
                <w:lang w:val="ro-MD"/>
              </w:rPr>
              <w:t>1</w:t>
            </w:r>
          </w:p>
        </w:tc>
        <w:tc>
          <w:tcPr>
            <w:tcW w:w="2560" w:type="dxa"/>
            <w:tcBorders>
              <w:top w:val="nil"/>
              <w:left w:val="nil"/>
              <w:bottom w:val="single" w:sz="4" w:space="0" w:color="auto"/>
              <w:right w:val="single" w:sz="4" w:space="0" w:color="auto"/>
            </w:tcBorders>
            <w:shd w:val="clear" w:color="auto" w:fill="auto"/>
            <w:noWrap/>
            <w:hideMark/>
          </w:tcPr>
          <w:p w14:paraId="1F3152B9" w14:textId="77777777" w:rsidR="00FB1833" w:rsidRPr="00B13B9A" w:rsidRDefault="00FB1833" w:rsidP="001457CE">
            <w:pPr>
              <w:spacing w:after="0" w:line="240" w:lineRule="auto"/>
              <w:contextualSpacing/>
              <w:jc w:val="right"/>
              <w:rPr>
                <w:rFonts w:ascii="Calibri Light" w:eastAsia="Times New Roman" w:hAnsi="Calibri Light" w:cs="Calibri Light"/>
                <w:color w:val="000000"/>
                <w:sz w:val="20"/>
                <w:lang w:val="ro-MD"/>
              </w:rPr>
            </w:pPr>
            <w:r w:rsidRPr="00B13B9A">
              <w:rPr>
                <w:rFonts w:ascii="Calibri Light" w:eastAsia="Times New Roman" w:hAnsi="Calibri Light" w:cs="Calibri Light"/>
                <w:color w:val="000000"/>
                <w:sz w:val="20"/>
                <w:lang w:val="ro-MD"/>
              </w:rPr>
              <w:t>202056,23</w:t>
            </w:r>
          </w:p>
        </w:tc>
      </w:tr>
      <w:tr w:rsidR="00FB1833" w:rsidRPr="00B13B9A" w14:paraId="5B988695" w14:textId="77777777" w:rsidTr="001457CE">
        <w:trPr>
          <w:trHeight w:val="20"/>
        </w:trPr>
        <w:tc>
          <w:tcPr>
            <w:tcW w:w="5100" w:type="dxa"/>
            <w:tcBorders>
              <w:top w:val="nil"/>
              <w:left w:val="single" w:sz="4" w:space="0" w:color="auto"/>
              <w:bottom w:val="single" w:sz="4" w:space="0" w:color="auto"/>
              <w:right w:val="single" w:sz="4" w:space="0" w:color="auto"/>
            </w:tcBorders>
            <w:shd w:val="clear" w:color="auto" w:fill="auto"/>
            <w:hideMark/>
          </w:tcPr>
          <w:p w14:paraId="11A840A4" w14:textId="77777777" w:rsidR="00FB1833" w:rsidRPr="00B13B9A" w:rsidRDefault="00FB1833" w:rsidP="001457CE">
            <w:pPr>
              <w:spacing w:after="0" w:line="240" w:lineRule="auto"/>
              <w:contextualSpacing/>
              <w:rPr>
                <w:rFonts w:ascii="Calibri Light" w:eastAsia="Times New Roman" w:hAnsi="Calibri Light" w:cs="Calibri Light"/>
                <w:sz w:val="20"/>
                <w:lang w:val="ro-MD"/>
              </w:rPr>
            </w:pPr>
            <w:r w:rsidRPr="00B13B9A">
              <w:rPr>
                <w:rFonts w:ascii="Calibri Light" w:eastAsia="Times New Roman" w:hAnsi="Calibri Light" w:cs="Calibri Light"/>
                <w:sz w:val="20"/>
                <w:lang w:val="ro-MD"/>
              </w:rPr>
              <w:t xml:space="preserve">Negatoscop SLIM LED </w:t>
            </w:r>
          </w:p>
        </w:tc>
        <w:tc>
          <w:tcPr>
            <w:tcW w:w="1480" w:type="dxa"/>
            <w:tcBorders>
              <w:top w:val="nil"/>
              <w:left w:val="nil"/>
              <w:bottom w:val="single" w:sz="4" w:space="0" w:color="auto"/>
              <w:right w:val="single" w:sz="4" w:space="0" w:color="auto"/>
            </w:tcBorders>
            <w:shd w:val="clear" w:color="auto" w:fill="auto"/>
            <w:noWrap/>
            <w:hideMark/>
          </w:tcPr>
          <w:p w14:paraId="7EC490F1" w14:textId="77777777" w:rsidR="00FB1833" w:rsidRPr="00B13B9A" w:rsidRDefault="00FB1833" w:rsidP="001457CE">
            <w:pPr>
              <w:spacing w:after="0" w:line="240" w:lineRule="auto"/>
              <w:contextualSpacing/>
              <w:jc w:val="center"/>
              <w:rPr>
                <w:rFonts w:ascii="Calibri Light" w:eastAsia="Times New Roman" w:hAnsi="Calibri Light" w:cs="Calibri Light"/>
                <w:color w:val="000000"/>
                <w:sz w:val="20"/>
                <w:lang w:val="ro-MD"/>
              </w:rPr>
            </w:pPr>
            <w:r w:rsidRPr="00B13B9A">
              <w:rPr>
                <w:rFonts w:ascii="Calibri Light" w:eastAsia="Times New Roman" w:hAnsi="Calibri Light" w:cs="Calibri Light"/>
                <w:color w:val="000000"/>
                <w:sz w:val="20"/>
                <w:lang w:val="ro-MD"/>
              </w:rPr>
              <w:t>4</w:t>
            </w:r>
          </w:p>
        </w:tc>
        <w:tc>
          <w:tcPr>
            <w:tcW w:w="2560" w:type="dxa"/>
            <w:tcBorders>
              <w:top w:val="nil"/>
              <w:left w:val="nil"/>
              <w:bottom w:val="single" w:sz="4" w:space="0" w:color="auto"/>
              <w:right w:val="single" w:sz="4" w:space="0" w:color="auto"/>
            </w:tcBorders>
            <w:shd w:val="clear" w:color="auto" w:fill="auto"/>
            <w:noWrap/>
            <w:hideMark/>
          </w:tcPr>
          <w:p w14:paraId="55F964B0" w14:textId="77777777" w:rsidR="00FB1833" w:rsidRPr="00B13B9A" w:rsidRDefault="00FB1833" w:rsidP="001457CE">
            <w:pPr>
              <w:spacing w:after="0" w:line="240" w:lineRule="auto"/>
              <w:contextualSpacing/>
              <w:jc w:val="right"/>
              <w:rPr>
                <w:rFonts w:ascii="Calibri Light" w:eastAsia="Times New Roman" w:hAnsi="Calibri Light" w:cs="Calibri Light"/>
                <w:color w:val="000000"/>
                <w:sz w:val="20"/>
                <w:lang w:val="ro-MD"/>
              </w:rPr>
            </w:pPr>
            <w:r w:rsidRPr="00B13B9A">
              <w:rPr>
                <w:rFonts w:ascii="Calibri Light" w:eastAsia="Times New Roman" w:hAnsi="Calibri Light" w:cs="Calibri Light"/>
                <w:color w:val="000000"/>
                <w:sz w:val="20"/>
                <w:lang w:val="ro-MD"/>
              </w:rPr>
              <w:t>54243,00</w:t>
            </w:r>
          </w:p>
        </w:tc>
      </w:tr>
      <w:tr w:rsidR="00FB1833" w:rsidRPr="00B13B9A" w14:paraId="10FA5BBE" w14:textId="77777777" w:rsidTr="001457CE">
        <w:trPr>
          <w:trHeight w:val="20"/>
        </w:trPr>
        <w:tc>
          <w:tcPr>
            <w:tcW w:w="5100" w:type="dxa"/>
            <w:tcBorders>
              <w:top w:val="nil"/>
              <w:left w:val="single" w:sz="4" w:space="0" w:color="auto"/>
              <w:bottom w:val="single" w:sz="4" w:space="0" w:color="auto"/>
              <w:right w:val="single" w:sz="4" w:space="0" w:color="auto"/>
            </w:tcBorders>
            <w:shd w:val="clear" w:color="auto" w:fill="auto"/>
            <w:hideMark/>
          </w:tcPr>
          <w:p w14:paraId="056FE962" w14:textId="77777777" w:rsidR="00FB1833" w:rsidRPr="00B13B9A" w:rsidRDefault="00FB1833" w:rsidP="001457CE">
            <w:pPr>
              <w:spacing w:after="0" w:line="240" w:lineRule="auto"/>
              <w:contextualSpacing/>
              <w:rPr>
                <w:rFonts w:ascii="Calibri Light" w:eastAsia="Times New Roman" w:hAnsi="Calibri Light" w:cs="Calibri Light"/>
                <w:sz w:val="20"/>
                <w:lang w:val="ro-MD"/>
              </w:rPr>
            </w:pPr>
            <w:r w:rsidRPr="00B13B9A">
              <w:rPr>
                <w:rFonts w:ascii="Calibri Light" w:eastAsia="Times New Roman" w:hAnsi="Calibri Light" w:cs="Calibri Light"/>
                <w:sz w:val="20"/>
                <w:lang w:val="ro-MD"/>
              </w:rPr>
              <w:t>Ventilator pulmonar</w:t>
            </w:r>
          </w:p>
        </w:tc>
        <w:tc>
          <w:tcPr>
            <w:tcW w:w="1480" w:type="dxa"/>
            <w:tcBorders>
              <w:top w:val="nil"/>
              <w:left w:val="nil"/>
              <w:bottom w:val="single" w:sz="4" w:space="0" w:color="auto"/>
              <w:right w:val="single" w:sz="4" w:space="0" w:color="auto"/>
            </w:tcBorders>
            <w:shd w:val="clear" w:color="auto" w:fill="auto"/>
            <w:noWrap/>
            <w:hideMark/>
          </w:tcPr>
          <w:p w14:paraId="3159139E" w14:textId="77777777" w:rsidR="00FB1833" w:rsidRPr="00B13B9A" w:rsidRDefault="00FB1833" w:rsidP="001457CE">
            <w:pPr>
              <w:spacing w:after="0" w:line="240" w:lineRule="auto"/>
              <w:contextualSpacing/>
              <w:jc w:val="center"/>
              <w:rPr>
                <w:rFonts w:ascii="Calibri Light" w:eastAsia="Times New Roman" w:hAnsi="Calibri Light" w:cs="Calibri Light"/>
                <w:color w:val="000000"/>
                <w:sz w:val="20"/>
                <w:lang w:val="ro-MD"/>
              </w:rPr>
            </w:pPr>
            <w:r w:rsidRPr="00B13B9A">
              <w:rPr>
                <w:rFonts w:ascii="Calibri Light" w:eastAsia="Times New Roman" w:hAnsi="Calibri Light" w:cs="Calibri Light"/>
                <w:color w:val="000000"/>
                <w:sz w:val="20"/>
                <w:lang w:val="ro-MD"/>
              </w:rPr>
              <w:t>1</w:t>
            </w:r>
          </w:p>
        </w:tc>
        <w:tc>
          <w:tcPr>
            <w:tcW w:w="2560" w:type="dxa"/>
            <w:tcBorders>
              <w:top w:val="nil"/>
              <w:left w:val="nil"/>
              <w:bottom w:val="single" w:sz="4" w:space="0" w:color="auto"/>
              <w:right w:val="single" w:sz="4" w:space="0" w:color="auto"/>
            </w:tcBorders>
            <w:shd w:val="clear" w:color="auto" w:fill="auto"/>
            <w:noWrap/>
            <w:hideMark/>
          </w:tcPr>
          <w:p w14:paraId="41526506" w14:textId="77777777" w:rsidR="00FB1833" w:rsidRPr="00B13B9A" w:rsidRDefault="00FB1833" w:rsidP="001457CE">
            <w:pPr>
              <w:spacing w:after="0" w:line="240" w:lineRule="auto"/>
              <w:contextualSpacing/>
              <w:jc w:val="right"/>
              <w:rPr>
                <w:rFonts w:ascii="Calibri Light" w:eastAsia="Times New Roman" w:hAnsi="Calibri Light" w:cs="Calibri Light"/>
                <w:color w:val="000000"/>
                <w:sz w:val="20"/>
                <w:lang w:val="ro-MD"/>
              </w:rPr>
            </w:pPr>
            <w:r w:rsidRPr="00B13B9A">
              <w:rPr>
                <w:rFonts w:ascii="Calibri Light" w:eastAsia="Times New Roman" w:hAnsi="Calibri Light" w:cs="Calibri Light"/>
                <w:color w:val="000000"/>
                <w:sz w:val="20"/>
                <w:lang w:val="ro-MD"/>
              </w:rPr>
              <w:t>404253,08</w:t>
            </w:r>
          </w:p>
        </w:tc>
      </w:tr>
      <w:tr w:rsidR="00FB1833" w:rsidRPr="00B13B9A" w14:paraId="00F789DC" w14:textId="77777777" w:rsidTr="001457CE">
        <w:trPr>
          <w:trHeight w:val="20"/>
        </w:trPr>
        <w:tc>
          <w:tcPr>
            <w:tcW w:w="5100" w:type="dxa"/>
            <w:tcBorders>
              <w:top w:val="nil"/>
              <w:left w:val="single" w:sz="4" w:space="0" w:color="auto"/>
              <w:bottom w:val="single" w:sz="4" w:space="0" w:color="auto"/>
              <w:right w:val="single" w:sz="4" w:space="0" w:color="auto"/>
            </w:tcBorders>
            <w:shd w:val="clear" w:color="auto" w:fill="auto"/>
            <w:hideMark/>
          </w:tcPr>
          <w:p w14:paraId="6F9E4337" w14:textId="77777777" w:rsidR="00FB1833" w:rsidRPr="00B13B9A" w:rsidRDefault="00FB1833" w:rsidP="001457CE">
            <w:pPr>
              <w:spacing w:after="0" w:line="240" w:lineRule="auto"/>
              <w:contextualSpacing/>
              <w:rPr>
                <w:rFonts w:ascii="Calibri Light" w:eastAsia="Times New Roman" w:hAnsi="Calibri Light" w:cs="Calibri Light"/>
                <w:sz w:val="20"/>
                <w:lang w:val="ro-MD"/>
              </w:rPr>
            </w:pPr>
            <w:r w:rsidRPr="00B13B9A">
              <w:rPr>
                <w:rFonts w:ascii="Calibri Light" w:eastAsia="Times New Roman" w:hAnsi="Calibri Light" w:cs="Calibri Light"/>
                <w:sz w:val="20"/>
                <w:lang w:val="ro-MD"/>
              </w:rPr>
              <w:t>Termometru digital WiFi</w:t>
            </w:r>
          </w:p>
        </w:tc>
        <w:tc>
          <w:tcPr>
            <w:tcW w:w="1480" w:type="dxa"/>
            <w:tcBorders>
              <w:top w:val="nil"/>
              <w:left w:val="nil"/>
              <w:bottom w:val="single" w:sz="4" w:space="0" w:color="auto"/>
              <w:right w:val="single" w:sz="4" w:space="0" w:color="auto"/>
            </w:tcBorders>
            <w:shd w:val="clear" w:color="auto" w:fill="auto"/>
            <w:noWrap/>
            <w:hideMark/>
          </w:tcPr>
          <w:p w14:paraId="258581DA" w14:textId="77777777" w:rsidR="00FB1833" w:rsidRPr="00B13B9A" w:rsidRDefault="00FB1833" w:rsidP="001457CE">
            <w:pPr>
              <w:spacing w:after="0" w:line="240" w:lineRule="auto"/>
              <w:contextualSpacing/>
              <w:jc w:val="center"/>
              <w:rPr>
                <w:rFonts w:ascii="Calibri Light" w:eastAsia="Times New Roman" w:hAnsi="Calibri Light" w:cs="Calibri Light"/>
                <w:color w:val="000000"/>
                <w:sz w:val="20"/>
                <w:lang w:val="ro-MD"/>
              </w:rPr>
            </w:pPr>
            <w:r w:rsidRPr="00B13B9A">
              <w:rPr>
                <w:rFonts w:ascii="Calibri Light" w:eastAsia="Times New Roman" w:hAnsi="Calibri Light" w:cs="Calibri Light"/>
                <w:color w:val="000000"/>
                <w:sz w:val="20"/>
                <w:lang w:val="ro-MD"/>
              </w:rPr>
              <w:t>10</w:t>
            </w:r>
          </w:p>
        </w:tc>
        <w:tc>
          <w:tcPr>
            <w:tcW w:w="2560" w:type="dxa"/>
            <w:tcBorders>
              <w:top w:val="nil"/>
              <w:left w:val="nil"/>
              <w:bottom w:val="single" w:sz="4" w:space="0" w:color="auto"/>
              <w:right w:val="single" w:sz="4" w:space="0" w:color="auto"/>
            </w:tcBorders>
            <w:shd w:val="clear" w:color="auto" w:fill="auto"/>
            <w:noWrap/>
            <w:hideMark/>
          </w:tcPr>
          <w:p w14:paraId="0DD35F31" w14:textId="77777777" w:rsidR="00FB1833" w:rsidRPr="00B13B9A" w:rsidRDefault="00FB1833" w:rsidP="001457CE">
            <w:pPr>
              <w:spacing w:after="0" w:line="240" w:lineRule="auto"/>
              <w:contextualSpacing/>
              <w:jc w:val="right"/>
              <w:rPr>
                <w:rFonts w:ascii="Calibri Light" w:eastAsia="Times New Roman" w:hAnsi="Calibri Light" w:cs="Calibri Light"/>
                <w:color w:val="000000"/>
                <w:sz w:val="20"/>
                <w:lang w:val="ro-MD"/>
              </w:rPr>
            </w:pPr>
            <w:r w:rsidRPr="00B13B9A">
              <w:rPr>
                <w:rFonts w:ascii="Calibri Light" w:eastAsia="Times New Roman" w:hAnsi="Calibri Light" w:cs="Calibri Light"/>
                <w:color w:val="000000"/>
                <w:sz w:val="20"/>
                <w:lang w:val="ro-MD"/>
              </w:rPr>
              <w:t>94680,00</w:t>
            </w:r>
          </w:p>
        </w:tc>
      </w:tr>
      <w:tr w:rsidR="00FB1833" w:rsidRPr="00B13B9A" w14:paraId="13B5A128" w14:textId="77777777" w:rsidTr="001457CE">
        <w:trPr>
          <w:trHeight w:val="20"/>
        </w:trPr>
        <w:tc>
          <w:tcPr>
            <w:tcW w:w="5100" w:type="dxa"/>
            <w:tcBorders>
              <w:top w:val="nil"/>
              <w:left w:val="single" w:sz="4" w:space="0" w:color="auto"/>
              <w:bottom w:val="single" w:sz="4" w:space="0" w:color="auto"/>
              <w:right w:val="single" w:sz="4" w:space="0" w:color="auto"/>
            </w:tcBorders>
            <w:shd w:val="clear" w:color="auto" w:fill="auto"/>
            <w:noWrap/>
            <w:hideMark/>
          </w:tcPr>
          <w:p w14:paraId="33707319" w14:textId="71BFEDA1" w:rsidR="00FB1833" w:rsidRPr="00B13B9A" w:rsidRDefault="00FB1833" w:rsidP="001457CE">
            <w:pPr>
              <w:spacing w:after="0" w:line="240" w:lineRule="auto"/>
              <w:contextualSpacing/>
              <w:jc w:val="center"/>
              <w:rPr>
                <w:rFonts w:ascii="Calibri Light" w:eastAsia="Times New Roman" w:hAnsi="Calibri Light" w:cs="Calibri Light"/>
                <w:b/>
                <w:bCs/>
                <w:color w:val="000000"/>
                <w:sz w:val="20"/>
                <w:lang w:val="ro-MD"/>
              </w:rPr>
            </w:pPr>
            <w:r w:rsidRPr="00B13B9A">
              <w:rPr>
                <w:rFonts w:ascii="Calibri Light" w:eastAsia="Times New Roman" w:hAnsi="Calibri Light" w:cs="Calibri Light"/>
                <w:b/>
                <w:bCs/>
                <w:color w:val="000000"/>
                <w:sz w:val="20"/>
                <w:lang w:val="ro-MD"/>
              </w:rPr>
              <w:t>Total 2023 (I sem</w:t>
            </w:r>
            <w:r w:rsidR="00E10604">
              <w:rPr>
                <w:rFonts w:ascii="Calibri Light" w:eastAsia="Times New Roman" w:hAnsi="Calibri Light" w:cs="Calibri Light"/>
                <w:b/>
                <w:bCs/>
                <w:color w:val="000000"/>
                <w:sz w:val="20"/>
                <w:lang w:val="ro-MD"/>
              </w:rPr>
              <w:t>.</w:t>
            </w:r>
            <w:r w:rsidRPr="00B13B9A">
              <w:rPr>
                <w:rFonts w:ascii="Calibri Light" w:eastAsia="Times New Roman" w:hAnsi="Calibri Light" w:cs="Calibri Light"/>
                <w:b/>
                <w:bCs/>
                <w:color w:val="000000"/>
                <w:sz w:val="20"/>
                <w:lang w:val="ro-MD"/>
              </w:rPr>
              <w:t>)</w:t>
            </w:r>
          </w:p>
        </w:tc>
        <w:tc>
          <w:tcPr>
            <w:tcW w:w="1480" w:type="dxa"/>
            <w:tcBorders>
              <w:top w:val="nil"/>
              <w:left w:val="nil"/>
              <w:bottom w:val="single" w:sz="4" w:space="0" w:color="auto"/>
              <w:right w:val="single" w:sz="4" w:space="0" w:color="auto"/>
            </w:tcBorders>
            <w:shd w:val="clear" w:color="auto" w:fill="auto"/>
            <w:noWrap/>
            <w:hideMark/>
          </w:tcPr>
          <w:p w14:paraId="7BFC4612" w14:textId="77777777" w:rsidR="00FB1833" w:rsidRPr="00B13B9A" w:rsidRDefault="00FB1833" w:rsidP="001457CE">
            <w:pPr>
              <w:spacing w:after="0" w:line="240" w:lineRule="auto"/>
              <w:contextualSpacing/>
              <w:jc w:val="center"/>
              <w:rPr>
                <w:rFonts w:ascii="Calibri Light" w:eastAsia="Times New Roman" w:hAnsi="Calibri Light" w:cs="Calibri Light"/>
                <w:b/>
                <w:bCs/>
                <w:color w:val="000000"/>
                <w:sz w:val="20"/>
                <w:lang w:val="ro-MD"/>
              </w:rPr>
            </w:pPr>
            <w:r w:rsidRPr="00B13B9A">
              <w:rPr>
                <w:rFonts w:ascii="Calibri Light" w:eastAsia="Times New Roman" w:hAnsi="Calibri Light" w:cs="Calibri Light"/>
                <w:b/>
                <w:bCs/>
                <w:color w:val="000000"/>
                <w:sz w:val="20"/>
                <w:lang w:val="ro-MD"/>
              </w:rPr>
              <w:t>34</w:t>
            </w:r>
          </w:p>
        </w:tc>
        <w:tc>
          <w:tcPr>
            <w:tcW w:w="2560" w:type="dxa"/>
            <w:tcBorders>
              <w:top w:val="nil"/>
              <w:left w:val="nil"/>
              <w:bottom w:val="single" w:sz="4" w:space="0" w:color="auto"/>
              <w:right w:val="single" w:sz="4" w:space="0" w:color="auto"/>
            </w:tcBorders>
            <w:shd w:val="clear" w:color="auto" w:fill="auto"/>
            <w:noWrap/>
            <w:hideMark/>
          </w:tcPr>
          <w:p w14:paraId="18190A87" w14:textId="77777777" w:rsidR="00FB1833" w:rsidRPr="00B13B9A" w:rsidRDefault="00FB1833" w:rsidP="001457CE">
            <w:pPr>
              <w:spacing w:after="0" w:line="240" w:lineRule="auto"/>
              <w:contextualSpacing/>
              <w:jc w:val="right"/>
              <w:rPr>
                <w:rFonts w:ascii="Calibri Light" w:eastAsia="Times New Roman" w:hAnsi="Calibri Light" w:cs="Calibri Light"/>
                <w:b/>
                <w:bCs/>
                <w:color w:val="000000"/>
                <w:sz w:val="20"/>
                <w:lang w:val="ro-MD"/>
              </w:rPr>
            </w:pPr>
            <w:r w:rsidRPr="00B13B9A">
              <w:rPr>
                <w:rFonts w:ascii="Calibri Light" w:eastAsia="Times New Roman" w:hAnsi="Calibri Light" w:cs="Calibri Light"/>
                <w:b/>
                <w:bCs/>
                <w:color w:val="000000"/>
                <w:sz w:val="20"/>
                <w:lang w:val="ro-MD"/>
              </w:rPr>
              <w:t>1369898,40</w:t>
            </w:r>
          </w:p>
        </w:tc>
      </w:tr>
    </w:tbl>
    <w:p w14:paraId="39F43347" w14:textId="634965CF" w:rsidR="00FB1833" w:rsidRPr="00B13B9A" w:rsidRDefault="00FB1833" w:rsidP="00FB1833">
      <w:pPr>
        <w:pStyle w:val="cn"/>
        <w:spacing w:line="276" w:lineRule="auto"/>
        <w:ind w:right="71"/>
        <w:jc w:val="both"/>
        <w:rPr>
          <w:rFonts w:asciiTheme="majorHAnsi" w:eastAsiaTheme="minorHAnsi" w:hAnsiTheme="majorHAnsi" w:cstheme="majorHAnsi"/>
          <w:i/>
          <w:sz w:val="20"/>
          <w:szCs w:val="20"/>
          <w:lang w:val="ro-MD" w:eastAsia="en-US"/>
        </w:rPr>
      </w:pPr>
      <w:r w:rsidRPr="00B13B9A">
        <w:rPr>
          <w:rFonts w:asciiTheme="majorHAnsi" w:eastAsiaTheme="minorHAnsi" w:hAnsiTheme="majorHAnsi" w:cstheme="majorHAnsi"/>
          <w:b/>
          <w:i/>
          <w:sz w:val="20"/>
          <w:szCs w:val="20"/>
          <w:lang w:val="ro-MD" w:eastAsia="en-US"/>
        </w:rPr>
        <w:t>Sursa:</w:t>
      </w:r>
      <w:r w:rsidRPr="00B13B9A">
        <w:rPr>
          <w:rFonts w:asciiTheme="majorHAnsi" w:eastAsiaTheme="minorHAnsi" w:hAnsiTheme="majorHAnsi" w:cstheme="majorHAnsi"/>
          <w:i/>
          <w:sz w:val="20"/>
          <w:szCs w:val="20"/>
          <w:lang w:val="ro-MD" w:eastAsia="en-US"/>
        </w:rPr>
        <w:t xml:space="preserve"> Informa</w:t>
      </w:r>
      <w:r w:rsidR="00B13B9A" w:rsidRPr="00B13B9A">
        <w:rPr>
          <w:rFonts w:asciiTheme="majorHAnsi" w:eastAsiaTheme="minorHAnsi" w:hAnsiTheme="majorHAnsi" w:cstheme="majorHAnsi"/>
          <w:i/>
          <w:sz w:val="20"/>
          <w:szCs w:val="20"/>
          <w:lang w:val="ro-MD" w:eastAsia="en-US"/>
        </w:rPr>
        <w:t>ț</w:t>
      </w:r>
      <w:r w:rsidRPr="00B13B9A">
        <w:rPr>
          <w:rFonts w:asciiTheme="majorHAnsi" w:eastAsiaTheme="minorHAnsi" w:hAnsiTheme="majorHAnsi" w:cstheme="majorHAnsi"/>
          <w:i/>
          <w:sz w:val="20"/>
          <w:szCs w:val="20"/>
          <w:lang w:val="ro-MD" w:eastAsia="en-US"/>
        </w:rPr>
        <w:t xml:space="preserve">ii </w:t>
      </w:r>
      <w:r w:rsidR="00FB2E99" w:rsidRPr="00B13B9A">
        <w:rPr>
          <w:rFonts w:asciiTheme="majorHAnsi" w:eastAsiaTheme="minorHAnsi" w:hAnsiTheme="majorHAnsi" w:cstheme="majorHAnsi"/>
          <w:i/>
          <w:sz w:val="20"/>
          <w:szCs w:val="20"/>
          <w:lang w:val="ro-MD" w:eastAsia="en-US"/>
        </w:rPr>
        <w:t xml:space="preserve">preluate </w:t>
      </w:r>
      <w:r w:rsidRPr="00B13B9A">
        <w:rPr>
          <w:rFonts w:asciiTheme="majorHAnsi" w:eastAsiaTheme="minorHAnsi" w:hAnsiTheme="majorHAnsi" w:cstheme="majorHAnsi"/>
          <w:i/>
          <w:sz w:val="20"/>
          <w:szCs w:val="20"/>
          <w:lang w:val="ro-MD" w:eastAsia="en-US"/>
        </w:rPr>
        <w:t>din eviden</w:t>
      </w:r>
      <w:r w:rsidR="00B13B9A" w:rsidRPr="00B13B9A">
        <w:rPr>
          <w:rFonts w:asciiTheme="majorHAnsi" w:eastAsiaTheme="minorHAnsi" w:hAnsiTheme="majorHAnsi" w:cstheme="majorHAnsi"/>
          <w:i/>
          <w:sz w:val="20"/>
          <w:szCs w:val="20"/>
          <w:lang w:val="ro-MD" w:eastAsia="en-US"/>
        </w:rPr>
        <w:t>ț</w:t>
      </w:r>
      <w:r w:rsidRPr="00B13B9A">
        <w:rPr>
          <w:rFonts w:asciiTheme="majorHAnsi" w:eastAsiaTheme="minorHAnsi" w:hAnsiTheme="majorHAnsi" w:cstheme="majorHAnsi"/>
          <w:i/>
          <w:sz w:val="20"/>
          <w:szCs w:val="20"/>
          <w:lang w:val="ro-MD" w:eastAsia="en-US"/>
        </w:rPr>
        <w:t>a contabilă</w:t>
      </w:r>
      <w:r w:rsidR="00FB2E99" w:rsidRPr="00B13B9A">
        <w:rPr>
          <w:rFonts w:asciiTheme="majorHAnsi" w:eastAsiaTheme="minorHAnsi" w:hAnsiTheme="majorHAnsi" w:cstheme="majorHAnsi"/>
          <w:i/>
          <w:sz w:val="20"/>
          <w:szCs w:val="20"/>
          <w:lang w:val="ro-MD" w:eastAsia="en-US"/>
        </w:rPr>
        <w:t xml:space="preserve"> a IMSP IFP </w:t>
      </w:r>
      <w:r w:rsidR="00FB2E99" w:rsidRPr="00B13B9A">
        <w:rPr>
          <w:rFonts w:asciiTheme="majorHAnsi" w:hAnsiTheme="majorHAnsi" w:cstheme="majorHAnsi"/>
          <w:i/>
          <w:sz w:val="20"/>
          <w:szCs w:val="20"/>
          <w:lang w:val="ro-MD"/>
        </w:rPr>
        <w:t>„Chiril Draganiuc”</w:t>
      </w:r>
      <w:r w:rsidR="00FB2E99" w:rsidRPr="00B13B9A">
        <w:rPr>
          <w:rFonts w:asciiTheme="majorHAnsi" w:eastAsiaTheme="minorHAnsi" w:hAnsiTheme="majorHAnsi" w:cstheme="majorHAnsi"/>
          <w:i/>
          <w:sz w:val="20"/>
          <w:szCs w:val="20"/>
          <w:lang w:val="ro-MD" w:eastAsia="en-US"/>
        </w:rPr>
        <w:t>.</w:t>
      </w:r>
    </w:p>
    <w:p w14:paraId="7C45A612" w14:textId="77777777" w:rsidR="00332FF7" w:rsidRDefault="00332FF7" w:rsidP="00FB1833">
      <w:pPr>
        <w:pStyle w:val="cn"/>
        <w:spacing w:line="276" w:lineRule="auto"/>
        <w:ind w:right="71"/>
        <w:jc w:val="both"/>
        <w:rPr>
          <w:rFonts w:asciiTheme="majorHAnsi" w:eastAsiaTheme="minorHAnsi" w:hAnsiTheme="majorHAnsi" w:cstheme="majorHAnsi"/>
          <w:i/>
          <w:sz w:val="20"/>
          <w:szCs w:val="20"/>
          <w:lang w:val="ro-MD" w:eastAsia="en-US"/>
        </w:rPr>
        <w:sectPr w:rsidR="00332FF7" w:rsidSect="00046446">
          <w:pgSz w:w="12240" w:h="15840"/>
          <w:pgMar w:top="851" w:right="758" w:bottom="993" w:left="1701" w:header="708" w:footer="272" w:gutter="0"/>
          <w:cols w:space="708"/>
          <w:titlePg/>
          <w:docGrid w:linePitch="360"/>
        </w:sectPr>
      </w:pPr>
    </w:p>
    <w:p w14:paraId="7EF72755" w14:textId="77777777" w:rsidR="00FB1833" w:rsidRPr="00B13B9A" w:rsidRDefault="00FB1833" w:rsidP="00FB1833">
      <w:pPr>
        <w:pStyle w:val="3"/>
        <w:jc w:val="right"/>
        <w:rPr>
          <w:rFonts w:cstheme="majorHAnsi"/>
          <w:b/>
          <w:iCs/>
          <w:color w:val="auto"/>
        </w:rPr>
      </w:pPr>
      <w:bookmarkStart w:id="68" w:name="_Toc154562538"/>
      <w:r w:rsidRPr="00B13B9A">
        <w:rPr>
          <w:rFonts w:cstheme="majorHAnsi"/>
          <w:b/>
          <w:iCs/>
          <w:color w:val="auto"/>
        </w:rPr>
        <w:t>Anexa nr. 1</w:t>
      </w:r>
      <w:r w:rsidR="001457CE" w:rsidRPr="00B13B9A">
        <w:rPr>
          <w:rFonts w:cstheme="majorHAnsi"/>
          <w:b/>
          <w:iCs/>
          <w:color w:val="auto"/>
        </w:rPr>
        <w:t>5</w:t>
      </w:r>
      <w:bookmarkEnd w:id="68"/>
    </w:p>
    <w:p w14:paraId="6AACEEE6" w14:textId="7E1EC7A5" w:rsidR="00FB1833" w:rsidRPr="00B13B9A" w:rsidRDefault="00FB1833" w:rsidP="00FB1833">
      <w:pPr>
        <w:spacing w:after="0" w:line="240" w:lineRule="auto"/>
        <w:jc w:val="center"/>
        <w:rPr>
          <w:rFonts w:asciiTheme="majorHAnsi" w:hAnsiTheme="majorHAnsi" w:cstheme="majorHAnsi"/>
          <w:b/>
          <w:bCs/>
          <w:i/>
          <w:iCs/>
          <w:sz w:val="24"/>
          <w:szCs w:val="24"/>
          <w:lang w:val="ro-MD"/>
        </w:rPr>
      </w:pPr>
      <w:r w:rsidRPr="00B13B9A">
        <w:rPr>
          <w:rFonts w:asciiTheme="majorHAnsi" w:hAnsiTheme="majorHAnsi" w:cstheme="majorHAnsi"/>
          <w:b/>
          <w:bCs/>
          <w:i/>
          <w:iCs/>
          <w:sz w:val="24"/>
          <w:szCs w:val="24"/>
          <w:lang w:val="ro-MD"/>
        </w:rPr>
        <w:t>Informa</w:t>
      </w:r>
      <w:r w:rsidR="00B13B9A" w:rsidRPr="00B13B9A">
        <w:rPr>
          <w:rFonts w:asciiTheme="majorHAnsi" w:hAnsiTheme="majorHAnsi" w:cstheme="majorHAnsi"/>
          <w:b/>
          <w:bCs/>
          <w:i/>
          <w:iCs/>
          <w:sz w:val="24"/>
          <w:szCs w:val="24"/>
          <w:lang w:val="ro-MD"/>
        </w:rPr>
        <w:t>ț</w:t>
      </w:r>
      <w:r w:rsidRPr="00B13B9A">
        <w:rPr>
          <w:rFonts w:asciiTheme="majorHAnsi" w:hAnsiTheme="majorHAnsi" w:cstheme="majorHAnsi"/>
          <w:b/>
          <w:bCs/>
          <w:i/>
          <w:iCs/>
          <w:sz w:val="24"/>
          <w:szCs w:val="24"/>
          <w:lang w:val="ro-MD"/>
        </w:rPr>
        <w:t>i</w:t>
      </w:r>
      <w:r w:rsidR="00FB2E99" w:rsidRPr="00B13B9A">
        <w:rPr>
          <w:rFonts w:asciiTheme="majorHAnsi" w:hAnsiTheme="majorHAnsi" w:cstheme="majorHAnsi"/>
          <w:b/>
          <w:bCs/>
          <w:i/>
          <w:iCs/>
          <w:sz w:val="24"/>
          <w:szCs w:val="24"/>
          <w:lang w:val="ro-MD"/>
        </w:rPr>
        <w:t>i</w:t>
      </w:r>
      <w:r w:rsidRPr="00B13B9A">
        <w:rPr>
          <w:rFonts w:asciiTheme="majorHAnsi" w:hAnsiTheme="majorHAnsi" w:cstheme="majorHAnsi"/>
          <w:b/>
          <w:bCs/>
          <w:i/>
          <w:iCs/>
          <w:sz w:val="24"/>
          <w:szCs w:val="24"/>
          <w:lang w:val="ro-MD"/>
        </w:rPr>
        <w:t xml:space="preserve"> aferent</w:t>
      </w:r>
      <w:r w:rsidR="00FB2E99" w:rsidRPr="00B13B9A">
        <w:rPr>
          <w:rFonts w:asciiTheme="majorHAnsi" w:hAnsiTheme="majorHAnsi" w:cstheme="majorHAnsi"/>
          <w:b/>
          <w:bCs/>
          <w:i/>
          <w:iCs/>
          <w:sz w:val="24"/>
          <w:szCs w:val="24"/>
          <w:lang w:val="ro-MD"/>
        </w:rPr>
        <w:t>e</w:t>
      </w:r>
      <w:r w:rsidRPr="00B13B9A">
        <w:rPr>
          <w:rFonts w:asciiTheme="majorHAnsi" w:hAnsiTheme="majorHAnsi" w:cstheme="majorHAnsi"/>
          <w:b/>
          <w:bCs/>
          <w:i/>
          <w:iCs/>
          <w:sz w:val="24"/>
          <w:szCs w:val="24"/>
          <w:lang w:val="ro-MD"/>
        </w:rPr>
        <w:t xml:space="preserve"> procedurilor/contractelor de achizi</w:t>
      </w:r>
      <w:r w:rsidR="00B13B9A" w:rsidRPr="00B13B9A">
        <w:rPr>
          <w:rFonts w:asciiTheme="majorHAnsi" w:hAnsiTheme="majorHAnsi" w:cstheme="majorHAnsi"/>
          <w:b/>
          <w:bCs/>
          <w:i/>
          <w:iCs/>
          <w:sz w:val="24"/>
          <w:szCs w:val="24"/>
          <w:lang w:val="ro-MD"/>
        </w:rPr>
        <w:t>ț</w:t>
      </w:r>
      <w:r w:rsidRPr="00B13B9A">
        <w:rPr>
          <w:rFonts w:asciiTheme="majorHAnsi" w:hAnsiTheme="majorHAnsi" w:cstheme="majorHAnsi"/>
          <w:b/>
          <w:bCs/>
          <w:i/>
          <w:iCs/>
          <w:sz w:val="24"/>
          <w:szCs w:val="24"/>
          <w:lang w:val="ro-MD"/>
        </w:rPr>
        <w:t>ii publice desfă</w:t>
      </w:r>
      <w:r w:rsidR="00B13B9A" w:rsidRPr="00B13B9A">
        <w:rPr>
          <w:rFonts w:asciiTheme="majorHAnsi" w:hAnsiTheme="majorHAnsi" w:cstheme="majorHAnsi"/>
          <w:b/>
          <w:bCs/>
          <w:i/>
          <w:iCs/>
          <w:sz w:val="24"/>
          <w:szCs w:val="24"/>
          <w:lang w:val="ro-MD"/>
        </w:rPr>
        <w:t>ș</w:t>
      </w:r>
      <w:r w:rsidRPr="00B13B9A">
        <w:rPr>
          <w:rFonts w:asciiTheme="majorHAnsi" w:hAnsiTheme="majorHAnsi" w:cstheme="majorHAnsi"/>
          <w:b/>
          <w:bCs/>
          <w:i/>
          <w:iCs/>
          <w:sz w:val="24"/>
          <w:szCs w:val="24"/>
          <w:lang w:val="ro-MD"/>
        </w:rPr>
        <w:t>urate/încheiate</w:t>
      </w:r>
    </w:p>
    <w:p w14:paraId="0755D3B0" w14:textId="27664477" w:rsidR="00FB1833" w:rsidRPr="00B13B9A" w:rsidRDefault="00FB1833" w:rsidP="00FB1833">
      <w:pPr>
        <w:spacing w:after="0" w:line="240" w:lineRule="auto"/>
        <w:jc w:val="center"/>
        <w:rPr>
          <w:rFonts w:asciiTheme="majorHAnsi" w:hAnsiTheme="majorHAnsi" w:cstheme="majorHAnsi"/>
          <w:b/>
          <w:i/>
          <w:sz w:val="24"/>
          <w:szCs w:val="24"/>
          <w:lang w:val="ro-MD"/>
        </w:rPr>
      </w:pPr>
      <w:r w:rsidRPr="00B13B9A">
        <w:rPr>
          <w:rFonts w:asciiTheme="majorHAnsi" w:hAnsiTheme="majorHAnsi" w:cstheme="majorHAnsi"/>
          <w:b/>
          <w:bCs/>
          <w:i/>
          <w:iCs/>
          <w:sz w:val="24"/>
          <w:szCs w:val="24"/>
          <w:lang w:val="ro-MD"/>
        </w:rPr>
        <w:t>în perioada 2021-2023 (I sem</w:t>
      </w:r>
      <w:r w:rsidR="00FB2E99" w:rsidRPr="00B13B9A">
        <w:rPr>
          <w:rFonts w:asciiTheme="majorHAnsi" w:hAnsiTheme="majorHAnsi" w:cstheme="majorHAnsi"/>
          <w:b/>
          <w:bCs/>
          <w:i/>
          <w:iCs/>
          <w:sz w:val="24"/>
          <w:szCs w:val="24"/>
          <w:lang w:val="ro-MD"/>
        </w:rPr>
        <w:t>.</w:t>
      </w:r>
      <w:r w:rsidRPr="00B13B9A">
        <w:rPr>
          <w:rFonts w:asciiTheme="majorHAnsi" w:hAnsiTheme="majorHAnsi" w:cstheme="majorHAnsi"/>
          <w:b/>
          <w:bCs/>
          <w:i/>
          <w:iCs/>
          <w:sz w:val="24"/>
          <w:szCs w:val="24"/>
          <w:lang w:val="ro-MD"/>
        </w:rPr>
        <w:t xml:space="preserve">) de către </w:t>
      </w:r>
      <w:r w:rsidRPr="00B13B9A">
        <w:rPr>
          <w:rFonts w:asciiTheme="majorHAnsi" w:hAnsiTheme="majorHAnsi" w:cstheme="majorHAnsi"/>
          <w:b/>
          <w:i/>
          <w:color w:val="000000" w:themeColor="text1"/>
          <w:sz w:val="24"/>
          <w:szCs w:val="24"/>
          <w:lang w:val="ro-MD"/>
        </w:rPr>
        <w:t xml:space="preserve">IMSP IFP </w:t>
      </w:r>
      <w:r w:rsidRPr="00B13B9A">
        <w:rPr>
          <w:rFonts w:asciiTheme="majorHAnsi" w:hAnsiTheme="majorHAnsi" w:cstheme="majorHAnsi"/>
          <w:b/>
          <w:i/>
          <w:sz w:val="24"/>
          <w:szCs w:val="24"/>
          <w:lang w:val="ro-MD"/>
        </w:rPr>
        <w:t>„Chiril Draganiuc”</w:t>
      </w:r>
    </w:p>
    <w:tbl>
      <w:tblPr>
        <w:tblW w:w="10449" w:type="dxa"/>
        <w:tblInd w:w="-714" w:type="dxa"/>
        <w:tblLook w:val="04A0" w:firstRow="1" w:lastRow="0" w:firstColumn="1" w:lastColumn="0" w:noHBand="0" w:noVBand="1"/>
      </w:tblPr>
      <w:tblGrid>
        <w:gridCol w:w="1843"/>
        <w:gridCol w:w="921"/>
        <w:gridCol w:w="912"/>
        <w:gridCol w:w="943"/>
        <w:gridCol w:w="921"/>
        <w:gridCol w:w="912"/>
        <w:gridCol w:w="1075"/>
        <w:gridCol w:w="1014"/>
        <w:gridCol w:w="961"/>
        <w:gridCol w:w="947"/>
      </w:tblGrid>
      <w:tr w:rsidR="00FB1833" w:rsidRPr="00B13B9A" w14:paraId="36CF0E76" w14:textId="77777777" w:rsidTr="008156E3">
        <w:trPr>
          <w:trHeight w:val="20"/>
        </w:trPr>
        <w:tc>
          <w:tcPr>
            <w:tcW w:w="184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2A6AA28" w14:textId="31EA1DFF" w:rsidR="00FB1833" w:rsidRPr="00B13B9A" w:rsidRDefault="00FB1833" w:rsidP="00FB2E99">
            <w:pPr>
              <w:spacing w:after="0" w:line="240" w:lineRule="auto"/>
              <w:jc w:val="center"/>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 xml:space="preserve">Tip </w:t>
            </w:r>
            <w:r w:rsidR="00FB2E99" w:rsidRPr="00B13B9A">
              <w:rPr>
                <w:rFonts w:asciiTheme="majorHAnsi" w:eastAsia="Times New Roman" w:hAnsiTheme="majorHAnsi" w:cstheme="majorHAnsi"/>
                <w:b/>
                <w:bCs/>
                <w:color w:val="000000"/>
                <w:sz w:val="20"/>
                <w:szCs w:val="20"/>
                <w:lang w:val="ro-MD"/>
              </w:rPr>
              <w:t>p</w:t>
            </w:r>
            <w:r w:rsidRPr="00B13B9A">
              <w:rPr>
                <w:rFonts w:asciiTheme="majorHAnsi" w:eastAsia="Times New Roman" w:hAnsiTheme="majorHAnsi" w:cstheme="majorHAnsi"/>
                <w:b/>
                <w:bCs/>
                <w:color w:val="000000"/>
                <w:sz w:val="20"/>
                <w:szCs w:val="20"/>
                <w:lang w:val="ro-MD"/>
              </w:rPr>
              <w:t>rocedură</w:t>
            </w:r>
          </w:p>
        </w:tc>
        <w:tc>
          <w:tcPr>
            <w:tcW w:w="2776"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EDA823E" w14:textId="77777777" w:rsidR="00FB1833" w:rsidRPr="00B13B9A" w:rsidRDefault="00FB1833" w:rsidP="008156E3">
            <w:pPr>
              <w:spacing w:after="0" w:line="240" w:lineRule="auto"/>
              <w:jc w:val="center"/>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2021</w:t>
            </w:r>
          </w:p>
        </w:tc>
        <w:tc>
          <w:tcPr>
            <w:tcW w:w="2908" w:type="dxa"/>
            <w:gridSpan w:val="3"/>
            <w:tcBorders>
              <w:top w:val="single" w:sz="4" w:space="0" w:color="auto"/>
              <w:left w:val="nil"/>
              <w:bottom w:val="single" w:sz="4" w:space="0" w:color="auto"/>
              <w:right w:val="single" w:sz="4" w:space="0" w:color="auto"/>
            </w:tcBorders>
            <w:shd w:val="clear" w:color="auto" w:fill="auto"/>
            <w:noWrap/>
            <w:vAlign w:val="bottom"/>
            <w:hideMark/>
          </w:tcPr>
          <w:p w14:paraId="2FC369D5" w14:textId="77777777" w:rsidR="00FB1833" w:rsidRPr="00B13B9A" w:rsidRDefault="00FB1833" w:rsidP="008156E3">
            <w:pPr>
              <w:spacing w:after="0" w:line="240" w:lineRule="auto"/>
              <w:jc w:val="center"/>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2022</w:t>
            </w:r>
          </w:p>
        </w:tc>
        <w:tc>
          <w:tcPr>
            <w:tcW w:w="2922"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6BFCAAC" w14:textId="77777777" w:rsidR="00FB1833" w:rsidRPr="00B13B9A" w:rsidRDefault="00FB1833" w:rsidP="008156E3">
            <w:pPr>
              <w:spacing w:after="0" w:line="240" w:lineRule="auto"/>
              <w:jc w:val="center"/>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2023 (I sem)</w:t>
            </w:r>
          </w:p>
        </w:tc>
      </w:tr>
      <w:tr w:rsidR="00FB1833" w:rsidRPr="00B13B9A" w14:paraId="69B5F10F" w14:textId="77777777" w:rsidTr="008156E3">
        <w:trPr>
          <w:trHeight w:val="20"/>
        </w:trPr>
        <w:tc>
          <w:tcPr>
            <w:tcW w:w="184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06AA6F3" w14:textId="77777777" w:rsidR="00FB1833" w:rsidRPr="00B13B9A" w:rsidRDefault="00FB1833" w:rsidP="008156E3">
            <w:pPr>
              <w:spacing w:after="0" w:line="240" w:lineRule="auto"/>
              <w:rPr>
                <w:rFonts w:asciiTheme="majorHAnsi" w:eastAsia="Times New Roman" w:hAnsiTheme="majorHAnsi" w:cstheme="majorHAnsi"/>
                <w:b/>
                <w:bCs/>
                <w:color w:val="000000"/>
                <w:sz w:val="20"/>
                <w:szCs w:val="20"/>
                <w:lang w:val="ro-MD"/>
              </w:rPr>
            </w:pPr>
          </w:p>
        </w:tc>
        <w:tc>
          <w:tcPr>
            <w:tcW w:w="921" w:type="dxa"/>
            <w:tcBorders>
              <w:top w:val="nil"/>
              <w:left w:val="nil"/>
              <w:bottom w:val="single" w:sz="4" w:space="0" w:color="auto"/>
              <w:right w:val="single" w:sz="4" w:space="0" w:color="auto"/>
            </w:tcBorders>
            <w:shd w:val="clear" w:color="auto" w:fill="auto"/>
            <w:noWrap/>
            <w:vAlign w:val="bottom"/>
            <w:hideMark/>
          </w:tcPr>
          <w:p w14:paraId="56938933" w14:textId="77777777" w:rsidR="00FB1833" w:rsidRPr="00B13B9A" w:rsidRDefault="00FB1833" w:rsidP="008156E3">
            <w:pPr>
              <w:spacing w:after="0" w:line="240" w:lineRule="auto"/>
              <w:jc w:val="center"/>
              <w:rPr>
                <w:rFonts w:asciiTheme="majorHAnsi" w:eastAsia="Times New Roman" w:hAnsiTheme="majorHAnsi" w:cstheme="majorHAnsi"/>
                <w:b/>
                <w:bCs/>
                <w:color w:val="000000"/>
                <w:sz w:val="18"/>
                <w:szCs w:val="20"/>
                <w:lang w:val="ro-MD"/>
              </w:rPr>
            </w:pPr>
            <w:r w:rsidRPr="00B13B9A">
              <w:rPr>
                <w:rFonts w:asciiTheme="majorHAnsi" w:eastAsia="Times New Roman" w:hAnsiTheme="majorHAnsi" w:cstheme="majorHAnsi"/>
                <w:b/>
                <w:bCs/>
                <w:color w:val="000000"/>
                <w:sz w:val="18"/>
                <w:szCs w:val="20"/>
                <w:lang w:val="ro-MD"/>
              </w:rPr>
              <w:t>nr. proceduri</w:t>
            </w:r>
          </w:p>
        </w:tc>
        <w:tc>
          <w:tcPr>
            <w:tcW w:w="912" w:type="dxa"/>
            <w:tcBorders>
              <w:top w:val="nil"/>
              <w:left w:val="nil"/>
              <w:bottom w:val="single" w:sz="4" w:space="0" w:color="auto"/>
              <w:right w:val="single" w:sz="4" w:space="0" w:color="auto"/>
            </w:tcBorders>
            <w:shd w:val="clear" w:color="auto" w:fill="auto"/>
            <w:noWrap/>
            <w:vAlign w:val="bottom"/>
            <w:hideMark/>
          </w:tcPr>
          <w:p w14:paraId="750349F5" w14:textId="77777777" w:rsidR="00FB1833" w:rsidRPr="00B13B9A" w:rsidRDefault="00FB1833" w:rsidP="008156E3">
            <w:pPr>
              <w:spacing w:after="0" w:line="240" w:lineRule="auto"/>
              <w:jc w:val="center"/>
              <w:rPr>
                <w:rFonts w:asciiTheme="majorHAnsi" w:eastAsia="Times New Roman" w:hAnsiTheme="majorHAnsi" w:cstheme="majorHAnsi"/>
                <w:b/>
                <w:bCs/>
                <w:color w:val="000000"/>
                <w:sz w:val="18"/>
                <w:szCs w:val="20"/>
                <w:lang w:val="ro-MD"/>
              </w:rPr>
            </w:pPr>
            <w:r w:rsidRPr="00B13B9A">
              <w:rPr>
                <w:rFonts w:asciiTheme="majorHAnsi" w:eastAsia="Times New Roman" w:hAnsiTheme="majorHAnsi" w:cstheme="majorHAnsi"/>
                <w:b/>
                <w:bCs/>
                <w:color w:val="000000"/>
                <w:sz w:val="18"/>
                <w:szCs w:val="20"/>
                <w:lang w:val="ro-MD"/>
              </w:rPr>
              <w:t>nr. contracte</w:t>
            </w:r>
          </w:p>
        </w:tc>
        <w:tc>
          <w:tcPr>
            <w:tcW w:w="943" w:type="dxa"/>
            <w:tcBorders>
              <w:top w:val="nil"/>
              <w:left w:val="nil"/>
              <w:bottom w:val="single" w:sz="4" w:space="0" w:color="auto"/>
              <w:right w:val="single" w:sz="4" w:space="0" w:color="auto"/>
            </w:tcBorders>
            <w:shd w:val="clear" w:color="auto" w:fill="auto"/>
            <w:noWrap/>
            <w:vAlign w:val="bottom"/>
            <w:hideMark/>
          </w:tcPr>
          <w:p w14:paraId="1A393371" w14:textId="77777777" w:rsidR="00FB1833" w:rsidRPr="00B13B9A" w:rsidRDefault="00FB1833" w:rsidP="008156E3">
            <w:pPr>
              <w:spacing w:after="0" w:line="240" w:lineRule="auto"/>
              <w:jc w:val="center"/>
              <w:rPr>
                <w:rFonts w:asciiTheme="majorHAnsi" w:eastAsia="Times New Roman" w:hAnsiTheme="majorHAnsi" w:cstheme="majorHAnsi"/>
                <w:b/>
                <w:bCs/>
                <w:color w:val="000000"/>
                <w:sz w:val="18"/>
                <w:szCs w:val="20"/>
                <w:lang w:val="ro-MD"/>
              </w:rPr>
            </w:pPr>
            <w:r w:rsidRPr="00B13B9A">
              <w:rPr>
                <w:rFonts w:asciiTheme="majorHAnsi" w:eastAsia="Times New Roman" w:hAnsiTheme="majorHAnsi" w:cstheme="majorHAnsi"/>
                <w:b/>
                <w:bCs/>
                <w:color w:val="000000"/>
                <w:sz w:val="18"/>
                <w:szCs w:val="20"/>
                <w:lang w:val="ro-MD"/>
              </w:rPr>
              <w:t>mii lei</w:t>
            </w:r>
          </w:p>
        </w:tc>
        <w:tc>
          <w:tcPr>
            <w:tcW w:w="921" w:type="dxa"/>
            <w:tcBorders>
              <w:top w:val="nil"/>
              <w:left w:val="nil"/>
              <w:bottom w:val="single" w:sz="4" w:space="0" w:color="auto"/>
              <w:right w:val="single" w:sz="4" w:space="0" w:color="auto"/>
            </w:tcBorders>
            <w:shd w:val="clear" w:color="auto" w:fill="auto"/>
            <w:noWrap/>
            <w:vAlign w:val="bottom"/>
            <w:hideMark/>
          </w:tcPr>
          <w:p w14:paraId="1F773E36" w14:textId="77777777" w:rsidR="00FB1833" w:rsidRPr="00B13B9A" w:rsidRDefault="00FB1833" w:rsidP="008156E3">
            <w:pPr>
              <w:spacing w:after="0" w:line="240" w:lineRule="auto"/>
              <w:jc w:val="center"/>
              <w:rPr>
                <w:rFonts w:asciiTheme="majorHAnsi" w:eastAsia="Times New Roman" w:hAnsiTheme="majorHAnsi" w:cstheme="majorHAnsi"/>
                <w:b/>
                <w:bCs/>
                <w:color w:val="000000"/>
                <w:sz w:val="18"/>
                <w:szCs w:val="20"/>
                <w:lang w:val="ro-MD"/>
              </w:rPr>
            </w:pPr>
            <w:r w:rsidRPr="00B13B9A">
              <w:rPr>
                <w:rFonts w:asciiTheme="majorHAnsi" w:eastAsia="Times New Roman" w:hAnsiTheme="majorHAnsi" w:cstheme="majorHAnsi"/>
                <w:b/>
                <w:bCs/>
                <w:color w:val="000000"/>
                <w:sz w:val="18"/>
                <w:szCs w:val="20"/>
                <w:lang w:val="ro-MD"/>
              </w:rPr>
              <w:t>nr. proceduri</w:t>
            </w:r>
          </w:p>
        </w:tc>
        <w:tc>
          <w:tcPr>
            <w:tcW w:w="912" w:type="dxa"/>
            <w:tcBorders>
              <w:top w:val="nil"/>
              <w:left w:val="nil"/>
              <w:bottom w:val="single" w:sz="4" w:space="0" w:color="auto"/>
              <w:right w:val="single" w:sz="4" w:space="0" w:color="auto"/>
            </w:tcBorders>
            <w:shd w:val="clear" w:color="auto" w:fill="auto"/>
            <w:noWrap/>
            <w:vAlign w:val="bottom"/>
            <w:hideMark/>
          </w:tcPr>
          <w:p w14:paraId="3C9A4E05" w14:textId="77777777" w:rsidR="00FB1833" w:rsidRPr="00B13B9A" w:rsidRDefault="00FB1833" w:rsidP="008156E3">
            <w:pPr>
              <w:spacing w:after="0" w:line="240" w:lineRule="auto"/>
              <w:jc w:val="center"/>
              <w:rPr>
                <w:rFonts w:asciiTheme="majorHAnsi" w:eastAsia="Times New Roman" w:hAnsiTheme="majorHAnsi" w:cstheme="majorHAnsi"/>
                <w:b/>
                <w:bCs/>
                <w:color w:val="000000"/>
                <w:sz w:val="18"/>
                <w:szCs w:val="20"/>
                <w:lang w:val="ro-MD"/>
              </w:rPr>
            </w:pPr>
            <w:r w:rsidRPr="00B13B9A">
              <w:rPr>
                <w:rFonts w:asciiTheme="majorHAnsi" w:eastAsia="Times New Roman" w:hAnsiTheme="majorHAnsi" w:cstheme="majorHAnsi"/>
                <w:b/>
                <w:bCs/>
                <w:color w:val="000000"/>
                <w:sz w:val="18"/>
                <w:szCs w:val="20"/>
                <w:lang w:val="ro-MD"/>
              </w:rPr>
              <w:t>nr. contracte</w:t>
            </w:r>
          </w:p>
        </w:tc>
        <w:tc>
          <w:tcPr>
            <w:tcW w:w="1075" w:type="dxa"/>
            <w:tcBorders>
              <w:top w:val="nil"/>
              <w:left w:val="nil"/>
              <w:bottom w:val="single" w:sz="4" w:space="0" w:color="auto"/>
              <w:right w:val="single" w:sz="4" w:space="0" w:color="auto"/>
            </w:tcBorders>
            <w:shd w:val="clear" w:color="auto" w:fill="auto"/>
            <w:noWrap/>
            <w:vAlign w:val="bottom"/>
            <w:hideMark/>
          </w:tcPr>
          <w:p w14:paraId="06AFFCB2" w14:textId="77777777" w:rsidR="00FB1833" w:rsidRPr="00B13B9A" w:rsidRDefault="00FB1833" w:rsidP="008156E3">
            <w:pPr>
              <w:spacing w:after="0" w:line="240" w:lineRule="auto"/>
              <w:jc w:val="center"/>
              <w:rPr>
                <w:rFonts w:asciiTheme="majorHAnsi" w:eastAsia="Times New Roman" w:hAnsiTheme="majorHAnsi" w:cstheme="majorHAnsi"/>
                <w:b/>
                <w:bCs/>
                <w:color w:val="000000"/>
                <w:sz w:val="18"/>
                <w:szCs w:val="20"/>
                <w:lang w:val="ro-MD"/>
              </w:rPr>
            </w:pPr>
            <w:r w:rsidRPr="00B13B9A">
              <w:rPr>
                <w:rFonts w:asciiTheme="majorHAnsi" w:eastAsia="Times New Roman" w:hAnsiTheme="majorHAnsi" w:cstheme="majorHAnsi"/>
                <w:b/>
                <w:bCs/>
                <w:color w:val="000000"/>
                <w:sz w:val="18"/>
                <w:szCs w:val="20"/>
                <w:lang w:val="ro-MD"/>
              </w:rPr>
              <w:t>mii lei</w:t>
            </w:r>
          </w:p>
        </w:tc>
        <w:tc>
          <w:tcPr>
            <w:tcW w:w="1014" w:type="dxa"/>
            <w:tcBorders>
              <w:top w:val="nil"/>
              <w:left w:val="nil"/>
              <w:bottom w:val="single" w:sz="4" w:space="0" w:color="auto"/>
              <w:right w:val="single" w:sz="4" w:space="0" w:color="auto"/>
            </w:tcBorders>
            <w:shd w:val="clear" w:color="auto" w:fill="auto"/>
            <w:noWrap/>
            <w:vAlign w:val="bottom"/>
            <w:hideMark/>
          </w:tcPr>
          <w:p w14:paraId="287DFB34" w14:textId="77777777" w:rsidR="00FB1833" w:rsidRPr="00B13B9A" w:rsidRDefault="00FB1833" w:rsidP="008156E3">
            <w:pPr>
              <w:spacing w:after="0" w:line="240" w:lineRule="auto"/>
              <w:jc w:val="center"/>
              <w:rPr>
                <w:rFonts w:asciiTheme="majorHAnsi" w:eastAsia="Times New Roman" w:hAnsiTheme="majorHAnsi" w:cstheme="majorHAnsi"/>
                <w:b/>
                <w:bCs/>
                <w:color w:val="000000"/>
                <w:sz w:val="18"/>
                <w:szCs w:val="20"/>
                <w:lang w:val="ro-MD"/>
              </w:rPr>
            </w:pPr>
            <w:r w:rsidRPr="00B13B9A">
              <w:rPr>
                <w:rFonts w:asciiTheme="majorHAnsi" w:eastAsia="Times New Roman" w:hAnsiTheme="majorHAnsi" w:cstheme="majorHAnsi"/>
                <w:b/>
                <w:bCs/>
                <w:color w:val="000000"/>
                <w:sz w:val="18"/>
                <w:szCs w:val="20"/>
                <w:lang w:val="ro-MD"/>
              </w:rPr>
              <w:t>nr. proceduri</w:t>
            </w:r>
          </w:p>
        </w:tc>
        <w:tc>
          <w:tcPr>
            <w:tcW w:w="961" w:type="dxa"/>
            <w:tcBorders>
              <w:top w:val="nil"/>
              <w:left w:val="nil"/>
              <w:bottom w:val="single" w:sz="4" w:space="0" w:color="auto"/>
              <w:right w:val="single" w:sz="4" w:space="0" w:color="auto"/>
            </w:tcBorders>
            <w:shd w:val="clear" w:color="auto" w:fill="auto"/>
            <w:noWrap/>
            <w:vAlign w:val="bottom"/>
            <w:hideMark/>
          </w:tcPr>
          <w:p w14:paraId="041AB8C2" w14:textId="77777777" w:rsidR="00FB1833" w:rsidRPr="00B13B9A" w:rsidRDefault="00FB1833" w:rsidP="008156E3">
            <w:pPr>
              <w:spacing w:after="0" w:line="240" w:lineRule="auto"/>
              <w:jc w:val="center"/>
              <w:rPr>
                <w:rFonts w:asciiTheme="majorHAnsi" w:eastAsia="Times New Roman" w:hAnsiTheme="majorHAnsi" w:cstheme="majorHAnsi"/>
                <w:b/>
                <w:bCs/>
                <w:color w:val="000000"/>
                <w:sz w:val="18"/>
                <w:szCs w:val="20"/>
                <w:lang w:val="ro-MD"/>
              </w:rPr>
            </w:pPr>
            <w:r w:rsidRPr="00B13B9A">
              <w:rPr>
                <w:rFonts w:asciiTheme="majorHAnsi" w:eastAsia="Times New Roman" w:hAnsiTheme="majorHAnsi" w:cstheme="majorHAnsi"/>
                <w:b/>
                <w:bCs/>
                <w:color w:val="000000"/>
                <w:sz w:val="18"/>
                <w:szCs w:val="20"/>
                <w:lang w:val="ro-MD"/>
              </w:rPr>
              <w:t>nr. contracte</w:t>
            </w:r>
          </w:p>
        </w:tc>
        <w:tc>
          <w:tcPr>
            <w:tcW w:w="947" w:type="dxa"/>
            <w:tcBorders>
              <w:top w:val="nil"/>
              <w:left w:val="nil"/>
              <w:bottom w:val="single" w:sz="4" w:space="0" w:color="auto"/>
              <w:right w:val="single" w:sz="4" w:space="0" w:color="auto"/>
            </w:tcBorders>
            <w:shd w:val="clear" w:color="auto" w:fill="auto"/>
            <w:noWrap/>
            <w:vAlign w:val="bottom"/>
            <w:hideMark/>
          </w:tcPr>
          <w:p w14:paraId="102EAD2A" w14:textId="77777777" w:rsidR="00FB1833" w:rsidRPr="00B13B9A" w:rsidRDefault="00FB1833" w:rsidP="008156E3">
            <w:pPr>
              <w:spacing w:after="0" w:line="240" w:lineRule="auto"/>
              <w:jc w:val="center"/>
              <w:rPr>
                <w:rFonts w:asciiTheme="majorHAnsi" w:eastAsia="Times New Roman" w:hAnsiTheme="majorHAnsi" w:cstheme="majorHAnsi"/>
                <w:b/>
                <w:bCs/>
                <w:color w:val="000000"/>
                <w:sz w:val="18"/>
                <w:szCs w:val="20"/>
                <w:lang w:val="ro-MD"/>
              </w:rPr>
            </w:pPr>
            <w:r w:rsidRPr="00B13B9A">
              <w:rPr>
                <w:rFonts w:asciiTheme="majorHAnsi" w:eastAsia="Times New Roman" w:hAnsiTheme="majorHAnsi" w:cstheme="majorHAnsi"/>
                <w:b/>
                <w:bCs/>
                <w:color w:val="000000"/>
                <w:sz w:val="18"/>
                <w:szCs w:val="20"/>
                <w:lang w:val="ro-MD"/>
              </w:rPr>
              <w:t>mii lei</w:t>
            </w:r>
          </w:p>
        </w:tc>
      </w:tr>
      <w:tr w:rsidR="00FB1833" w:rsidRPr="00B13B9A" w14:paraId="68A0D2E9" w14:textId="77777777" w:rsidTr="008156E3">
        <w:trPr>
          <w:trHeight w:val="20"/>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03EDAD43" w14:textId="4B77D72B" w:rsidR="00FB1833" w:rsidRPr="00B13B9A" w:rsidRDefault="00FB1833" w:rsidP="008156E3">
            <w:pPr>
              <w:spacing w:after="0" w:line="240" w:lineRule="auto"/>
              <w:rPr>
                <w:rFonts w:asciiTheme="majorHAnsi" w:eastAsia="Times New Roman" w:hAnsiTheme="majorHAnsi" w:cstheme="majorHAnsi"/>
                <w:bCs/>
                <w:color w:val="000000"/>
                <w:sz w:val="20"/>
                <w:szCs w:val="20"/>
                <w:lang w:val="ro-MD"/>
              </w:rPr>
            </w:pPr>
            <w:r w:rsidRPr="00B13B9A">
              <w:rPr>
                <w:rFonts w:asciiTheme="majorHAnsi" w:eastAsia="Times New Roman" w:hAnsiTheme="majorHAnsi" w:cstheme="majorHAnsi"/>
                <w:bCs/>
                <w:color w:val="000000"/>
                <w:sz w:val="20"/>
                <w:szCs w:val="20"/>
                <w:lang w:val="ro-MD"/>
              </w:rPr>
              <w:t>Achizi</w:t>
            </w:r>
            <w:r w:rsidR="00B13B9A" w:rsidRPr="00B13B9A">
              <w:rPr>
                <w:rFonts w:asciiTheme="majorHAnsi" w:eastAsia="Times New Roman" w:hAnsiTheme="majorHAnsi" w:cstheme="majorHAnsi"/>
                <w:bCs/>
                <w:color w:val="000000"/>
                <w:sz w:val="20"/>
                <w:szCs w:val="20"/>
                <w:lang w:val="ro-MD"/>
              </w:rPr>
              <w:t>ț</w:t>
            </w:r>
            <w:r w:rsidRPr="00B13B9A">
              <w:rPr>
                <w:rFonts w:asciiTheme="majorHAnsi" w:eastAsia="Times New Roman" w:hAnsiTheme="majorHAnsi" w:cstheme="majorHAnsi"/>
                <w:bCs/>
                <w:color w:val="000000"/>
                <w:sz w:val="20"/>
                <w:szCs w:val="20"/>
                <w:lang w:val="ro-MD"/>
              </w:rPr>
              <w:t xml:space="preserve">ii proprii, </w:t>
            </w:r>
            <w:r w:rsidRPr="00B13B9A">
              <w:rPr>
                <w:rFonts w:asciiTheme="majorHAnsi" w:eastAsia="Times New Roman" w:hAnsiTheme="majorHAnsi" w:cstheme="majorHAnsi"/>
                <w:bCs/>
                <w:color w:val="000000"/>
                <w:sz w:val="18"/>
                <w:szCs w:val="20"/>
                <w:lang w:val="ro-MD"/>
              </w:rPr>
              <w:t>inclusiv:</w:t>
            </w:r>
          </w:p>
        </w:tc>
        <w:tc>
          <w:tcPr>
            <w:tcW w:w="921" w:type="dxa"/>
            <w:tcBorders>
              <w:top w:val="nil"/>
              <w:left w:val="nil"/>
              <w:bottom w:val="single" w:sz="4" w:space="0" w:color="auto"/>
              <w:right w:val="single" w:sz="4" w:space="0" w:color="auto"/>
            </w:tcBorders>
            <w:shd w:val="clear" w:color="auto" w:fill="auto"/>
            <w:noWrap/>
            <w:vAlign w:val="bottom"/>
            <w:hideMark/>
          </w:tcPr>
          <w:p w14:paraId="501C8A87"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19</w:t>
            </w:r>
          </w:p>
        </w:tc>
        <w:tc>
          <w:tcPr>
            <w:tcW w:w="912" w:type="dxa"/>
            <w:tcBorders>
              <w:top w:val="nil"/>
              <w:left w:val="nil"/>
              <w:bottom w:val="single" w:sz="4" w:space="0" w:color="auto"/>
              <w:right w:val="single" w:sz="4" w:space="0" w:color="auto"/>
            </w:tcBorders>
            <w:shd w:val="clear" w:color="auto" w:fill="auto"/>
            <w:noWrap/>
            <w:vAlign w:val="bottom"/>
            <w:hideMark/>
          </w:tcPr>
          <w:p w14:paraId="71FB36CE"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106</w:t>
            </w:r>
          </w:p>
        </w:tc>
        <w:tc>
          <w:tcPr>
            <w:tcW w:w="943" w:type="dxa"/>
            <w:tcBorders>
              <w:top w:val="nil"/>
              <w:left w:val="nil"/>
              <w:bottom w:val="single" w:sz="4" w:space="0" w:color="auto"/>
              <w:right w:val="single" w:sz="4" w:space="0" w:color="auto"/>
            </w:tcBorders>
            <w:shd w:val="clear" w:color="auto" w:fill="auto"/>
            <w:noWrap/>
            <w:vAlign w:val="bottom"/>
            <w:hideMark/>
          </w:tcPr>
          <w:p w14:paraId="4D726DE7"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11 844.1</w:t>
            </w:r>
          </w:p>
        </w:tc>
        <w:tc>
          <w:tcPr>
            <w:tcW w:w="921" w:type="dxa"/>
            <w:tcBorders>
              <w:top w:val="nil"/>
              <w:left w:val="nil"/>
              <w:bottom w:val="single" w:sz="4" w:space="0" w:color="auto"/>
              <w:right w:val="single" w:sz="4" w:space="0" w:color="auto"/>
            </w:tcBorders>
            <w:shd w:val="clear" w:color="auto" w:fill="auto"/>
            <w:noWrap/>
            <w:vAlign w:val="bottom"/>
            <w:hideMark/>
          </w:tcPr>
          <w:p w14:paraId="39EF1481"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19</w:t>
            </w:r>
          </w:p>
        </w:tc>
        <w:tc>
          <w:tcPr>
            <w:tcW w:w="912" w:type="dxa"/>
            <w:tcBorders>
              <w:top w:val="nil"/>
              <w:left w:val="nil"/>
              <w:bottom w:val="single" w:sz="4" w:space="0" w:color="auto"/>
              <w:right w:val="single" w:sz="4" w:space="0" w:color="auto"/>
            </w:tcBorders>
            <w:shd w:val="clear" w:color="auto" w:fill="auto"/>
            <w:noWrap/>
            <w:vAlign w:val="bottom"/>
            <w:hideMark/>
          </w:tcPr>
          <w:p w14:paraId="23F26DAF"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111</w:t>
            </w:r>
          </w:p>
        </w:tc>
        <w:tc>
          <w:tcPr>
            <w:tcW w:w="1075" w:type="dxa"/>
            <w:tcBorders>
              <w:top w:val="nil"/>
              <w:left w:val="nil"/>
              <w:bottom w:val="single" w:sz="4" w:space="0" w:color="auto"/>
              <w:right w:val="single" w:sz="4" w:space="0" w:color="auto"/>
            </w:tcBorders>
            <w:shd w:val="clear" w:color="auto" w:fill="auto"/>
            <w:noWrap/>
            <w:vAlign w:val="bottom"/>
            <w:hideMark/>
          </w:tcPr>
          <w:p w14:paraId="26669DBB"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13 838.4</w:t>
            </w:r>
          </w:p>
        </w:tc>
        <w:tc>
          <w:tcPr>
            <w:tcW w:w="1014" w:type="dxa"/>
            <w:tcBorders>
              <w:top w:val="nil"/>
              <w:left w:val="nil"/>
              <w:bottom w:val="single" w:sz="4" w:space="0" w:color="auto"/>
              <w:right w:val="single" w:sz="4" w:space="0" w:color="auto"/>
            </w:tcBorders>
            <w:shd w:val="clear" w:color="auto" w:fill="auto"/>
            <w:noWrap/>
            <w:vAlign w:val="bottom"/>
            <w:hideMark/>
          </w:tcPr>
          <w:p w14:paraId="49BDC987"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23</w:t>
            </w:r>
          </w:p>
        </w:tc>
        <w:tc>
          <w:tcPr>
            <w:tcW w:w="961" w:type="dxa"/>
            <w:tcBorders>
              <w:top w:val="nil"/>
              <w:left w:val="nil"/>
              <w:bottom w:val="single" w:sz="4" w:space="0" w:color="auto"/>
              <w:right w:val="single" w:sz="4" w:space="0" w:color="auto"/>
            </w:tcBorders>
            <w:shd w:val="clear" w:color="auto" w:fill="auto"/>
            <w:noWrap/>
            <w:vAlign w:val="bottom"/>
            <w:hideMark/>
          </w:tcPr>
          <w:p w14:paraId="10E91B89"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98</w:t>
            </w:r>
          </w:p>
        </w:tc>
        <w:tc>
          <w:tcPr>
            <w:tcW w:w="947" w:type="dxa"/>
            <w:tcBorders>
              <w:top w:val="nil"/>
              <w:left w:val="nil"/>
              <w:bottom w:val="single" w:sz="4" w:space="0" w:color="auto"/>
              <w:right w:val="single" w:sz="4" w:space="0" w:color="auto"/>
            </w:tcBorders>
            <w:shd w:val="clear" w:color="auto" w:fill="auto"/>
            <w:noWrap/>
            <w:vAlign w:val="bottom"/>
            <w:hideMark/>
          </w:tcPr>
          <w:p w14:paraId="59D201ED"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15 196.9</w:t>
            </w:r>
          </w:p>
        </w:tc>
      </w:tr>
      <w:tr w:rsidR="00FB1833" w:rsidRPr="00B13B9A" w14:paraId="4919335D" w14:textId="77777777" w:rsidTr="008156E3">
        <w:trPr>
          <w:trHeight w:val="20"/>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7CC83179" w14:textId="72604B2C" w:rsidR="00FB1833" w:rsidRPr="00B13B9A" w:rsidRDefault="00FB1833" w:rsidP="008156E3">
            <w:pPr>
              <w:spacing w:after="0" w:line="240" w:lineRule="auto"/>
              <w:rPr>
                <w:rFonts w:asciiTheme="majorHAnsi" w:eastAsia="Times New Roman" w:hAnsiTheme="majorHAnsi" w:cstheme="majorHAnsi"/>
                <w:bCs/>
                <w:color w:val="000000"/>
                <w:sz w:val="20"/>
                <w:szCs w:val="20"/>
                <w:lang w:val="ro-MD"/>
              </w:rPr>
            </w:pPr>
            <w:r w:rsidRPr="00B13B9A">
              <w:rPr>
                <w:rFonts w:asciiTheme="majorHAnsi" w:eastAsia="Times New Roman" w:hAnsiTheme="majorHAnsi" w:cstheme="majorHAnsi"/>
                <w:bCs/>
                <w:color w:val="000000"/>
                <w:sz w:val="20"/>
                <w:szCs w:val="20"/>
                <w:lang w:val="ro-MD"/>
              </w:rPr>
              <w:t>Licita</w:t>
            </w:r>
            <w:r w:rsidR="00B13B9A" w:rsidRPr="00B13B9A">
              <w:rPr>
                <w:rFonts w:asciiTheme="majorHAnsi" w:eastAsia="Times New Roman" w:hAnsiTheme="majorHAnsi" w:cstheme="majorHAnsi"/>
                <w:bCs/>
                <w:color w:val="000000"/>
                <w:sz w:val="20"/>
                <w:szCs w:val="20"/>
                <w:lang w:val="ro-MD"/>
              </w:rPr>
              <w:t>ț</w:t>
            </w:r>
            <w:r w:rsidRPr="00B13B9A">
              <w:rPr>
                <w:rFonts w:asciiTheme="majorHAnsi" w:eastAsia="Times New Roman" w:hAnsiTheme="majorHAnsi" w:cstheme="majorHAnsi"/>
                <w:bCs/>
                <w:color w:val="000000"/>
                <w:sz w:val="20"/>
                <w:szCs w:val="20"/>
                <w:lang w:val="ro-MD"/>
              </w:rPr>
              <w:t>ii deschise</w:t>
            </w:r>
          </w:p>
        </w:tc>
        <w:tc>
          <w:tcPr>
            <w:tcW w:w="921" w:type="dxa"/>
            <w:tcBorders>
              <w:top w:val="nil"/>
              <w:left w:val="nil"/>
              <w:bottom w:val="single" w:sz="4" w:space="0" w:color="auto"/>
              <w:right w:val="single" w:sz="4" w:space="0" w:color="auto"/>
            </w:tcBorders>
            <w:shd w:val="clear" w:color="auto" w:fill="auto"/>
            <w:noWrap/>
            <w:vAlign w:val="bottom"/>
            <w:hideMark/>
          </w:tcPr>
          <w:p w14:paraId="271EE053"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2</w:t>
            </w:r>
          </w:p>
        </w:tc>
        <w:tc>
          <w:tcPr>
            <w:tcW w:w="912" w:type="dxa"/>
            <w:tcBorders>
              <w:top w:val="nil"/>
              <w:left w:val="nil"/>
              <w:bottom w:val="single" w:sz="4" w:space="0" w:color="auto"/>
              <w:right w:val="single" w:sz="4" w:space="0" w:color="auto"/>
            </w:tcBorders>
            <w:shd w:val="clear" w:color="auto" w:fill="auto"/>
            <w:noWrap/>
            <w:vAlign w:val="bottom"/>
            <w:hideMark/>
          </w:tcPr>
          <w:p w14:paraId="6690A33F"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19</w:t>
            </w:r>
          </w:p>
        </w:tc>
        <w:tc>
          <w:tcPr>
            <w:tcW w:w="943" w:type="dxa"/>
            <w:tcBorders>
              <w:top w:val="nil"/>
              <w:left w:val="nil"/>
              <w:bottom w:val="single" w:sz="4" w:space="0" w:color="auto"/>
              <w:right w:val="single" w:sz="4" w:space="0" w:color="auto"/>
            </w:tcBorders>
            <w:shd w:val="clear" w:color="auto" w:fill="auto"/>
            <w:noWrap/>
            <w:vAlign w:val="bottom"/>
            <w:hideMark/>
          </w:tcPr>
          <w:p w14:paraId="55D39295"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4 954.9</w:t>
            </w:r>
          </w:p>
        </w:tc>
        <w:tc>
          <w:tcPr>
            <w:tcW w:w="921" w:type="dxa"/>
            <w:tcBorders>
              <w:top w:val="nil"/>
              <w:left w:val="nil"/>
              <w:bottom w:val="single" w:sz="4" w:space="0" w:color="auto"/>
              <w:right w:val="single" w:sz="4" w:space="0" w:color="auto"/>
            </w:tcBorders>
            <w:shd w:val="clear" w:color="auto" w:fill="auto"/>
            <w:noWrap/>
            <w:vAlign w:val="bottom"/>
            <w:hideMark/>
          </w:tcPr>
          <w:p w14:paraId="30AB5125"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3</w:t>
            </w:r>
          </w:p>
        </w:tc>
        <w:tc>
          <w:tcPr>
            <w:tcW w:w="912" w:type="dxa"/>
            <w:tcBorders>
              <w:top w:val="nil"/>
              <w:left w:val="nil"/>
              <w:bottom w:val="single" w:sz="4" w:space="0" w:color="auto"/>
              <w:right w:val="single" w:sz="4" w:space="0" w:color="auto"/>
            </w:tcBorders>
            <w:shd w:val="clear" w:color="auto" w:fill="auto"/>
            <w:noWrap/>
            <w:vAlign w:val="bottom"/>
            <w:hideMark/>
          </w:tcPr>
          <w:p w14:paraId="3754CB50"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11</w:t>
            </w:r>
          </w:p>
        </w:tc>
        <w:tc>
          <w:tcPr>
            <w:tcW w:w="1075" w:type="dxa"/>
            <w:tcBorders>
              <w:top w:val="nil"/>
              <w:left w:val="nil"/>
              <w:bottom w:val="single" w:sz="4" w:space="0" w:color="auto"/>
              <w:right w:val="single" w:sz="4" w:space="0" w:color="auto"/>
            </w:tcBorders>
            <w:shd w:val="clear" w:color="auto" w:fill="auto"/>
            <w:noWrap/>
            <w:vAlign w:val="bottom"/>
            <w:hideMark/>
          </w:tcPr>
          <w:p w14:paraId="4B0891DB"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6 633.1</w:t>
            </w:r>
          </w:p>
        </w:tc>
        <w:tc>
          <w:tcPr>
            <w:tcW w:w="1014" w:type="dxa"/>
            <w:tcBorders>
              <w:top w:val="nil"/>
              <w:left w:val="nil"/>
              <w:bottom w:val="single" w:sz="4" w:space="0" w:color="auto"/>
              <w:right w:val="single" w:sz="4" w:space="0" w:color="auto"/>
            </w:tcBorders>
            <w:shd w:val="clear" w:color="auto" w:fill="auto"/>
            <w:noWrap/>
            <w:vAlign w:val="bottom"/>
            <w:hideMark/>
          </w:tcPr>
          <w:p w14:paraId="22D05793"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4</w:t>
            </w:r>
          </w:p>
        </w:tc>
        <w:tc>
          <w:tcPr>
            <w:tcW w:w="961" w:type="dxa"/>
            <w:tcBorders>
              <w:top w:val="nil"/>
              <w:left w:val="nil"/>
              <w:bottom w:val="single" w:sz="4" w:space="0" w:color="auto"/>
              <w:right w:val="single" w:sz="4" w:space="0" w:color="auto"/>
            </w:tcBorders>
            <w:shd w:val="clear" w:color="auto" w:fill="auto"/>
            <w:noWrap/>
            <w:vAlign w:val="bottom"/>
            <w:hideMark/>
          </w:tcPr>
          <w:p w14:paraId="2DBC7427"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11</w:t>
            </w:r>
          </w:p>
        </w:tc>
        <w:tc>
          <w:tcPr>
            <w:tcW w:w="947" w:type="dxa"/>
            <w:tcBorders>
              <w:top w:val="nil"/>
              <w:left w:val="nil"/>
              <w:bottom w:val="single" w:sz="4" w:space="0" w:color="auto"/>
              <w:right w:val="single" w:sz="4" w:space="0" w:color="auto"/>
            </w:tcBorders>
            <w:shd w:val="clear" w:color="auto" w:fill="auto"/>
            <w:noWrap/>
            <w:vAlign w:val="bottom"/>
            <w:hideMark/>
          </w:tcPr>
          <w:p w14:paraId="31C0B62A"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5 452.6</w:t>
            </w:r>
          </w:p>
        </w:tc>
      </w:tr>
      <w:tr w:rsidR="00FB1833" w:rsidRPr="00B13B9A" w14:paraId="201BF29F" w14:textId="77777777" w:rsidTr="008156E3">
        <w:trPr>
          <w:trHeight w:val="20"/>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66D442E9" w14:textId="77777777" w:rsidR="00FB1833" w:rsidRPr="00B13B9A" w:rsidRDefault="00FB1833" w:rsidP="008156E3">
            <w:pPr>
              <w:spacing w:after="0" w:line="240" w:lineRule="auto"/>
              <w:rPr>
                <w:rFonts w:asciiTheme="majorHAnsi" w:eastAsia="Times New Roman" w:hAnsiTheme="majorHAnsi" w:cstheme="majorHAnsi"/>
                <w:bCs/>
                <w:color w:val="000000"/>
                <w:sz w:val="20"/>
                <w:szCs w:val="20"/>
                <w:lang w:val="ro-MD"/>
              </w:rPr>
            </w:pPr>
            <w:r w:rsidRPr="00B13B9A">
              <w:rPr>
                <w:rFonts w:asciiTheme="majorHAnsi" w:eastAsia="Times New Roman" w:hAnsiTheme="majorHAnsi" w:cstheme="majorHAnsi"/>
                <w:bCs/>
                <w:color w:val="000000"/>
                <w:sz w:val="20"/>
                <w:szCs w:val="20"/>
                <w:lang w:val="ro-MD"/>
              </w:rPr>
              <w:t>COP</w:t>
            </w:r>
          </w:p>
        </w:tc>
        <w:tc>
          <w:tcPr>
            <w:tcW w:w="921" w:type="dxa"/>
            <w:tcBorders>
              <w:top w:val="nil"/>
              <w:left w:val="nil"/>
              <w:bottom w:val="single" w:sz="4" w:space="0" w:color="auto"/>
              <w:right w:val="single" w:sz="4" w:space="0" w:color="auto"/>
            </w:tcBorders>
            <w:shd w:val="clear" w:color="auto" w:fill="auto"/>
            <w:noWrap/>
            <w:vAlign w:val="bottom"/>
            <w:hideMark/>
          </w:tcPr>
          <w:p w14:paraId="7817D376"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5</w:t>
            </w:r>
          </w:p>
        </w:tc>
        <w:tc>
          <w:tcPr>
            <w:tcW w:w="912" w:type="dxa"/>
            <w:tcBorders>
              <w:top w:val="nil"/>
              <w:left w:val="nil"/>
              <w:bottom w:val="single" w:sz="4" w:space="0" w:color="auto"/>
              <w:right w:val="single" w:sz="4" w:space="0" w:color="auto"/>
            </w:tcBorders>
            <w:shd w:val="clear" w:color="auto" w:fill="auto"/>
            <w:noWrap/>
            <w:vAlign w:val="bottom"/>
            <w:hideMark/>
          </w:tcPr>
          <w:p w14:paraId="45184882"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22</w:t>
            </w:r>
          </w:p>
        </w:tc>
        <w:tc>
          <w:tcPr>
            <w:tcW w:w="943" w:type="dxa"/>
            <w:tcBorders>
              <w:top w:val="nil"/>
              <w:left w:val="nil"/>
              <w:bottom w:val="single" w:sz="4" w:space="0" w:color="auto"/>
              <w:right w:val="single" w:sz="4" w:space="0" w:color="auto"/>
            </w:tcBorders>
            <w:shd w:val="clear" w:color="auto" w:fill="auto"/>
            <w:noWrap/>
            <w:vAlign w:val="bottom"/>
            <w:hideMark/>
          </w:tcPr>
          <w:p w14:paraId="4FA279C5"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1 776.3</w:t>
            </w:r>
          </w:p>
        </w:tc>
        <w:tc>
          <w:tcPr>
            <w:tcW w:w="921" w:type="dxa"/>
            <w:tcBorders>
              <w:top w:val="nil"/>
              <w:left w:val="nil"/>
              <w:bottom w:val="single" w:sz="4" w:space="0" w:color="auto"/>
              <w:right w:val="single" w:sz="4" w:space="0" w:color="auto"/>
            </w:tcBorders>
            <w:shd w:val="clear" w:color="auto" w:fill="auto"/>
            <w:noWrap/>
            <w:vAlign w:val="bottom"/>
            <w:hideMark/>
          </w:tcPr>
          <w:p w14:paraId="27264C8A"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9</w:t>
            </w:r>
          </w:p>
        </w:tc>
        <w:tc>
          <w:tcPr>
            <w:tcW w:w="912" w:type="dxa"/>
            <w:tcBorders>
              <w:top w:val="nil"/>
              <w:left w:val="nil"/>
              <w:bottom w:val="single" w:sz="4" w:space="0" w:color="auto"/>
              <w:right w:val="single" w:sz="4" w:space="0" w:color="auto"/>
            </w:tcBorders>
            <w:shd w:val="clear" w:color="auto" w:fill="auto"/>
            <w:noWrap/>
            <w:vAlign w:val="bottom"/>
            <w:hideMark/>
          </w:tcPr>
          <w:p w14:paraId="03531909"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31</w:t>
            </w:r>
          </w:p>
        </w:tc>
        <w:tc>
          <w:tcPr>
            <w:tcW w:w="1075" w:type="dxa"/>
            <w:tcBorders>
              <w:top w:val="nil"/>
              <w:left w:val="nil"/>
              <w:bottom w:val="single" w:sz="4" w:space="0" w:color="auto"/>
              <w:right w:val="single" w:sz="4" w:space="0" w:color="auto"/>
            </w:tcBorders>
            <w:shd w:val="clear" w:color="auto" w:fill="auto"/>
            <w:noWrap/>
            <w:vAlign w:val="bottom"/>
            <w:hideMark/>
          </w:tcPr>
          <w:p w14:paraId="25F42C03"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3 919.5</w:t>
            </w:r>
          </w:p>
        </w:tc>
        <w:tc>
          <w:tcPr>
            <w:tcW w:w="1014" w:type="dxa"/>
            <w:tcBorders>
              <w:top w:val="nil"/>
              <w:left w:val="nil"/>
              <w:bottom w:val="single" w:sz="4" w:space="0" w:color="auto"/>
              <w:right w:val="single" w:sz="4" w:space="0" w:color="auto"/>
            </w:tcBorders>
            <w:shd w:val="clear" w:color="auto" w:fill="auto"/>
            <w:noWrap/>
            <w:vAlign w:val="bottom"/>
            <w:hideMark/>
          </w:tcPr>
          <w:p w14:paraId="23493C58"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9</w:t>
            </w:r>
          </w:p>
        </w:tc>
        <w:tc>
          <w:tcPr>
            <w:tcW w:w="961" w:type="dxa"/>
            <w:tcBorders>
              <w:top w:val="nil"/>
              <w:left w:val="nil"/>
              <w:bottom w:val="single" w:sz="4" w:space="0" w:color="auto"/>
              <w:right w:val="single" w:sz="4" w:space="0" w:color="auto"/>
            </w:tcBorders>
            <w:shd w:val="clear" w:color="auto" w:fill="auto"/>
            <w:noWrap/>
            <w:vAlign w:val="bottom"/>
            <w:hideMark/>
          </w:tcPr>
          <w:p w14:paraId="4B9CD0DD"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21</w:t>
            </w:r>
          </w:p>
        </w:tc>
        <w:tc>
          <w:tcPr>
            <w:tcW w:w="947" w:type="dxa"/>
            <w:tcBorders>
              <w:top w:val="nil"/>
              <w:left w:val="nil"/>
              <w:bottom w:val="single" w:sz="4" w:space="0" w:color="auto"/>
              <w:right w:val="single" w:sz="4" w:space="0" w:color="auto"/>
            </w:tcBorders>
            <w:shd w:val="clear" w:color="auto" w:fill="auto"/>
            <w:noWrap/>
            <w:vAlign w:val="bottom"/>
            <w:hideMark/>
          </w:tcPr>
          <w:p w14:paraId="5A058068"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5 354.9</w:t>
            </w:r>
          </w:p>
        </w:tc>
      </w:tr>
      <w:tr w:rsidR="00FB1833" w:rsidRPr="00B13B9A" w14:paraId="0C293D1A" w14:textId="77777777" w:rsidTr="008156E3">
        <w:trPr>
          <w:trHeight w:val="20"/>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6B377342" w14:textId="34DB9141" w:rsidR="00FB1833" w:rsidRPr="00B13B9A" w:rsidRDefault="00FB1833" w:rsidP="008156E3">
            <w:pPr>
              <w:spacing w:after="0" w:line="240" w:lineRule="auto"/>
              <w:rPr>
                <w:rFonts w:asciiTheme="majorHAnsi" w:eastAsia="Times New Roman" w:hAnsiTheme="majorHAnsi" w:cstheme="majorHAnsi"/>
                <w:bCs/>
                <w:color w:val="000000"/>
                <w:sz w:val="20"/>
                <w:szCs w:val="20"/>
                <w:lang w:val="ro-MD"/>
              </w:rPr>
            </w:pPr>
            <w:r w:rsidRPr="00B13B9A">
              <w:rPr>
                <w:rFonts w:asciiTheme="majorHAnsi" w:eastAsia="Times New Roman" w:hAnsiTheme="majorHAnsi" w:cstheme="majorHAnsi"/>
                <w:bCs/>
                <w:color w:val="000000"/>
                <w:sz w:val="20"/>
                <w:szCs w:val="20"/>
                <w:lang w:val="ro-MD"/>
              </w:rPr>
              <w:t>Licita</w:t>
            </w:r>
            <w:r w:rsidR="00B13B9A" w:rsidRPr="00B13B9A">
              <w:rPr>
                <w:rFonts w:asciiTheme="majorHAnsi" w:eastAsia="Times New Roman" w:hAnsiTheme="majorHAnsi" w:cstheme="majorHAnsi"/>
                <w:bCs/>
                <w:color w:val="000000"/>
                <w:sz w:val="20"/>
                <w:szCs w:val="20"/>
                <w:lang w:val="ro-MD"/>
              </w:rPr>
              <w:t>ț</w:t>
            </w:r>
            <w:r w:rsidRPr="00B13B9A">
              <w:rPr>
                <w:rFonts w:asciiTheme="majorHAnsi" w:eastAsia="Times New Roman" w:hAnsiTheme="majorHAnsi" w:cstheme="majorHAnsi"/>
                <w:bCs/>
                <w:color w:val="000000"/>
                <w:sz w:val="20"/>
                <w:szCs w:val="20"/>
                <w:lang w:val="ro-MD"/>
              </w:rPr>
              <w:t>ie electronică</w:t>
            </w:r>
          </w:p>
        </w:tc>
        <w:tc>
          <w:tcPr>
            <w:tcW w:w="921" w:type="dxa"/>
            <w:tcBorders>
              <w:top w:val="nil"/>
              <w:left w:val="nil"/>
              <w:bottom w:val="single" w:sz="4" w:space="0" w:color="auto"/>
              <w:right w:val="single" w:sz="4" w:space="0" w:color="auto"/>
            </w:tcBorders>
            <w:shd w:val="clear" w:color="auto" w:fill="auto"/>
            <w:noWrap/>
            <w:vAlign w:val="bottom"/>
            <w:hideMark/>
          </w:tcPr>
          <w:p w14:paraId="494D9F57"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12</w:t>
            </w:r>
          </w:p>
        </w:tc>
        <w:tc>
          <w:tcPr>
            <w:tcW w:w="912" w:type="dxa"/>
            <w:tcBorders>
              <w:top w:val="nil"/>
              <w:left w:val="nil"/>
              <w:bottom w:val="single" w:sz="4" w:space="0" w:color="auto"/>
              <w:right w:val="single" w:sz="4" w:space="0" w:color="auto"/>
            </w:tcBorders>
            <w:shd w:val="clear" w:color="auto" w:fill="auto"/>
            <w:noWrap/>
            <w:vAlign w:val="bottom"/>
            <w:hideMark/>
          </w:tcPr>
          <w:p w14:paraId="41E6A9E4"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14</w:t>
            </w:r>
          </w:p>
        </w:tc>
        <w:tc>
          <w:tcPr>
            <w:tcW w:w="943" w:type="dxa"/>
            <w:tcBorders>
              <w:top w:val="nil"/>
              <w:left w:val="nil"/>
              <w:bottom w:val="single" w:sz="4" w:space="0" w:color="auto"/>
              <w:right w:val="single" w:sz="4" w:space="0" w:color="auto"/>
            </w:tcBorders>
            <w:shd w:val="clear" w:color="auto" w:fill="auto"/>
            <w:noWrap/>
            <w:vAlign w:val="bottom"/>
            <w:hideMark/>
          </w:tcPr>
          <w:p w14:paraId="49106F23"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1 326.2</w:t>
            </w:r>
          </w:p>
        </w:tc>
        <w:tc>
          <w:tcPr>
            <w:tcW w:w="921" w:type="dxa"/>
            <w:tcBorders>
              <w:top w:val="nil"/>
              <w:left w:val="nil"/>
              <w:bottom w:val="single" w:sz="4" w:space="0" w:color="auto"/>
              <w:right w:val="single" w:sz="4" w:space="0" w:color="auto"/>
            </w:tcBorders>
            <w:shd w:val="clear" w:color="auto" w:fill="auto"/>
            <w:noWrap/>
            <w:vAlign w:val="bottom"/>
            <w:hideMark/>
          </w:tcPr>
          <w:p w14:paraId="16846D5B"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7</w:t>
            </w:r>
          </w:p>
        </w:tc>
        <w:tc>
          <w:tcPr>
            <w:tcW w:w="912" w:type="dxa"/>
            <w:tcBorders>
              <w:top w:val="nil"/>
              <w:left w:val="nil"/>
              <w:bottom w:val="single" w:sz="4" w:space="0" w:color="auto"/>
              <w:right w:val="single" w:sz="4" w:space="0" w:color="auto"/>
            </w:tcBorders>
            <w:shd w:val="clear" w:color="auto" w:fill="auto"/>
            <w:noWrap/>
            <w:vAlign w:val="bottom"/>
            <w:hideMark/>
          </w:tcPr>
          <w:p w14:paraId="7163F527"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14</w:t>
            </w:r>
          </w:p>
        </w:tc>
        <w:tc>
          <w:tcPr>
            <w:tcW w:w="1075" w:type="dxa"/>
            <w:tcBorders>
              <w:top w:val="nil"/>
              <w:left w:val="nil"/>
              <w:bottom w:val="single" w:sz="4" w:space="0" w:color="auto"/>
              <w:right w:val="single" w:sz="4" w:space="0" w:color="auto"/>
            </w:tcBorders>
            <w:shd w:val="clear" w:color="auto" w:fill="auto"/>
            <w:noWrap/>
            <w:vAlign w:val="bottom"/>
            <w:hideMark/>
          </w:tcPr>
          <w:p w14:paraId="22C0C2BE"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804.9</w:t>
            </w:r>
          </w:p>
        </w:tc>
        <w:tc>
          <w:tcPr>
            <w:tcW w:w="1014" w:type="dxa"/>
            <w:tcBorders>
              <w:top w:val="nil"/>
              <w:left w:val="nil"/>
              <w:bottom w:val="single" w:sz="4" w:space="0" w:color="auto"/>
              <w:right w:val="single" w:sz="4" w:space="0" w:color="auto"/>
            </w:tcBorders>
            <w:shd w:val="clear" w:color="auto" w:fill="auto"/>
            <w:noWrap/>
            <w:vAlign w:val="bottom"/>
            <w:hideMark/>
          </w:tcPr>
          <w:p w14:paraId="57FBCA50"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10</w:t>
            </w:r>
          </w:p>
        </w:tc>
        <w:tc>
          <w:tcPr>
            <w:tcW w:w="961" w:type="dxa"/>
            <w:tcBorders>
              <w:top w:val="nil"/>
              <w:left w:val="nil"/>
              <w:bottom w:val="single" w:sz="4" w:space="0" w:color="auto"/>
              <w:right w:val="single" w:sz="4" w:space="0" w:color="auto"/>
            </w:tcBorders>
            <w:shd w:val="clear" w:color="auto" w:fill="auto"/>
            <w:noWrap/>
            <w:vAlign w:val="bottom"/>
            <w:hideMark/>
          </w:tcPr>
          <w:p w14:paraId="718D505A"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22</w:t>
            </w:r>
          </w:p>
        </w:tc>
        <w:tc>
          <w:tcPr>
            <w:tcW w:w="947" w:type="dxa"/>
            <w:tcBorders>
              <w:top w:val="nil"/>
              <w:left w:val="nil"/>
              <w:bottom w:val="single" w:sz="4" w:space="0" w:color="auto"/>
              <w:right w:val="single" w:sz="4" w:space="0" w:color="auto"/>
            </w:tcBorders>
            <w:shd w:val="clear" w:color="auto" w:fill="auto"/>
            <w:noWrap/>
            <w:vAlign w:val="bottom"/>
            <w:hideMark/>
          </w:tcPr>
          <w:p w14:paraId="55507F1C"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788.8</w:t>
            </w:r>
          </w:p>
        </w:tc>
      </w:tr>
      <w:tr w:rsidR="00FB1833" w:rsidRPr="00B13B9A" w14:paraId="51CE1F2C" w14:textId="77777777" w:rsidTr="008156E3">
        <w:trPr>
          <w:trHeight w:val="20"/>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2519BF73" w14:textId="77777777" w:rsidR="00FB1833" w:rsidRPr="00B13B9A" w:rsidRDefault="00FB1833" w:rsidP="008156E3">
            <w:pPr>
              <w:spacing w:after="0" w:line="240" w:lineRule="auto"/>
              <w:rPr>
                <w:rFonts w:asciiTheme="majorHAnsi" w:eastAsia="Times New Roman" w:hAnsiTheme="majorHAnsi" w:cstheme="majorHAnsi"/>
                <w:bCs/>
                <w:color w:val="000000"/>
                <w:sz w:val="20"/>
                <w:szCs w:val="20"/>
                <w:lang w:val="ro-MD"/>
              </w:rPr>
            </w:pPr>
            <w:r w:rsidRPr="00B13B9A">
              <w:rPr>
                <w:rFonts w:asciiTheme="majorHAnsi" w:eastAsia="Times New Roman" w:hAnsiTheme="majorHAnsi" w:cstheme="majorHAnsi"/>
                <w:bCs/>
                <w:color w:val="000000"/>
                <w:sz w:val="20"/>
                <w:szCs w:val="20"/>
                <w:lang w:val="ro-MD"/>
              </w:rPr>
              <w:t>Valoare mică (contractare directă)</w:t>
            </w:r>
          </w:p>
        </w:tc>
        <w:tc>
          <w:tcPr>
            <w:tcW w:w="921" w:type="dxa"/>
            <w:tcBorders>
              <w:top w:val="nil"/>
              <w:left w:val="nil"/>
              <w:bottom w:val="single" w:sz="4" w:space="0" w:color="auto"/>
              <w:right w:val="single" w:sz="4" w:space="0" w:color="auto"/>
            </w:tcBorders>
            <w:shd w:val="clear" w:color="auto" w:fill="auto"/>
            <w:noWrap/>
            <w:vAlign w:val="bottom"/>
            <w:hideMark/>
          </w:tcPr>
          <w:p w14:paraId="67D270AC"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x</w:t>
            </w:r>
          </w:p>
        </w:tc>
        <w:tc>
          <w:tcPr>
            <w:tcW w:w="912" w:type="dxa"/>
            <w:tcBorders>
              <w:top w:val="nil"/>
              <w:left w:val="nil"/>
              <w:bottom w:val="single" w:sz="4" w:space="0" w:color="auto"/>
              <w:right w:val="single" w:sz="4" w:space="0" w:color="auto"/>
            </w:tcBorders>
            <w:shd w:val="clear" w:color="auto" w:fill="auto"/>
            <w:noWrap/>
            <w:vAlign w:val="bottom"/>
            <w:hideMark/>
          </w:tcPr>
          <w:p w14:paraId="0F3964C8"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35</w:t>
            </w:r>
          </w:p>
        </w:tc>
        <w:tc>
          <w:tcPr>
            <w:tcW w:w="943" w:type="dxa"/>
            <w:tcBorders>
              <w:top w:val="nil"/>
              <w:left w:val="nil"/>
              <w:bottom w:val="single" w:sz="4" w:space="0" w:color="auto"/>
              <w:right w:val="single" w:sz="4" w:space="0" w:color="auto"/>
            </w:tcBorders>
            <w:shd w:val="clear" w:color="auto" w:fill="auto"/>
            <w:noWrap/>
            <w:vAlign w:val="bottom"/>
            <w:hideMark/>
          </w:tcPr>
          <w:p w14:paraId="27DC0E85"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3 738.3</w:t>
            </w:r>
          </w:p>
        </w:tc>
        <w:tc>
          <w:tcPr>
            <w:tcW w:w="921" w:type="dxa"/>
            <w:tcBorders>
              <w:top w:val="nil"/>
              <w:left w:val="nil"/>
              <w:bottom w:val="single" w:sz="4" w:space="0" w:color="auto"/>
              <w:right w:val="single" w:sz="4" w:space="0" w:color="auto"/>
            </w:tcBorders>
            <w:shd w:val="clear" w:color="auto" w:fill="auto"/>
            <w:noWrap/>
            <w:vAlign w:val="bottom"/>
            <w:hideMark/>
          </w:tcPr>
          <w:p w14:paraId="4025D131"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x</w:t>
            </w:r>
          </w:p>
        </w:tc>
        <w:tc>
          <w:tcPr>
            <w:tcW w:w="912" w:type="dxa"/>
            <w:tcBorders>
              <w:top w:val="nil"/>
              <w:left w:val="nil"/>
              <w:bottom w:val="single" w:sz="4" w:space="0" w:color="auto"/>
              <w:right w:val="single" w:sz="4" w:space="0" w:color="auto"/>
            </w:tcBorders>
            <w:shd w:val="clear" w:color="auto" w:fill="auto"/>
            <w:noWrap/>
            <w:vAlign w:val="bottom"/>
            <w:hideMark/>
          </w:tcPr>
          <w:p w14:paraId="05D72C95"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47</w:t>
            </w:r>
          </w:p>
        </w:tc>
        <w:tc>
          <w:tcPr>
            <w:tcW w:w="1075" w:type="dxa"/>
            <w:tcBorders>
              <w:top w:val="nil"/>
              <w:left w:val="nil"/>
              <w:bottom w:val="single" w:sz="4" w:space="0" w:color="auto"/>
              <w:right w:val="single" w:sz="4" w:space="0" w:color="auto"/>
            </w:tcBorders>
            <w:shd w:val="clear" w:color="auto" w:fill="auto"/>
            <w:noWrap/>
            <w:vAlign w:val="bottom"/>
            <w:hideMark/>
          </w:tcPr>
          <w:p w14:paraId="2AD5F332"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2 436.3</w:t>
            </w:r>
          </w:p>
        </w:tc>
        <w:tc>
          <w:tcPr>
            <w:tcW w:w="1014" w:type="dxa"/>
            <w:tcBorders>
              <w:top w:val="nil"/>
              <w:left w:val="nil"/>
              <w:bottom w:val="single" w:sz="4" w:space="0" w:color="auto"/>
              <w:right w:val="single" w:sz="4" w:space="0" w:color="auto"/>
            </w:tcBorders>
            <w:shd w:val="clear" w:color="auto" w:fill="auto"/>
            <w:noWrap/>
            <w:vAlign w:val="bottom"/>
            <w:hideMark/>
          </w:tcPr>
          <w:p w14:paraId="6CDF9F4D"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x</w:t>
            </w:r>
          </w:p>
        </w:tc>
        <w:tc>
          <w:tcPr>
            <w:tcW w:w="961" w:type="dxa"/>
            <w:tcBorders>
              <w:top w:val="nil"/>
              <w:left w:val="nil"/>
              <w:bottom w:val="single" w:sz="4" w:space="0" w:color="auto"/>
              <w:right w:val="single" w:sz="4" w:space="0" w:color="auto"/>
            </w:tcBorders>
            <w:shd w:val="clear" w:color="auto" w:fill="auto"/>
            <w:noWrap/>
            <w:vAlign w:val="bottom"/>
            <w:hideMark/>
          </w:tcPr>
          <w:p w14:paraId="59EF3A84"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32</w:t>
            </w:r>
          </w:p>
        </w:tc>
        <w:tc>
          <w:tcPr>
            <w:tcW w:w="947" w:type="dxa"/>
            <w:tcBorders>
              <w:top w:val="nil"/>
              <w:left w:val="nil"/>
              <w:bottom w:val="single" w:sz="4" w:space="0" w:color="auto"/>
              <w:right w:val="single" w:sz="4" w:space="0" w:color="auto"/>
            </w:tcBorders>
            <w:shd w:val="clear" w:color="auto" w:fill="auto"/>
            <w:noWrap/>
            <w:vAlign w:val="bottom"/>
            <w:hideMark/>
          </w:tcPr>
          <w:p w14:paraId="49A4C95F"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3 557.5</w:t>
            </w:r>
          </w:p>
        </w:tc>
      </w:tr>
      <w:tr w:rsidR="00FB1833" w:rsidRPr="00B13B9A" w14:paraId="1D4EC88B" w14:textId="77777777" w:rsidTr="008156E3">
        <w:trPr>
          <w:trHeight w:val="20"/>
        </w:trPr>
        <w:tc>
          <w:tcPr>
            <w:tcW w:w="1843" w:type="dxa"/>
            <w:tcBorders>
              <w:top w:val="nil"/>
              <w:left w:val="single" w:sz="4" w:space="0" w:color="auto"/>
              <w:bottom w:val="single" w:sz="4" w:space="0" w:color="auto"/>
              <w:right w:val="single" w:sz="4" w:space="0" w:color="auto"/>
            </w:tcBorders>
            <w:shd w:val="clear" w:color="auto" w:fill="auto"/>
            <w:noWrap/>
            <w:vAlign w:val="bottom"/>
          </w:tcPr>
          <w:p w14:paraId="6B8EB6C5" w14:textId="12E78D94" w:rsidR="00FB1833" w:rsidRPr="00B13B9A" w:rsidRDefault="00FB1833" w:rsidP="00FB2E99">
            <w:pPr>
              <w:spacing w:after="0" w:line="240" w:lineRule="auto"/>
              <w:rPr>
                <w:rFonts w:asciiTheme="majorHAnsi" w:eastAsia="Times New Roman" w:hAnsiTheme="majorHAnsi" w:cstheme="majorHAnsi"/>
                <w:bCs/>
                <w:color w:val="000000"/>
                <w:sz w:val="20"/>
                <w:szCs w:val="20"/>
                <w:lang w:val="ro-MD"/>
              </w:rPr>
            </w:pPr>
            <w:r w:rsidRPr="00B13B9A">
              <w:rPr>
                <w:rFonts w:asciiTheme="majorHAnsi" w:eastAsia="Times New Roman" w:hAnsiTheme="majorHAnsi" w:cstheme="majorHAnsi"/>
                <w:bCs/>
                <w:color w:val="000000"/>
                <w:sz w:val="20"/>
                <w:szCs w:val="20"/>
                <w:lang w:val="ro-MD"/>
              </w:rPr>
              <w:t>Achizi</w:t>
            </w:r>
            <w:r w:rsidR="00B13B9A" w:rsidRPr="00B13B9A">
              <w:rPr>
                <w:rFonts w:asciiTheme="majorHAnsi" w:eastAsia="Times New Roman" w:hAnsiTheme="majorHAnsi" w:cstheme="majorHAnsi"/>
                <w:bCs/>
                <w:color w:val="000000"/>
                <w:sz w:val="20"/>
                <w:szCs w:val="20"/>
                <w:lang w:val="ro-MD"/>
              </w:rPr>
              <w:t>ț</w:t>
            </w:r>
            <w:r w:rsidRPr="00B13B9A">
              <w:rPr>
                <w:rFonts w:asciiTheme="majorHAnsi" w:eastAsia="Times New Roman" w:hAnsiTheme="majorHAnsi" w:cstheme="majorHAnsi"/>
                <w:bCs/>
                <w:color w:val="000000"/>
                <w:sz w:val="20"/>
                <w:szCs w:val="20"/>
                <w:lang w:val="ro-MD"/>
              </w:rPr>
              <w:t>ie de p</w:t>
            </w:r>
            <w:r w:rsidR="00FB2E99" w:rsidRPr="00B13B9A">
              <w:rPr>
                <w:rFonts w:asciiTheme="majorHAnsi" w:eastAsia="Times New Roman" w:hAnsiTheme="majorHAnsi" w:cstheme="majorHAnsi"/>
                <w:bCs/>
                <w:color w:val="000000"/>
                <w:sz w:val="20"/>
                <w:szCs w:val="20"/>
                <w:lang w:val="ro-MD"/>
              </w:rPr>
              <w:t>â</w:t>
            </w:r>
            <w:r w:rsidRPr="00B13B9A">
              <w:rPr>
                <w:rFonts w:asciiTheme="majorHAnsi" w:eastAsia="Times New Roman" w:hAnsiTheme="majorHAnsi" w:cstheme="majorHAnsi"/>
                <w:bCs/>
                <w:color w:val="000000"/>
                <w:sz w:val="20"/>
                <w:szCs w:val="20"/>
                <w:lang w:val="ro-MD"/>
              </w:rPr>
              <w:t>nă la 10,0 mi</w:t>
            </w:r>
            <w:r w:rsidR="00FB2E99" w:rsidRPr="00B13B9A">
              <w:rPr>
                <w:rFonts w:asciiTheme="majorHAnsi" w:eastAsia="Times New Roman" w:hAnsiTheme="majorHAnsi" w:cstheme="majorHAnsi"/>
                <w:bCs/>
                <w:color w:val="000000"/>
                <w:sz w:val="20"/>
                <w:szCs w:val="20"/>
                <w:lang w:val="ro-MD"/>
              </w:rPr>
              <w:t>i</w:t>
            </w:r>
            <w:r w:rsidRPr="00B13B9A">
              <w:rPr>
                <w:rFonts w:asciiTheme="majorHAnsi" w:eastAsia="Times New Roman" w:hAnsiTheme="majorHAnsi" w:cstheme="majorHAnsi"/>
                <w:bCs/>
                <w:color w:val="000000"/>
                <w:sz w:val="20"/>
                <w:szCs w:val="20"/>
                <w:lang w:val="ro-MD"/>
              </w:rPr>
              <w:t xml:space="preserve"> lei</w:t>
            </w:r>
          </w:p>
        </w:tc>
        <w:tc>
          <w:tcPr>
            <w:tcW w:w="921" w:type="dxa"/>
            <w:tcBorders>
              <w:top w:val="nil"/>
              <w:left w:val="nil"/>
              <w:bottom w:val="single" w:sz="4" w:space="0" w:color="auto"/>
              <w:right w:val="single" w:sz="4" w:space="0" w:color="auto"/>
            </w:tcBorders>
            <w:shd w:val="clear" w:color="auto" w:fill="auto"/>
            <w:noWrap/>
            <w:vAlign w:val="bottom"/>
          </w:tcPr>
          <w:p w14:paraId="5D0690F6"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x</w:t>
            </w:r>
          </w:p>
        </w:tc>
        <w:tc>
          <w:tcPr>
            <w:tcW w:w="912" w:type="dxa"/>
            <w:tcBorders>
              <w:top w:val="nil"/>
              <w:left w:val="nil"/>
              <w:bottom w:val="single" w:sz="4" w:space="0" w:color="auto"/>
              <w:right w:val="single" w:sz="4" w:space="0" w:color="auto"/>
            </w:tcBorders>
            <w:shd w:val="clear" w:color="auto" w:fill="auto"/>
            <w:noWrap/>
            <w:vAlign w:val="bottom"/>
          </w:tcPr>
          <w:p w14:paraId="5FF40EB3"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16</w:t>
            </w:r>
          </w:p>
        </w:tc>
        <w:tc>
          <w:tcPr>
            <w:tcW w:w="943" w:type="dxa"/>
            <w:tcBorders>
              <w:top w:val="nil"/>
              <w:left w:val="nil"/>
              <w:bottom w:val="single" w:sz="4" w:space="0" w:color="auto"/>
              <w:right w:val="single" w:sz="4" w:space="0" w:color="auto"/>
            </w:tcBorders>
            <w:shd w:val="clear" w:color="auto" w:fill="auto"/>
            <w:noWrap/>
            <w:vAlign w:val="bottom"/>
          </w:tcPr>
          <w:p w14:paraId="30E4C0FF"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48.4</w:t>
            </w:r>
          </w:p>
        </w:tc>
        <w:tc>
          <w:tcPr>
            <w:tcW w:w="921" w:type="dxa"/>
            <w:tcBorders>
              <w:top w:val="nil"/>
              <w:left w:val="nil"/>
              <w:bottom w:val="single" w:sz="4" w:space="0" w:color="auto"/>
              <w:right w:val="single" w:sz="4" w:space="0" w:color="auto"/>
            </w:tcBorders>
            <w:shd w:val="clear" w:color="auto" w:fill="auto"/>
            <w:noWrap/>
            <w:vAlign w:val="bottom"/>
          </w:tcPr>
          <w:p w14:paraId="52CCB38D"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x</w:t>
            </w:r>
          </w:p>
        </w:tc>
        <w:tc>
          <w:tcPr>
            <w:tcW w:w="912" w:type="dxa"/>
            <w:tcBorders>
              <w:top w:val="nil"/>
              <w:left w:val="nil"/>
              <w:bottom w:val="single" w:sz="4" w:space="0" w:color="auto"/>
              <w:right w:val="single" w:sz="4" w:space="0" w:color="auto"/>
            </w:tcBorders>
            <w:shd w:val="clear" w:color="auto" w:fill="auto"/>
            <w:noWrap/>
            <w:vAlign w:val="bottom"/>
          </w:tcPr>
          <w:p w14:paraId="12111BEA"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8</w:t>
            </w:r>
          </w:p>
        </w:tc>
        <w:tc>
          <w:tcPr>
            <w:tcW w:w="1075" w:type="dxa"/>
            <w:tcBorders>
              <w:top w:val="nil"/>
              <w:left w:val="nil"/>
              <w:bottom w:val="single" w:sz="4" w:space="0" w:color="auto"/>
              <w:right w:val="single" w:sz="4" w:space="0" w:color="auto"/>
            </w:tcBorders>
            <w:shd w:val="clear" w:color="auto" w:fill="auto"/>
            <w:noWrap/>
            <w:vAlign w:val="bottom"/>
          </w:tcPr>
          <w:p w14:paraId="3568A4DE"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44.6</w:t>
            </w:r>
          </w:p>
        </w:tc>
        <w:tc>
          <w:tcPr>
            <w:tcW w:w="1014" w:type="dxa"/>
            <w:tcBorders>
              <w:top w:val="nil"/>
              <w:left w:val="nil"/>
              <w:bottom w:val="single" w:sz="4" w:space="0" w:color="auto"/>
              <w:right w:val="single" w:sz="4" w:space="0" w:color="auto"/>
            </w:tcBorders>
            <w:shd w:val="clear" w:color="auto" w:fill="auto"/>
            <w:noWrap/>
            <w:vAlign w:val="bottom"/>
          </w:tcPr>
          <w:p w14:paraId="0A89AFB8"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x</w:t>
            </w:r>
          </w:p>
        </w:tc>
        <w:tc>
          <w:tcPr>
            <w:tcW w:w="961" w:type="dxa"/>
            <w:tcBorders>
              <w:top w:val="nil"/>
              <w:left w:val="nil"/>
              <w:bottom w:val="single" w:sz="4" w:space="0" w:color="auto"/>
              <w:right w:val="single" w:sz="4" w:space="0" w:color="auto"/>
            </w:tcBorders>
            <w:shd w:val="clear" w:color="auto" w:fill="auto"/>
            <w:noWrap/>
            <w:vAlign w:val="bottom"/>
          </w:tcPr>
          <w:p w14:paraId="5F26DBDE"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12</w:t>
            </w:r>
          </w:p>
        </w:tc>
        <w:tc>
          <w:tcPr>
            <w:tcW w:w="947" w:type="dxa"/>
            <w:tcBorders>
              <w:top w:val="nil"/>
              <w:left w:val="nil"/>
              <w:bottom w:val="single" w:sz="4" w:space="0" w:color="auto"/>
              <w:right w:val="single" w:sz="4" w:space="0" w:color="auto"/>
            </w:tcBorders>
            <w:shd w:val="clear" w:color="auto" w:fill="auto"/>
            <w:noWrap/>
            <w:vAlign w:val="bottom"/>
          </w:tcPr>
          <w:p w14:paraId="70CDAC10"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43.1</w:t>
            </w:r>
          </w:p>
        </w:tc>
      </w:tr>
      <w:tr w:rsidR="00FB1833" w:rsidRPr="00B13B9A" w14:paraId="68FA8E87" w14:textId="77777777" w:rsidTr="008156E3">
        <w:trPr>
          <w:trHeight w:val="2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7270312B" w14:textId="2419B6A9" w:rsidR="00FB1833" w:rsidRPr="00B13B9A" w:rsidRDefault="00FB1833" w:rsidP="008156E3">
            <w:pPr>
              <w:spacing w:after="0" w:line="240" w:lineRule="auto"/>
              <w:rPr>
                <w:rFonts w:asciiTheme="majorHAnsi" w:eastAsia="Times New Roman" w:hAnsiTheme="majorHAnsi" w:cstheme="majorHAnsi"/>
                <w:bCs/>
                <w:color w:val="000000"/>
                <w:sz w:val="20"/>
                <w:szCs w:val="20"/>
                <w:lang w:val="ro-MD"/>
              </w:rPr>
            </w:pPr>
            <w:r w:rsidRPr="00B13B9A">
              <w:rPr>
                <w:rFonts w:asciiTheme="majorHAnsi" w:eastAsia="Times New Roman" w:hAnsiTheme="majorHAnsi" w:cstheme="majorHAnsi"/>
                <w:bCs/>
                <w:color w:val="000000"/>
                <w:sz w:val="20"/>
                <w:szCs w:val="20"/>
                <w:lang w:val="ro-MD"/>
              </w:rPr>
              <w:t>Achizi</w:t>
            </w:r>
            <w:r w:rsidR="00B13B9A" w:rsidRPr="00B13B9A">
              <w:rPr>
                <w:rFonts w:asciiTheme="majorHAnsi" w:eastAsia="Times New Roman" w:hAnsiTheme="majorHAnsi" w:cstheme="majorHAnsi"/>
                <w:bCs/>
                <w:color w:val="000000"/>
                <w:sz w:val="20"/>
                <w:szCs w:val="20"/>
                <w:lang w:val="ro-MD"/>
              </w:rPr>
              <w:t>ț</w:t>
            </w:r>
            <w:r w:rsidRPr="00B13B9A">
              <w:rPr>
                <w:rFonts w:asciiTheme="majorHAnsi" w:eastAsia="Times New Roman" w:hAnsiTheme="majorHAnsi" w:cstheme="majorHAnsi"/>
                <w:bCs/>
                <w:color w:val="000000"/>
                <w:sz w:val="20"/>
                <w:szCs w:val="20"/>
                <w:lang w:val="ro-MD"/>
              </w:rPr>
              <w:t xml:space="preserve">ii CAPCS, </w:t>
            </w:r>
            <w:r w:rsidRPr="00B13B9A">
              <w:rPr>
                <w:rFonts w:asciiTheme="majorHAnsi" w:eastAsia="Times New Roman" w:hAnsiTheme="majorHAnsi" w:cstheme="majorHAnsi"/>
                <w:bCs/>
                <w:color w:val="000000"/>
                <w:sz w:val="18"/>
                <w:szCs w:val="20"/>
                <w:lang w:val="ro-MD"/>
              </w:rPr>
              <w:t>inclusiv:</w:t>
            </w:r>
          </w:p>
        </w:tc>
        <w:tc>
          <w:tcPr>
            <w:tcW w:w="921" w:type="dxa"/>
            <w:tcBorders>
              <w:top w:val="nil"/>
              <w:left w:val="nil"/>
              <w:bottom w:val="single" w:sz="4" w:space="0" w:color="auto"/>
              <w:right w:val="single" w:sz="4" w:space="0" w:color="auto"/>
            </w:tcBorders>
            <w:shd w:val="clear" w:color="auto" w:fill="auto"/>
            <w:noWrap/>
            <w:vAlign w:val="bottom"/>
            <w:hideMark/>
          </w:tcPr>
          <w:p w14:paraId="551B330F"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17</w:t>
            </w:r>
          </w:p>
        </w:tc>
        <w:tc>
          <w:tcPr>
            <w:tcW w:w="912" w:type="dxa"/>
            <w:tcBorders>
              <w:top w:val="nil"/>
              <w:left w:val="nil"/>
              <w:bottom w:val="single" w:sz="4" w:space="0" w:color="auto"/>
              <w:right w:val="single" w:sz="4" w:space="0" w:color="auto"/>
            </w:tcBorders>
            <w:shd w:val="clear" w:color="auto" w:fill="auto"/>
            <w:noWrap/>
            <w:vAlign w:val="bottom"/>
            <w:hideMark/>
          </w:tcPr>
          <w:p w14:paraId="0F82AAC8"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x</w:t>
            </w:r>
          </w:p>
        </w:tc>
        <w:tc>
          <w:tcPr>
            <w:tcW w:w="943" w:type="dxa"/>
            <w:tcBorders>
              <w:top w:val="nil"/>
              <w:left w:val="nil"/>
              <w:bottom w:val="single" w:sz="4" w:space="0" w:color="auto"/>
              <w:right w:val="single" w:sz="4" w:space="0" w:color="auto"/>
            </w:tcBorders>
            <w:shd w:val="clear" w:color="auto" w:fill="auto"/>
            <w:noWrap/>
            <w:vAlign w:val="bottom"/>
            <w:hideMark/>
          </w:tcPr>
          <w:p w14:paraId="22DE7673"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4 158.6</w:t>
            </w:r>
          </w:p>
        </w:tc>
        <w:tc>
          <w:tcPr>
            <w:tcW w:w="921" w:type="dxa"/>
            <w:tcBorders>
              <w:top w:val="nil"/>
              <w:left w:val="nil"/>
              <w:bottom w:val="single" w:sz="4" w:space="0" w:color="auto"/>
              <w:right w:val="single" w:sz="4" w:space="0" w:color="auto"/>
            </w:tcBorders>
            <w:shd w:val="clear" w:color="auto" w:fill="auto"/>
            <w:noWrap/>
            <w:vAlign w:val="bottom"/>
            <w:hideMark/>
          </w:tcPr>
          <w:p w14:paraId="4B72F1AB"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21</w:t>
            </w:r>
          </w:p>
        </w:tc>
        <w:tc>
          <w:tcPr>
            <w:tcW w:w="912" w:type="dxa"/>
            <w:tcBorders>
              <w:top w:val="nil"/>
              <w:left w:val="nil"/>
              <w:bottom w:val="single" w:sz="4" w:space="0" w:color="auto"/>
              <w:right w:val="single" w:sz="4" w:space="0" w:color="auto"/>
            </w:tcBorders>
            <w:shd w:val="clear" w:color="auto" w:fill="auto"/>
            <w:noWrap/>
            <w:vAlign w:val="bottom"/>
            <w:hideMark/>
          </w:tcPr>
          <w:p w14:paraId="13AE0970"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x</w:t>
            </w:r>
          </w:p>
        </w:tc>
        <w:tc>
          <w:tcPr>
            <w:tcW w:w="1075" w:type="dxa"/>
            <w:tcBorders>
              <w:top w:val="nil"/>
              <w:left w:val="nil"/>
              <w:bottom w:val="single" w:sz="4" w:space="0" w:color="auto"/>
              <w:right w:val="single" w:sz="4" w:space="0" w:color="auto"/>
            </w:tcBorders>
            <w:shd w:val="clear" w:color="auto" w:fill="auto"/>
            <w:noWrap/>
            <w:vAlign w:val="bottom"/>
            <w:hideMark/>
          </w:tcPr>
          <w:p w14:paraId="16ACB8C6"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2 659.5</w:t>
            </w:r>
          </w:p>
        </w:tc>
        <w:tc>
          <w:tcPr>
            <w:tcW w:w="1014" w:type="dxa"/>
            <w:tcBorders>
              <w:top w:val="nil"/>
              <w:left w:val="nil"/>
              <w:bottom w:val="single" w:sz="4" w:space="0" w:color="auto"/>
              <w:right w:val="single" w:sz="4" w:space="0" w:color="auto"/>
            </w:tcBorders>
            <w:shd w:val="clear" w:color="auto" w:fill="auto"/>
            <w:noWrap/>
            <w:vAlign w:val="bottom"/>
            <w:hideMark/>
          </w:tcPr>
          <w:p w14:paraId="7B394869"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18</w:t>
            </w:r>
          </w:p>
        </w:tc>
        <w:tc>
          <w:tcPr>
            <w:tcW w:w="961" w:type="dxa"/>
            <w:tcBorders>
              <w:top w:val="nil"/>
              <w:left w:val="nil"/>
              <w:bottom w:val="single" w:sz="4" w:space="0" w:color="auto"/>
              <w:right w:val="single" w:sz="4" w:space="0" w:color="auto"/>
            </w:tcBorders>
            <w:shd w:val="clear" w:color="auto" w:fill="auto"/>
            <w:noWrap/>
            <w:vAlign w:val="bottom"/>
            <w:hideMark/>
          </w:tcPr>
          <w:p w14:paraId="5F9BE518"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x</w:t>
            </w:r>
          </w:p>
        </w:tc>
        <w:tc>
          <w:tcPr>
            <w:tcW w:w="947" w:type="dxa"/>
            <w:tcBorders>
              <w:top w:val="nil"/>
              <w:left w:val="nil"/>
              <w:bottom w:val="single" w:sz="4" w:space="0" w:color="auto"/>
              <w:right w:val="single" w:sz="4" w:space="0" w:color="auto"/>
            </w:tcBorders>
            <w:shd w:val="clear" w:color="auto" w:fill="auto"/>
            <w:noWrap/>
            <w:vAlign w:val="bottom"/>
            <w:hideMark/>
          </w:tcPr>
          <w:p w14:paraId="7AB0BAC8"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1 188.6</w:t>
            </w:r>
          </w:p>
        </w:tc>
      </w:tr>
      <w:tr w:rsidR="00FB1833" w:rsidRPr="00B13B9A" w14:paraId="4A8AF778" w14:textId="77777777" w:rsidTr="008156E3">
        <w:trPr>
          <w:trHeight w:val="20"/>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6F3AC541" w14:textId="3CF433B7" w:rsidR="00FB1833" w:rsidRPr="00B13B9A" w:rsidRDefault="00FB1833" w:rsidP="008156E3">
            <w:pPr>
              <w:spacing w:after="0" w:line="240" w:lineRule="auto"/>
              <w:rPr>
                <w:rFonts w:asciiTheme="majorHAnsi" w:eastAsia="Times New Roman" w:hAnsiTheme="majorHAnsi" w:cstheme="majorHAnsi"/>
                <w:bCs/>
                <w:color w:val="000000"/>
                <w:sz w:val="20"/>
                <w:szCs w:val="20"/>
                <w:lang w:val="ro-MD"/>
              </w:rPr>
            </w:pPr>
            <w:r w:rsidRPr="00B13B9A">
              <w:rPr>
                <w:rFonts w:asciiTheme="majorHAnsi" w:eastAsia="Times New Roman" w:hAnsiTheme="majorHAnsi" w:cstheme="majorHAnsi"/>
                <w:bCs/>
                <w:color w:val="000000"/>
                <w:sz w:val="20"/>
                <w:szCs w:val="20"/>
                <w:lang w:val="ro-MD"/>
              </w:rPr>
              <w:t>Licita</w:t>
            </w:r>
            <w:r w:rsidR="00B13B9A" w:rsidRPr="00B13B9A">
              <w:rPr>
                <w:rFonts w:asciiTheme="majorHAnsi" w:eastAsia="Times New Roman" w:hAnsiTheme="majorHAnsi" w:cstheme="majorHAnsi"/>
                <w:bCs/>
                <w:color w:val="000000"/>
                <w:sz w:val="20"/>
                <w:szCs w:val="20"/>
                <w:lang w:val="ro-MD"/>
              </w:rPr>
              <w:t>ț</w:t>
            </w:r>
            <w:r w:rsidRPr="00B13B9A">
              <w:rPr>
                <w:rFonts w:asciiTheme="majorHAnsi" w:eastAsia="Times New Roman" w:hAnsiTheme="majorHAnsi" w:cstheme="majorHAnsi"/>
                <w:bCs/>
                <w:color w:val="000000"/>
                <w:sz w:val="20"/>
                <w:szCs w:val="20"/>
                <w:lang w:val="ro-MD"/>
              </w:rPr>
              <w:t>ii deschise</w:t>
            </w:r>
          </w:p>
        </w:tc>
        <w:tc>
          <w:tcPr>
            <w:tcW w:w="921" w:type="dxa"/>
            <w:tcBorders>
              <w:top w:val="nil"/>
              <w:left w:val="nil"/>
              <w:bottom w:val="single" w:sz="4" w:space="0" w:color="auto"/>
              <w:right w:val="single" w:sz="4" w:space="0" w:color="auto"/>
            </w:tcBorders>
            <w:shd w:val="clear" w:color="auto" w:fill="auto"/>
            <w:noWrap/>
            <w:vAlign w:val="bottom"/>
            <w:hideMark/>
          </w:tcPr>
          <w:p w14:paraId="3CAE4440"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17</w:t>
            </w:r>
          </w:p>
        </w:tc>
        <w:tc>
          <w:tcPr>
            <w:tcW w:w="912" w:type="dxa"/>
            <w:tcBorders>
              <w:top w:val="nil"/>
              <w:left w:val="nil"/>
              <w:bottom w:val="single" w:sz="4" w:space="0" w:color="auto"/>
              <w:right w:val="single" w:sz="4" w:space="0" w:color="auto"/>
            </w:tcBorders>
            <w:shd w:val="clear" w:color="auto" w:fill="auto"/>
            <w:noWrap/>
            <w:vAlign w:val="bottom"/>
            <w:hideMark/>
          </w:tcPr>
          <w:p w14:paraId="047D2BFD"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x</w:t>
            </w:r>
          </w:p>
        </w:tc>
        <w:tc>
          <w:tcPr>
            <w:tcW w:w="943" w:type="dxa"/>
            <w:tcBorders>
              <w:top w:val="nil"/>
              <w:left w:val="nil"/>
              <w:bottom w:val="single" w:sz="4" w:space="0" w:color="auto"/>
              <w:right w:val="single" w:sz="4" w:space="0" w:color="auto"/>
            </w:tcBorders>
            <w:shd w:val="clear" w:color="auto" w:fill="auto"/>
            <w:noWrap/>
            <w:vAlign w:val="bottom"/>
            <w:hideMark/>
          </w:tcPr>
          <w:p w14:paraId="510D2921"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4 158.6</w:t>
            </w:r>
          </w:p>
        </w:tc>
        <w:tc>
          <w:tcPr>
            <w:tcW w:w="921" w:type="dxa"/>
            <w:tcBorders>
              <w:top w:val="nil"/>
              <w:left w:val="nil"/>
              <w:bottom w:val="single" w:sz="4" w:space="0" w:color="auto"/>
              <w:right w:val="single" w:sz="4" w:space="0" w:color="auto"/>
            </w:tcBorders>
            <w:shd w:val="clear" w:color="auto" w:fill="auto"/>
            <w:noWrap/>
            <w:vAlign w:val="bottom"/>
            <w:hideMark/>
          </w:tcPr>
          <w:p w14:paraId="00EFB4E1"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14</w:t>
            </w:r>
          </w:p>
        </w:tc>
        <w:tc>
          <w:tcPr>
            <w:tcW w:w="912" w:type="dxa"/>
            <w:tcBorders>
              <w:top w:val="nil"/>
              <w:left w:val="nil"/>
              <w:bottom w:val="single" w:sz="4" w:space="0" w:color="auto"/>
              <w:right w:val="single" w:sz="4" w:space="0" w:color="auto"/>
            </w:tcBorders>
            <w:shd w:val="clear" w:color="auto" w:fill="auto"/>
            <w:noWrap/>
            <w:vAlign w:val="bottom"/>
            <w:hideMark/>
          </w:tcPr>
          <w:p w14:paraId="06FABFB5"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x</w:t>
            </w:r>
          </w:p>
        </w:tc>
        <w:tc>
          <w:tcPr>
            <w:tcW w:w="1075" w:type="dxa"/>
            <w:tcBorders>
              <w:top w:val="nil"/>
              <w:left w:val="nil"/>
              <w:bottom w:val="single" w:sz="4" w:space="0" w:color="auto"/>
              <w:right w:val="single" w:sz="4" w:space="0" w:color="auto"/>
            </w:tcBorders>
            <w:shd w:val="clear" w:color="auto" w:fill="auto"/>
            <w:noWrap/>
            <w:vAlign w:val="bottom"/>
            <w:hideMark/>
          </w:tcPr>
          <w:p w14:paraId="5C993D6C"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2 618.1</w:t>
            </w:r>
          </w:p>
        </w:tc>
        <w:tc>
          <w:tcPr>
            <w:tcW w:w="1014" w:type="dxa"/>
            <w:tcBorders>
              <w:top w:val="nil"/>
              <w:left w:val="nil"/>
              <w:bottom w:val="single" w:sz="4" w:space="0" w:color="auto"/>
              <w:right w:val="single" w:sz="4" w:space="0" w:color="auto"/>
            </w:tcBorders>
            <w:shd w:val="clear" w:color="auto" w:fill="auto"/>
            <w:noWrap/>
            <w:vAlign w:val="bottom"/>
            <w:hideMark/>
          </w:tcPr>
          <w:p w14:paraId="7DD64630"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18</w:t>
            </w:r>
          </w:p>
        </w:tc>
        <w:tc>
          <w:tcPr>
            <w:tcW w:w="961" w:type="dxa"/>
            <w:tcBorders>
              <w:top w:val="nil"/>
              <w:left w:val="nil"/>
              <w:bottom w:val="single" w:sz="4" w:space="0" w:color="auto"/>
              <w:right w:val="single" w:sz="4" w:space="0" w:color="auto"/>
            </w:tcBorders>
            <w:shd w:val="clear" w:color="auto" w:fill="auto"/>
            <w:noWrap/>
            <w:vAlign w:val="bottom"/>
            <w:hideMark/>
          </w:tcPr>
          <w:p w14:paraId="204FA1D1"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x</w:t>
            </w:r>
          </w:p>
        </w:tc>
        <w:tc>
          <w:tcPr>
            <w:tcW w:w="947" w:type="dxa"/>
            <w:tcBorders>
              <w:top w:val="nil"/>
              <w:left w:val="nil"/>
              <w:bottom w:val="single" w:sz="4" w:space="0" w:color="auto"/>
              <w:right w:val="single" w:sz="4" w:space="0" w:color="auto"/>
            </w:tcBorders>
            <w:shd w:val="clear" w:color="auto" w:fill="auto"/>
            <w:noWrap/>
            <w:vAlign w:val="bottom"/>
            <w:hideMark/>
          </w:tcPr>
          <w:p w14:paraId="29FF8480"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1 188.6</w:t>
            </w:r>
          </w:p>
        </w:tc>
      </w:tr>
      <w:tr w:rsidR="00FB1833" w:rsidRPr="00B13B9A" w14:paraId="3BD2183A" w14:textId="77777777" w:rsidTr="008156E3">
        <w:trPr>
          <w:trHeight w:val="20"/>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50448FAF" w14:textId="77777777" w:rsidR="00FB1833" w:rsidRPr="00B13B9A" w:rsidRDefault="00FB1833" w:rsidP="008156E3">
            <w:pPr>
              <w:spacing w:after="0" w:line="240" w:lineRule="auto"/>
              <w:rPr>
                <w:rFonts w:asciiTheme="majorHAnsi" w:eastAsia="Times New Roman" w:hAnsiTheme="majorHAnsi" w:cstheme="majorHAnsi"/>
                <w:bCs/>
                <w:color w:val="000000"/>
                <w:sz w:val="20"/>
                <w:szCs w:val="20"/>
                <w:lang w:val="ro-MD"/>
              </w:rPr>
            </w:pPr>
            <w:r w:rsidRPr="00B13B9A">
              <w:rPr>
                <w:rFonts w:asciiTheme="majorHAnsi" w:eastAsia="Times New Roman" w:hAnsiTheme="majorHAnsi" w:cstheme="majorHAnsi"/>
                <w:bCs/>
                <w:color w:val="000000"/>
                <w:sz w:val="20"/>
                <w:szCs w:val="20"/>
                <w:lang w:val="ro-MD"/>
              </w:rPr>
              <w:t>COP</w:t>
            </w:r>
          </w:p>
        </w:tc>
        <w:tc>
          <w:tcPr>
            <w:tcW w:w="921" w:type="dxa"/>
            <w:tcBorders>
              <w:top w:val="nil"/>
              <w:left w:val="nil"/>
              <w:bottom w:val="single" w:sz="4" w:space="0" w:color="auto"/>
              <w:right w:val="single" w:sz="4" w:space="0" w:color="auto"/>
            </w:tcBorders>
            <w:shd w:val="clear" w:color="auto" w:fill="auto"/>
            <w:noWrap/>
            <w:vAlign w:val="bottom"/>
            <w:hideMark/>
          </w:tcPr>
          <w:p w14:paraId="71490549"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x</w:t>
            </w:r>
          </w:p>
        </w:tc>
        <w:tc>
          <w:tcPr>
            <w:tcW w:w="912" w:type="dxa"/>
            <w:tcBorders>
              <w:top w:val="nil"/>
              <w:left w:val="nil"/>
              <w:bottom w:val="single" w:sz="4" w:space="0" w:color="auto"/>
              <w:right w:val="single" w:sz="4" w:space="0" w:color="auto"/>
            </w:tcBorders>
            <w:shd w:val="clear" w:color="auto" w:fill="auto"/>
            <w:noWrap/>
            <w:vAlign w:val="bottom"/>
            <w:hideMark/>
          </w:tcPr>
          <w:p w14:paraId="195CC41F"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x</w:t>
            </w:r>
          </w:p>
        </w:tc>
        <w:tc>
          <w:tcPr>
            <w:tcW w:w="943" w:type="dxa"/>
            <w:tcBorders>
              <w:top w:val="nil"/>
              <w:left w:val="nil"/>
              <w:bottom w:val="single" w:sz="4" w:space="0" w:color="auto"/>
              <w:right w:val="single" w:sz="4" w:space="0" w:color="auto"/>
            </w:tcBorders>
            <w:shd w:val="clear" w:color="auto" w:fill="auto"/>
            <w:noWrap/>
            <w:vAlign w:val="bottom"/>
            <w:hideMark/>
          </w:tcPr>
          <w:p w14:paraId="16DCA3D1"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x</w:t>
            </w:r>
          </w:p>
        </w:tc>
        <w:tc>
          <w:tcPr>
            <w:tcW w:w="921" w:type="dxa"/>
            <w:tcBorders>
              <w:top w:val="nil"/>
              <w:left w:val="nil"/>
              <w:bottom w:val="single" w:sz="4" w:space="0" w:color="auto"/>
              <w:right w:val="single" w:sz="4" w:space="0" w:color="auto"/>
            </w:tcBorders>
            <w:shd w:val="clear" w:color="auto" w:fill="auto"/>
            <w:noWrap/>
            <w:vAlign w:val="bottom"/>
            <w:hideMark/>
          </w:tcPr>
          <w:p w14:paraId="29855880"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w:t>
            </w:r>
          </w:p>
        </w:tc>
        <w:tc>
          <w:tcPr>
            <w:tcW w:w="912" w:type="dxa"/>
            <w:tcBorders>
              <w:top w:val="nil"/>
              <w:left w:val="nil"/>
              <w:bottom w:val="single" w:sz="4" w:space="0" w:color="auto"/>
              <w:right w:val="single" w:sz="4" w:space="0" w:color="auto"/>
            </w:tcBorders>
            <w:shd w:val="clear" w:color="auto" w:fill="auto"/>
            <w:noWrap/>
            <w:vAlign w:val="bottom"/>
            <w:hideMark/>
          </w:tcPr>
          <w:p w14:paraId="7BA0FC97"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x</w:t>
            </w:r>
          </w:p>
        </w:tc>
        <w:tc>
          <w:tcPr>
            <w:tcW w:w="1075" w:type="dxa"/>
            <w:tcBorders>
              <w:top w:val="nil"/>
              <w:left w:val="nil"/>
              <w:bottom w:val="single" w:sz="4" w:space="0" w:color="auto"/>
              <w:right w:val="single" w:sz="4" w:space="0" w:color="auto"/>
            </w:tcBorders>
            <w:shd w:val="clear" w:color="auto" w:fill="auto"/>
            <w:noWrap/>
            <w:vAlign w:val="bottom"/>
            <w:hideMark/>
          </w:tcPr>
          <w:p w14:paraId="6A0721BE"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1.5</w:t>
            </w:r>
          </w:p>
        </w:tc>
        <w:tc>
          <w:tcPr>
            <w:tcW w:w="1014" w:type="dxa"/>
            <w:tcBorders>
              <w:top w:val="nil"/>
              <w:left w:val="nil"/>
              <w:bottom w:val="single" w:sz="4" w:space="0" w:color="auto"/>
              <w:right w:val="single" w:sz="4" w:space="0" w:color="auto"/>
            </w:tcBorders>
            <w:shd w:val="clear" w:color="auto" w:fill="auto"/>
            <w:noWrap/>
            <w:vAlign w:val="bottom"/>
            <w:hideMark/>
          </w:tcPr>
          <w:p w14:paraId="2EA65DA7"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x</w:t>
            </w:r>
          </w:p>
        </w:tc>
        <w:tc>
          <w:tcPr>
            <w:tcW w:w="961" w:type="dxa"/>
            <w:tcBorders>
              <w:top w:val="nil"/>
              <w:left w:val="nil"/>
              <w:bottom w:val="single" w:sz="4" w:space="0" w:color="auto"/>
              <w:right w:val="single" w:sz="4" w:space="0" w:color="auto"/>
            </w:tcBorders>
            <w:shd w:val="clear" w:color="auto" w:fill="auto"/>
            <w:noWrap/>
            <w:vAlign w:val="bottom"/>
            <w:hideMark/>
          </w:tcPr>
          <w:p w14:paraId="3F638B29"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x</w:t>
            </w:r>
          </w:p>
        </w:tc>
        <w:tc>
          <w:tcPr>
            <w:tcW w:w="947" w:type="dxa"/>
            <w:tcBorders>
              <w:top w:val="nil"/>
              <w:left w:val="nil"/>
              <w:bottom w:val="single" w:sz="4" w:space="0" w:color="auto"/>
              <w:right w:val="single" w:sz="4" w:space="0" w:color="auto"/>
            </w:tcBorders>
            <w:shd w:val="clear" w:color="auto" w:fill="auto"/>
            <w:noWrap/>
            <w:vAlign w:val="bottom"/>
            <w:hideMark/>
          </w:tcPr>
          <w:p w14:paraId="68DE8646"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x</w:t>
            </w:r>
          </w:p>
        </w:tc>
      </w:tr>
      <w:tr w:rsidR="00FB1833" w:rsidRPr="00B13B9A" w14:paraId="09D80299" w14:textId="77777777" w:rsidTr="008156E3">
        <w:trPr>
          <w:trHeight w:val="20"/>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05F83906" w14:textId="77777777" w:rsidR="00FB1833" w:rsidRPr="00B13B9A" w:rsidRDefault="00FB1833" w:rsidP="008156E3">
            <w:pPr>
              <w:spacing w:after="0" w:line="240" w:lineRule="auto"/>
              <w:rPr>
                <w:rFonts w:asciiTheme="majorHAnsi" w:eastAsia="Times New Roman" w:hAnsiTheme="majorHAnsi" w:cstheme="majorHAnsi"/>
                <w:bCs/>
                <w:color w:val="000000"/>
                <w:sz w:val="20"/>
                <w:szCs w:val="20"/>
                <w:lang w:val="ro-MD"/>
              </w:rPr>
            </w:pPr>
            <w:r w:rsidRPr="00B13B9A">
              <w:rPr>
                <w:rFonts w:asciiTheme="majorHAnsi" w:eastAsia="Times New Roman" w:hAnsiTheme="majorHAnsi" w:cstheme="majorHAnsi"/>
                <w:bCs/>
                <w:color w:val="000000"/>
                <w:sz w:val="20"/>
                <w:szCs w:val="20"/>
                <w:lang w:val="ro-MD"/>
              </w:rPr>
              <w:t>Dialog competitiv</w:t>
            </w:r>
          </w:p>
        </w:tc>
        <w:tc>
          <w:tcPr>
            <w:tcW w:w="921" w:type="dxa"/>
            <w:tcBorders>
              <w:top w:val="nil"/>
              <w:left w:val="nil"/>
              <w:bottom w:val="single" w:sz="4" w:space="0" w:color="auto"/>
              <w:right w:val="single" w:sz="4" w:space="0" w:color="auto"/>
            </w:tcBorders>
            <w:shd w:val="clear" w:color="auto" w:fill="auto"/>
            <w:noWrap/>
            <w:vAlign w:val="bottom"/>
            <w:hideMark/>
          </w:tcPr>
          <w:p w14:paraId="1EB04764"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x</w:t>
            </w:r>
          </w:p>
        </w:tc>
        <w:tc>
          <w:tcPr>
            <w:tcW w:w="912" w:type="dxa"/>
            <w:tcBorders>
              <w:top w:val="nil"/>
              <w:left w:val="nil"/>
              <w:bottom w:val="single" w:sz="4" w:space="0" w:color="auto"/>
              <w:right w:val="single" w:sz="4" w:space="0" w:color="auto"/>
            </w:tcBorders>
            <w:shd w:val="clear" w:color="auto" w:fill="auto"/>
            <w:noWrap/>
            <w:vAlign w:val="bottom"/>
            <w:hideMark/>
          </w:tcPr>
          <w:p w14:paraId="6BAF813F"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x</w:t>
            </w:r>
          </w:p>
        </w:tc>
        <w:tc>
          <w:tcPr>
            <w:tcW w:w="943" w:type="dxa"/>
            <w:tcBorders>
              <w:top w:val="nil"/>
              <w:left w:val="nil"/>
              <w:bottom w:val="single" w:sz="4" w:space="0" w:color="auto"/>
              <w:right w:val="single" w:sz="4" w:space="0" w:color="auto"/>
            </w:tcBorders>
            <w:shd w:val="clear" w:color="auto" w:fill="auto"/>
            <w:noWrap/>
            <w:vAlign w:val="bottom"/>
            <w:hideMark/>
          </w:tcPr>
          <w:p w14:paraId="46FE3763"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x</w:t>
            </w:r>
          </w:p>
        </w:tc>
        <w:tc>
          <w:tcPr>
            <w:tcW w:w="921" w:type="dxa"/>
            <w:tcBorders>
              <w:top w:val="nil"/>
              <w:left w:val="nil"/>
              <w:bottom w:val="single" w:sz="4" w:space="0" w:color="auto"/>
              <w:right w:val="single" w:sz="4" w:space="0" w:color="auto"/>
            </w:tcBorders>
            <w:shd w:val="clear" w:color="auto" w:fill="auto"/>
            <w:noWrap/>
            <w:vAlign w:val="bottom"/>
            <w:hideMark/>
          </w:tcPr>
          <w:p w14:paraId="219FA137"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6</w:t>
            </w:r>
          </w:p>
        </w:tc>
        <w:tc>
          <w:tcPr>
            <w:tcW w:w="912" w:type="dxa"/>
            <w:tcBorders>
              <w:top w:val="nil"/>
              <w:left w:val="nil"/>
              <w:bottom w:val="single" w:sz="4" w:space="0" w:color="auto"/>
              <w:right w:val="single" w:sz="4" w:space="0" w:color="auto"/>
            </w:tcBorders>
            <w:shd w:val="clear" w:color="auto" w:fill="auto"/>
            <w:noWrap/>
            <w:vAlign w:val="bottom"/>
            <w:hideMark/>
          </w:tcPr>
          <w:p w14:paraId="03F88311"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x</w:t>
            </w:r>
          </w:p>
        </w:tc>
        <w:tc>
          <w:tcPr>
            <w:tcW w:w="1075" w:type="dxa"/>
            <w:tcBorders>
              <w:top w:val="nil"/>
              <w:left w:val="nil"/>
              <w:bottom w:val="single" w:sz="4" w:space="0" w:color="auto"/>
              <w:right w:val="single" w:sz="4" w:space="0" w:color="auto"/>
            </w:tcBorders>
            <w:shd w:val="clear" w:color="auto" w:fill="auto"/>
            <w:noWrap/>
            <w:vAlign w:val="bottom"/>
            <w:hideMark/>
          </w:tcPr>
          <w:p w14:paraId="6FC8CC9C"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39.9</w:t>
            </w:r>
          </w:p>
        </w:tc>
        <w:tc>
          <w:tcPr>
            <w:tcW w:w="1014" w:type="dxa"/>
            <w:tcBorders>
              <w:top w:val="nil"/>
              <w:left w:val="nil"/>
              <w:bottom w:val="single" w:sz="4" w:space="0" w:color="auto"/>
              <w:right w:val="single" w:sz="4" w:space="0" w:color="auto"/>
            </w:tcBorders>
            <w:shd w:val="clear" w:color="auto" w:fill="auto"/>
            <w:noWrap/>
            <w:vAlign w:val="bottom"/>
            <w:hideMark/>
          </w:tcPr>
          <w:p w14:paraId="055E67AC"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x</w:t>
            </w:r>
          </w:p>
        </w:tc>
        <w:tc>
          <w:tcPr>
            <w:tcW w:w="961" w:type="dxa"/>
            <w:tcBorders>
              <w:top w:val="nil"/>
              <w:left w:val="nil"/>
              <w:bottom w:val="single" w:sz="4" w:space="0" w:color="auto"/>
              <w:right w:val="single" w:sz="4" w:space="0" w:color="auto"/>
            </w:tcBorders>
            <w:shd w:val="clear" w:color="auto" w:fill="auto"/>
            <w:noWrap/>
            <w:vAlign w:val="bottom"/>
            <w:hideMark/>
          </w:tcPr>
          <w:p w14:paraId="11BBF3A6"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x</w:t>
            </w:r>
          </w:p>
        </w:tc>
        <w:tc>
          <w:tcPr>
            <w:tcW w:w="947" w:type="dxa"/>
            <w:tcBorders>
              <w:top w:val="nil"/>
              <w:left w:val="nil"/>
              <w:bottom w:val="single" w:sz="4" w:space="0" w:color="auto"/>
              <w:right w:val="single" w:sz="4" w:space="0" w:color="auto"/>
            </w:tcBorders>
            <w:shd w:val="clear" w:color="auto" w:fill="auto"/>
            <w:noWrap/>
            <w:vAlign w:val="bottom"/>
            <w:hideMark/>
          </w:tcPr>
          <w:p w14:paraId="727EE9B0" w14:textId="77777777" w:rsidR="00FB1833" w:rsidRPr="00B13B9A" w:rsidRDefault="00FB1833" w:rsidP="008156E3">
            <w:pPr>
              <w:spacing w:after="0" w:line="240" w:lineRule="auto"/>
              <w:jc w:val="center"/>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x</w:t>
            </w:r>
          </w:p>
        </w:tc>
      </w:tr>
      <w:tr w:rsidR="00FB1833" w:rsidRPr="00B13B9A" w14:paraId="7BA0B6C4" w14:textId="77777777" w:rsidTr="008156E3">
        <w:trPr>
          <w:trHeight w:val="20"/>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3EE84C39" w14:textId="25145961" w:rsidR="00FB1833" w:rsidRPr="00B13B9A" w:rsidRDefault="00FB1833" w:rsidP="008156E3">
            <w:pPr>
              <w:spacing w:after="0" w:line="240" w:lineRule="auto"/>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Total achizi</w:t>
            </w:r>
            <w:r w:rsidR="00B13B9A" w:rsidRPr="00B13B9A">
              <w:rPr>
                <w:rFonts w:asciiTheme="majorHAnsi" w:eastAsia="Times New Roman" w:hAnsiTheme="majorHAnsi" w:cstheme="majorHAnsi"/>
                <w:b/>
                <w:bCs/>
                <w:color w:val="000000"/>
                <w:sz w:val="20"/>
                <w:szCs w:val="20"/>
                <w:lang w:val="ro-MD"/>
              </w:rPr>
              <w:t>ț</w:t>
            </w:r>
            <w:r w:rsidRPr="00B13B9A">
              <w:rPr>
                <w:rFonts w:asciiTheme="majorHAnsi" w:eastAsia="Times New Roman" w:hAnsiTheme="majorHAnsi" w:cstheme="majorHAnsi"/>
                <w:b/>
                <w:bCs/>
                <w:color w:val="000000"/>
                <w:sz w:val="20"/>
                <w:szCs w:val="20"/>
                <w:lang w:val="ro-MD"/>
              </w:rPr>
              <w:t>ii</w:t>
            </w:r>
          </w:p>
        </w:tc>
        <w:tc>
          <w:tcPr>
            <w:tcW w:w="921" w:type="dxa"/>
            <w:tcBorders>
              <w:top w:val="nil"/>
              <w:left w:val="nil"/>
              <w:bottom w:val="single" w:sz="4" w:space="0" w:color="auto"/>
              <w:right w:val="single" w:sz="4" w:space="0" w:color="auto"/>
            </w:tcBorders>
            <w:shd w:val="clear" w:color="auto" w:fill="auto"/>
            <w:noWrap/>
            <w:vAlign w:val="bottom"/>
            <w:hideMark/>
          </w:tcPr>
          <w:p w14:paraId="70C0F9BA" w14:textId="77777777" w:rsidR="00FB1833" w:rsidRPr="00B13B9A" w:rsidRDefault="00FB1833" w:rsidP="008156E3">
            <w:pPr>
              <w:spacing w:after="0" w:line="240" w:lineRule="auto"/>
              <w:jc w:val="center"/>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36</w:t>
            </w:r>
          </w:p>
        </w:tc>
        <w:tc>
          <w:tcPr>
            <w:tcW w:w="912" w:type="dxa"/>
            <w:tcBorders>
              <w:top w:val="nil"/>
              <w:left w:val="nil"/>
              <w:bottom w:val="single" w:sz="4" w:space="0" w:color="auto"/>
              <w:right w:val="single" w:sz="4" w:space="0" w:color="auto"/>
            </w:tcBorders>
            <w:shd w:val="clear" w:color="auto" w:fill="auto"/>
            <w:noWrap/>
            <w:vAlign w:val="bottom"/>
            <w:hideMark/>
          </w:tcPr>
          <w:p w14:paraId="3639384D" w14:textId="77777777" w:rsidR="00FB1833" w:rsidRPr="00B13B9A" w:rsidRDefault="00FB1833" w:rsidP="008156E3">
            <w:pPr>
              <w:spacing w:after="0" w:line="240" w:lineRule="auto"/>
              <w:jc w:val="center"/>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106</w:t>
            </w:r>
          </w:p>
        </w:tc>
        <w:tc>
          <w:tcPr>
            <w:tcW w:w="943" w:type="dxa"/>
            <w:tcBorders>
              <w:top w:val="nil"/>
              <w:left w:val="nil"/>
              <w:bottom w:val="single" w:sz="4" w:space="0" w:color="auto"/>
              <w:right w:val="single" w:sz="4" w:space="0" w:color="auto"/>
            </w:tcBorders>
            <w:shd w:val="clear" w:color="auto" w:fill="auto"/>
            <w:noWrap/>
            <w:vAlign w:val="bottom"/>
            <w:hideMark/>
          </w:tcPr>
          <w:p w14:paraId="4C31B2D2" w14:textId="77777777" w:rsidR="00FB1833" w:rsidRPr="00B13B9A" w:rsidRDefault="00FB1833" w:rsidP="008156E3">
            <w:pPr>
              <w:spacing w:after="0" w:line="240" w:lineRule="auto"/>
              <w:jc w:val="center"/>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16 002.7</w:t>
            </w:r>
          </w:p>
        </w:tc>
        <w:tc>
          <w:tcPr>
            <w:tcW w:w="921" w:type="dxa"/>
            <w:tcBorders>
              <w:top w:val="nil"/>
              <w:left w:val="nil"/>
              <w:bottom w:val="single" w:sz="4" w:space="0" w:color="auto"/>
              <w:right w:val="single" w:sz="4" w:space="0" w:color="auto"/>
            </w:tcBorders>
            <w:shd w:val="clear" w:color="auto" w:fill="auto"/>
            <w:noWrap/>
            <w:vAlign w:val="bottom"/>
            <w:hideMark/>
          </w:tcPr>
          <w:p w14:paraId="29A5FBC1" w14:textId="77777777" w:rsidR="00FB1833" w:rsidRPr="00B13B9A" w:rsidRDefault="00FB1833" w:rsidP="008156E3">
            <w:pPr>
              <w:spacing w:after="0" w:line="240" w:lineRule="auto"/>
              <w:jc w:val="center"/>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40</w:t>
            </w:r>
          </w:p>
        </w:tc>
        <w:tc>
          <w:tcPr>
            <w:tcW w:w="912" w:type="dxa"/>
            <w:tcBorders>
              <w:top w:val="nil"/>
              <w:left w:val="nil"/>
              <w:bottom w:val="single" w:sz="4" w:space="0" w:color="auto"/>
              <w:right w:val="single" w:sz="4" w:space="0" w:color="auto"/>
            </w:tcBorders>
            <w:shd w:val="clear" w:color="auto" w:fill="auto"/>
            <w:noWrap/>
            <w:vAlign w:val="bottom"/>
            <w:hideMark/>
          </w:tcPr>
          <w:p w14:paraId="5FB7F04E" w14:textId="77777777" w:rsidR="00FB1833" w:rsidRPr="00B13B9A" w:rsidRDefault="00FB1833" w:rsidP="008156E3">
            <w:pPr>
              <w:spacing w:after="0" w:line="240" w:lineRule="auto"/>
              <w:jc w:val="center"/>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111</w:t>
            </w:r>
          </w:p>
        </w:tc>
        <w:tc>
          <w:tcPr>
            <w:tcW w:w="1075" w:type="dxa"/>
            <w:tcBorders>
              <w:top w:val="nil"/>
              <w:left w:val="nil"/>
              <w:bottom w:val="single" w:sz="4" w:space="0" w:color="auto"/>
              <w:right w:val="single" w:sz="4" w:space="0" w:color="auto"/>
            </w:tcBorders>
            <w:shd w:val="clear" w:color="auto" w:fill="auto"/>
            <w:noWrap/>
            <w:vAlign w:val="bottom"/>
            <w:hideMark/>
          </w:tcPr>
          <w:p w14:paraId="2E8ACE55" w14:textId="77777777" w:rsidR="00FB1833" w:rsidRPr="00B13B9A" w:rsidRDefault="00FB1833" w:rsidP="008156E3">
            <w:pPr>
              <w:spacing w:after="0" w:line="240" w:lineRule="auto"/>
              <w:jc w:val="center"/>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16 498.1</w:t>
            </w:r>
          </w:p>
        </w:tc>
        <w:tc>
          <w:tcPr>
            <w:tcW w:w="1014" w:type="dxa"/>
            <w:tcBorders>
              <w:top w:val="nil"/>
              <w:left w:val="nil"/>
              <w:bottom w:val="single" w:sz="4" w:space="0" w:color="auto"/>
              <w:right w:val="single" w:sz="4" w:space="0" w:color="auto"/>
            </w:tcBorders>
            <w:shd w:val="clear" w:color="auto" w:fill="auto"/>
            <w:noWrap/>
            <w:vAlign w:val="bottom"/>
            <w:hideMark/>
          </w:tcPr>
          <w:p w14:paraId="1E1A5F3C" w14:textId="77777777" w:rsidR="00FB1833" w:rsidRPr="00B13B9A" w:rsidRDefault="00FB1833" w:rsidP="008156E3">
            <w:pPr>
              <w:spacing w:after="0" w:line="240" w:lineRule="auto"/>
              <w:jc w:val="center"/>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41</w:t>
            </w:r>
          </w:p>
        </w:tc>
        <w:tc>
          <w:tcPr>
            <w:tcW w:w="961" w:type="dxa"/>
            <w:tcBorders>
              <w:top w:val="nil"/>
              <w:left w:val="nil"/>
              <w:bottom w:val="single" w:sz="4" w:space="0" w:color="auto"/>
              <w:right w:val="single" w:sz="4" w:space="0" w:color="auto"/>
            </w:tcBorders>
            <w:shd w:val="clear" w:color="auto" w:fill="auto"/>
            <w:noWrap/>
            <w:vAlign w:val="bottom"/>
            <w:hideMark/>
          </w:tcPr>
          <w:p w14:paraId="74C437CB" w14:textId="77777777" w:rsidR="00FB1833" w:rsidRPr="00B13B9A" w:rsidRDefault="00FB1833" w:rsidP="008156E3">
            <w:pPr>
              <w:spacing w:after="0" w:line="240" w:lineRule="auto"/>
              <w:jc w:val="center"/>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98</w:t>
            </w:r>
          </w:p>
        </w:tc>
        <w:tc>
          <w:tcPr>
            <w:tcW w:w="947" w:type="dxa"/>
            <w:tcBorders>
              <w:top w:val="nil"/>
              <w:left w:val="nil"/>
              <w:bottom w:val="single" w:sz="4" w:space="0" w:color="auto"/>
              <w:right w:val="single" w:sz="4" w:space="0" w:color="auto"/>
            </w:tcBorders>
            <w:shd w:val="clear" w:color="auto" w:fill="auto"/>
            <w:noWrap/>
            <w:vAlign w:val="bottom"/>
            <w:hideMark/>
          </w:tcPr>
          <w:p w14:paraId="269D4D06" w14:textId="77777777" w:rsidR="00FB1833" w:rsidRPr="00B13B9A" w:rsidRDefault="00FB1833" w:rsidP="008156E3">
            <w:pPr>
              <w:spacing w:after="0" w:line="240" w:lineRule="auto"/>
              <w:jc w:val="center"/>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16 385.5</w:t>
            </w:r>
          </w:p>
        </w:tc>
      </w:tr>
    </w:tbl>
    <w:p w14:paraId="5F908A5E" w14:textId="090B6680" w:rsidR="00FB1833" w:rsidRPr="00B13B9A" w:rsidRDefault="00FB1833" w:rsidP="00FB1833">
      <w:pPr>
        <w:pStyle w:val="cn"/>
        <w:spacing w:line="276" w:lineRule="auto"/>
        <w:ind w:right="71"/>
        <w:jc w:val="both"/>
        <w:rPr>
          <w:rFonts w:asciiTheme="majorHAnsi" w:eastAsiaTheme="minorHAnsi" w:hAnsiTheme="majorHAnsi" w:cstheme="majorHAnsi"/>
          <w:i/>
          <w:sz w:val="20"/>
          <w:szCs w:val="20"/>
          <w:lang w:val="ro-MD" w:eastAsia="en-US"/>
        </w:rPr>
      </w:pPr>
      <w:r w:rsidRPr="00B13B9A">
        <w:rPr>
          <w:rFonts w:asciiTheme="majorHAnsi" w:eastAsiaTheme="minorHAnsi" w:hAnsiTheme="majorHAnsi" w:cstheme="majorHAnsi"/>
          <w:b/>
          <w:i/>
          <w:sz w:val="20"/>
          <w:szCs w:val="20"/>
          <w:lang w:val="ro-MD" w:eastAsia="en-US"/>
        </w:rPr>
        <w:t>Sursa:</w:t>
      </w:r>
      <w:r w:rsidRPr="00B13B9A">
        <w:rPr>
          <w:rFonts w:asciiTheme="majorHAnsi" w:eastAsiaTheme="minorHAnsi" w:hAnsiTheme="majorHAnsi" w:cstheme="majorHAnsi"/>
          <w:i/>
          <w:sz w:val="20"/>
          <w:szCs w:val="20"/>
          <w:lang w:val="ro-MD" w:eastAsia="en-US"/>
        </w:rPr>
        <w:t xml:space="preserve"> Informa</w:t>
      </w:r>
      <w:r w:rsidR="00B13B9A" w:rsidRPr="00B13B9A">
        <w:rPr>
          <w:rFonts w:asciiTheme="majorHAnsi" w:eastAsiaTheme="minorHAnsi" w:hAnsiTheme="majorHAnsi" w:cstheme="majorHAnsi"/>
          <w:i/>
          <w:sz w:val="20"/>
          <w:szCs w:val="20"/>
          <w:lang w:val="ro-MD" w:eastAsia="en-US"/>
        </w:rPr>
        <w:t>ț</w:t>
      </w:r>
      <w:r w:rsidRPr="00B13B9A">
        <w:rPr>
          <w:rFonts w:asciiTheme="majorHAnsi" w:eastAsiaTheme="minorHAnsi" w:hAnsiTheme="majorHAnsi" w:cstheme="majorHAnsi"/>
          <w:i/>
          <w:sz w:val="20"/>
          <w:szCs w:val="20"/>
          <w:lang w:val="ro-MD" w:eastAsia="en-US"/>
        </w:rPr>
        <w:t>ii prezentate de entitate</w:t>
      </w:r>
      <w:r w:rsidR="00FB2E99" w:rsidRPr="00B13B9A">
        <w:rPr>
          <w:rFonts w:asciiTheme="majorHAnsi" w:eastAsiaTheme="minorHAnsi" w:hAnsiTheme="majorHAnsi" w:cstheme="majorHAnsi"/>
          <w:i/>
          <w:sz w:val="20"/>
          <w:szCs w:val="20"/>
          <w:lang w:val="ro-MD" w:eastAsia="en-US"/>
        </w:rPr>
        <w:t>.</w:t>
      </w:r>
    </w:p>
    <w:p w14:paraId="47191A14" w14:textId="77777777" w:rsidR="00D3471D" w:rsidRPr="00B13B9A" w:rsidRDefault="00D3471D" w:rsidP="000A5AB9">
      <w:pPr>
        <w:spacing w:after="0" w:line="240" w:lineRule="auto"/>
        <w:jc w:val="right"/>
        <w:rPr>
          <w:rFonts w:asciiTheme="majorHAnsi" w:hAnsiTheme="majorHAnsi" w:cstheme="majorHAnsi"/>
          <w:b/>
          <w:iCs/>
          <w:sz w:val="24"/>
          <w:szCs w:val="24"/>
          <w:lang w:val="ro-MD"/>
        </w:rPr>
      </w:pPr>
    </w:p>
    <w:p w14:paraId="290A5A9E" w14:textId="77777777" w:rsidR="000A5AB9" w:rsidRPr="00B13B9A" w:rsidRDefault="000A5AB9" w:rsidP="00D3471D">
      <w:pPr>
        <w:pStyle w:val="3"/>
        <w:jc w:val="right"/>
        <w:rPr>
          <w:rFonts w:cstheme="majorHAnsi"/>
          <w:b/>
          <w:iCs/>
          <w:color w:val="auto"/>
        </w:rPr>
      </w:pPr>
      <w:bookmarkStart w:id="69" w:name="_Toc154562539"/>
      <w:r w:rsidRPr="00B13B9A">
        <w:rPr>
          <w:rFonts w:cstheme="majorHAnsi"/>
          <w:b/>
          <w:iCs/>
          <w:color w:val="auto"/>
        </w:rPr>
        <w:t>Anexa nr. 1</w:t>
      </w:r>
      <w:r w:rsidR="001457CE" w:rsidRPr="00B13B9A">
        <w:rPr>
          <w:rFonts w:cstheme="majorHAnsi"/>
          <w:b/>
          <w:iCs/>
          <w:color w:val="auto"/>
        </w:rPr>
        <w:t>6</w:t>
      </w:r>
      <w:bookmarkEnd w:id="69"/>
    </w:p>
    <w:p w14:paraId="63711370" w14:textId="218102A8" w:rsidR="00AA1967" w:rsidRPr="00B13B9A" w:rsidRDefault="00AA1967" w:rsidP="008156E3">
      <w:pPr>
        <w:tabs>
          <w:tab w:val="left" w:pos="851"/>
        </w:tabs>
        <w:spacing w:after="0" w:line="240" w:lineRule="auto"/>
        <w:jc w:val="center"/>
        <w:rPr>
          <w:rFonts w:asciiTheme="majorHAnsi" w:hAnsiTheme="majorHAnsi" w:cstheme="majorHAnsi"/>
          <w:b/>
          <w:bCs/>
          <w:iCs/>
          <w:sz w:val="24"/>
          <w:szCs w:val="24"/>
          <w:lang w:val="ro-MD"/>
        </w:rPr>
      </w:pPr>
      <w:r w:rsidRPr="00B13B9A">
        <w:rPr>
          <w:rFonts w:asciiTheme="majorHAnsi" w:hAnsiTheme="majorHAnsi" w:cstheme="majorHAnsi"/>
          <w:b/>
          <w:sz w:val="24"/>
          <w:szCs w:val="24"/>
          <w:lang w:val="ro-MD"/>
        </w:rPr>
        <w:t>Informa</w:t>
      </w:r>
      <w:r w:rsidR="00B13B9A" w:rsidRPr="00B13B9A">
        <w:rPr>
          <w:rFonts w:asciiTheme="majorHAnsi" w:hAnsiTheme="majorHAnsi" w:cstheme="majorHAnsi"/>
          <w:b/>
          <w:sz w:val="24"/>
          <w:szCs w:val="24"/>
          <w:lang w:val="ro-MD"/>
        </w:rPr>
        <w:t>ț</w:t>
      </w:r>
      <w:r w:rsidRPr="00B13B9A">
        <w:rPr>
          <w:rFonts w:asciiTheme="majorHAnsi" w:hAnsiTheme="majorHAnsi" w:cstheme="majorHAnsi"/>
          <w:b/>
          <w:sz w:val="24"/>
          <w:szCs w:val="24"/>
          <w:lang w:val="ro-MD"/>
        </w:rPr>
        <w:t>i</w:t>
      </w:r>
      <w:r w:rsidR="00FB2E99" w:rsidRPr="00B13B9A">
        <w:rPr>
          <w:rFonts w:asciiTheme="majorHAnsi" w:hAnsiTheme="majorHAnsi" w:cstheme="majorHAnsi"/>
          <w:b/>
          <w:sz w:val="24"/>
          <w:szCs w:val="24"/>
          <w:lang w:val="ro-MD"/>
        </w:rPr>
        <w:t>i privind</w:t>
      </w:r>
      <w:r w:rsidRPr="00B13B9A">
        <w:rPr>
          <w:rFonts w:asciiTheme="majorHAnsi" w:hAnsiTheme="majorHAnsi" w:cstheme="majorHAnsi"/>
          <w:b/>
          <w:sz w:val="24"/>
          <w:szCs w:val="24"/>
          <w:lang w:val="ro-MD"/>
        </w:rPr>
        <w:t xml:space="preserve"> achizi</w:t>
      </w:r>
      <w:r w:rsidR="00B13B9A" w:rsidRPr="00B13B9A">
        <w:rPr>
          <w:rFonts w:asciiTheme="majorHAnsi" w:hAnsiTheme="majorHAnsi" w:cstheme="majorHAnsi"/>
          <w:b/>
          <w:sz w:val="24"/>
          <w:szCs w:val="24"/>
          <w:lang w:val="ro-MD"/>
        </w:rPr>
        <w:t>ț</w:t>
      </w:r>
      <w:r w:rsidRPr="00B13B9A">
        <w:rPr>
          <w:rFonts w:asciiTheme="majorHAnsi" w:hAnsiTheme="majorHAnsi" w:cstheme="majorHAnsi"/>
          <w:b/>
          <w:sz w:val="24"/>
          <w:szCs w:val="24"/>
          <w:lang w:val="ro-MD"/>
        </w:rPr>
        <w:t>iil</w:t>
      </w:r>
      <w:r w:rsidR="00FB2E99" w:rsidRPr="00B13B9A">
        <w:rPr>
          <w:rFonts w:asciiTheme="majorHAnsi" w:hAnsiTheme="majorHAnsi" w:cstheme="majorHAnsi"/>
          <w:b/>
          <w:sz w:val="24"/>
          <w:szCs w:val="24"/>
          <w:lang w:val="ro-MD"/>
        </w:rPr>
        <w:t>e</w:t>
      </w:r>
      <w:r w:rsidRPr="00B13B9A">
        <w:rPr>
          <w:rFonts w:asciiTheme="majorHAnsi" w:hAnsiTheme="majorHAnsi" w:cstheme="majorHAnsi"/>
          <w:b/>
          <w:sz w:val="24"/>
          <w:szCs w:val="24"/>
          <w:lang w:val="ro-MD"/>
        </w:rPr>
        <w:t xml:space="preserve"> de servicii </w:t>
      </w:r>
      <w:r w:rsidR="00B13B9A" w:rsidRPr="00B13B9A">
        <w:rPr>
          <w:rFonts w:asciiTheme="majorHAnsi" w:hAnsiTheme="majorHAnsi" w:cstheme="majorHAnsi"/>
          <w:b/>
          <w:sz w:val="24"/>
          <w:szCs w:val="24"/>
          <w:lang w:val="ro-MD"/>
        </w:rPr>
        <w:t>ș</w:t>
      </w:r>
      <w:r w:rsidRPr="00B13B9A">
        <w:rPr>
          <w:rFonts w:asciiTheme="majorHAnsi" w:hAnsiTheme="majorHAnsi" w:cstheme="majorHAnsi"/>
          <w:b/>
          <w:sz w:val="24"/>
          <w:szCs w:val="24"/>
          <w:lang w:val="ro-MD"/>
        </w:rPr>
        <w:t>i lucrări neincluse în planul anual de achizi</w:t>
      </w:r>
      <w:r w:rsidR="00B13B9A" w:rsidRPr="00B13B9A">
        <w:rPr>
          <w:rFonts w:asciiTheme="majorHAnsi" w:hAnsiTheme="majorHAnsi" w:cstheme="majorHAnsi"/>
          <w:b/>
          <w:sz w:val="24"/>
          <w:szCs w:val="24"/>
          <w:lang w:val="ro-MD"/>
        </w:rPr>
        <w:t>ț</w:t>
      </w:r>
      <w:r w:rsidRPr="00B13B9A">
        <w:rPr>
          <w:rFonts w:asciiTheme="majorHAnsi" w:hAnsiTheme="majorHAnsi" w:cstheme="majorHAnsi"/>
          <w:b/>
          <w:sz w:val="24"/>
          <w:szCs w:val="24"/>
          <w:lang w:val="ro-MD"/>
        </w:rPr>
        <w:t>ii</w:t>
      </w:r>
      <w:r w:rsidR="00FB2E99" w:rsidRPr="00B13B9A">
        <w:rPr>
          <w:rFonts w:asciiTheme="majorHAnsi" w:hAnsiTheme="majorHAnsi" w:cstheme="majorHAnsi"/>
          <w:b/>
          <w:sz w:val="24"/>
          <w:szCs w:val="24"/>
          <w:lang w:val="ro-MD"/>
        </w:rPr>
        <w:t xml:space="preserve"> publice</w:t>
      </w:r>
      <w:r w:rsidRPr="00B13B9A">
        <w:rPr>
          <w:rFonts w:asciiTheme="majorHAnsi" w:hAnsiTheme="majorHAnsi" w:cstheme="majorHAnsi"/>
          <w:b/>
          <w:sz w:val="24"/>
          <w:szCs w:val="24"/>
          <w:lang w:val="ro-MD"/>
        </w:rPr>
        <w:t xml:space="preserve"> pentru anul 2021</w:t>
      </w:r>
    </w:p>
    <w:tbl>
      <w:tblPr>
        <w:tblStyle w:val="a3"/>
        <w:tblW w:w="10079" w:type="dxa"/>
        <w:tblLook w:val="04A0" w:firstRow="1" w:lastRow="0" w:firstColumn="1" w:lastColumn="0" w:noHBand="0" w:noVBand="1"/>
      </w:tblPr>
      <w:tblGrid>
        <w:gridCol w:w="497"/>
        <w:gridCol w:w="1838"/>
        <w:gridCol w:w="4039"/>
        <w:gridCol w:w="1259"/>
        <w:gridCol w:w="1259"/>
        <w:gridCol w:w="1187"/>
      </w:tblGrid>
      <w:tr w:rsidR="00AA1967" w:rsidRPr="00B13B9A" w14:paraId="64E05F6B" w14:textId="77777777" w:rsidTr="008156E3">
        <w:trPr>
          <w:trHeight w:val="510"/>
        </w:trPr>
        <w:tc>
          <w:tcPr>
            <w:tcW w:w="497" w:type="dxa"/>
            <w:vAlign w:val="center"/>
          </w:tcPr>
          <w:p w14:paraId="0403A51B" w14:textId="36E3C111" w:rsidR="00AA1967" w:rsidRPr="00B13B9A" w:rsidRDefault="00AA1967" w:rsidP="00FB2E99">
            <w:pPr>
              <w:tabs>
                <w:tab w:val="left" w:pos="851"/>
              </w:tabs>
              <w:jc w:val="center"/>
              <w:rPr>
                <w:rFonts w:asciiTheme="majorHAnsi" w:hAnsiTheme="majorHAnsi" w:cstheme="majorHAnsi"/>
                <w:b/>
                <w:bCs/>
                <w:sz w:val="20"/>
                <w:szCs w:val="20"/>
                <w:lang w:val="ro-MD"/>
              </w:rPr>
            </w:pPr>
            <w:r w:rsidRPr="00B13B9A">
              <w:rPr>
                <w:rFonts w:asciiTheme="majorHAnsi" w:hAnsiTheme="majorHAnsi" w:cstheme="majorHAnsi"/>
                <w:b/>
                <w:bCs/>
                <w:sz w:val="20"/>
                <w:szCs w:val="20"/>
                <w:lang w:val="ro-MD"/>
              </w:rPr>
              <w:t xml:space="preserve">Nr. </w:t>
            </w:r>
            <w:r w:rsidR="00FB2E99" w:rsidRPr="00B13B9A">
              <w:rPr>
                <w:rFonts w:asciiTheme="majorHAnsi" w:hAnsiTheme="majorHAnsi" w:cstheme="majorHAnsi"/>
                <w:b/>
                <w:bCs/>
                <w:sz w:val="20"/>
                <w:szCs w:val="20"/>
                <w:lang w:val="ro-MD"/>
              </w:rPr>
              <w:t>crt.</w:t>
            </w:r>
          </w:p>
        </w:tc>
        <w:tc>
          <w:tcPr>
            <w:tcW w:w="1838" w:type="dxa"/>
            <w:vAlign w:val="center"/>
          </w:tcPr>
          <w:p w14:paraId="1AE1A220" w14:textId="23866351" w:rsidR="00AA1967" w:rsidRPr="00B13B9A" w:rsidRDefault="00AA1967" w:rsidP="008156E3">
            <w:pPr>
              <w:tabs>
                <w:tab w:val="left" w:pos="851"/>
              </w:tabs>
              <w:jc w:val="center"/>
              <w:rPr>
                <w:rFonts w:asciiTheme="majorHAnsi" w:hAnsiTheme="majorHAnsi" w:cstheme="majorHAnsi"/>
                <w:b/>
                <w:bCs/>
                <w:sz w:val="20"/>
                <w:szCs w:val="20"/>
                <w:lang w:val="ro-MD"/>
              </w:rPr>
            </w:pPr>
            <w:r w:rsidRPr="00B13B9A">
              <w:rPr>
                <w:rFonts w:asciiTheme="majorHAnsi" w:hAnsiTheme="majorHAnsi" w:cstheme="majorHAnsi"/>
                <w:b/>
                <w:bCs/>
                <w:sz w:val="20"/>
                <w:szCs w:val="20"/>
                <w:lang w:val="ro-MD"/>
              </w:rPr>
              <w:t>Nr</w:t>
            </w:r>
            <w:r w:rsidR="00FB2E99" w:rsidRPr="00B13B9A">
              <w:rPr>
                <w:rFonts w:asciiTheme="majorHAnsi" w:hAnsiTheme="majorHAnsi" w:cstheme="majorHAnsi"/>
                <w:b/>
                <w:bCs/>
                <w:sz w:val="20"/>
                <w:szCs w:val="20"/>
                <w:lang w:val="ro-MD"/>
              </w:rPr>
              <w:t>.</w:t>
            </w:r>
            <w:r w:rsidRPr="00B13B9A">
              <w:rPr>
                <w:rFonts w:asciiTheme="majorHAnsi" w:hAnsiTheme="majorHAnsi" w:cstheme="majorHAnsi"/>
                <w:b/>
                <w:bCs/>
                <w:sz w:val="20"/>
                <w:szCs w:val="20"/>
                <w:lang w:val="ro-MD"/>
              </w:rPr>
              <w:t>/data contract</w:t>
            </w:r>
          </w:p>
        </w:tc>
        <w:tc>
          <w:tcPr>
            <w:tcW w:w="4039" w:type="dxa"/>
            <w:vAlign w:val="center"/>
          </w:tcPr>
          <w:p w14:paraId="5D156AA2" w14:textId="21C4C074" w:rsidR="00AA1967" w:rsidRPr="00B13B9A" w:rsidRDefault="00AA1967" w:rsidP="008156E3">
            <w:pPr>
              <w:tabs>
                <w:tab w:val="left" w:pos="851"/>
              </w:tabs>
              <w:jc w:val="center"/>
              <w:rPr>
                <w:rFonts w:asciiTheme="majorHAnsi" w:hAnsiTheme="majorHAnsi" w:cstheme="majorHAnsi"/>
                <w:b/>
                <w:bCs/>
                <w:sz w:val="20"/>
                <w:szCs w:val="20"/>
                <w:lang w:val="ro-MD"/>
              </w:rPr>
            </w:pPr>
            <w:r w:rsidRPr="00B13B9A">
              <w:rPr>
                <w:rFonts w:asciiTheme="majorHAnsi" w:hAnsiTheme="majorHAnsi" w:cstheme="majorHAnsi"/>
                <w:b/>
                <w:bCs/>
                <w:sz w:val="20"/>
                <w:szCs w:val="20"/>
                <w:lang w:val="ro-MD"/>
              </w:rPr>
              <w:t>Obiectul achizi</w:t>
            </w:r>
            <w:r w:rsidR="00B13B9A" w:rsidRPr="00B13B9A">
              <w:rPr>
                <w:rFonts w:asciiTheme="majorHAnsi" w:hAnsiTheme="majorHAnsi" w:cstheme="majorHAnsi"/>
                <w:b/>
                <w:bCs/>
                <w:sz w:val="20"/>
                <w:szCs w:val="20"/>
                <w:lang w:val="ro-MD"/>
              </w:rPr>
              <w:t>ț</w:t>
            </w:r>
            <w:r w:rsidRPr="00B13B9A">
              <w:rPr>
                <w:rFonts w:asciiTheme="majorHAnsi" w:hAnsiTheme="majorHAnsi" w:cstheme="majorHAnsi"/>
                <w:b/>
                <w:bCs/>
                <w:sz w:val="20"/>
                <w:szCs w:val="20"/>
                <w:lang w:val="ro-MD"/>
              </w:rPr>
              <w:t>iei</w:t>
            </w:r>
          </w:p>
        </w:tc>
        <w:tc>
          <w:tcPr>
            <w:tcW w:w="1259" w:type="dxa"/>
            <w:vAlign w:val="center"/>
          </w:tcPr>
          <w:p w14:paraId="19A8ADDC" w14:textId="77777777" w:rsidR="00AA1967" w:rsidRPr="00B13B9A" w:rsidRDefault="00AA1967" w:rsidP="008156E3">
            <w:pPr>
              <w:tabs>
                <w:tab w:val="left" w:pos="851"/>
              </w:tabs>
              <w:jc w:val="center"/>
              <w:rPr>
                <w:rFonts w:asciiTheme="majorHAnsi" w:hAnsiTheme="majorHAnsi" w:cstheme="majorHAnsi"/>
                <w:b/>
                <w:bCs/>
                <w:sz w:val="20"/>
                <w:szCs w:val="20"/>
                <w:lang w:val="ro-MD"/>
              </w:rPr>
            </w:pPr>
            <w:r w:rsidRPr="00B13B9A">
              <w:rPr>
                <w:rFonts w:asciiTheme="majorHAnsi" w:hAnsiTheme="majorHAnsi" w:cstheme="majorHAnsi"/>
                <w:b/>
                <w:bCs/>
                <w:sz w:val="20"/>
                <w:szCs w:val="20"/>
                <w:lang w:val="ro-MD"/>
              </w:rPr>
              <w:t>Operatorul economic</w:t>
            </w:r>
          </w:p>
        </w:tc>
        <w:tc>
          <w:tcPr>
            <w:tcW w:w="1259" w:type="dxa"/>
            <w:vAlign w:val="center"/>
          </w:tcPr>
          <w:p w14:paraId="77227EB3" w14:textId="77777777" w:rsidR="00AA1967" w:rsidRPr="00B13B9A" w:rsidRDefault="00AA1967" w:rsidP="008156E3">
            <w:pPr>
              <w:tabs>
                <w:tab w:val="left" w:pos="851"/>
              </w:tabs>
              <w:jc w:val="center"/>
              <w:rPr>
                <w:rFonts w:asciiTheme="majorHAnsi" w:hAnsiTheme="majorHAnsi" w:cstheme="majorHAnsi"/>
                <w:b/>
                <w:bCs/>
                <w:sz w:val="20"/>
                <w:szCs w:val="20"/>
                <w:lang w:val="ro-MD"/>
              </w:rPr>
            </w:pPr>
            <w:r w:rsidRPr="00B13B9A">
              <w:rPr>
                <w:rFonts w:asciiTheme="majorHAnsi" w:hAnsiTheme="majorHAnsi" w:cstheme="majorHAnsi"/>
                <w:b/>
                <w:bCs/>
                <w:sz w:val="20"/>
                <w:szCs w:val="20"/>
                <w:lang w:val="ro-MD"/>
              </w:rPr>
              <w:t>CPV</w:t>
            </w:r>
          </w:p>
        </w:tc>
        <w:tc>
          <w:tcPr>
            <w:tcW w:w="1187" w:type="dxa"/>
            <w:vAlign w:val="center"/>
          </w:tcPr>
          <w:p w14:paraId="0163988F" w14:textId="77777777" w:rsidR="00AA1967" w:rsidRPr="00B13B9A" w:rsidRDefault="00AA1967" w:rsidP="008156E3">
            <w:pPr>
              <w:tabs>
                <w:tab w:val="left" w:pos="851"/>
              </w:tabs>
              <w:jc w:val="center"/>
              <w:rPr>
                <w:rFonts w:asciiTheme="majorHAnsi" w:hAnsiTheme="majorHAnsi" w:cstheme="majorHAnsi"/>
                <w:b/>
                <w:bCs/>
                <w:sz w:val="20"/>
                <w:szCs w:val="20"/>
                <w:lang w:val="ro-MD"/>
              </w:rPr>
            </w:pPr>
            <w:r w:rsidRPr="00B13B9A">
              <w:rPr>
                <w:rFonts w:asciiTheme="majorHAnsi" w:hAnsiTheme="majorHAnsi" w:cstheme="majorHAnsi"/>
                <w:b/>
                <w:bCs/>
                <w:sz w:val="20"/>
                <w:szCs w:val="20"/>
                <w:lang w:val="ro-MD"/>
              </w:rPr>
              <w:t>Suma contractului (mii lei)</w:t>
            </w:r>
          </w:p>
        </w:tc>
      </w:tr>
      <w:tr w:rsidR="00AA1967" w:rsidRPr="00B13B9A" w14:paraId="3306E6FA" w14:textId="77777777" w:rsidTr="008156E3">
        <w:trPr>
          <w:trHeight w:val="510"/>
        </w:trPr>
        <w:tc>
          <w:tcPr>
            <w:tcW w:w="497" w:type="dxa"/>
            <w:vAlign w:val="center"/>
          </w:tcPr>
          <w:p w14:paraId="0EB971EE" w14:textId="77777777" w:rsidR="00AA1967" w:rsidRPr="00B13B9A" w:rsidRDefault="00AA1967" w:rsidP="008156E3">
            <w:pPr>
              <w:tabs>
                <w:tab w:val="left" w:pos="851"/>
              </w:tabs>
              <w:jc w:val="center"/>
              <w:rPr>
                <w:rFonts w:asciiTheme="majorHAnsi" w:hAnsiTheme="majorHAnsi" w:cstheme="majorHAnsi"/>
                <w:sz w:val="20"/>
                <w:szCs w:val="20"/>
                <w:lang w:val="ro-MD"/>
              </w:rPr>
            </w:pPr>
            <w:r w:rsidRPr="00B13B9A">
              <w:rPr>
                <w:rFonts w:asciiTheme="majorHAnsi" w:hAnsiTheme="majorHAnsi" w:cstheme="majorHAnsi"/>
                <w:sz w:val="20"/>
                <w:szCs w:val="20"/>
                <w:lang w:val="ro-MD"/>
              </w:rPr>
              <w:t>1</w:t>
            </w:r>
          </w:p>
        </w:tc>
        <w:tc>
          <w:tcPr>
            <w:tcW w:w="1838" w:type="dxa"/>
            <w:vAlign w:val="center"/>
          </w:tcPr>
          <w:p w14:paraId="7B545F2B" w14:textId="77777777" w:rsidR="00AA1967" w:rsidRPr="00B13B9A" w:rsidRDefault="00AA1967" w:rsidP="008156E3">
            <w:pPr>
              <w:tabs>
                <w:tab w:val="left" w:pos="851"/>
              </w:tabs>
              <w:jc w:val="center"/>
              <w:rPr>
                <w:rFonts w:asciiTheme="majorHAnsi" w:hAnsiTheme="majorHAnsi" w:cstheme="majorHAnsi"/>
                <w:sz w:val="20"/>
                <w:szCs w:val="20"/>
                <w:lang w:val="ro-MD"/>
              </w:rPr>
            </w:pPr>
            <w:r w:rsidRPr="00B13B9A">
              <w:rPr>
                <w:rFonts w:asciiTheme="majorHAnsi" w:hAnsiTheme="majorHAnsi" w:cstheme="majorHAnsi"/>
                <w:sz w:val="20"/>
                <w:szCs w:val="20"/>
                <w:lang w:val="ro-MD"/>
              </w:rPr>
              <w:t>Nr. 15/ 22.07.2021</w:t>
            </w:r>
          </w:p>
        </w:tc>
        <w:tc>
          <w:tcPr>
            <w:tcW w:w="4039" w:type="dxa"/>
          </w:tcPr>
          <w:p w14:paraId="6ED3FF29" w14:textId="7308CD72" w:rsidR="00AA1967" w:rsidRPr="00B13B9A" w:rsidRDefault="00AA1967" w:rsidP="008156E3">
            <w:pPr>
              <w:tabs>
                <w:tab w:val="left" w:pos="851"/>
              </w:tabs>
              <w:rPr>
                <w:rFonts w:asciiTheme="majorHAnsi" w:hAnsiTheme="majorHAnsi" w:cstheme="majorHAnsi"/>
                <w:sz w:val="20"/>
                <w:szCs w:val="20"/>
                <w:lang w:val="ro-MD"/>
              </w:rPr>
            </w:pPr>
            <w:r w:rsidRPr="00B13B9A">
              <w:rPr>
                <w:rFonts w:asciiTheme="majorHAnsi" w:hAnsiTheme="majorHAnsi" w:cstheme="majorHAnsi"/>
                <w:sz w:val="20"/>
                <w:szCs w:val="20"/>
                <w:lang w:val="ro-MD"/>
              </w:rPr>
              <w:t xml:space="preserve">Servicii de executare a măsurărilor </w:t>
            </w:r>
            <w:r w:rsidR="00B13B9A" w:rsidRPr="00B13B9A">
              <w:rPr>
                <w:rFonts w:asciiTheme="majorHAnsi" w:hAnsiTheme="majorHAnsi" w:cstheme="majorHAnsi"/>
                <w:sz w:val="20"/>
                <w:szCs w:val="20"/>
                <w:lang w:val="ro-MD"/>
              </w:rPr>
              <w:t>ș</w:t>
            </w:r>
            <w:r w:rsidRPr="00B13B9A">
              <w:rPr>
                <w:rFonts w:asciiTheme="majorHAnsi" w:hAnsiTheme="majorHAnsi" w:cstheme="majorHAnsi"/>
                <w:sz w:val="20"/>
                <w:szCs w:val="20"/>
                <w:lang w:val="ro-MD"/>
              </w:rPr>
              <w:t>i instala</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iilor electrice aflate în gestiunea IFP</w:t>
            </w:r>
          </w:p>
        </w:tc>
        <w:tc>
          <w:tcPr>
            <w:tcW w:w="1259" w:type="dxa"/>
            <w:vAlign w:val="center"/>
          </w:tcPr>
          <w:p w14:paraId="55F0C28D" w14:textId="77777777" w:rsidR="00AA1967" w:rsidRPr="00B13B9A" w:rsidRDefault="00AA1967" w:rsidP="008156E3">
            <w:pPr>
              <w:tabs>
                <w:tab w:val="left" w:pos="851"/>
              </w:tabs>
              <w:jc w:val="center"/>
              <w:rPr>
                <w:rFonts w:asciiTheme="majorHAnsi" w:hAnsiTheme="majorHAnsi" w:cstheme="majorHAnsi"/>
                <w:sz w:val="20"/>
                <w:szCs w:val="20"/>
                <w:lang w:val="ro-MD"/>
              </w:rPr>
            </w:pPr>
            <w:r w:rsidRPr="00B13B9A">
              <w:rPr>
                <w:rFonts w:asciiTheme="majorHAnsi" w:hAnsiTheme="majorHAnsi" w:cstheme="majorHAnsi"/>
                <w:sz w:val="20"/>
                <w:szCs w:val="20"/>
                <w:lang w:val="ro-MD"/>
              </w:rPr>
              <w:t>Ajustare-Tehnică SRL</w:t>
            </w:r>
          </w:p>
        </w:tc>
        <w:tc>
          <w:tcPr>
            <w:tcW w:w="1259" w:type="dxa"/>
            <w:vAlign w:val="center"/>
          </w:tcPr>
          <w:p w14:paraId="10648267" w14:textId="77777777" w:rsidR="00AA1967" w:rsidRPr="00B13B9A" w:rsidRDefault="00AA1967" w:rsidP="008156E3">
            <w:pPr>
              <w:tabs>
                <w:tab w:val="left" w:pos="851"/>
              </w:tabs>
              <w:jc w:val="center"/>
              <w:rPr>
                <w:rFonts w:asciiTheme="majorHAnsi" w:hAnsiTheme="majorHAnsi" w:cstheme="majorHAnsi"/>
                <w:sz w:val="20"/>
                <w:szCs w:val="20"/>
                <w:lang w:val="ro-MD"/>
              </w:rPr>
            </w:pPr>
            <w:r w:rsidRPr="00B13B9A">
              <w:rPr>
                <w:rFonts w:asciiTheme="majorHAnsi" w:hAnsiTheme="majorHAnsi" w:cstheme="majorHAnsi"/>
                <w:sz w:val="20"/>
                <w:szCs w:val="20"/>
                <w:lang w:val="ro-MD"/>
              </w:rPr>
              <w:t>50800000-3</w:t>
            </w:r>
          </w:p>
        </w:tc>
        <w:tc>
          <w:tcPr>
            <w:tcW w:w="1187" w:type="dxa"/>
            <w:vAlign w:val="center"/>
          </w:tcPr>
          <w:p w14:paraId="7AEB6176" w14:textId="77777777" w:rsidR="00AA1967" w:rsidRPr="00B13B9A" w:rsidRDefault="00AA1967" w:rsidP="008156E3">
            <w:pPr>
              <w:tabs>
                <w:tab w:val="left" w:pos="851"/>
              </w:tabs>
              <w:jc w:val="center"/>
              <w:rPr>
                <w:rFonts w:asciiTheme="majorHAnsi" w:hAnsiTheme="majorHAnsi" w:cstheme="majorHAnsi"/>
                <w:sz w:val="20"/>
                <w:szCs w:val="20"/>
                <w:lang w:val="ro-MD"/>
              </w:rPr>
            </w:pPr>
            <w:r w:rsidRPr="00B13B9A">
              <w:rPr>
                <w:rFonts w:asciiTheme="majorHAnsi" w:hAnsiTheme="majorHAnsi" w:cstheme="majorHAnsi"/>
                <w:sz w:val="20"/>
                <w:szCs w:val="20"/>
                <w:lang w:val="ro-MD"/>
              </w:rPr>
              <w:t>83,4</w:t>
            </w:r>
          </w:p>
        </w:tc>
      </w:tr>
      <w:tr w:rsidR="00AA1967" w:rsidRPr="00B13B9A" w14:paraId="2245EA45" w14:textId="77777777" w:rsidTr="008156E3">
        <w:trPr>
          <w:trHeight w:val="510"/>
        </w:trPr>
        <w:tc>
          <w:tcPr>
            <w:tcW w:w="497" w:type="dxa"/>
            <w:vAlign w:val="center"/>
          </w:tcPr>
          <w:p w14:paraId="2AD7C915" w14:textId="77777777" w:rsidR="00AA1967" w:rsidRPr="00B13B9A" w:rsidRDefault="00AA1967" w:rsidP="008156E3">
            <w:pPr>
              <w:tabs>
                <w:tab w:val="left" w:pos="851"/>
              </w:tabs>
              <w:jc w:val="center"/>
              <w:rPr>
                <w:rFonts w:asciiTheme="majorHAnsi" w:hAnsiTheme="majorHAnsi" w:cstheme="majorHAnsi"/>
                <w:sz w:val="20"/>
                <w:szCs w:val="20"/>
                <w:lang w:val="ro-MD"/>
              </w:rPr>
            </w:pPr>
            <w:r w:rsidRPr="00B13B9A">
              <w:rPr>
                <w:rFonts w:asciiTheme="majorHAnsi" w:hAnsiTheme="majorHAnsi" w:cstheme="majorHAnsi"/>
                <w:sz w:val="20"/>
                <w:szCs w:val="20"/>
                <w:lang w:val="ro-MD"/>
              </w:rPr>
              <w:t>2</w:t>
            </w:r>
          </w:p>
        </w:tc>
        <w:tc>
          <w:tcPr>
            <w:tcW w:w="1838" w:type="dxa"/>
            <w:vAlign w:val="center"/>
          </w:tcPr>
          <w:p w14:paraId="3349F050" w14:textId="77777777" w:rsidR="00AA1967" w:rsidRPr="00B13B9A" w:rsidRDefault="00AA1967" w:rsidP="008156E3">
            <w:pPr>
              <w:tabs>
                <w:tab w:val="left" w:pos="851"/>
              </w:tabs>
              <w:jc w:val="center"/>
              <w:rPr>
                <w:rFonts w:asciiTheme="majorHAnsi" w:hAnsiTheme="majorHAnsi" w:cstheme="majorHAnsi"/>
                <w:sz w:val="20"/>
                <w:szCs w:val="20"/>
                <w:lang w:val="ro-MD"/>
              </w:rPr>
            </w:pPr>
            <w:r w:rsidRPr="00B13B9A">
              <w:rPr>
                <w:rFonts w:asciiTheme="majorHAnsi" w:hAnsiTheme="majorHAnsi" w:cstheme="majorHAnsi"/>
                <w:sz w:val="20"/>
                <w:szCs w:val="20"/>
                <w:lang w:val="ro-MD"/>
              </w:rPr>
              <w:t>Nr. 16/ 20.08.2021</w:t>
            </w:r>
          </w:p>
        </w:tc>
        <w:tc>
          <w:tcPr>
            <w:tcW w:w="4039" w:type="dxa"/>
          </w:tcPr>
          <w:p w14:paraId="3695040E" w14:textId="77777777" w:rsidR="00AA1967" w:rsidRPr="00B13B9A" w:rsidRDefault="00AA1967" w:rsidP="008156E3">
            <w:pPr>
              <w:tabs>
                <w:tab w:val="left" w:pos="851"/>
              </w:tabs>
              <w:rPr>
                <w:rFonts w:asciiTheme="majorHAnsi" w:hAnsiTheme="majorHAnsi" w:cstheme="majorHAnsi"/>
                <w:sz w:val="20"/>
                <w:szCs w:val="20"/>
                <w:lang w:val="ro-MD"/>
              </w:rPr>
            </w:pPr>
            <w:r w:rsidRPr="00B13B9A">
              <w:rPr>
                <w:rFonts w:asciiTheme="majorHAnsi" w:hAnsiTheme="majorHAnsi" w:cstheme="majorHAnsi"/>
                <w:sz w:val="20"/>
                <w:szCs w:val="20"/>
                <w:lang w:val="ro-MD"/>
              </w:rPr>
              <w:t>Servicii de spălare hidropneumatică a sistemului de încălzire</w:t>
            </w:r>
          </w:p>
        </w:tc>
        <w:tc>
          <w:tcPr>
            <w:tcW w:w="1259" w:type="dxa"/>
            <w:vAlign w:val="center"/>
          </w:tcPr>
          <w:p w14:paraId="0DC96282" w14:textId="77777777" w:rsidR="00AA1967" w:rsidRPr="00B13B9A" w:rsidRDefault="00AA1967" w:rsidP="008156E3">
            <w:pPr>
              <w:tabs>
                <w:tab w:val="left" w:pos="851"/>
              </w:tabs>
              <w:jc w:val="center"/>
              <w:rPr>
                <w:rFonts w:asciiTheme="majorHAnsi" w:hAnsiTheme="majorHAnsi" w:cstheme="majorHAnsi"/>
                <w:sz w:val="20"/>
                <w:szCs w:val="20"/>
                <w:lang w:val="ro-MD"/>
              </w:rPr>
            </w:pPr>
            <w:r w:rsidRPr="00B13B9A">
              <w:rPr>
                <w:rFonts w:asciiTheme="majorHAnsi" w:hAnsiTheme="majorHAnsi" w:cstheme="majorHAnsi"/>
                <w:sz w:val="20"/>
                <w:szCs w:val="20"/>
                <w:lang w:val="ro-MD"/>
              </w:rPr>
              <w:t>Inovatec SRL</w:t>
            </w:r>
          </w:p>
        </w:tc>
        <w:tc>
          <w:tcPr>
            <w:tcW w:w="1259" w:type="dxa"/>
            <w:vAlign w:val="center"/>
          </w:tcPr>
          <w:p w14:paraId="01D4CB67" w14:textId="77777777" w:rsidR="00AA1967" w:rsidRPr="00B13B9A" w:rsidRDefault="00AA1967" w:rsidP="008156E3">
            <w:pPr>
              <w:tabs>
                <w:tab w:val="left" w:pos="851"/>
              </w:tabs>
              <w:jc w:val="center"/>
              <w:rPr>
                <w:rFonts w:asciiTheme="majorHAnsi" w:hAnsiTheme="majorHAnsi" w:cstheme="majorHAnsi"/>
                <w:sz w:val="20"/>
                <w:szCs w:val="20"/>
                <w:lang w:val="ro-MD"/>
              </w:rPr>
            </w:pPr>
            <w:r w:rsidRPr="00B13B9A">
              <w:rPr>
                <w:rFonts w:asciiTheme="majorHAnsi" w:hAnsiTheme="majorHAnsi" w:cstheme="majorHAnsi"/>
                <w:sz w:val="20"/>
                <w:szCs w:val="20"/>
                <w:lang w:val="ro-MD"/>
              </w:rPr>
              <w:t>50800000-3</w:t>
            </w:r>
          </w:p>
        </w:tc>
        <w:tc>
          <w:tcPr>
            <w:tcW w:w="1187" w:type="dxa"/>
            <w:vAlign w:val="center"/>
          </w:tcPr>
          <w:p w14:paraId="5B8BEE68" w14:textId="77777777" w:rsidR="00AA1967" w:rsidRPr="00B13B9A" w:rsidRDefault="00AA1967" w:rsidP="008156E3">
            <w:pPr>
              <w:tabs>
                <w:tab w:val="left" w:pos="851"/>
              </w:tabs>
              <w:jc w:val="center"/>
              <w:rPr>
                <w:rFonts w:asciiTheme="majorHAnsi" w:hAnsiTheme="majorHAnsi" w:cstheme="majorHAnsi"/>
                <w:sz w:val="20"/>
                <w:szCs w:val="20"/>
                <w:lang w:val="ro-MD"/>
              </w:rPr>
            </w:pPr>
            <w:r w:rsidRPr="00B13B9A">
              <w:rPr>
                <w:rFonts w:asciiTheme="majorHAnsi" w:hAnsiTheme="majorHAnsi" w:cstheme="majorHAnsi"/>
                <w:sz w:val="20"/>
                <w:szCs w:val="20"/>
                <w:lang w:val="ro-MD"/>
              </w:rPr>
              <w:t>30,5</w:t>
            </w:r>
          </w:p>
        </w:tc>
      </w:tr>
      <w:tr w:rsidR="00AA1967" w:rsidRPr="00B13B9A" w14:paraId="5A44640A" w14:textId="77777777" w:rsidTr="008156E3">
        <w:trPr>
          <w:trHeight w:val="510"/>
        </w:trPr>
        <w:tc>
          <w:tcPr>
            <w:tcW w:w="497" w:type="dxa"/>
            <w:vAlign w:val="center"/>
          </w:tcPr>
          <w:p w14:paraId="6F39256A" w14:textId="77777777" w:rsidR="00AA1967" w:rsidRPr="00B13B9A" w:rsidRDefault="00AA1967" w:rsidP="008156E3">
            <w:pPr>
              <w:tabs>
                <w:tab w:val="left" w:pos="851"/>
              </w:tabs>
              <w:jc w:val="center"/>
              <w:rPr>
                <w:rFonts w:asciiTheme="majorHAnsi" w:hAnsiTheme="majorHAnsi" w:cstheme="majorHAnsi"/>
                <w:sz w:val="20"/>
                <w:szCs w:val="20"/>
                <w:lang w:val="ro-MD"/>
              </w:rPr>
            </w:pPr>
            <w:r w:rsidRPr="00B13B9A">
              <w:rPr>
                <w:rFonts w:asciiTheme="majorHAnsi" w:hAnsiTheme="majorHAnsi" w:cstheme="majorHAnsi"/>
                <w:sz w:val="20"/>
                <w:szCs w:val="20"/>
                <w:lang w:val="ro-MD"/>
              </w:rPr>
              <w:t>3</w:t>
            </w:r>
          </w:p>
        </w:tc>
        <w:tc>
          <w:tcPr>
            <w:tcW w:w="1838" w:type="dxa"/>
            <w:vAlign w:val="center"/>
          </w:tcPr>
          <w:p w14:paraId="7E5D573A" w14:textId="77777777" w:rsidR="00AA1967" w:rsidRPr="00B13B9A" w:rsidRDefault="00AA1967" w:rsidP="008156E3">
            <w:pPr>
              <w:tabs>
                <w:tab w:val="left" w:pos="851"/>
              </w:tabs>
              <w:jc w:val="center"/>
              <w:rPr>
                <w:rFonts w:asciiTheme="majorHAnsi" w:hAnsiTheme="majorHAnsi" w:cstheme="majorHAnsi"/>
                <w:sz w:val="20"/>
                <w:szCs w:val="20"/>
                <w:lang w:val="ro-MD"/>
              </w:rPr>
            </w:pPr>
            <w:r w:rsidRPr="00B13B9A">
              <w:rPr>
                <w:rFonts w:asciiTheme="majorHAnsi" w:hAnsiTheme="majorHAnsi" w:cstheme="majorHAnsi"/>
                <w:sz w:val="20"/>
                <w:szCs w:val="20"/>
                <w:lang w:val="ro-MD"/>
              </w:rPr>
              <w:t>Nr. 37/ 19.11.2021</w:t>
            </w:r>
          </w:p>
        </w:tc>
        <w:tc>
          <w:tcPr>
            <w:tcW w:w="4039" w:type="dxa"/>
          </w:tcPr>
          <w:p w14:paraId="5DE858DC" w14:textId="2DAEF4F6" w:rsidR="00AA1967" w:rsidRPr="00B13B9A" w:rsidRDefault="00AA1967" w:rsidP="008156E3">
            <w:pPr>
              <w:tabs>
                <w:tab w:val="left" w:pos="851"/>
              </w:tabs>
              <w:rPr>
                <w:rFonts w:asciiTheme="majorHAnsi" w:hAnsiTheme="majorHAnsi" w:cstheme="majorHAnsi"/>
                <w:sz w:val="20"/>
                <w:szCs w:val="20"/>
                <w:lang w:val="ro-MD"/>
              </w:rPr>
            </w:pPr>
            <w:r w:rsidRPr="00B13B9A">
              <w:rPr>
                <w:rFonts w:asciiTheme="majorHAnsi" w:hAnsiTheme="majorHAnsi" w:cstheme="majorHAnsi"/>
                <w:sz w:val="20"/>
                <w:szCs w:val="20"/>
                <w:lang w:val="ro-MD"/>
              </w:rPr>
              <w:t xml:space="preserve">Lucrări de instalare </w:t>
            </w:r>
            <w:r w:rsidR="00B13B9A" w:rsidRPr="00B13B9A">
              <w:rPr>
                <w:rFonts w:asciiTheme="majorHAnsi" w:hAnsiTheme="majorHAnsi" w:cstheme="majorHAnsi"/>
                <w:sz w:val="20"/>
                <w:szCs w:val="20"/>
                <w:lang w:val="ro-MD"/>
              </w:rPr>
              <w:t>ș</w:t>
            </w:r>
            <w:r w:rsidRPr="00B13B9A">
              <w:rPr>
                <w:rFonts w:asciiTheme="majorHAnsi" w:hAnsiTheme="majorHAnsi" w:cstheme="majorHAnsi"/>
                <w:sz w:val="20"/>
                <w:szCs w:val="20"/>
                <w:lang w:val="ro-MD"/>
              </w:rPr>
              <w:t>i dare în exploatare a sistemului de alarmă antiincendiu pentru sec</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ia ATI</w:t>
            </w:r>
          </w:p>
        </w:tc>
        <w:tc>
          <w:tcPr>
            <w:tcW w:w="1259" w:type="dxa"/>
            <w:vAlign w:val="center"/>
          </w:tcPr>
          <w:p w14:paraId="35A5D573" w14:textId="77777777" w:rsidR="00AA1967" w:rsidRPr="00B13B9A" w:rsidRDefault="00AA1967" w:rsidP="008156E3">
            <w:pPr>
              <w:tabs>
                <w:tab w:val="left" w:pos="851"/>
              </w:tabs>
              <w:jc w:val="center"/>
              <w:rPr>
                <w:rFonts w:asciiTheme="majorHAnsi" w:hAnsiTheme="majorHAnsi" w:cstheme="majorHAnsi"/>
                <w:sz w:val="20"/>
                <w:szCs w:val="20"/>
                <w:lang w:val="ro-MD"/>
              </w:rPr>
            </w:pPr>
            <w:r w:rsidRPr="00B13B9A">
              <w:rPr>
                <w:rFonts w:asciiTheme="majorHAnsi" w:hAnsiTheme="majorHAnsi" w:cstheme="majorHAnsi"/>
                <w:sz w:val="20"/>
                <w:szCs w:val="20"/>
                <w:lang w:val="ro-MD"/>
              </w:rPr>
              <w:t>Victiana SRL</w:t>
            </w:r>
          </w:p>
        </w:tc>
        <w:tc>
          <w:tcPr>
            <w:tcW w:w="1259" w:type="dxa"/>
            <w:vAlign w:val="center"/>
          </w:tcPr>
          <w:p w14:paraId="35FA7B56" w14:textId="77777777" w:rsidR="00AA1967" w:rsidRPr="00B13B9A" w:rsidRDefault="00AA1967" w:rsidP="008156E3">
            <w:pPr>
              <w:tabs>
                <w:tab w:val="left" w:pos="851"/>
              </w:tabs>
              <w:jc w:val="center"/>
              <w:rPr>
                <w:rFonts w:asciiTheme="majorHAnsi" w:hAnsiTheme="majorHAnsi" w:cstheme="majorHAnsi"/>
                <w:sz w:val="20"/>
                <w:szCs w:val="20"/>
                <w:lang w:val="ro-MD"/>
              </w:rPr>
            </w:pPr>
            <w:r w:rsidRPr="00B13B9A">
              <w:rPr>
                <w:rFonts w:asciiTheme="majorHAnsi" w:hAnsiTheme="majorHAnsi" w:cstheme="majorHAnsi"/>
                <w:sz w:val="20"/>
                <w:szCs w:val="20"/>
                <w:lang w:val="ro-MD"/>
              </w:rPr>
              <w:t>50800000-3</w:t>
            </w:r>
          </w:p>
        </w:tc>
        <w:tc>
          <w:tcPr>
            <w:tcW w:w="1187" w:type="dxa"/>
            <w:vAlign w:val="center"/>
          </w:tcPr>
          <w:p w14:paraId="655A74EC" w14:textId="77777777" w:rsidR="00AA1967" w:rsidRPr="00B13B9A" w:rsidRDefault="00AA1967" w:rsidP="008156E3">
            <w:pPr>
              <w:tabs>
                <w:tab w:val="left" w:pos="851"/>
              </w:tabs>
              <w:jc w:val="center"/>
              <w:rPr>
                <w:rFonts w:asciiTheme="majorHAnsi" w:hAnsiTheme="majorHAnsi" w:cstheme="majorHAnsi"/>
                <w:sz w:val="20"/>
                <w:szCs w:val="20"/>
                <w:lang w:val="ro-MD"/>
              </w:rPr>
            </w:pPr>
            <w:r w:rsidRPr="00B13B9A">
              <w:rPr>
                <w:rFonts w:asciiTheme="majorHAnsi" w:hAnsiTheme="majorHAnsi" w:cstheme="majorHAnsi"/>
                <w:sz w:val="20"/>
                <w:szCs w:val="20"/>
                <w:lang w:val="ro-MD"/>
              </w:rPr>
              <w:t>47,6</w:t>
            </w:r>
          </w:p>
        </w:tc>
      </w:tr>
      <w:tr w:rsidR="00AA1967" w:rsidRPr="00B13B9A" w14:paraId="503961C6" w14:textId="77777777" w:rsidTr="008156E3">
        <w:trPr>
          <w:trHeight w:val="510"/>
        </w:trPr>
        <w:tc>
          <w:tcPr>
            <w:tcW w:w="497" w:type="dxa"/>
            <w:vAlign w:val="center"/>
          </w:tcPr>
          <w:p w14:paraId="0CBEB977" w14:textId="77777777" w:rsidR="00AA1967" w:rsidRPr="00B13B9A" w:rsidRDefault="00AA1967" w:rsidP="008156E3">
            <w:pPr>
              <w:tabs>
                <w:tab w:val="left" w:pos="851"/>
              </w:tabs>
              <w:jc w:val="center"/>
              <w:rPr>
                <w:rFonts w:asciiTheme="majorHAnsi" w:hAnsiTheme="majorHAnsi" w:cstheme="majorHAnsi"/>
                <w:sz w:val="20"/>
                <w:szCs w:val="20"/>
                <w:lang w:val="ro-MD"/>
              </w:rPr>
            </w:pPr>
            <w:r w:rsidRPr="00B13B9A">
              <w:rPr>
                <w:rFonts w:asciiTheme="majorHAnsi" w:hAnsiTheme="majorHAnsi" w:cstheme="majorHAnsi"/>
                <w:sz w:val="20"/>
                <w:szCs w:val="20"/>
                <w:lang w:val="ro-MD"/>
              </w:rPr>
              <w:t>4</w:t>
            </w:r>
          </w:p>
        </w:tc>
        <w:tc>
          <w:tcPr>
            <w:tcW w:w="1838" w:type="dxa"/>
            <w:vAlign w:val="center"/>
          </w:tcPr>
          <w:p w14:paraId="0BDDB7F1" w14:textId="77777777" w:rsidR="00AA1967" w:rsidRPr="00B13B9A" w:rsidRDefault="00AA1967" w:rsidP="008156E3">
            <w:pPr>
              <w:tabs>
                <w:tab w:val="left" w:pos="851"/>
              </w:tabs>
              <w:jc w:val="center"/>
              <w:rPr>
                <w:rFonts w:asciiTheme="majorHAnsi" w:hAnsiTheme="majorHAnsi" w:cstheme="majorHAnsi"/>
                <w:sz w:val="20"/>
                <w:szCs w:val="20"/>
                <w:lang w:val="ro-MD"/>
              </w:rPr>
            </w:pPr>
            <w:r w:rsidRPr="00B13B9A">
              <w:rPr>
                <w:rFonts w:asciiTheme="majorHAnsi" w:hAnsiTheme="majorHAnsi" w:cstheme="majorHAnsi"/>
                <w:sz w:val="20"/>
                <w:szCs w:val="20"/>
                <w:lang w:val="ro-MD"/>
              </w:rPr>
              <w:t>Nr. 38/  02.12.2021</w:t>
            </w:r>
          </w:p>
        </w:tc>
        <w:tc>
          <w:tcPr>
            <w:tcW w:w="4039" w:type="dxa"/>
          </w:tcPr>
          <w:p w14:paraId="53E64462" w14:textId="374291D0" w:rsidR="00AA1967" w:rsidRPr="00B13B9A" w:rsidRDefault="00AA1967" w:rsidP="008156E3">
            <w:pPr>
              <w:tabs>
                <w:tab w:val="left" w:pos="851"/>
              </w:tabs>
              <w:rPr>
                <w:rFonts w:asciiTheme="majorHAnsi" w:hAnsiTheme="majorHAnsi" w:cstheme="majorHAnsi"/>
                <w:sz w:val="20"/>
                <w:szCs w:val="20"/>
                <w:lang w:val="ro-MD"/>
              </w:rPr>
            </w:pPr>
            <w:r w:rsidRPr="00B13B9A">
              <w:rPr>
                <w:rFonts w:asciiTheme="majorHAnsi" w:hAnsiTheme="majorHAnsi" w:cstheme="majorHAnsi"/>
                <w:sz w:val="20"/>
                <w:szCs w:val="20"/>
                <w:lang w:val="ro-MD"/>
              </w:rPr>
              <w:t>Servicii privind elaborarea documenta</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iei de proiect privind repara</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 xml:space="preserve">ia capitală a încăperilor sanitare </w:t>
            </w:r>
            <w:r w:rsidR="00B13B9A" w:rsidRPr="00B13B9A">
              <w:rPr>
                <w:rFonts w:asciiTheme="majorHAnsi" w:hAnsiTheme="majorHAnsi" w:cstheme="majorHAnsi"/>
                <w:sz w:val="20"/>
                <w:szCs w:val="20"/>
                <w:lang w:val="ro-MD"/>
              </w:rPr>
              <w:t>ș</w:t>
            </w:r>
            <w:r w:rsidRPr="00B13B9A">
              <w:rPr>
                <w:rFonts w:asciiTheme="majorHAnsi" w:hAnsiTheme="majorHAnsi" w:cstheme="majorHAnsi"/>
                <w:sz w:val="20"/>
                <w:szCs w:val="20"/>
                <w:lang w:val="ro-MD"/>
              </w:rPr>
              <w:t xml:space="preserve">i holurilor etajelor 1,2,3 </w:t>
            </w:r>
            <w:r w:rsidR="00B13B9A" w:rsidRPr="00B13B9A">
              <w:rPr>
                <w:rFonts w:asciiTheme="majorHAnsi" w:hAnsiTheme="majorHAnsi" w:cstheme="majorHAnsi"/>
                <w:sz w:val="20"/>
                <w:szCs w:val="20"/>
                <w:lang w:val="ro-MD"/>
              </w:rPr>
              <w:t>ș</w:t>
            </w:r>
            <w:r w:rsidRPr="00B13B9A">
              <w:rPr>
                <w:rFonts w:asciiTheme="majorHAnsi" w:hAnsiTheme="majorHAnsi" w:cstheme="majorHAnsi"/>
                <w:sz w:val="20"/>
                <w:szCs w:val="20"/>
                <w:lang w:val="ro-MD"/>
              </w:rPr>
              <w:t>i 4 blocul B-02</w:t>
            </w:r>
          </w:p>
        </w:tc>
        <w:tc>
          <w:tcPr>
            <w:tcW w:w="1259" w:type="dxa"/>
            <w:vAlign w:val="center"/>
          </w:tcPr>
          <w:p w14:paraId="43DA4768" w14:textId="44694E59" w:rsidR="00AA1967" w:rsidRPr="00B13B9A" w:rsidRDefault="00AA1967" w:rsidP="008156E3">
            <w:pPr>
              <w:tabs>
                <w:tab w:val="left" w:pos="851"/>
              </w:tabs>
              <w:jc w:val="center"/>
              <w:rPr>
                <w:rFonts w:asciiTheme="majorHAnsi" w:hAnsiTheme="majorHAnsi" w:cstheme="majorHAnsi"/>
                <w:sz w:val="20"/>
                <w:szCs w:val="20"/>
                <w:lang w:val="ro-MD"/>
              </w:rPr>
            </w:pPr>
            <w:r w:rsidRPr="00B13B9A">
              <w:rPr>
                <w:rFonts w:asciiTheme="majorHAnsi" w:hAnsiTheme="majorHAnsi" w:cstheme="majorHAnsi"/>
                <w:sz w:val="20"/>
                <w:szCs w:val="20"/>
                <w:lang w:val="ro-MD"/>
              </w:rPr>
              <w:t>SC</w:t>
            </w:r>
            <w:r w:rsidR="00B13B9A" w:rsidRPr="00B13B9A">
              <w:rPr>
                <w:rFonts w:asciiTheme="majorHAnsi" w:hAnsiTheme="majorHAnsi" w:cstheme="majorHAnsi"/>
                <w:sz w:val="20"/>
                <w:szCs w:val="20"/>
                <w:lang w:val="ro-MD"/>
              </w:rPr>
              <w:t>Ș</w:t>
            </w:r>
            <w:r w:rsidRPr="00B13B9A">
              <w:rPr>
                <w:rFonts w:asciiTheme="majorHAnsi" w:hAnsiTheme="majorHAnsi" w:cstheme="majorHAnsi"/>
                <w:sz w:val="20"/>
                <w:szCs w:val="20"/>
                <w:lang w:val="ro-MD"/>
              </w:rPr>
              <w:t>PC</w:t>
            </w:r>
          </w:p>
        </w:tc>
        <w:tc>
          <w:tcPr>
            <w:tcW w:w="1259" w:type="dxa"/>
            <w:vAlign w:val="center"/>
          </w:tcPr>
          <w:p w14:paraId="27F23886" w14:textId="77777777" w:rsidR="00AA1967" w:rsidRPr="00B13B9A" w:rsidRDefault="00AA1967" w:rsidP="008156E3">
            <w:pPr>
              <w:tabs>
                <w:tab w:val="left" w:pos="851"/>
              </w:tabs>
              <w:jc w:val="center"/>
              <w:rPr>
                <w:rFonts w:asciiTheme="majorHAnsi" w:hAnsiTheme="majorHAnsi" w:cstheme="majorHAnsi"/>
                <w:sz w:val="20"/>
                <w:szCs w:val="20"/>
                <w:lang w:val="ro-MD"/>
              </w:rPr>
            </w:pPr>
            <w:r w:rsidRPr="00B13B9A">
              <w:rPr>
                <w:rFonts w:asciiTheme="majorHAnsi" w:hAnsiTheme="majorHAnsi" w:cstheme="majorHAnsi"/>
                <w:sz w:val="20"/>
                <w:szCs w:val="20"/>
                <w:lang w:val="ro-MD"/>
              </w:rPr>
              <w:t>50800000-3</w:t>
            </w:r>
          </w:p>
        </w:tc>
        <w:tc>
          <w:tcPr>
            <w:tcW w:w="1187" w:type="dxa"/>
            <w:vAlign w:val="center"/>
          </w:tcPr>
          <w:p w14:paraId="126F3B0F" w14:textId="77777777" w:rsidR="00AA1967" w:rsidRPr="00B13B9A" w:rsidRDefault="00AA1967" w:rsidP="008156E3">
            <w:pPr>
              <w:tabs>
                <w:tab w:val="left" w:pos="851"/>
              </w:tabs>
              <w:jc w:val="center"/>
              <w:rPr>
                <w:rFonts w:asciiTheme="majorHAnsi" w:hAnsiTheme="majorHAnsi" w:cstheme="majorHAnsi"/>
                <w:sz w:val="20"/>
                <w:szCs w:val="20"/>
                <w:lang w:val="ro-MD"/>
              </w:rPr>
            </w:pPr>
            <w:r w:rsidRPr="00B13B9A">
              <w:rPr>
                <w:rFonts w:asciiTheme="majorHAnsi" w:hAnsiTheme="majorHAnsi" w:cstheme="majorHAnsi"/>
                <w:sz w:val="20"/>
                <w:szCs w:val="20"/>
                <w:lang w:val="ro-MD"/>
              </w:rPr>
              <w:t>86,4</w:t>
            </w:r>
          </w:p>
        </w:tc>
      </w:tr>
      <w:tr w:rsidR="00AA1967" w:rsidRPr="00B13B9A" w14:paraId="1471ED73" w14:textId="77777777" w:rsidTr="008156E3">
        <w:trPr>
          <w:trHeight w:val="510"/>
        </w:trPr>
        <w:tc>
          <w:tcPr>
            <w:tcW w:w="7633" w:type="dxa"/>
            <w:gridSpan w:val="4"/>
          </w:tcPr>
          <w:p w14:paraId="4468D307" w14:textId="77777777" w:rsidR="00AA1967" w:rsidRPr="00B13B9A" w:rsidRDefault="00AA1967" w:rsidP="008156E3">
            <w:pPr>
              <w:tabs>
                <w:tab w:val="left" w:pos="851"/>
              </w:tabs>
              <w:jc w:val="center"/>
              <w:rPr>
                <w:rFonts w:asciiTheme="majorHAnsi" w:hAnsiTheme="majorHAnsi" w:cstheme="majorHAnsi"/>
                <w:sz w:val="20"/>
                <w:szCs w:val="20"/>
                <w:lang w:val="ro-MD"/>
              </w:rPr>
            </w:pPr>
          </w:p>
        </w:tc>
        <w:tc>
          <w:tcPr>
            <w:tcW w:w="1259" w:type="dxa"/>
            <w:vAlign w:val="center"/>
          </w:tcPr>
          <w:p w14:paraId="0474952E" w14:textId="77777777" w:rsidR="00AA1967" w:rsidRPr="00B13B9A" w:rsidRDefault="00AA1967" w:rsidP="008156E3">
            <w:pPr>
              <w:tabs>
                <w:tab w:val="left" w:pos="851"/>
              </w:tabs>
              <w:jc w:val="center"/>
              <w:rPr>
                <w:rFonts w:asciiTheme="majorHAnsi" w:hAnsiTheme="majorHAnsi" w:cstheme="majorHAnsi"/>
                <w:b/>
                <w:sz w:val="20"/>
                <w:szCs w:val="20"/>
                <w:lang w:val="ro-MD"/>
              </w:rPr>
            </w:pPr>
            <w:r w:rsidRPr="00B13B9A">
              <w:rPr>
                <w:rFonts w:asciiTheme="majorHAnsi" w:hAnsiTheme="majorHAnsi" w:cstheme="majorHAnsi"/>
                <w:b/>
                <w:sz w:val="20"/>
                <w:szCs w:val="20"/>
                <w:lang w:val="ro-MD"/>
              </w:rPr>
              <w:t>Total</w:t>
            </w:r>
          </w:p>
        </w:tc>
        <w:tc>
          <w:tcPr>
            <w:tcW w:w="1187" w:type="dxa"/>
            <w:vAlign w:val="center"/>
          </w:tcPr>
          <w:p w14:paraId="078BACD4" w14:textId="77777777" w:rsidR="00AA1967" w:rsidRPr="00B13B9A" w:rsidRDefault="00AA1967" w:rsidP="008156E3">
            <w:pPr>
              <w:tabs>
                <w:tab w:val="left" w:pos="851"/>
              </w:tabs>
              <w:jc w:val="center"/>
              <w:rPr>
                <w:rFonts w:asciiTheme="majorHAnsi" w:hAnsiTheme="majorHAnsi" w:cstheme="majorHAnsi"/>
                <w:b/>
                <w:sz w:val="20"/>
                <w:szCs w:val="20"/>
                <w:lang w:val="ro-MD"/>
              </w:rPr>
            </w:pPr>
            <w:r w:rsidRPr="00B13B9A">
              <w:rPr>
                <w:rFonts w:asciiTheme="majorHAnsi" w:hAnsiTheme="majorHAnsi" w:cstheme="majorHAnsi"/>
                <w:b/>
                <w:sz w:val="20"/>
                <w:szCs w:val="20"/>
                <w:lang w:val="ro-MD"/>
              </w:rPr>
              <w:t>247,9</w:t>
            </w:r>
          </w:p>
        </w:tc>
      </w:tr>
    </w:tbl>
    <w:p w14:paraId="71AF2399" w14:textId="3A260B38" w:rsidR="00AA1967" w:rsidRPr="00B13B9A" w:rsidRDefault="00AA1967" w:rsidP="00AA1967">
      <w:pPr>
        <w:tabs>
          <w:tab w:val="left" w:pos="851"/>
        </w:tabs>
        <w:spacing w:after="0" w:line="276" w:lineRule="auto"/>
        <w:rPr>
          <w:rFonts w:asciiTheme="majorHAnsi" w:hAnsiTheme="majorHAnsi" w:cstheme="majorHAnsi"/>
          <w:i/>
          <w:sz w:val="20"/>
          <w:szCs w:val="20"/>
          <w:lang w:val="ro-MD"/>
        </w:rPr>
      </w:pPr>
      <w:r w:rsidRPr="00B13B9A">
        <w:rPr>
          <w:rFonts w:asciiTheme="majorHAnsi" w:hAnsiTheme="majorHAnsi" w:cstheme="majorHAnsi"/>
          <w:b/>
          <w:i/>
          <w:sz w:val="20"/>
          <w:szCs w:val="20"/>
          <w:lang w:val="ro-MD"/>
        </w:rPr>
        <w:t>Sursa</w:t>
      </w:r>
      <w:r w:rsidRPr="00B13B9A">
        <w:rPr>
          <w:rFonts w:asciiTheme="majorHAnsi" w:hAnsiTheme="majorHAnsi" w:cstheme="majorHAnsi"/>
          <w:i/>
          <w:sz w:val="20"/>
          <w:szCs w:val="20"/>
          <w:lang w:val="ro-MD"/>
        </w:rPr>
        <w:t xml:space="preserve">: </w:t>
      </w:r>
      <w:r w:rsidR="002A3B29" w:rsidRPr="00B13B9A">
        <w:rPr>
          <w:rFonts w:asciiTheme="majorHAnsi" w:hAnsiTheme="majorHAnsi" w:cstheme="majorHAnsi"/>
          <w:i/>
          <w:sz w:val="20"/>
          <w:szCs w:val="20"/>
          <w:lang w:val="ro-MD"/>
        </w:rPr>
        <w:t xml:space="preserve">Elaborat </w:t>
      </w:r>
      <w:r w:rsidRPr="00B13B9A">
        <w:rPr>
          <w:rFonts w:asciiTheme="majorHAnsi" w:hAnsiTheme="majorHAnsi" w:cstheme="majorHAnsi"/>
          <w:i/>
          <w:sz w:val="20"/>
          <w:szCs w:val="20"/>
          <w:lang w:val="ro-MD"/>
        </w:rPr>
        <w:t>de audit în baza informa</w:t>
      </w:r>
      <w:r w:rsidR="00B13B9A" w:rsidRPr="00B13B9A">
        <w:rPr>
          <w:rFonts w:asciiTheme="majorHAnsi" w:hAnsiTheme="majorHAnsi" w:cstheme="majorHAnsi"/>
          <w:i/>
          <w:sz w:val="20"/>
          <w:szCs w:val="20"/>
          <w:lang w:val="ro-MD"/>
        </w:rPr>
        <w:t>ț</w:t>
      </w:r>
      <w:r w:rsidRPr="00B13B9A">
        <w:rPr>
          <w:rFonts w:asciiTheme="majorHAnsi" w:hAnsiTheme="majorHAnsi" w:cstheme="majorHAnsi"/>
          <w:i/>
          <w:sz w:val="20"/>
          <w:szCs w:val="20"/>
          <w:lang w:val="ro-MD"/>
        </w:rPr>
        <w:t>iilor prezentate de entitate</w:t>
      </w:r>
      <w:r w:rsidR="007C3FE1" w:rsidRPr="00B13B9A">
        <w:rPr>
          <w:rFonts w:asciiTheme="majorHAnsi" w:hAnsiTheme="majorHAnsi" w:cstheme="majorHAnsi"/>
          <w:i/>
          <w:sz w:val="20"/>
          <w:szCs w:val="20"/>
          <w:lang w:val="ro-MD"/>
        </w:rPr>
        <w:t>.</w:t>
      </w:r>
    </w:p>
    <w:p w14:paraId="66F5A814" w14:textId="77777777" w:rsidR="00AA1967" w:rsidRPr="00B13B9A" w:rsidRDefault="00AA1967" w:rsidP="001F0EA2">
      <w:pPr>
        <w:spacing w:after="0" w:line="240" w:lineRule="auto"/>
        <w:rPr>
          <w:rFonts w:asciiTheme="majorHAnsi" w:eastAsia="Times New Roman" w:hAnsiTheme="majorHAnsi" w:cstheme="majorHAnsi"/>
          <w:b/>
          <w:bCs/>
          <w:color w:val="000000"/>
          <w:sz w:val="20"/>
          <w:szCs w:val="20"/>
          <w:lang w:val="ro-MD"/>
        </w:rPr>
      </w:pPr>
    </w:p>
    <w:p w14:paraId="793DFF13" w14:textId="77777777" w:rsidR="00FA7B71" w:rsidRPr="00B13B9A" w:rsidRDefault="00FA7B71" w:rsidP="001F0EA2">
      <w:pPr>
        <w:spacing w:after="0" w:line="240" w:lineRule="auto"/>
        <w:rPr>
          <w:rFonts w:asciiTheme="majorHAnsi" w:eastAsia="Times New Roman" w:hAnsiTheme="majorHAnsi" w:cstheme="majorHAnsi"/>
          <w:b/>
          <w:bCs/>
          <w:color w:val="000000"/>
          <w:sz w:val="20"/>
          <w:szCs w:val="20"/>
          <w:lang w:val="ro-MD"/>
        </w:rPr>
      </w:pPr>
    </w:p>
    <w:p w14:paraId="5A6F66C0" w14:textId="77777777" w:rsidR="00FA7B71" w:rsidRPr="00B13B9A" w:rsidRDefault="00FA7B71" w:rsidP="001F0EA2">
      <w:pPr>
        <w:spacing w:after="0" w:line="240" w:lineRule="auto"/>
        <w:rPr>
          <w:rFonts w:asciiTheme="majorHAnsi" w:eastAsia="Times New Roman" w:hAnsiTheme="majorHAnsi" w:cstheme="majorHAnsi"/>
          <w:b/>
          <w:bCs/>
          <w:color w:val="000000"/>
          <w:sz w:val="20"/>
          <w:szCs w:val="20"/>
          <w:lang w:val="ro-MD"/>
        </w:rPr>
      </w:pPr>
    </w:p>
    <w:p w14:paraId="7EC5AE7C" w14:textId="77777777" w:rsidR="00FA7B71" w:rsidRPr="00B13B9A" w:rsidRDefault="00FA7B71" w:rsidP="001F0EA2">
      <w:pPr>
        <w:spacing w:after="0" w:line="240" w:lineRule="auto"/>
        <w:rPr>
          <w:rFonts w:asciiTheme="majorHAnsi" w:eastAsia="Times New Roman" w:hAnsiTheme="majorHAnsi" w:cstheme="majorHAnsi"/>
          <w:b/>
          <w:bCs/>
          <w:color w:val="000000"/>
          <w:sz w:val="20"/>
          <w:szCs w:val="20"/>
          <w:lang w:val="ro-MD"/>
        </w:rPr>
      </w:pPr>
    </w:p>
    <w:p w14:paraId="00C3C9FB" w14:textId="77777777" w:rsidR="0007264E" w:rsidRPr="00B13B9A" w:rsidRDefault="0007264E" w:rsidP="001F0EA2">
      <w:pPr>
        <w:spacing w:after="0" w:line="240" w:lineRule="auto"/>
        <w:rPr>
          <w:rFonts w:asciiTheme="majorHAnsi" w:eastAsia="Times New Roman" w:hAnsiTheme="majorHAnsi" w:cstheme="majorHAnsi"/>
          <w:b/>
          <w:bCs/>
          <w:color w:val="000000"/>
          <w:sz w:val="20"/>
          <w:szCs w:val="20"/>
          <w:lang w:val="ro-MD"/>
        </w:rPr>
      </w:pPr>
    </w:p>
    <w:p w14:paraId="72284A44" w14:textId="77777777" w:rsidR="0007264E" w:rsidRPr="00B13B9A" w:rsidRDefault="0007264E" w:rsidP="001F0EA2">
      <w:pPr>
        <w:spacing w:after="0" w:line="240" w:lineRule="auto"/>
        <w:rPr>
          <w:rFonts w:asciiTheme="majorHAnsi" w:eastAsia="Times New Roman" w:hAnsiTheme="majorHAnsi" w:cstheme="majorHAnsi"/>
          <w:b/>
          <w:bCs/>
          <w:color w:val="000000"/>
          <w:sz w:val="20"/>
          <w:szCs w:val="20"/>
          <w:lang w:val="ro-MD"/>
        </w:rPr>
      </w:pPr>
    </w:p>
    <w:p w14:paraId="0EB619BA" w14:textId="77777777" w:rsidR="0007264E" w:rsidRPr="00B13B9A" w:rsidRDefault="0007264E" w:rsidP="001F0EA2">
      <w:pPr>
        <w:spacing w:after="0" w:line="240" w:lineRule="auto"/>
        <w:rPr>
          <w:rFonts w:asciiTheme="majorHAnsi" w:eastAsia="Times New Roman" w:hAnsiTheme="majorHAnsi" w:cstheme="majorHAnsi"/>
          <w:b/>
          <w:bCs/>
          <w:color w:val="000000"/>
          <w:sz w:val="20"/>
          <w:szCs w:val="20"/>
          <w:lang w:val="ro-MD"/>
        </w:rPr>
      </w:pPr>
    </w:p>
    <w:p w14:paraId="7B05BFB8" w14:textId="77777777" w:rsidR="00D3471D" w:rsidRPr="00B13B9A" w:rsidRDefault="00D3471D" w:rsidP="00295418">
      <w:pPr>
        <w:spacing w:after="0" w:line="240" w:lineRule="auto"/>
        <w:rPr>
          <w:rFonts w:asciiTheme="majorHAnsi" w:hAnsiTheme="majorHAnsi" w:cstheme="majorHAnsi"/>
          <w:b/>
          <w:iCs/>
          <w:sz w:val="24"/>
          <w:szCs w:val="24"/>
          <w:lang w:val="ro-MD"/>
        </w:rPr>
        <w:sectPr w:rsidR="00D3471D" w:rsidRPr="00B13B9A" w:rsidSect="002101A1">
          <w:pgSz w:w="12240" w:h="15840"/>
          <w:pgMar w:top="851" w:right="758" w:bottom="1134" w:left="1701" w:header="708" w:footer="708" w:gutter="0"/>
          <w:cols w:space="708"/>
          <w:titlePg/>
          <w:docGrid w:linePitch="360"/>
        </w:sectPr>
      </w:pPr>
    </w:p>
    <w:p w14:paraId="2698FD2B" w14:textId="77777777" w:rsidR="003210C3" w:rsidRPr="00B13B9A" w:rsidRDefault="000A5AB9" w:rsidP="008156E3">
      <w:pPr>
        <w:pStyle w:val="3"/>
        <w:jc w:val="right"/>
        <w:rPr>
          <w:rFonts w:cstheme="majorHAnsi"/>
          <w:b/>
          <w:iCs/>
          <w:color w:val="auto"/>
        </w:rPr>
      </w:pPr>
      <w:bookmarkStart w:id="70" w:name="_Toc154562540"/>
      <w:r w:rsidRPr="00B13B9A">
        <w:rPr>
          <w:rFonts w:cstheme="majorHAnsi"/>
          <w:b/>
          <w:iCs/>
          <w:color w:val="auto"/>
        </w:rPr>
        <w:t xml:space="preserve">Anexa nr. </w:t>
      </w:r>
      <w:r w:rsidR="00251EC7" w:rsidRPr="00B13B9A">
        <w:rPr>
          <w:rFonts w:cstheme="majorHAnsi"/>
          <w:b/>
          <w:iCs/>
          <w:color w:val="auto"/>
        </w:rPr>
        <w:t>17</w:t>
      </w:r>
      <w:bookmarkEnd w:id="70"/>
    </w:p>
    <w:p w14:paraId="56350FE5" w14:textId="260ABD36" w:rsidR="00D3471D" w:rsidRPr="00B13B9A" w:rsidRDefault="00D3471D" w:rsidP="00D3471D">
      <w:pPr>
        <w:spacing w:after="0" w:line="240" w:lineRule="auto"/>
        <w:jc w:val="center"/>
        <w:rPr>
          <w:rFonts w:asciiTheme="majorHAnsi" w:hAnsiTheme="majorHAnsi" w:cstheme="majorHAnsi"/>
          <w:b/>
          <w:iCs/>
          <w:sz w:val="24"/>
          <w:szCs w:val="24"/>
          <w:lang w:val="ro-MD"/>
        </w:rPr>
      </w:pPr>
      <w:r w:rsidRPr="00B13B9A">
        <w:rPr>
          <w:rFonts w:asciiTheme="majorHAnsi" w:hAnsiTheme="majorHAnsi" w:cstheme="majorHAnsi"/>
          <w:b/>
          <w:iCs/>
          <w:sz w:val="24"/>
          <w:szCs w:val="24"/>
          <w:lang w:val="ro-MD"/>
        </w:rPr>
        <w:t>Lista bunurilor imobile de</w:t>
      </w:r>
      <w:r w:rsidR="00B13B9A" w:rsidRPr="00B13B9A">
        <w:rPr>
          <w:rFonts w:asciiTheme="majorHAnsi" w:hAnsiTheme="majorHAnsi" w:cstheme="majorHAnsi"/>
          <w:b/>
          <w:iCs/>
          <w:sz w:val="24"/>
          <w:szCs w:val="24"/>
          <w:lang w:val="ro-MD"/>
        </w:rPr>
        <w:t>ț</w:t>
      </w:r>
      <w:r w:rsidRPr="00B13B9A">
        <w:rPr>
          <w:rFonts w:asciiTheme="majorHAnsi" w:hAnsiTheme="majorHAnsi" w:cstheme="majorHAnsi"/>
          <w:b/>
          <w:iCs/>
          <w:sz w:val="24"/>
          <w:szCs w:val="24"/>
          <w:lang w:val="ro-MD"/>
        </w:rPr>
        <w:t xml:space="preserve">inute de </w:t>
      </w:r>
      <w:r w:rsidR="002A3B29" w:rsidRPr="00B13B9A">
        <w:rPr>
          <w:rFonts w:asciiTheme="majorHAnsi" w:hAnsiTheme="majorHAnsi" w:cstheme="majorHAnsi"/>
          <w:b/>
          <w:iCs/>
          <w:sz w:val="24"/>
          <w:szCs w:val="24"/>
          <w:lang w:val="ro-MD"/>
        </w:rPr>
        <w:t>C</w:t>
      </w:r>
      <w:r w:rsidRPr="00B13B9A">
        <w:rPr>
          <w:rFonts w:asciiTheme="majorHAnsi" w:hAnsiTheme="majorHAnsi" w:cstheme="majorHAnsi"/>
          <w:b/>
          <w:iCs/>
          <w:sz w:val="24"/>
          <w:szCs w:val="24"/>
          <w:lang w:val="ro-MD"/>
        </w:rPr>
        <w:t>linic</w:t>
      </w:r>
      <w:r w:rsidR="002A3B29" w:rsidRPr="00B13B9A">
        <w:rPr>
          <w:rFonts w:asciiTheme="majorHAnsi" w:hAnsiTheme="majorHAnsi" w:cstheme="majorHAnsi"/>
          <w:b/>
          <w:iCs/>
          <w:sz w:val="24"/>
          <w:szCs w:val="24"/>
          <w:lang w:val="ro-MD"/>
        </w:rPr>
        <w:t>a din s.</w:t>
      </w:r>
      <w:r w:rsidRPr="00B13B9A">
        <w:rPr>
          <w:rFonts w:asciiTheme="majorHAnsi" w:hAnsiTheme="majorHAnsi" w:cstheme="majorHAnsi"/>
          <w:b/>
          <w:iCs/>
          <w:sz w:val="24"/>
          <w:szCs w:val="24"/>
          <w:lang w:val="ro-MD"/>
        </w:rPr>
        <w:t xml:space="preserve"> Vorniceni</w:t>
      </w:r>
    </w:p>
    <w:tbl>
      <w:tblPr>
        <w:tblW w:w="14136" w:type="dxa"/>
        <w:tblInd w:w="-294" w:type="dxa"/>
        <w:tblLook w:val="04A0" w:firstRow="1" w:lastRow="0" w:firstColumn="1" w:lastColumn="0" w:noHBand="0" w:noVBand="1"/>
      </w:tblPr>
      <w:tblGrid>
        <w:gridCol w:w="547"/>
        <w:gridCol w:w="2998"/>
        <w:gridCol w:w="1480"/>
        <w:gridCol w:w="1242"/>
        <w:gridCol w:w="6491"/>
        <w:gridCol w:w="1378"/>
      </w:tblGrid>
      <w:tr w:rsidR="00D3471D" w:rsidRPr="00B13B9A" w14:paraId="629C429C" w14:textId="77777777" w:rsidTr="002B7B86">
        <w:trPr>
          <w:trHeight w:val="20"/>
        </w:trPr>
        <w:tc>
          <w:tcPr>
            <w:tcW w:w="547" w:type="dxa"/>
            <w:tcBorders>
              <w:top w:val="single" w:sz="8" w:space="0" w:color="auto"/>
              <w:left w:val="single" w:sz="8" w:space="0" w:color="auto"/>
              <w:bottom w:val="single" w:sz="8" w:space="0" w:color="auto"/>
              <w:right w:val="single" w:sz="4" w:space="0" w:color="auto"/>
            </w:tcBorders>
            <w:shd w:val="clear" w:color="000000" w:fill="FFFFFF"/>
            <w:vAlign w:val="center"/>
            <w:hideMark/>
          </w:tcPr>
          <w:p w14:paraId="4CAFA3A6" w14:textId="5BB665D0" w:rsidR="00D3471D" w:rsidRPr="00B13B9A" w:rsidRDefault="00D3471D" w:rsidP="00332FF7">
            <w:pPr>
              <w:spacing w:after="0" w:line="240" w:lineRule="auto"/>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 xml:space="preserve">Nr. </w:t>
            </w:r>
            <w:r w:rsidR="002A3B29" w:rsidRPr="00B13B9A">
              <w:rPr>
                <w:rFonts w:asciiTheme="majorHAnsi" w:eastAsia="Times New Roman" w:hAnsiTheme="majorHAnsi" w:cstheme="majorHAnsi"/>
                <w:b/>
                <w:bCs/>
                <w:color w:val="000000"/>
                <w:sz w:val="20"/>
                <w:szCs w:val="20"/>
                <w:lang w:val="ro-MD"/>
              </w:rPr>
              <w:t>crt.</w:t>
            </w:r>
          </w:p>
        </w:tc>
        <w:tc>
          <w:tcPr>
            <w:tcW w:w="2998" w:type="dxa"/>
            <w:tcBorders>
              <w:top w:val="single" w:sz="8" w:space="0" w:color="auto"/>
              <w:left w:val="nil"/>
              <w:bottom w:val="single" w:sz="8" w:space="0" w:color="auto"/>
              <w:right w:val="single" w:sz="4" w:space="0" w:color="auto"/>
            </w:tcBorders>
            <w:shd w:val="clear" w:color="000000" w:fill="FFFFFF"/>
            <w:vAlign w:val="center"/>
            <w:hideMark/>
          </w:tcPr>
          <w:p w14:paraId="092600E2" w14:textId="77777777" w:rsidR="00D3471D" w:rsidRPr="00B13B9A" w:rsidRDefault="00D3471D" w:rsidP="00332FF7">
            <w:pPr>
              <w:spacing w:after="0" w:line="240" w:lineRule="auto"/>
              <w:rPr>
                <w:rFonts w:asciiTheme="majorHAnsi" w:eastAsia="Times New Roman" w:hAnsiTheme="majorHAnsi" w:cstheme="majorHAnsi"/>
                <w:b/>
                <w:bCs/>
                <w:i/>
                <w:iCs/>
                <w:color w:val="000000"/>
                <w:sz w:val="20"/>
                <w:szCs w:val="20"/>
                <w:lang w:val="ro-MD"/>
              </w:rPr>
            </w:pPr>
            <w:r w:rsidRPr="00B13B9A">
              <w:rPr>
                <w:rFonts w:asciiTheme="majorHAnsi" w:eastAsia="Times New Roman" w:hAnsiTheme="majorHAnsi" w:cstheme="majorHAnsi"/>
                <w:b/>
                <w:bCs/>
                <w:i/>
                <w:iCs/>
                <w:color w:val="000000"/>
                <w:sz w:val="20"/>
                <w:szCs w:val="20"/>
                <w:lang w:val="ro-MD"/>
              </w:rPr>
              <w:t>Denumirea bunului</w:t>
            </w:r>
          </w:p>
        </w:tc>
        <w:tc>
          <w:tcPr>
            <w:tcW w:w="1480" w:type="dxa"/>
            <w:tcBorders>
              <w:top w:val="single" w:sz="8" w:space="0" w:color="auto"/>
              <w:left w:val="nil"/>
              <w:bottom w:val="single" w:sz="8" w:space="0" w:color="auto"/>
              <w:right w:val="single" w:sz="4" w:space="0" w:color="auto"/>
            </w:tcBorders>
            <w:shd w:val="clear" w:color="000000" w:fill="FFFFFF"/>
            <w:vAlign w:val="center"/>
            <w:hideMark/>
          </w:tcPr>
          <w:p w14:paraId="11FC8EF5" w14:textId="77777777" w:rsidR="00D3471D" w:rsidRPr="00B13B9A" w:rsidRDefault="00D3471D" w:rsidP="00332FF7">
            <w:pPr>
              <w:spacing w:after="0" w:line="240" w:lineRule="auto"/>
              <w:jc w:val="right"/>
              <w:rPr>
                <w:rFonts w:asciiTheme="majorHAnsi" w:eastAsia="Times New Roman" w:hAnsiTheme="majorHAnsi" w:cstheme="majorHAnsi"/>
                <w:b/>
                <w:bCs/>
                <w:i/>
                <w:iCs/>
                <w:color w:val="000000"/>
                <w:sz w:val="20"/>
                <w:szCs w:val="20"/>
                <w:lang w:val="ro-MD"/>
              </w:rPr>
            </w:pPr>
            <w:r w:rsidRPr="00B13B9A">
              <w:rPr>
                <w:rFonts w:asciiTheme="majorHAnsi" w:eastAsia="Times New Roman" w:hAnsiTheme="majorHAnsi" w:cstheme="majorHAnsi"/>
                <w:b/>
                <w:bCs/>
                <w:i/>
                <w:iCs/>
                <w:color w:val="000000"/>
                <w:sz w:val="20"/>
                <w:szCs w:val="20"/>
                <w:lang w:val="ro-MD"/>
              </w:rPr>
              <w:t>Valoarea</w:t>
            </w:r>
          </w:p>
        </w:tc>
        <w:tc>
          <w:tcPr>
            <w:tcW w:w="1242" w:type="dxa"/>
            <w:tcBorders>
              <w:top w:val="single" w:sz="8" w:space="0" w:color="auto"/>
              <w:left w:val="nil"/>
              <w:bottom w:val="single" w:sz="8" w:space="0" w:color="auto"/>
              <w:right w:val="single" w:sz="4" w:space="0" w:color="auto"/>
            </w:tcBorders>
            <w:shd w:val="clear" w:color="000000" w:fill="FFFFFF"/>
            <w:vAlign w:val="center"/>
            <w:hideMark/>
          </w:tcPr>
          <w:p w14:paraId="210510F7" w14:textId="77777777" w:rsidR="00D3471D" w:rsidRPr="00B13B9A" w:rsidRDefault="00D3471D" w:rsidP="00332FF7">
            <w:pPr>
              <w:spacing w:after="0" w:line="240" w:lineRule="auto"/>
              <w:rPr>
                <w:rFonts w:asciiTheme="majorHAnsi" w:eastAsia="Times New Roman" w:hAnsiTheme="majorHAnsi" w:cstheme="majorHAnsi"/>
                <w:b/>
                <w:bCs/>
                <w:i/>
                <w:iCs/>
                <w:color w:val="000000"/>
                <w:sz w:val="20"/>
                <w:szCs w:val="20"/>
                <w:lang w:val="ro-MD"/>
              </w:rPr>
            </w:pPr>
            <w:r w:rsidRPr="00B13B9A">
              <w:rPr>
                <w:rFonts w:asciiTheme="majorHAnsi" w:eastAsia="Times New Roman" w:hAnsiTheme="majorHAnsi" w:cstheme="majorHAnsi"/>
                <w:b/>
                <w:bCs/>
                <w:i/>
                <w:iCs/>
                <w:color w:val="000000"/>
                <w:sz w:val="20"/>
                <w:szCs w:val="20"/>
                <w:lang w:val="ro-MD"/>
              </w:rPr>
              <w:t>Starea</w:t>
            </w:r>
          </w:p>
        </w:tc>
        <w:tc>
          <w:tcPr>
            <w:tcW w:w="6491" w:type="dxa"/>
            <w:tcBorders>
              <w:top w:val="single" w:sz="8" w:space="0" w:color="auto"/>
              <w:left w:val="nil"/>
              <w:bottom w:val="single" w:sz="8" w:space="0" w:color="auto"/>
              <w:right w:val="nil"/>
            </w:tcBorders>
            <w:shd w:val="clear" w:color="000000" w:fill="FFFFFF"/>
            <w:vAlign w:val="center"/>
            <w:hideMark/>
          </w:tcPr>
          <w:p w14:paraId="5A68A3E7" w14:textId="59583021" w:rsidR="00D3471D" w:rsidRPr="00B13B9A" w:rsidRDefault="00D3471D" w:rsidP="00332FF7">
            <w:pPr>
              <w:spacing w:after="0" w:line="240" w:lineRule="auto"/>
              <w:rPr>
                <w:rFonts w:asciiTheme="majorHAnsi" w:eastAsia="Times New Roman" w:hAnsiTheme="majorHAnsi" w:cstheme="majorHAnsi"/>
                <w:b/>
                <w:bCs/>
                <w:i/>
                <w:iCs/>
                <w:color w:val="000000"/>
                <w:sz w:val="20"/>
                <w:szCs w:val="20"/>
                <w:lang w:val="ro-MD"/>
              </w:rPr>
            </w:pPr>
            <w:r w:rsidRPr="00B13B9A">
              <w:rPr>
                <w:rFonts w:asciiTheme="majorHAnsi" w:eastAsia="Times New Roman" w:hAnsiTheme="majorHAnsi" w:cstheme="majorHAnsi"/>
                <w:b/>
                <w:bCs/>
                <w:i/>
                <w:iCs/>
                <w:color w:val="000000"/>
                <w:sz w:val="20"/>
                <w:szCs w:val="20"/>
                <w:lang w:val="ro-MD"/>
              </w:rPr>
              <w:t>Descrierea situa</w:t>
            </w:r>
            <w:r w:rsidR="00B13B9A" w:rsidRPr="00B13B9A">
              <w:rPr>
                <w:rFonts w:asciiTheme="majorHAnsi" w:eastAsia="Times New Roman" w:hAnsiTheme="majorHAnsi" w:cstheme="majorHAnsi"/>
                <w:b/>
                <w:bCs/>
                <w:i/>
                <w:iCs/>
                <w:color w:val="000000"/>
                <w:sz w:val="20"/>
                <w:szCs w:val="20"/>
                <w:lang w:val="ro-MD"/>
              </w:rPr>
              <w:t>ț</w:t>
            </w:r>
            <w:r w:rsidRPr="00B13B9A">
              <w:rPr>
                <w:rFonts w:asciiTheme="majorHAnsi" w:eastAsia="Times New Roman" w:hAnsiTheme="majorHAnsi" w:cstheme="majorHAnsi"/>
                <w:b/>
                <w:bCs/>
                <w:i/>
                <w:iCs/>
                <w:color w:val="000000"/>
                <w:sz w:val="20"/>
                <w:szCs w:val="20"/>
                <w:lang w:val="ro-MD"/>
              </w:rPr>
              <w:t>iei</w:t>
            </w:r>
          </w:p>
        </w:tc>
        <w:tc>
          <w:tcPr>
            <w:tcW w:w="1378"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7B64BC64" w14:textId="77777777" w:rsidR="00D3471D" w:rsidRPr="00B13B9A" w:rsidRDefault="00D3471D" w:rsidP="00332FF7">
            <w:pPr>
              <w:tabs>
                <w:tab w:val="left" w:pos="912"/>
              </w:tabs>
              <w:spacing w:after="0" w:line="240" w:lineRule="auto"/>
              <w:jc w:val="right"/>
              <w:rPr>
                <w:rFonts w:asciiTheme="majorHAnsi" w:eastAsia="Times New Roman" w:hAnsiTheme="majorHAnsi" w:cstheme="majorHAnsi"/>
                <w:b/>
                <w:bCs/>
                <w:i/>
                <w:iCs/>
                <w:color w:val="000000"/>
                <w:sz w:val="20"/>
                <w:szCs w:val="20"/>
                <w:lang w:val="ro-MD"/>
              </w:rPr>
            </w:pPr>
            <w:r w:rsidRPr="00B13B9A">
              <w:rPr>
                <w:rFonts w:asciiTheme="majorHAnsi" w:eastAsia="Times New Roman" w:hAnsiTheme="majorHAnsi" w:cstheme="majorHAnsi"/>
                <w:b/>
                <w:bCs/>
                <w:i/>
                <w:iCs/>
                <w:color w:val="000000"/>
                <w:sz w:val="20"/>
                <w:szCs w:val="20"/>
                <w:lang w:val="ro-MD"/>
              </w:rPr>
              <w:t>Uzura la 30.06.2023</w:t>
            </w:r>
          </w:p>
        </w:tc>
      </w:tr>
      <w:tr w:rsidR="00D3471D" w:rsidRPr="00B13B9A" w14:paraId="0D4DBBA4" w14:textId="77777777" w:rsidTr="002B7B86">
        <w:trPr>
          <w:trHeight w:val="20"/>
        </w:trPr>
        <w:tc>
          <w:tcPr>
            <w:tcW w:w="547" w:type="dxa"/>
            <w:tcBorders>
              <w:top w:val="nil"/>
              <w:left w:val="single" w:sz="8" w:space="0" w:color="auto"/>
              <w:bottom w:val="single" w:sz="4" w:space="0" w:color="auto"/>
              <w:right w:val="single" w:sz="4" w:space="0" w:color="auto"/>
            </w:tcBorders>
            <w:shd w:val="clear" w:color="000000" w:fill="FFFFFF"/>
            <w:noWrap/>
            <w:vAlign w:val="center"/>
            <w:hideMark/>
          </w:tcPr>
          <w:p w14:paraId="1FB4454C" w14:textId="77777777" w:rsidR="00D3471D" w:rsidRPr="00B13B9A" w:rsidRDefault="00D3471D" w:rsidP="00332FF7">
            <w:pPr>
              <w:spacing w:after="0" w:line="240" w:lineRule="auto"/>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w:t>
            </w:r>
          </w:p>
        </w:tc>
        <w:tc>
          <w:tcPr>
            <w:tcW w:w="2998" w:type="dxa"/>
            <w:tcBorders>
              <w:top w:val="nil"/>
              <w:left w:val="nil"/>
              <w:bottom w:val="single" w:sz="4" w:space="0" w:color="auto"/>
              <w:right w:val="single" w:sz="4" w:space="0" w:color="auto"/>
            </w:tcBorders>
            <w:shd w:val="clear" w:color="000000" w:fill="FFFFFF"/>
            <w:vAlign w:val="center"/>
            <w:hideMark/>
          </w:tcPr>
          <w:p w14:paraId="61D33A4A" w14:textId="007C1AD2"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Atelier de lăcătu</w:t>
            </w:r>
            <w:r w:rsidR="00B13B9A" w:rsidRPr="00B13B9A">
              <w:rPr>
                <w:rFonts w:asciiTheme="majorHAnsi" w:eastAsia="Times New Roman" w:hAnsiTheme="majorHAnsi" w:cstheme="majorHAnsi"/>
                <w:i/>
                <w:iCs/>
                <w:color w:val="000000"/>
                <w:sz w:val="20"/>
                <w:szCs w:val="20"/>
                <w:lang w:val="ro-MD"/>
              </w:rPr>
              <w:t>ș</w:t>
            </w:r>
            <w:r w:rsidR="002A3B29" w:rsidRPr="00B13B9A">
              <w:rPr>
                <w:rFonts w:asciiTheme="majorHAnsi" w:eastAsia="Times New Roman" w:hAnsiTheme="majorHAnsi" w:cstheme="majorHAnsi"/>
                <w:i/>
                <w:iCs/>
                <w:color w:val="000000"/>
                <w:sz w:val="20"/>
                <w:szCs w:val="20"/>
                <w:lang w:val="ro-MD"/>
              </w:rPr>
              <w:t>erie</w:t>
            </w:r>
            <w:r w:rsidRPr="00B13B9A">
              <w:rPr>
                <w:rFonts w:asciiTheme="majorHAnsi" w:eastAsia="Times New Roman" w:hAnsiTheme="majorHAnsi" w:cstheme="majorHAnsi"/>
                <w:i/>
                <w:iCs/>
                <w:color w:val="000000"/>
                <w:sz w:val="20"/>
                <w:szCs w:val="20"/>
                <w:lang w:val="ro-MD"/>
              </w:rPr>
              <w:t xml:space="preserve"> Vorniceni 8042208387.24</w:t>
            </w:r>
          </w:p>
        </w:tc>
        <w:tc>
          <w:tcPr>
            <w:tcW w:w="1480" w:type="dxa"/>
            <w:tcBorders>
              <w:top w:val="nil"/>
              <w:left w:val="nil"/>
              <w:bottom w:val="single" w:sz="4" w:space="0" w:color="auto"/>
              <w:right w:val="single" w:sz="4" w:space="0" w:color="auto"/>
            </w:tcBorders>
            <w:shd w:val="clear" w:color="000000" w:fill="FFFFFF"/>
            <w:vAlign w:val="center"/>
            <w:hideMark/>
          </w:tcPr>
          <w:p w14:paraId="7F70263C" w14:textId="77777777" w:rsidR="00D3471D" w:rsidRPr="00B13B9A" w:rsidRDefault="00D3471D" w:rsidP="00332FF7">
            <w:pPr>
              <w:spacing w:after="0" w:line="240" w:lineRule="auto"/>
              <w:jc w:val="right"/>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99.565,00</w:t>
            </w:r>
          </w:p>
        </w:tc>
        <w:tc>
          <w:tcPr>
            <w:tcW w:w="1242" w:type="dxa"/>
            <w:tcBorders>
              <w:top w:val="nil"/>
              <w:left w:val="nil"/>
              <w:bottom w:val="single" w:sz="4" w:space="0" w:color="auto"/>
              <w:right w:val="single" w:sz="4" w:space="0" w:color="auto"/>
            </w:tcBorders>
            <w:shd w:val="clear" w:color="000000" w:fill="FFFFFF"/>
            <w:vAlign w:val="center"/>
            <w:hideMark/>
          </w:tcPr>
          <w:p w14:paraId="0C77C795" w14:textId="25988F85"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Nefunc</w:t>
            </w:r>
            <w:r w:rsidR="00B13B9A" w:rsidRPr="00B13B9A">
              <w:rPr>
                <w:rFonts w:asciiTheme="majorHAnsi" w:eastAsia="Times New Roman" w:hAnsiTheme="majorHAnsi" w:cstheme="majorHAnsi"/>
                <w:i/>
                <w:iCs/>
                <w:color w:val="000000"/>
                <w:sz w:val="20"/>
                <w:szCs w:val="20"/>
                <w:lang w:val="ro-MD"/>
              </w:rPr>
              <w:t>ț</w:t>
            </w:r>
            <w:r w:rsidRPr="00B13B9A">
              <w:rPr>
                <w:rFonts w:asciiTheme="majorHAnsi" w:eastAsia="Times New Roman" w:hAnsiTheme="majorHAnsi" w:cstheme="majorHAnsi"/>
                <w:i/>
                <w:iCs/>
                <w:color w:val="000000"/>
                <w:sz w:val="20"/>
                <w:szCs w:val="20"/>
                <w:lang w:val="ro-MD"/>
              </w:rPr>
              <w:t>ional</w:t>
            </w:r>
          </w:p>
        </w:tc>
        <w:tc>
          <w:tcPr>
            <w:tcW w:w="6491" w:type="dxa"/>
            <w:tcBorders>
              <w:top w:val="nil"/>
              <w:left w:val="nil"/>
              <w:bottom w:val="single" w:sz="4" w:space="0" w:color="auto"/>
              <w:right w:val="single" w:sz="4" w:space="0" w:color="auto"/>
            </w:tcBorders>
            <w:shd w:val="clear" w:color="000000" w:fill="FFFFFF"/>
            <w:vAlign w:val="center"/>
            <w:hideMark/>
          </w:tcPr>
          <w:p w14:paraId="6A30554D" w14:textId="77777777"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Stare deplorabilă, învechit, spre demolare. Valoarea lucrărilor de demolare constituie 29.916,53 lei</w:t>
            </w:r>
          </w:p>
        </w:tc>
        <w:tc>
          <w:tcPr>
            <w:tcW w:w="1378" w:type="dxa"/>
            <w:tcBorders>
              <w:top w:val="nil"/>
              <w:left w:val="nil"/>
              <w:bottom w:val="single" w:sz="4" w:space="0" w:color="auto"/>
              <w:right w:val="single" w:sz="8" w:space="0" w:color="auto"/>
            </w:tcBorders>
            <w:shd w:val="clear" w:color="000000" w:fill="FFFFFF"/>
            <w:noWrap/>
            <w:vAlign w:val="center"/>
            <w:hideMark/>
          </w:tcPr>
          <w:p w14:paraId="5B455153" w14:textId="77777777" w:rsidR="00D3471D" w:rsidRPr="00B13B9A" w:rsidRDefault="00D3471D" w:rsidP="00332FF7">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80.734,31</w:t>
            </w:r>
          </w:p>
        </w:tc>
      </w:tr>
      <w:tr w:rsidR="00D3471D" w:rsidRPr="00B13B9A" w14:paraId="4E354AD8" w14:textId="77777777" w:rsidTr="002B7B86">
        <w:trPr>
          <w:trHeight w:val="20"/>
        </w:trPr>
        <w:tc>
          <w:tcPr>
            <w:tcW w:w="547" w:type="dxa"/>
            <w:tcBorders>
              <w:top w:val="nil"/>
              <w:left w:val="single" w:sz="8" w:space="0" w:color="auto"/>
              <w:bottom w:val="single" w:sz="4" w:space="0" w:color="auto"/>
              <w:right w:val="single" w:sz="4" w:space="0" w:color="auto"/>
            </w:tcBorders>
            <w:shd w:val="clear" w:color="000000" w:fill="FFFFFF"/>
            <w:noWrap/>
            <w:vAlign w:val="center"/>
            <w:hideMark/>
          </w:tcPr>
          <w:p w14:paraId="7A2437ED" w14:textId="77777777" w:rsidR="00D3471D" w:rsidRPr="00B13B9A" w:rsidRDefault="00D3471D" w:rsidP="00332FF7">
            <w:pPr>
              <w:spacing w:after="0" w:line="240" w:lineRule="auto"/>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2</w:t>
            </w:r>
          </w:p>
        </w:tc>
        <w:tc>
          <w:tcPr>
            <w:tcW w:w="2998" w:type="dxa"/>
            <w:tcBorders>
              <w:top w:val="nil"/>
              <w:left w:val="nil"/>
              <w:bottom w:val="single" w:sz="4" w:space="0" w:color="auto"/>
              <w:right w:val="single" w:sz="4" w:space="0" w:color="auto"/>
            </w:tcBorders>
            <w:shd w:val="clear" w:color="000000" w:fill="FFFFFF"/>
            <w:vAlign w:val="center"/>
            <w:hideMark/>
          </w:tcPr>
          <w:p w14:paraId="5A826586" w14:textId="77777777"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Bloc alimentar  p/u colaboratori Vorniceni 8042208387.07</w:t>
            </w:r>
          </w:p>
        </w:tc>
        <w:tc>
          <w:tcPr>
            <w:tcW w:w="1480" w:type="dxa"/>
            <w:tcBorders>
              <w:top w:val="nil"/>
              <w:left w:val="nil"/>
              <w:bottom w:val="single" w:sz="4" w:space="0" w:color="auto"/>
              <w:right w:val="single" w:sz="4" w:space="0" w:color="auto"/>
            </w:tcBorders>
            <w:shd w:val="clear" w:color="000000" w:fill="FFFFFF"/>
            <w:vAlign w:val="center"/>
            <w:hideMark/>
          </w:tcPr>
          <w:p w14:paraId="577DAB35" w14:textId="77777777" w:rsidR="00D3471D" w:rsidRPr="00B13B9A" w:rsidRDefault="00D3471D" w:rsidP="00332FF7">
            <w:pPr>
              <w:spacing w:after="0" w:line="240" w:lineRule="auto"/>
              <w:jc w:val="right"/>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3.211.437,70</w:t>
            </w:r>
          </w:p>
        </w:tc>
        <w:tc>
          <w:tcPr>
            <w:tcW w:w="1242" w:type="dxa"/>
            <w:tcBorders>
              <w:top w:val="nil"/>
              <w:left w:val="nil"/>
              <w:bottom w:val="single" w:sz="4" w:space="0" w:color="auto"/>
              <w:right w:val="single" w:sz="4" w:space="0" w:color="auto"/>
            </w:tcBorders>
            <w:shd w:val="clear" w:color="000000" w:fill="FFFFFF"/>
            <w:vAlign w:val="center"/>
            <w:hideMark/>
          </w:tcPr>
          <w:p w14:paraId="0B1DEED1" w14:textId="26273755"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Nefunc</w:t>
            </w:r>
            <w:r w:rsidR="00B13B9A" w:rsidRPr="00B13B9A">
              <w:rPr>
                <w:rFonts w:asciiTheme="majorHAnsi" w:eastAsia="Times New Roman" w:hAnsiTheme="majorHAnsi" w:cstheme="majorHAnsi"/>
                <w:i/>
                <w:iCs/>
                <w:color w:val="000000"/>
                <w:sz w:val="20"/>
                <w:szCs w:val="20"/>
                <w:lang w:val="ro-MD"/>
              </w:rPr>
              <w:t>ț</w:t>
            </w:r>
            <w:r w:rsidRPr="00B13B9A">
              <w:rPr>
                <w:rFonts w:asciiTheme="majorHAnsi" w:eastAsia="Times New Roman" w:hAnsiTheme="majorHAnsi" w:cstheme="majorHAnsi"/>
                <w:i/>
                <w:iCs/>
                <w:color w:val="000000"/>
                <w:sz w:val="20"/>
                <w:szCs w:val="20"/>
                <w:lang w:val="ro-MD"/>
              </w:rPr>
              <w:t>ional</w:t>
            </w:r>
          </w:p>
        </w:tc>
        <w:tc>
          <w:tcPr>
            <w:tcW w:w="6491" w:type="dxa"/>
            <w:tcBorders>
              <w:top w:val="nil"/>
              <w:left w:val="nil"/>
              <w:bottom w:val="single" w:sz="4" w:space="0" w:color="auto"/>
              <w:right w:val="single" w:sz="4" w:space="0" w:color="auto"/>
            </w:tcBorders>
            <w:shd w:val="clear" w:color="000000" w:fill="FFFFFF"/>
            <w:vAlign w:val="center"/>
            <w:hideMark/>
          </w:tcPr>
          <w:p w14:paraId="165F843F" w14:textId="08C3BD6A"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A fost reparat în 2008. Nu este utilizat in activitate. Stare satisfăcătoare. Lipsa drenajului creează um</w:t>
            </w:r>
            <w:r w:rsidR="002A3B29" w:rsidRPr="00B13B9A">
              <w:rPr>
                <w:rFonts w:asciiTheme="majorHAnsi" w:eastAsia="Times New Roman" w:hAnsiTheme="majorHAnsi" w:cstheme="majorHAnsi"/>
                <w:i/>
                <w:iCs/>
                <w:color w:val="000000"/>
                <w:sz w:val="20"/>
                <w:szCs w:val="20"/>
                <w:lang w:val="ro-MD"/>
              </w:rPr>
              <w:t>i</w:t>
            </w:r>
            <w:r w:rsidRPr="00B13B9A">
              <w:rPr>
                <w:rFonts w:asciiTheme="majorHAnsi" w:eastAsia="Times New Roman" w:hAnsiTheme="majorHAnsi" w:cstheme="majorHAnsi"/>
                <w:i/>
                <w:iCs/>
                <w:color w:val="000000"/>
                <w:sz w:val="20"/>
                <w:szCs w:val="20"/>
                <w:lang w:val="ro-MD"/>
              </w:rPr>
              <w:t xml:space="preserve">ditate mare, iar în interior tencuiala cade. </w:t>
            </w:r>
            <w:r w:rsidRPr="00B13B9A">
              <w:rPr>
                <w:rFonts w:asciiTheme="majorHAnsi" w:eastAsia="Times New Roman" w:hAnsiTheme="majorHAnsi" w:cstheme="majorHAnsi"/>
                <w:color w:val="000000"/>
                <w:sz w:val="20"/>
                <w:szCs w:val="20"/>
                <w:lang w:val="ro-MD"/>
              </w:rPr>
              <w:t> </w:t>
            </w:r>
          </w:p>
        </w:tc>
        <w:tc>
          <w:tcPr>
            <w:tcW w:w="1378" w:type="dxa"/>
            <w:tcBorders>
              <w:top w:val="nil"/>
              <w:left w:val="nil"/>
              <w:bottom w:val="single" w:sz="4" w:space="0" w:color="auto"/>
              <w:right w:val="single" w:sz="8" w:space="0" w:color="auto"/>
            </w:tcBorders>
            <w:shd w:val="clear" w:color="000000" w:fill="FFFFFF"/>
            <w:noWrap/>
            <w:vAlign w:val="center"/>
            <w:hideMark/>
          </w:tcPr>
          <w:p w14:paraId="696120D4" w14:textId="77777777" w:rsidR="00D3471D" w:rsidRPr="00B13B9A" w:rsidRDefault="00D3471D" w:rsidP="00332FF7">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563.607,42</w:t>
            </w:r>
          </w:p>
        </w:tc>
      </w:tr>
      <w:tr w:rsidR="00D3471D" w:rsidRPr="00B13B9A" w14:paraId="23A0D570" w14:textId="77777777" w:rsidTr="002B7B86">
        <w:trPr>
          <w:trHeight w:val="20"/>
        </w:trPr>
        <w:tc>
          <w:tcPr>
            <w:tcW w:w="547" w:type="dxa"/>
            <w:tcBorders>
              <w:top w:val="nil"/>
              <w:left w:val="single" w:sz="8" w:space="0" w:color="auto"/>
              <w:bottom w:val="single" w:sz="4" w:space="0" w:color="auto"/>
              <w:right w:val="single" w:sz="4" w:space="0" w:color="auto"/>
            </w:tcBorders>
            <w:shd w:val="clear" w:color="000000" w:fill="FFFFFF"/>
            <w:noWrap/>
            <w:vAlign w:val="center"/>
            <w:hideMark/>
          </w:tcPr>
          <w:p w14:paraId="6D851489" w14:textId="77777777" w:rsidR="00D3471D" w:rsidRPr="00B13B9A" w:rsidRDefault="00D3471D" w:rsidP="00332FF7">
            <w:pPr>
              <w:spacing w:after="0" w:line="240" w:lineRule="auto"/>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3</w:t>
            </w:r>
          </w:p>
        </w:tc>
        <w:tc>
          <w:tcPr>
            <w:tcW w:w="2998" w:type="dxa"/>
            <w:tcBorders>
              <w:top w:val="nil"/>
              <w:left w:val="nil"/>
              <w:bottom w:val="single" w:sz="4" w:space="0" w:color="auto"/>
              <w:right w:val="single" w:sz="4" w:space="0" w:color="auto"/>
            </w:tcBorders>
            <w:shd w:val="clear" w:color="000000" w:fill="FFFFFF"/>
            <w:vAlign w:val="center"/>
            <w:hideMark/>
          </w:tcPr>
          <w:p w14:paraId="2571C455" w14:textId="77777777"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Bloc diagnostic 0100213274.02</w:t>
            </w:r>
          </w:p>
        </w:tc>
        <w:tc>
          <w:tcPr>
            <w:tcW w:w="1480" w:type="dxa"/>
            <w:tcBorders>
              <w:top w:val="nil"/>
              <w:left w:val="nil"/>
              <w:bottom w:val="single" w:sz="4" w:space="0" w:color="auto"/>
              <w:right w:val="single" w:sz="4" w:space="0" w:color="auto"/>
            </w:tcBorders>
            <w:shd w:val="clear" w:color="000000" w:fill="FFFFFF"/>
            <w:vAlign w:val="center"/>
            <w:hideMark/>
          </w:tcPr>
          <w:p w14:paraId="1885AE66" w14:textId="77777777" w:rsidR="00D3471D" w:rsidRPr="00B13B9A" w:rsidRDefault="00D3471D" w:rsidP="00332FF7">
            <w:pPr>
              <w:spacing w:after="0" w:line="240" w:lineRule="auto"/>
              <w:jc w:val="right"/>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796.992,00</w:t>
            </w:r>
          </w:p>
        </w:tc>
        <w:tc>
          <w:tcPr>
            <w:tcW w:w="1242" w:type="dxa"/>
            <w:tcBorders>
              <w:top w:val="nil"/>
              <w:left w:val="nil"/>
              <w:bottom w:val="single" w:sz="4" w:space="0" w:color="auto"/>
              <w:right w:val="single" w:sz="4" w:space="0" w:color="auto"/>
            </w:tcBorders>
            <w:shd w:val="clear" w:color="000000" w:fill="FFFFFF"/>
            <w:vAlign w:val="center"/>
            <w:hideMark/>
          </w:tcPr>
          <w:p w14:paraId="5B803766" w14:textId="2EDE2B62"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Func</w:t>
            </w:r>
            <w:r w:rsidR="00B13B9A" w:rsidRPr="00B13B9A">
              <w:rPr>
                <w:rFonts w:asciiTheme="majorHAnsi" w:eastAsia="Times New Roman" w:hAnsiTheme="majorHAnsi" w:cstheme="majorHAnsi"/>
                <w:i/>
                <w:iCs/>
                <w:color w:val="000000"/>
                <w:sz w:val="20"/>
                <w:szCs w:val="20"/>
                <w:lang w:val="ro-MD"/>
              </w:rPr>
              <w:t>ț</w:t>
            </w:r>
            <w:r w:rsidRPr="00B13B9A">
              <w:rPr>
                <w:rFonts w:asciiTheme="majorHAnsi" w:eastAsia="Times New Roman" w:hAnsiTheme="majorHAnsi" w:cstheme="majorHAnsi"/>
                <w:i/>
                <w:iCs/>
                <w:color w:val="000000"/>
                <w:sz w:val="20"/>
                <w:szCs w:val="20"/>
                <w:lang w:val="ro-MD"/>
              </w:rPr>
              <w:t>ional</w:t>
            </w:r>
          </w:p>
        </w:tc>
        <w:tc>
          <w:tcPr>
            <w:tcW w:w="6491" w:type="dxa"/>
            <w:tcBorders>
              <w:top w:val="nil"/>
              <w:left w:val="nil"/>
              <w:bottom w:val="single" w:sz="4" w:space="0" w:color="auto"/>
              <w:right w:val="single" w:sz="4" w:space="0" w:color="auto"/>
            </w:tcBorders>
            <w:shd w:val="clear" w:color="000000" w:fill="FFFFFF"/>
            <w:vAlign w:val="center"/>
            <w:hideMark/>
          </w:tcPr>
          <w:p w14:paraId="60DA34AC" w14:textId="58462F66"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 xml:space="preserve">Stare bună, se utilizează pentru prestarea serviciilor de diagnostic </w:t>
            </w:r>
          </w:p>
        </w:tc>
        <w:tc>
          <w:tcPr>
            <w:tcW w:w="1378" w:type="dxa"/>
            <w:tcBorders>
              <w:top w:val="nil"/>
              <w:left w:val="nil"/>
              <w:bottom w:val="single" w:sz="4" w:space="0" w:color="auto"/>
              <w:right w:val="single" w:sz="8" w:space="0" w:color="auto"/>
            </w:tcBorders>
            <w:shd w:val="clear" w:color="000000" w:fill="FFFFFF"/>
            <w:noWrap/>
            <w:vAlign w:val="center"/>
            <w:hideMark/>
          </w:tcPr>
          <w:p w14:paraId="2E23848D" w14:textId="77777777" w:rsidR="00D3471D" w:rsidRPr="00B13B9A" w:rsidRDefault="00D3471D" w:rsidP="00332FF7">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357.451,12</w:t>
            </w:r>
          </w:p>
        </w:tc>
      </w:tr>
      <w:tr w:rsidR="00D3471D" w:rsidRPr="00B13B9A" w14:paraId="4AE5DD97" w14:textId="77777777" w:rsidTr="002B7B86">
        <w:trPr>
          <w:trHeight w:val="20"/>
        </w:trPr>
        <w:tc>
          <w:tcPr>
            <w:tcW w:w="547" w:type="dxa"/>
            <w:tcBorders>
              <w:top w:val="nil"/>
              <w:left w:val="single" w:sz="8" w:space="0" w:color="auto"/>
              <w:bottom w:val="single" w:sz="4" w:space="0" w:color="auto"/>
              <w:right w:val="single" w:sz="4" w:space="0" w:color="auto"/>
            </w:tcBorders>
            <w:shd w:val="clear" w:color="000000" w:fill="FFFFFF"/>
            <w:noWrap/>
            <w:vAlign w:val="center"/>
            <w:hideMark/>
          </w:tcPr>
          <w:p w14:paraId="6C28F6B6" w14:textId="77777777" w:rsidR="00D3471D" w:rsidRPr="00B13B9A" w:rsidRDefault="00D3471D" w:rsidP="00332FF7">
            <w:pPr>
              <w:spacing w:after="0" w:line="240" w:lineRule="auto"/>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4</w:t>
            </w:r>
          </w:p>
        </w:tc>
        <w:tc>
          <w:tcPr>
            <w:tcW w:w="2998" w:type="dxa"/>
            <w:tcBorders>
              <w:top w:val="nil"/>
              <w:left w:val="nil"/>
              <w:bottom w:val="single" w:sz="4" w:space="0" w:color="auto"/>
              <w:right w:val="single" w:sz="4" w:space="0" w:color="auto"/>
            </w:tcBorders>
            <w:shd w:val="clear" w:color="000000" w:fill="FFFFFF"/>
            <w:vAlign w:val="center"/>
            <w:hideMark/>
          </w:tcPr>
          <w:p w14:paraId="7A8D99D4" w14:textId="77777777"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Bloc gospodăresc 0100213541.02</w:t>
            </w:r>
          </w:p>
        </w:tc>
        <w:tc>
          <w:tcPr>
            <w:tcW w:w="1480" w:type="dxa"/>
            <w:tcBorders>
              <w:top w:val="nil"/>
              <w:left w:val="nil"/>
              <w:bottom w:val="single" w:sz="4" w:space="0" w:color="auto"/>
              <w:right w:val="single" w:sz="4" w:space="0" w:color="auto"/>
            </w:tcBorders>
            <w:shd w:val="clear" w:color="000000" w:fill="FFFFFF"/>
            <w:vAlign w:val="center"/>
            <w:hideMark/>
          </w:tcPr>
          <w:p w14:paraId="255341A5" w14:textId="77777777" w:rsidR="00D3471D" w:rsidRPr="00B13B9A" w:rsidRDefault="00D3471D" w:rsidP="00332FF7">
            <w:pPr>
              <w:spacing w:after="0" w:line="240" w:lineRule="auto"/>
              <w:jc w:val="right"/>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4.771.437,00</w:t>
            </w:r>
          </w:p>
        </w:tc>
        <w:tc>
          <w:tcPr>
            <w:tcW w:w="1242" w:type="dxa"/>
            <w:tcBorders>
              <w:top w:val="nil"/>
              <w:left w:val="nil"/>
              <w:bottom w:val="single" w:sz="4" w:space="0" w:color="auto"/>
              <w:right w:val="single" w:sz="4" w:space="0" w:color="auto"/>
            </w:tcBorders>
            <w:shd w:val="clear" w:color="000000" w:fill="FFFFFF"/>
            <w:vAlign w:val="center"/>
            <w:hideMark/>
          </w:tcPr>
          <w:p w14:paraId="060A1283" w14:textId="6E9B2BA3"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Func</w:t>
            </w:r>
            <w:r w:rsidR="00B13B9A" w:rsidRPr="00B13B9A">
              <w:rPr>
                <w:rFonts w:asciiTheme="majorHAnsi" w:eastAsia="Times New Roman" w:hAnsiTheme="majorHAnsi" w:cstheme="majorHAnsi"/>
                <w:i/>
                <w:iCs/>
                <w:color w:val="000000"/>
                <w:sz w:val="20"/>
                <w:szCs w:val="20"/>
                <w:lang w:val="ro-MD"/>
              </w:rPr>
              <w:t>ț</w:t>
            </w:r>
            <w:r w:rsidRPr="00B13B9A">
              <w:rPr>
                <w:rFonts w:asciiTheme="majorHAnsi" w:eastAsia="Times New Roman" w:hAnsiTheme="majorHAnsi" w:cstheme="majorHAnsi"/>
                <w:i/>
                <w:iCs/>
                <w:color w:val="000000"/>
                <w:sz w:val="20"/>
                <w:szCs w:val="20"/>
                <w:lang w:val="ro-MD"/>
              </w:rPr>
              <w:t>ional</w:t>
            </w:r>
          </w:p>
        </w:tc>
        <w:tc>
          <w:tcPr>
            <w:tcW w:w="6491" w:type="dxa"/>
            <w:tcBorders>
              <w:top w:val="nil"/>
              <w:left w:val="nil"/>
              <w:bottom w:val="single" w:sz="4" w:space="0" w:color="auto"/>
              <w:right w:val="single" w:sz="4" w:space="0" w:color="auto"/>
            </w:tcBorders>
            <w:shd w:val="clear" w:color="000000" w:fill="FFFFFF"/>
            <w:vAlign w:val="center"/>
            <w:hideMark/>
          </w:tcPr>
          <w:p w14:paraId="4B74EE93" w14:textId="77777777"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Stare bună, este amplasată spălătoria</w:t>
            </w:r>
          </w:p>
        </w:tc>
        <w:tc>
          <w:tcPr>
            <w:tcW w:w="1378" w:type="dxa"/>
            <w:tcBorders>
              <w:top w:val="nil"/>
              <w:left w:val="nil"/>
              <w:bottom w:val="single" w:sz="4" w:space="0" w:color="auto"/>
              <w:right w:val="single" w:sz="8" w:space="0" w:color="auto"/>
            </w:tcBorders>
            <w:shd w:val="clear" w:color="000000" w:fill="FFFFFF"/>
            <w:noWrap/>
            <w:vAlign w:val="center"/>
            <w:hideMark/>
          </w:tcPr>
          <w:p w14:paraId="5FF16613" w14:textId="77777777" w:rsidR="00D3471D" w:rsidRPr="00B13B9A" w:rsidRDefault="00D3471D" w:rsidP="00332FF7">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3.139.989,60</w:t>
            </w:r>
          </w:p>
        </w:tc>
      </w:tr>
      <w:tr w:rsidR="00D3471D" w:rsidRPr="00B13B9A" w14:paraId="221B3D13" w14:textId="77777777" w:rsidTr="002B7B86">
        <w:trPr>
          <w:trHeight w:val="20"/>
        </w:trPr>
        <w:tc>
          <w:tcPr>
            <w:tcW w:w="547" w:type="dxa"/>
            <w:tcBorders>
              <w:top w:val="nil"/>
              <w:left w:val="single" w:sz="8" w:space="0" w:color="auto"/>
              <w:bottom w:val="single" w:sz="4" w:space="0" w:color="auto"/>
              <w:right w:val="single" w:sz="4" w:space="0" w:color="auto"/>
            </w:tcBorders>
            <w:shd w:val="clear" w:color="000000" w:fill="FFFFFF"/>
            <w:noWrap/>
            <w:vAlign w:val="center"/>
            <w:hideMark/>
          </w:tcPr>
          <w:p w14:paraId="6F72B8E7" w14:textId="77777777" w:rsidR="00D3471D" w:rsidRPr="00B13B9A" w:rsidRDefault="00D3471D" w:rsidP="00332FF7">
            <w:pPr>
              <w:spacing w:after="0" w:line="240" w:lineRule="auto"/>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5</w:t>
            </w:r>
          </w:p>
        </w:tc>
        <w:tc>
          <w:tcPr>
            <w:tcW w:w="2998" w:type="dxa"/>
            <w:tcBorders>
              <w:top w:val="nil"/>
              <w:left w:val="nil"/>
              <w:bottom w:val="single" w:sz="4" w:space="0" w:color="auto"/>
              <w:right w:val="single" w:sz="4" w:space="0" w:color="auto"/>
            </w:tcBorders>
            <w:shd w:val="clear" w:color="000000" w:fill="FFFFFF"/>
            <w:vAlign w:val="center"/>
            <w:hideMark/>
          </w:tcPr>
          <w:p w14:paraId="1F2C67F6" w14:textId="77777777"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Blocul  curativ nr. 2 Vorniceni 8042208387.13</w:t>
            </w:r>
          </w:p>
        </w:tc>
        <w:tc>
          <w:tcPr>
            <w:tcW w:w="1480" w:type="dxa"/>
            <w:tcBorders>
              <w:top w:val="nil"/>
              <w:left w:val="nil"/>
              <w:bottom w:val="single" w:sz="4" w:space="0" w:color="auto"/>
              <w:right w:val="single" w:sz="4" w:space="0" w:color="auto"/>
            </w:tcBorders>
            <w:shd w:val="clear" w:color="000000" w:fill="FFFFFF"/>
            <w:vAlign w:val="center"/>
            <w:hideMark/>
          </w:tcPr>
          <w:p w14:paraId="059D0D88" w14:textId="77777777" w:rsidR="00D3471D" w:rsidRPr="00B13B9A" w:rsidRDefault="00D3471D" w:rsidP="00332FF7">
            <w:pPr>
              <w:spacing w:after="0" w:line="240" w:lineRule="auto"/>
              <w:jc w:val="right"/>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3.914.348,00</w:t>
            </w:r>
          </w:p>
        </w:tc>
        <w:tc>
          <w:tcPr>
            <w:tcW w:w="1242" w:type="dxa"/>
            <w:tcBorders>
              <w:top w:val="nil"/>
              <w:left w:val="nil"/>
              <w:bottom w:val="single" w:sz="4" w:space="0" w:color="auto"/>
              <w:right w:val="single" w:sz="4" w:space="0" w:color="auto"/>
            </w:tcBorders>
            <w:shd w:val="clear" w:color="000000" w:fill="FFFFFF"/>
            <w:vAlign w:val="center"/>
            <w:hideMark/>
          </w:tcPr>
          <w:p w14:paraId="751CC09E" w14:textId="016BB724"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Nefunc</w:t>
            </w:r>
            <w:r w:rsidR="00B13B9A" w:rsidRPr="00B13B9A">
              <w:rPr>
                <w:rFonts w:asciiTheme="majorHAnsi" w:eastAsia="Times New Roman" w:hAnsiTheme="majorHAnsi" w:cstheme="majorHAnsi"/>
                <w:i/>
                <w:iCs/>
                <w:color w:val="000000"/>
                <w:sz w:val="20"/>
                <w:szCs w:val="20"/>
                <w:lang w:val="ro-MD"/>
              </w:rPr>
              <w:t>ț</w:t>
            </w:r>
            <w:r w:rsidRPr="00B13B9A">
              <w:rPr>
                <w:rFonts w:asciiTheme="majorHAnsi" w:eastAsia="Times New Roman" w:hAnsiTheme="majorHAnsi" w:cstheme="majorHAnsi"/>
                <w:i/>
                <w:iCs/>
                <w:color w:val="000000"/>
                <w:sz w:val="20"/>
                <w:szCs w:val="20"/>
                <w:lang w:val="ro-MD"/>
              </w:rPr>
              <w:t>ional</w:t>
            </w:r>
          </w:p>
        </w:tc>
        <w:tc>
          <w:tcPr>
            <w:tcW w:w="6491" w:type="dxa"/>
            <w:tcBorders>
              <w:top w:val="nil"/>
              <w:left w:val="nil"/>
              <w:bottom w:val="single" w:sz="4" w:space="0" w:color="auto"/>
              <w:right w:val="single" w:sz="4" w:space="0" w:color="auto"/>
            </w:tcBorders>
            <w:shd w:val="clear" w:color="000000" w:fill="FFFFFF"/>
            <w:vAlign w:val="center"/>
            <w:hideMark/>
          </w:tcPr>
          <w:p w14:paraId="6B165FA9" w14:textId="4AA53AC5"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Descrierea situa</w:t>
            </w:r>
            <w:r w:rsidR="00B13B9A" w:rsidRPr="00B13B9A">
              <w:rPr>
                <w:rFonts w:asciiTheme="majorHAnsi" w:eastAsia="Times New Roman" w:hAnsiTheme="majorHAnsi" w:cstheme="majorHAnsi"/>
                <w:i/>
                <w:iCs/>
                <w:color w:val="000000"/>
                <w:sz w:val="20"/>
                <w:szCs w:val="20"/>
                <w:lang w:val="ro-MD"/>
              </w:rPr>
              <w:t>ț</w:t>
            </w:r>
            <w:r w:rsidRPr="00B13B9A">
              <w:rPr>
                <w:rFonts w:asciiTheme="majorHAnsi" w:eastAsia="Times New Roman" w:hAnsiTheme="majorHAnsi" w:cstheme="majorHAnsi"/>
                <w:i/>
                <w:iCs/>
                <w:color w:val="000000"/>
                <w:sz w:val="20"/>
                <w:szCs w:val="20"/>
                <w:lang w:val="ro-MD"/>
              </w:rPr>
              <w:t>iei se prezintă mai jos de tabel.</w:t>
            </w:r>
          </w:p>
        </w:tc>
        <w:tc>
          <w:tcPr>
            <w:tcW w:w="1378" w:type="dxa"/>
            <w:tcBorders>
              <w:top w:val="nil"/>
              <w:left w:val="nil"/>
              <w:bottom w:val="single" w:sz="4" w:space="0" w:color="auto"/>
              <w:right w:val="single" w:sz="8" w:space="0" w:color="auto"/>
            </w:tcBorders>
            <w:shd w:val="clear" w:color="000000" w:fill="FFFFFF"/>
            <w:noWrap/>
            <w:vAlign w:val="center"/>
            <w:hideMark/>
          </w:tcPr>
          <w:p w14:paraId="5460D6BF" w14:textId="77777777" w:rsidR="00D3471D" w:rsidRPr="00B13B9A" w:rsidRDefault="00D3471D" w:rsidP="00332FF7">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3.914.348,00</w:t>
            </w:r>
          </w:p>
        </w:tc>
      </w:tr>
      <w:tr w:rsidR="00D3471D" w:rsidRPr="00B13B9A" w14:paraId="556FC376" w14:textId="77777777" w:rsidTr="002B7B86">
        <w:trPr>
          <w:trHeight w:val="20"/>
        </w:trPr>
        <w:tc>
          <w:tcPr>
            <w:tcW w:w="547" w:type="dxa"/>
            <w:tcBorders>
              <w:top w:val="nil"/>
              <w:left w:val="single" w:sz="8" w:space="0" w:color="auto"/>
              <w:bottom w:val="single" w:sz="4" w:space="0" w:color="auto"/>
              <w:right w:val="single" w:sz="4" w:space="0" w:color="auto"/>
            </w:tcBorders>
            <w:shd w:val="clear" w:color="000000" w:fill="FFFFFF"/>
            <w:noWrap/>
            <w:vAlign w:val="center"/>
            <w:hideMark/>
          </w:tcPr>
          <w:p w14:paraId="0A02B3A9" w14:textId="77777777" w:rsidR="00D3471D" w:rsidRPr="00B13B9A" w:rsidRDefault="00D3471D" w:rsidP="00332FF7">
            <w:pPr>
              <w:spacing w:after="0" w:line="240" w:lineRule="auto"/>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6</w:t>
            </w:r>
          </w:p>
        </w:tc>
        <w:tc>
          <w:tcPr>
            <w:tcW w:w="2998" w:type="dxa"/>
            <w:tcBorders>
              <w:top w:val="nil"/>
              <w:left w:val="nil"/>
              <w:bottom w:val="single" w:sz="4" w:space="0" w:color="auto"/>
              <w:right w:val="single" w:sz="4" w:space="0" w:color="auto"/>
            </w:tcBorders>
            <w:shd w:val="clear" w:color="000000" w:fill="FFFFFF"/>
            <w:vAlign w:val="center"/>
            <w:hideMark/>
          </w:tcPr>
          <w:p w14:paraId="24B2FEE3" w14:textId="77777777"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Blocul administrativ Vorniceni 8042208387.01</w:t>
            </w:r>
          </w:p>
        </w:tc>
        <w:tc>
          <w:tcPr>
            <w:tcW w:w="1480" w:type="dxa"/>
            <w:tcBorders>
              <w:top w:val="nil"/>
              <w:left w:val="nil"/>
              <w:bottom w:val="single" w:sz="4" w:space="0" w:color="auto"/>
              <w:right w:val="single" w:sz="4" w:space="0" w:color="auto"/>
            </w:tcBorders>
            <w:shd w:val="clear" w:color="000000" w:fill="FFFFFF"/>
            <w:vAlign w:val="center"/>
            <w:hideMark/>
          </w:tcPr>
          <w:p w14:paraId="01E90F8E" w14:textId="77777777" w:rsidR="00D3471D" w:rsidRPr="00B13B9A" w:rsidRDefault="00D3471D" w:rsidP="00332FF7">
            <w:pPr>
              <w:spacing w:after="0" w:line="240" w:lineRule="auto"/>
              <w:jc w:val="right"/>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1.490.830,00</w:t>
            </w:r>
          </w:p>
        </w:tc>
        <w:tc>
          <w:tcPr>
            <w:tcW w:w="1242" w:type="dxa"/>
            <w:tcBorders>
              <w:top w:val="nil"/>
              <w:left w:val="nil"/>
              <w:bottom w:val="single" w:sz="4" w:space="0" w:color="auto"/>
              <w:right w:val="single" w:sz="4" w:space="0" w:color="auto"/>
            </w:tcBorders>
            <w:shd w:val="clear" w:color="000000" w:fill="FFFFFF"/>
            <w:vAlign w:val="center"/>
            <w:hideMark/>
          </w:tcPr>
          <w:p w14:paraId="650659D4" w14:textId="22EF0FEB"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Func</w:t>
            </w:r>
            <w:r w:rsidR="00B13B9A" w:rsidRPr="00B13B9A">
              <w:rPr>
                <w:rFonts w:asciiTheme="majorHAnsi" w:eastAsia="Times New Roman" w:hAnsiTheme="majorHAnsi" w:cstheme="majorHAnsi"/>
                <w:i/>
                <w:iCs/>
                <w:color w:val="000000"/>
                <w:sz w:val="20"/>
                <w:szCs w:val="20"/>
                <w:lang w:val="ro-MD"/>
              </w:rPr>
              <w:t>ț</w:t>
            </w:r>
            <w:r w:rsidRPr="00B13B9A">
              <w:rPr>
                <w:rFonts w:asciiTheme="majorHAnsi" w:eastAsia="Times New Roman" w:hAnsiTheme="majorHAnsi" w:cstheme="majorHAnsi"/>
                <w:i/>
                <w:iCs/>
                <w:color w:val="000000"/>
                <w:sz w:val="20"/>
                <w:szCs w:val="20"/>
                <w:lang w:val="ro-MD"/>
              </w:rPr>
              <w:t>ional</w:t>
            </w:r>
          </w:p>
        </w:tc>
        <w:tc>
          <w:tcPr>
            <w:tcW w:w="6491" w:type="dxa"/>
            <w:tcBorders>
              <w:top w:val="nil"/>
              <w:left w:val="nil"/>
              <w:bottom w:val="single" w:sz="4" w:space="0" w:color="auto"/>
              <w:right w:val="single" w:sz="4" w:space="0" w:color="auto"/>
            </w:tcBorders>
            <w:shd w:val="clear" w:color="000000" w:fill="FFFFFF"/>
            <w:vAlign w:val="center"/>
            <w:hideMark/>
          </w:tcPr>
          <w:p w14:paraId="3FB11068" w14:textId="3A1925D3"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Stare bună, se utilizează în activitatea entită</w:t>
            </w:r>
            <w:r w:rsidR="00B13B9A" w:rsidRPr="00B13B9A">
              <w:rPr>
                <w:rFonts w:asciiTheme="majorHAnsi" w:eastAsia="Times New Roman" w:hAnsiTheme="majorHAnsi" w:cstheme="majorHAnsi"/>
                <w:i/>
                <w:iCs/>
                <w:color w:val="000000"/>
                <w:sz w:val="20"/>
                <w:szCs w:val="20"/>
                <w:lang w:val="ro-MD"/>
              </w:rPr>
              <w:t>ț</w:t>
            </w:r>
            <w:r w:rsidRPr="00B13B9A">
              <w:rPr>
                <w:rFonts w:asciiTheme="majorHAnsi" w:eastAsia="Times New Roman" w:hAnsiTheme="majorHAnsi" w:cstheme="majorHAnsi"/>
                <w:i/>
                <w:iCs/>
                <w:color w:val="000000"/>
                <w:sz w:val="20"/>
                <w:szCs w:val="20"/>
                <w:lang w:val="ro-MD"/>
              </w:rPr>
              <w:t>ii.</w:t>
            </w:r>
          </w:p>
        </w:tc>
        <w:tc>
          <w:tcPr>
            <w:tcW w:w="1378" w:type="dxa"/>
            <w:tcBorders>
              <w:top w:val="nil"/>
              <w:left w:val="nil"/>
              <w:bottom w:val="single" w:sz="4" w:space="0" w:color="auto"/>
              <w:right w:val="single" w:sz="8" w:space="0" w:color="auto"/>
            </w:tcBorders>
            <w:shd w:val="clear" w:color="000000" w:fill="FFFFFF"/>
            <w:noWrap/>
            <w:vAlign w:val="center"/>
            <w:hideMark/>
          </w:tcPr>
          <w:p w14:paraId="06CF2FF7" w14:textId="77777777" w:rsidR="00D3471D" w:rsidRPr="00B13B9A" w:rsidRDefault="00D3471D" w:rsidP="00332FF7">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1.129.875,85</w:t>
            </w:r>
          </w:p>
        </w:tc>
      </w:tr>
      <w:tr w:rsidR="00D3471D" w:rsidRPr="00B13B9A" w14:paraId="0F7F53C1" w14:textId="77777777" w:rsidTr="002B7B86">
        <w:trPr>
          <w:trHeight w:val="20"/>
        </w:trPr>
        <w:tc>
          <w:tcPr>
            <w:tcW w:w="547" w:type="dxa"/>
            <w:tcBorders>
              <w:top w:val="nil"/>
              <w:left w:val="single" w:sz="8" w:space="0" w:color="auto"/>
              <w:bottom w:val="single" w:sz="4" w:space="0" w:color="auto"/>
              <w:right w:val="single" w:sz="4" w:space="0" w:color="auto"/>
            </w:tcBorders>
            <w:shd w:val="clear" w:color="000000" w:fill="FFFFFF"/>
            <w:noWrap/>
            <w:vAlign w:val="center"/>
            <w:hideMark/>
          </w:tcPr>
          <w:p w14:paraId="3BAA7091" w14:textId="77777777" w:rsidR="00D3471D" w:rsidRPr="00B13B9A" w:rsidRDefault="00D3471D" w:rsidP="00332FF7">
            <w:pPr>
              <w:spacing w:after="0" w:line="240" w:lineRule="auto"/>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7</w:t>
            </w:r>
          </w:p>
        </w:tc>
        <w:tc>
          <w:tcPr>
            <w:tcW w:w="2998" w:type="dxa"/>
            <w:tcBorders>
              <w:top w:val="nil"/>
              <w:left w:val="nil"/>
              <w:bottom w:val="single" w:sz="4" w:space="0" w:color="auto"/>
              <w:right w:val="single" w:sz="4" w:space="0" w:color="auto"/>
            </w:tcBorders>
            <w:shd w:val="clear" w:color="000000" w:fill="FFFFFF"/>
            <w:vAlign w:val="center"/>
            <w:hideMark/>
          </w:tcPr>
          <w:p w14:paraId="14AD3755" w14:textId="77777777"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Blocul alimentar Vorniceni 8042208387.08</w:t>
            </w:r>
          </w:p>
        </w:tc>
        <w:tc>
          <w:tcPr>
            <w:tcW w:w="1480" w:type="dxa"/>
            <w:tcBorders>
              <w:top w:val="nil"/>
              <w:left w:val="nil"/>
              <w:bottom w:val="single" w:sz="4" w:space="0" w:color="auto"/>
              <w:right w:val="single" w:sz="4" w:space="0" w:color="auto"/>
            </w:tcBorders>
            <w:shd w:val="clear" w:color="000000" w:fill="FFFFFF"/>
            <w:vAlign w:val="center"/>
            <w:hideMark/>
          </w:tcPr>
          <w:p w14:paraId="54306463" w14:textId="77777777" w:rsidR="00D3471D" w:rsidRPr="00B13B9A" w:rsidRDefault="00D3471D" w:rsidP="00332FF7">
            <w:pPr>
              <w:spacing w:after="0" w:line="240" w:lineRule="auto"/>
              <w:jc w:val="right"/>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17.048.607,04</w:t>
            </w:r>
          </w:p>
        </w:tc>
        <w:tc>
          <w:tcPr>
            <w:tcW w:w="1242" w:type="dxa"/>
            <w:tcBorders>
              <w:top w:val="nil"/>
              <w:left w:val="nil"/>
              <w:bottom w:val="single" w:sz="4" w:space="0" w:color="auto"/>
              <w:right w:val="single" w:sz="4" w:space="0" w:color="auto"/>
            </w:tcBorders>
            <w:shd w:val="clear" w:color="000000" w:fill="FFFFFF"/>
            <w:vAlign w:val="center"/>
            <w:hideMark/>
          </w:tcPr>
          <w:p w14:paraId="5F87FFC2" w14:textId="5D995345"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Func</w:t>
            </w:r>
            <w:r w:rsidR="00B13B9A" w:rsidRPr="00B13B9A">
              <w:rPr>
                <w:rFonts w:asciiTheme="majorHAnsi" w:eastAsia="Times New Roman" w:hAnsiTheme="majorHAnsi" w:cstheme="majorHAnsi"/>
                <w:i/>
                <w:iCs/>
                <w:color w:val="000000"/>
                <w:sz w:val="20"/>
                <w:szCs w:val="20"/>
                <w:lang w:val="ro-MD"/>
              </w:rPr>
              <w:t>ț</w:t>
            </w:r>
            <w:r w:rsidRPr="00B13B9A">
              <w:rPr>
                <w:rFonts w:asciiTheme="majorHAnsi" w:eastAsia="Times New Roman" w:hAnsiTheme="majorHAnsi" w:cstheme="majorHAnsi"/>
                <w:i/>
                <w:iCs/>
                <w:color w:val="000000"/>
                <w:sz w:val="20"/>
                <w:szCs w:val="20"/>
                <w:lang w:val="ro-MD"/>
              </w:rPr>
              <w:t>ional</w:t>
            </w:r>
          </w:p>
        </w:tc>
        <w:tc>
          <w:tcPr>
            <w:tcW w:w="6491" w:type="dxa"/>
            <w:tcBorders>
              <w:top w:val="nil"/>
              <w:left w:val="nil"/>
              <w:bottom w:val="single" w:sz="4" w:space="0" w:color="auto"/>
              <w:right w:val="single" w:sz="4" w:space="0" w:color="auto"/>
            </w:tcBorders>
            <w:shd w:val="clear" w:color="000000" w:fill="FFFFFF"/>
            <w:vAlign w:val="center"/>
            <w:hideMark/>
          </w:tcPr>
          <w:p w14:paraId="7F6B8E7D" w14:textId="4F307410"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Reparat în anul 2008. Stare func</w:t>
            </w:r>
            <w:r w:rsidR="00B13B9A" w:rsidRPr="00B13B9A">
              <w:rPr>
                <w:rFonts w:asciiTheme="majorHAnsi" w:eastAsia="Times New Roman" w:hAnsiTheme="majorHAnsi" w:cstheme="majorHAnsi"/>
                <w:i/>
                <w:iCs/>
                <w:color w:val="000000"/>
                <w:sz w:val="20"/>
                <w:szCs w:val="20"/>
                <w:lang w:val="ro-MD"/>
              </w:rPr>
              <w:t>ț</w:t>
            </w:r>
            <w:r w:rsidRPr="00B13B9A">
              <w:rPr>
                <w:rFonts w:asciiTheme="majorHAnsi" w:eastAsia="Times New Roman" w:hAnsiTheme="majorHAnsi" w:cstheme="majorHAnsi"/>
                <w:i/>
                <w:iCs/>
                <w:color w:val="000000"/>
                <w:sz w:val="20"/>
                <w:szCs w:val="20"/>
                <w:lang w:val="ro-MD"/>
              </w:rPr>
              <w:t>ională. De</w:t>
            </w:r>
            <w:r w:rsidR="00B13B9A" w:rsidRPr="00B13B9A">
              <w:rPr>
                <w:rFonts w:asciiTheme="majorHAnsi" w:eastAsia="Times New Roman" w:hAnsiTheme="majorHAnsi" w:cstheme="majorHAnsi"/>
                <w:i/>
                <w:iCs/>
                <w:color w:val="000000"/>
                <w:sz w:val="20"/>
                <w:szCs w:val="20"/>
                <w:lang w:val="ro-MD"/>
              </w:rPr>
              <w:t>ț</w:t>
            </w:r>
            <w:r w:rsidRPr="00B13B9A">
              <w:rPr>
                <w:rFonts w:asciiTheme="majorHAnsi" w:eastAsia="Times New Roman" w:hAnsiTheme="majorHAnsi" w:cstheme="majorHAnsi"/>
                <w:i/>
                <w:iCs/>
                <w:color w:val="000000"/>
                <w:sz w:val="20"/>
                <w:szCs w:val="20"/>
                <w:lang w:val="ro-MD"/>
              </w:rPr>
              <w:t xml:space="preserve">ine încăpere pentru alimentarea a aproximativ 252 persoane. Amenajată cu vestiar </w:t>
            </w:r>
            <w:r w:rsidR="00B13B9A" w:rsidRPr="00B13B9A">
              <w:rPr>
                <w:rFonts w:asciiTheme="majorHAnsi" w:eastAsia="Times New Roman" w:hAnsiTheme="majorHAnsi" w:cstheme="majorHAnsi"/>
                <w:i/>
                <w:iCs/>
                <w:color w:val="000000"/>
                <w:sz w:val="20"/>
                <w:szCs w:val="20"/>
                <w:lang w:val="ro-MD"/>
              </w:rPr>
              <w:t>ș</w:t>
            </w:r>
            <w:r w:rsidRPr="00B13B9A">
              <w:rPr>
                <w:rFonts w:asciiTheme="majorHAnsi" w:eastAsia="Times New Roman" w:hAnsiTheme="majorHAnsi" w:cstheme="majorHAnsi"/>
                <w:i/>
                <w:iCs/>
                <w:color w:val="000000"/>
                <w:sz w:val="20"/>
                <w:szCs w:val="20"/>
                <w:lang w:val="ro-MD"/>
              </w:rPr>
              <w:t>i bloc sanitar. În activitate se utilizează bucătăria pentru prepararea bucatelor. Sala(ospătăria) nu este utilizată, pacien</w:t>
            </w:r>
            <w:r w:rsidR="00B13B9A" w:rsidRPr="00B13B9A">
              <w:rPr>
                <w:rFonts w:asciiTheme="majorHAnsi" w:eastAsia="Times New Roman" w:hAnsiTheme="majorHAnsi" w:cstheme="majorHAnsi"/>
                <w:i/>
                <w:iCs/>
                <w:color w:val="000000"/>
                <w:sz w:val="20"/>
                <w:szCs w:val="20"/>
                <w:lang w:val="ro-MD"/>
              </w:rPr>
              <w:t>ț</w:t>
            </w:r>
            <w:r w:rsidRPr="00B13B9A">
              <w:rPr>
                <w:rFonts w:asciiTheme="majorHAnsi" w:eastAsia="Times New Roman" w:hAnsiTheme="majorHAnsi" w:cstheme="majorHAnsi"/>
                <w:i/>
                <w:iCs/>
                <w:color w:val="000000"/>
                <w:sz w:val="20"/>
                <w:szCs w:val="20"/>
                <w:lang w:val="ro-MD"/>
              </w:rPr>
              <w:t>ii alimentându-se în saloane. Totodată, mai este o sală de conferin</w:t>
            </w:r>
            <w:r w:rsidR="00B13B9A" w:rsidRPr="00B13B9A">
              <w:rPr>
                <w:rFonts w:asciiTheme="majorHAnsi" w:eastAsia="Times New Roman" w:hAnsiTheme="majorHAnsi" w:cstheme="majorHAnsi"/>
                <w:i/>
                <w:iCs/>
                <w:color w:val="000000"/>
                <w:sz w:val="20"/>
                <w:szCs w:val="20"/>
                <w:lang w:val="ro-MD"/>
              </w:rPr>
              <w:t>ț</w:t>
            </w:r>
            <w:r w:rsidRPr="00B13B9A">
              <w:rPr>
                <w:rFonts w:asciiTheme="majorHAnsi" w:eastAsia="Times New Roman" w:hAnsiTheme="majorHAnsi" w:cstheme="majorHAnsi"/>
                <w:i/>
                <w:iCs/>
                <w:color w:val="000000"/>
                <w:sz w:val="20"/>
                <w:szCs w:val="20"/>
                <w:lang w:val="ro-MD"/>
              </w:rPr>
              <w:t>e pe care entitatea o utilizează pentru colaboratori.</w:t>
            </w:r>
          </w:p>
        </w:tc>
        <w:tc>
          <w:tcPr>
            <w:tcW w:w="1378" w:type="dxa"/>
            <w:tcBorders>
              <w:top w:val="nil"/>
              <w:left w:val="nil"/>
              <w:bottom w:val="single" w:sz="4" w:space="0" w:color="auto"/>
              <w:right w:val="single" w:sz="8" w:space="0" w:color="auto"/>
            </w:tcBorders>
            <w:shd w:val="clear" w:color="000000" w:fill="FFFFFF"/>
            <w:noWrap/>
            <w:vAlign w:val="center"/>
            <w:hideMark/>
          </w:tcPr>
          <w:p w14:paraId="5C464985" w14:textId="77777777" w:rsidR="00D3471D" w:rsidRPr="00B13B9A" w:rsidRDefault="00D3471D" w:rsidP="00332FF7">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14.635.674,05</w:t>
            </w:r>
          </w:p>
        </w:tc>
      </w:tr>
      <w:tr w:rsidR="00D3471D" w:rsidRPr="00B13B9A" w14:paraId="31944AEC" w14:textId="77777777" w:rsidTr="002B7B86">
        <w:trPr>
          <w:trHeight w:val="20"/>
        </w:trPr>
        <w:tc>
          <w:tcPr>
            <w:tcW w:w="547" w:type="dxa"/>
            <w:tcBorders>
              <w:top w:val="nil"/>
              <w:left w:val="single" w:sz="8" w:space="0" w:color="auto"/>
              <w:bottom w:val="single" w:sz="4" w:space="0" w:color="auto"/>
              <w:right w:val="single" w:sz="4" w:space="0" w:color="auto"/>
            </w:tcBorders>
            <w:shd w:val="clear" w:color="000000" w:fill="FFFFFF"/>
            <w:noWrap/>
            <w:vAlign w:val="center"/>
            <w:hideMark/>
          </w:tcPr>
          <w:p w14:paraId="22BCBDD3" w14:textId="77777777" w:rsidR="00D3471D" w:rsidRPr="00B13B9A" w:rsidRDefault="00D3471D" w:rsidP="00332FF7">
            <w:pPr>
              <w:spacing w:after="0" w:line="240" w:lineRule="auto"/>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8</w:t>
            </w:r>
          </w:p>
        </w:tc>
        <w:tc>
          <w:tcPr>
            <w:tcW w:w="2998" w:type="dxa"/>
            <w:tcBorders>
              <w:top w:val="nil"/>
              <w:left w:val="nil"/>
              <w:bottom w:val="single" w:sz="4" w:space="0" w:color="auto"/>
              <w:right w:val="single" w:sz="4" w:space="0" w:color="auto"/>
            </w:tcBorders>
            <w:shd w:val="clear" w:color="000000" w:fill="FFFFFF"/>
            <w:vAlign w:val="center"/>
            <w:hideMark/>
          </w:tcPr>
          <w:p w14:paraId="3DCB0FA9" w14:textId="77777777"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Blocul curativ nr.1 Vorniceni 8042208387.29</w:t>
            </w:r>
          </w:p>
        </w:tc>
        <w:tc>
          <w:tcPr>
            <w:tcW w:w="1480" w:type="dxa"/>
            <w:tcBorders>
              <w:top w:val="nil"/>
              <w:left w:val="nil"/>
              <w:bottom w:val="single" w:sz="4" w:space="0" w:color="auto"/>
              <w:right w:val="single" w:sz="4" w:space="0" w:color="auto"/>
            </w:tcBorders>
            <w:shd w:val="clear" w:color="000000" w:fill="FFFFFF"/>
            <w:vAlign w:val="center"/>
            <w:hideMark/>
          </w:tcPr>
          <w:p w14:paraId="32248F3A" w14:textId="77777777" w:rsidR="00D3471D" w:rsidRPr="00B13B9A" w:rsidRDefault="00D3471D" w:rsidP="00332FF7">
            <w:pPr>
              <w:spacing w:after="0" w:line="240" w:lineRule="auto"/>
              <w:jc w:val="right"/>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35.074.443,53</w:t>
            </w:r>
          </w:p>
        </w:tc>
        <w:tc>
          <w:tcPr>
            <w:tcW w:w="1242" w:type="dxa"/>
            <w:tcBorders>
              <w:top w:val="nil"/>
              <w:left w:val="nil"/>
              <w:bottom w:val="single" w:sz="4" w:space="0" w:color="auto"/>
              <w:right w:val="single" w:sz="4" w:space="0" w:color="auto"/>
            </w:tcBorders>
            <w:shd w:val="clear" w:color="000000" w:fill="FFFFFF"/>
            <w:vAlign w:val="center"/>
            <w:hideMark/>
          </w:tcPr>
          <w:p w14:paraId="3F976CD3" w14:textId="30C75A34"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Func</w:t>
            </w:r>
            <w:r w:rsidR="00B13B9A" w:rsidRPr="00B13B9A">
              <w:rPr>
                <w:rFonts w:asciiTheme="majorHAnsi" w:eastAsia="Times New Roman" w:hAnsiTheme="majorHAnsi" w:cstheme="majorHAnsi"/>
                <w:i/>
                <w:iCs/>
                <w:color w:val="000000"/>
                <w:sz w:val="20"/>
                <w:szCs w:val="20"/>
                <w:lang w:val="ro-MD"/>
              </w:rPr>
              <w:t>ț</w:t>
            </w:r>
            <w:r w:rsidRPr="00B13B9A">
              <w:rPr>
                <w:rFonts w:asciiTheme="majorHAnsi" w:eastAsia="Times New Roman" w:hAnsiTheme="majorHAnsi" w:cstheme="majorHAnsi"/>
                <w:i/>
                <w:iCs/>
                <w:color w:val="000000"/>
                <w:sz w:val="20"/>
                <w:szCs w:val="20"/>
                <w:lang w:val="ro-MD"/>
              </w:rPr>
              <w:t>ional</w:t>
            </w:r>
          </w:p>
        </w:tc>
        <w:tc>
          <w:tcPr>
            <w:tcW w:w="6491" w:type="dxa"/>
            <w:tcBorders>
              <w:top w:val="nil"/>
              <w:left w:val="nil"/>
              <w:bottom w:val="single" w:sz="4" w:space="0" w:color="auto"/>
              <w:right w:val="single" w:sz="4" w:space="0" w:color="auto"/>
            </w:tcBorders>
            <w:shd w:val="clear" w:color="000000" w:fill="FFFFFF"/>
            <w:vAlign w:val="center"/>
            <w:hideMark/>
          </w:tcPr>
          <w:p w14:paraId="2F36C2CE" w14:textId="3B892591"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Stare bună, se utilizează până în prezent pentru pacien</w:t>
            </w:r>
            <w:r w:rsidR="00B13B9A" w:rsidRPr="00B13B9A">
              <w:rPr>
                <w:rFonts w:asciiTheme="majorHAnsi" w:eastAsia="Times New Roman" w:hAnsiTheme="majorHAnsi" w:cstheme="majorHAnsi"/>
                <w:i/>
                <w:iCs/>
                <w:color w:val="000000"/>
                <w:sz w:val="20"/>
                <w:szCs w:val="20"/>
                <w:lang w:val="ro-MD"/>
              </w:rPr>
              <w:t>ț</w:t>
            </w:r>
            <w:r w:rsidRPr="00B13B9A">
              <w:rPr>
                <w:rFonts w:asciiTheme="majorHAnsi" w:eastAsia="Times New Roman" w:hAnsiTheme="majorHAnsi" w:cstheme="majorHAnsi"/>
                <w:i/>
                <w:iCs/>
                <w:color w:val="000000"/>
                <w:sz w:val="20"/>
                <w:szCs w:val="20"/>
                <w:lang w:val="ro-MD"/>
              </w:rPr>
              <w:t>i drog rezisten</w:t>
            </w:r>
            <w:r w:rsidR="00B13B9A" w:rsidRPr="00B13B9A">
              <w:rPr>
                <w:rFonts w:asciiTheme="majorHAnsi" w:eastAsia="Times New Roman" w:hAnsiTheme="majorHAnsi" w:cstheme="majorHAnsi"/>
                <w:i/>
                <w:iCs/>
                <w:color w:val="000000"/>
                <w:sz w:val="20"/>
                <w:szCs w:val="20"/>
                <w:lang w:val="ro-MD"/>
              </w:rPr>
              <w:t>ț</w:t>
            </w:r>
            <w:r w:rsidRPr="00B13B9A">
              <w:rPr>
                <w:rFonts w:asciiTheme="majorHAnsi" w:eastAsia="Times New Roman" w:hAnsiTheme="majorHAnsi" w:cstheme="majorHAnsi"/>
                <w:i/>
                <w:iCs/>
                <w:color w:val="000000"/>
                <w:sz w:val="20"/>
                <w:szCs w:val="20"/>
                <w:lang w:val="ro-MD"/>
              </w:rPr>
              <w:t>i. Sunt executate repara</w:t>
            </w:r>
            <w:r w:rsidR="00B13B9A" w:rsidRPr="00B13B9A">
              <w:rPr>
                <w:rFonts w:asciiTheme="majorHAnsi" w:eastAsia="Times New Roman" w:hAnsiTheme="majorHAnsi" w:cstheme="majorHAnsi"/>
                <w:i/>
                <w:iCs/>
                <w:color w:val="000000"/>
                <w:sz w:val="20"/>
                <w:szCs w:val="20"/>
                <w:lang w:val="ro-MD"/>
              </w:rPr>
              <w:t>ț</w:t>
            </w:r>
            <w:r w:rsidRPr="00B13B9A">
              <w:rPr>
                <w:rFonts w:asciiTheme="majorHAnsi" w:eastAsia="Times New Roman" w:hAnsiTheme="majorHAnsi" w:cstheme="majorHAnsi"/>
                <w:i/>
                <w:iCs/>
                <w:color w:val="000000"/>
                <w:sz w:val="20"/>
                <w:szCs w:val="20"/>
                <w:lang w:val="ro-MD"/>
              </w:rPr>
              <w:t>ii, mobilierul este  bun.</w:t>
            </w:r>
          </w:p>
        </w:tc>
        <w:tc>
          <w:tcPr>
            <w:tcW w:w="1378" w:type="dxa"/>
            <w:tcBorders>
              <w:top w:val="nil"/>
              <w:left w:val="nil"/>
              <w:bottom w:val="single" w:sz="4" w:space="0" w:color="auto"/>
              <w:right w:val="single" w:sz="8" w:space="0" w:color="auto"/>
            </w:tcBorders>
            <w:shd w:val="clear" w:color="000000" w:fill="FFFFFF"/>
            <w:noWrap/>
            <w:vAlign w:val="center"/>
            <w:hideMark/>
          </w:tcPr>
          <w:p w14:paraId="62DC1EBE" w14:textId="77777777" w:rsidR="00D3471D" w:rsidRPr="00B13B9A" w:rsidRDefault="00D3471D" w:rsidP="00332FF7">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6.611.532,49</w:t>
            </w:r>
          </w:p>
        </w:tc>
      </w:tr>
      <w:tr w:rsidR="00D3471D" w:rsidRPr="00B13B9A" w14:paraId="25E6D501" w14:textId="77777777" w:rsidTr="002B7B86">
        <w:trPr>
          <w:trHeight w:val="20"/>
        </w:trPr>
        <w:tc>
          <w:tcPr>
            <w:tcW w:w="547" w:type="dxa"/>
            <w:tcBorders>
              <w:top w:val="nil"/>
              <w:left w:val="single" w:sz="8" w:space="0" w:color="auto"/>
              <w:bottom w:val="single" w:sz="4" w:space="0" w:color="auto"/>
              <w:right w:val="single" w:sz="4" w:space="0" w:color="auto"/>
            </w:tcBorders>
            <w:shd w:val="clear" w:color="000000" w:fill="FFFFFF"/>
            <w:noWrap/>
            <w:vAlign w:val="center"/>
            <w:hideMark/>
          </w:tcPr>
          <w:p w14:paraId="210B08CB" w14:textId="77777777" w:rsidR="00D3471D" w:rsidRPr="00B13B9A" w:rsidRDefault="00D3471D" w:rsidP="00332FF7">
            <w:pPr>
              <w:spacing w:after="0" w:line="240" w:lineRule="auto"/>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9</w:t>
            </w:r>
          </w:p>
        </w:tc>
        <w:tc>
          <w:tcPr>
            <w:tcW w:w="2998" w:type="dxa"/>
            <w:tcBorders>
              <w:top w:val="nil"/>
              <w:left w:val="nil"/>
              <w:bottom w:val="single" w:sz="4" w:space="0" w:color="auto"/>
              <w:right w:val="single" w:sz="4" w:space="0" w:color="auto"/>
            </w:tcBorders>
            <w:shd w:val="clear" w:color="000000" w:fill="FFFFFF"/>
            <w:vAlign w:val="center"/>
            <w:hideMark/>
          </w:tcPr>
          <w:p w14:paraId="3F5D0B0B" w14:textId="77777777"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Blocul laborator diagnostic Vorniceni 8042208387.06</w:t>
            </w:r>
          </w:p>
        </w:tc>
        <w:tc>
          <w:tcPr>
            <w:tcW w:w="1480" w:type="dxa"/>
            <w:tcBorders>
              <w:top w:val="nil"/>
              <w:left w:val="nil"/>
              <w:bottom w:val="single" w:sz="4" w:space="0" w:color="auto"/>
              <w:right w:val="single" w:sz="4" w:space="0" w:color="auto"/>
            </w:tcBorders>
            <w:shd w:val="clear" w:color="000000" w:fill="FFFFFF"/>
            <w:vAlign w:val="center"/>
            <w:hideMark/>
          </w:tcPr>
          <w:p w14:paraId="6F7D80C8" w14:textId="77777777" w:rsidR="00D3471D" w:rsidRPr="00B13B9A" w:rsidRDefault="00D3471D" w:rsidP="00332FF7">
            <w:pPr>
              <w:spacing w:after="0" w:line="240" w:lineRule="auto"/>
              <w:jc w:val="right"/>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2.034.644,00</w:t>
            </w:r>
          </w:p>
        </w:tc>
        <w:tc>
          <w:tcPr>
            <w:tcW w:w="1242" w:type="dxa"/>
            <w:tcBorders>
              <w:top w:val="nil"/>
              <w:left w:val="nil"/>
              <w:bottom w:val="single" w:sz="4" w:space="0" w:color="auto"/>
              <w:right w:val="single" w:sz="4" w:space="0" w:color="auto"/>
            </w:tcBorders>
            <w:shd w:val="clear" w:color="000000" w:fill="FFFFFF"/>
            <w:vAlign w:val="center"/>
            <w:hideMark/>
          </w:tcPr>
          <w:p w14:paraId="3CC2660D" w14:textId="2FA50D49"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Nefunc</w:t>
            </w:r>
            <w:r w:rsidR="00B13B9A" w:rsidRPr="00B13B9A">
              <w:rPr>
                <w:rFonts w:asciiTheme="majorHAnsi" w:eastAsia="Times New Roman" w:hAnsiTheme="majorHAnsi" w:cstheme="majorHAnsi"/>
                <w:i/>
                <w:iCs/>
                <w:color w:val="000000"/>
                <w:sz w:val="20"/>
                <w:szCs w:val="20"/>
                <w:lang w:val="ro-MD"/>
              </w:rPr>
              <w:t>ț</w:t>
            </w:r>
            <w:r w:rsidRPr="00B13B9A">
              <w:rPr>
                <w:rFonts w:asciiTheme="majorHAnsi" w:eastAsia="Times New Roman" w:hAnsiTheme="majorHAnsi" w:cstheme="majorHAnsi"/>
                <w:i/>
                <w:iCs/>
                <w:color w:val="000000"/>
                <w:sz w:val="20"/>
                <w:szCs w:val="20"/>
                <w:lang w:val="ro-MD"/>
              </w:rPr>
              <w:t>ional</w:t>
            </w:r>
          </w:p>
        </w:tc>
        <w:tc>
          <w:tcPr>
            <w:tcW w:w="6491" w:type="dxa"/>
            <w:tcBorders>
              <w:top w:val="nil"/>
              <w:left w:val="nil"/>
              <w:bottom w:val="single" w:sz="4" w:space="0" w:color="auto"/>
              <w:right w:val="single" w:sz="4" w:space="0" w:color="auto"/>
            </w:tcBorders>
            <w:shd w:val="clear" w:color="000000" w:fill="FFFFFF"/>
            <w:vAlign w:val="center"/>
            <w:hideMark/>
          </w:tcPr>
          <w:p w14:paraId="08D1E20F" w14:textId="77777777"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Stare deplorabilă, învechit</w:t>
            </w:r>
          </w:p>
        </w:tc>
        <w:tc>
          <w:tcPr>
            <w:tcW w:w="1378" w:type="dxa"/>
            <w:tcBorders>
              <w:top w:val="nil"/>
              <w:left w:val="nil"/>
              <w:bottom w:val="single" w:sz="4" w:space="0" w:color="auto"/>
              <w:right w:val="single" w:sz="8" w:space="0" w:color="auto"/>
            </w:tcBorders>
            <w:shd w:val="clear" w:color="000000" w:fill="FFFFFF"/>
            <w:noWrap/>
            <w:vAlign w:val="center"/>
            <w:hideMark/>
          </w:tcPr>
          <w:p w14:paraId="76DA0B0C" w14:textId="77777777" w:rsidR="00D3471D" w:rsidRPr="00B13B9A" w:rsidRDefault="00D3471D" w:rsidP="00332FF7">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1.386.087,50</w:t>
            </w:r>
          </w:p>
        </w:tc>
      </w:tr>
      <w:tr w:rsidR="00D3471D" w:rsidRPr="00B13B9A" w14:paraId="6511C6A5" w14:textId="77777777" w:rsidTr="002B7B86">
        <w:trPr>
          <w:trHeight w:val="20"/>
        </w:trPr>
        <w:tc>
          <w:tcPr>
            <w:tcW w:w="547" w:type="dxa"/>
            <w:tcBorders>
              <w:top w:val="nil"/>
              <w:left w:val="single" w:sz="8" w:space="0" w:color="auto"/>
              <w:bottom w:val="single" w:sz="4" w:space="0" w:color="auto"/>
              <w:right w:val="single" w:sz="4" w:space="0" w:color="auto"/>
            </w:tcBorders>
            <w:shd w:val="clear" w:color="000000" w:fill="FFFFFF"/>
            <w:noWrap/>
            <w:vAlign w:val="center"/>
            <w:hideMark/>
          </w:tcPr>
          <w:p w14:paraId="238654C4" w14:textId="77777777" w:rsidR="00D3471D" w:rsidRPr="00B13B9A" w:rsidRDefault="00D3471D" w:rsidP="00332FF7">
            <w:pPr>
              <w:spacing w:after="0" w:line="240" w:lineRule="auto"/>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10</w:t>
            </w:r>
          </w:p>
        </w:tc>
        <w:tc>
          <w:tcPr>
            <w:tcW w:w="2998" w:type="dxa"/>
            <w:tcBorders>
              <w:top w:val="nil"/>
              <w:left w:val="nil"/>
              <w:bottom w:val="single" w:sz="4" w:space="0" w:color="auto"/>
              <w:right w:val="single" w:sz="4" w:space="0" w:color="auto"/>
            </w:tcBorders>
            <w:shd w:val="clear" w:color="000000" w:fill="FFFFFF"/>
            <w:vAlign w:val="center"/>
            <w:hideMark/>
          </w:tcPr>
          <w:p w14:paraId="736EAF07" w14:textId="77777777"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Blocul morfopatologic Vorniceni 8042208387.22</w:t>
            </w:r>
          </w:p>
        </w:tc>
        <w:tc>
          <w:tcPr>
            <w:tcW w:w="1480" w:type="dxa"/>
            <w:tcBorders>
              <w:top w:val="nil"/>
              <w:left w:val="nil"/>
              <w:bottom w:val="single" w:sz="4" w:space="0" w:color="auto"/>
              <w:right w:val="single" w:sz="4" w:space="0" w:color="auto"/>
            </w:tcBorders>
            <w:shd w:val="clear" w:color="000000" w:fill="FFFFFF"/>
            <w:vAlign w:val="center"/>
            <w:hideMark/>
          </w:tcPr>
          <w:p w14:paraId="783D98D9" w14:textId="77777777" w:rsidR="00D3471D" w:rsidRPr="00B13B9A" w:rsidRDefault="00D3471D" w:rsidP="00332FF7">
            <w:pPr>
              <w:spacing w:after="0" w:line="240" w:lineRule="auto"/>
              <w:jc w:val="right"/>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5.187.166,05</w:t>
            </w:r>
          </w:p>
        </w:tc>
        <w:tc>
          <w:tcPr>
            <w:tcW w:w="1242" w:type="dxa"/>
            <w:tcBorders>
              <w:top w:val="nil"/>
              <w:left w:val="nil"/>
              <w:bottom w:val="single" w:sz="4" w:space="0" w:color="auto"/>
              <w:right w:val="single" w:sz="4" w:space="0" w:color="auto"/>
            </w:tcBorders>
            <w:shd w:val="clear" w:color="000000" w:fill="FFFFFF"/>
            <w:vAlign w:val="center"/>
            <w:hideMark/>
          </w:tcPr>
          <w:p w14:paraId="6E1DC007" w14:textId="6FA380D6"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Func</w:t>
            </w:r>
            <w:r w:rsidR="00B13B9A" w:rsidRPr="00B13B9A">
              <w:rPr>
                <w:rFonts w:asciiTheme="majorHAnsi" w:eastAsia="Times New Roman" w:hAnsiTheme="majorHAnsi" w:cstheme="majorHAnsi"/>
                <w:i/>
                <w:iCs/>
                <w:color w:val="000000"/>
                <w:sz w:val="20"/>
                <w:szCs w:val="20"/>
                <w:lang w:val="ro-MD"/>
              </w:rPr>
              <w:t>ț</w:t>
            </w:r>
            <w:r w:rsidRPr="00B13B9A">
              <w:rPr>
                <w:rFonts w:asciiTheme="majorHAnsi" w:eastAsia="Times New Roman" w:hAnsiTheme="majorHAnsi" w:cstheme="majorHAnsi"/>
                <w:i/>
                <w:iCs/>
                <w:color w:val="000000"/>
                <w:sz w:val="20"/>
                <w:szCs w:val="20"/>
                <w:lang w:val="ro-MD"/>
              </w:rPr>
              <w:t>ional</w:t>
            </w:r>
          </w:p>
        </w:tc>
        <w:tc>
          <w:tcPr>
            <w:tcW w:w="6491" w:type="dxa"/>
            <w:tcBorders>
              <w:top w:val="nil"/>
              <w:left w:val="nil"/>
              <w:bottom w:val="single" w:sz="4" w:space="0" w:color="auto"/>
              <w:right w:val="single" w:sz="4" w:space="0" w:color="auto"/>
            </w:tcBorders>
            <w:shd w:val="clear" w:color="000000" w:fill="FFFFFF"/>
            <w:vAlign w:val="center"/>
            <w:hideMark/>
          </w:tcPr>
          <w:p w14:paraId="065CCED9" w14:textId="038EF55C"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Stare satisfăcătoare, unele încăperi sunt disponibile pentru utilizare, altele sunt în stare de repara</w:t>
            </w:r>
            <w:r w:rsidR="00B13B9A" w:rsidRPr="00B13B9A">
              <w:rPr>
                <w:rFonts w:asciiTheme="majorHAnsi" w:eastAsia="Times New Roman" w:hAnsiTheme="majorHAnsi" w:cstheme="majorHAnsi"/>
                <w:i/>
                <w:iCs/>
                <w:color w:val="000000"/>
                <w:sz w:val="20"/>
                <w:szCs w:val="20"/>
                <w:lang w:val="ro-MD"/>
              </w:rPr>
              <w:t>ț</w:t>
            </w:r>
            <w:r w:rsidRPr="00B13B9A">
              <w:rPr>
                <w:rFonts w:asciiTheme="majorHAnsi" w:eastAsia="Times New Roman" w:hAnsiTheme="majorHAnsi" w:cstheme="majorHAnsi"/>
                <w:i/>
                <w:iCs/>
                <w:color w:val="000000"/>
                <w:sz w:val="20"/>
                <w:szCs w:val="20"/>
                <w:lang w:val="ro-MD"/>
              </w:rPr>
              <w:t>ii nefinisate</w:t>
            </w:r>
          </w:p>
        </w:tc>
        <w:tc>
          <w:tcPr>
            <w:tcW w:w="1378" w:type="dxa"/>
            <w:tcBorders>
              <w:top w:val="nil"/>
              <w:left w:val="nil"/>
              <w:bottom w:val="single" w:sz="4" w:space="0" w:color="auto"/>
              <w:right w:val="single" w:sz="8" w:space="0" w:color="auto"/>
            </w:tcBorders>
            <w:shd w:val="clear" w:color="000000" w:fill="FFFFFF"/>
            <w:noWrap/>
            <w:vAlign w:val="center"/>
            <w:hideMark/>
          </w:tcPr>
          <w:p w14:paraId="31780983" w14:textId="77777777" w:rsidR="00D3471D" w:rsidRPr="00B13B9A" w:rsidRDefault="00D3471D" w:rsidP="00332FF7">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775.481,34</w:t>
            </w:r>
          </w:p>
        </w:tc>
      </w:tr>
      <w:tr w:rsidR="00D3471D" w:rsidRPr="00B13B9A" w14:paraId="4D4E4356" w14:textId="77777777" w:rsidTr="002B7B86">
        <w:trPr>
          <w:trHeight w:val="20"/>
        </w:trPr>
        <w:tc>
          <w:tcPr>
            <w:tcW w:w="547" w:type="dxa"/>
            <w:tcBorders>
              <w:top w:val="nil"/>
              <w:left w:val="single" w:sz="8" w:space="0" w:color="auto"/>
              <w:bottom w:val="single" w:sz="4" w:space="0" w:color="auto"/>
              <w:right w:val="single" w:sz="4" w:space="0" w:color="auto"/>
            </w:tcBorders>
            <w:shd w:val="clear" w:color="000000" w:fill="FFFFFF"/>
            <w:noWrap/>
            <w:vAlign w:val="center"/>
            <w:hideMark/>
          </w:tcPr>
          <w:p w14:paraId="75FEA2E5" w14:textId="77777777" w:rsidR="00D3471D" w:rsidRPr="00B13B9A" w:rsidRDefault="00D3471D" w:rsidP="00332FF7">
            <w:pPr>
              <w:spacing w:after="0" w:line="240" w:lineRule="auto"/>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11</w:t>
            </w:r>
          </w:p>
        </w:tc>
        <w:tc>
          <w:tcPr>
            <w:tcW w:w="2998" w:type="dxa"/>
            <w:tcBorders>
              <w:top w:val="nil"/>
              <w:left w:val="nil"/>
              <w:bottom w:val="single" w:sz="4" w:space="0" w:color="auto"/>
              <w:right w:val="single" w:sz="4" w:space="0" w:color="auto"/>
            </w:tcBorders>
            <w:shd w:val="clear" w:color="000000" w:fill="FFFFFF"/>
            <w:vAlign w:val="center"/>
            <w:hideMark/>
          </w:tcPr>
          <w:p w14:paraId="44BC2E2B" w14:textId="77777777"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Casa de locuit 30 apartamente Vorniceni 8042208425.03</w:t>
            </w:r>
          </w:p>
        </w:tc>
        <w:tc>
          <w:tcPr>
            <w:tcW w:w="1480" w:type="dxa"/>
            <w:tcBorders>
              <w:top w:val="nil"/>
              <w:left w:val="nil"/>
              <w:bottom w:val="single" w:sz="4" w:space="0" w:color="auto"/>
              <w:right w:val="single" w:sz="4" w:space="0" w:color="auto"/>
            </w:tcBorders>
            <w:shd w:val="clear" w:color="000000" w:fill="FFFFFF"/>
            <w:vAlign w:val="center"/>
            <w:hideMark/>
          </w:tcPr>
          <w:p w14:paraId="0243EE95" w14:textId="77777777" w:rsidR="00D3471D" w:rsidRPr="00B13B9A" w:rsidRDefault="00D3471D" w:rsidP="00332FF7">
            <w:pPr>
              <w:spacing w:after="0" w:line="240" w:lineRule="auto"/>
              <w:jc w:val="right"/>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3.508.808,00</w:t>
            </w:r>
          </w:p>
        </w:tc>
        <w:tc>
          <w:tcPr>
            <w:tcW w:w="1242" w:type="dxa"/>
            <w:tcBorders>
              <w:top w:val="nil"/>
              <w:left w:val="nil"/>
              <w:bottom w:val="single" w:sz="4" w:space="0" w:color="auto"/>
              <w:right w:val="single" w:sz="4" w:space="0" w:color="auto"/>
            </w:tcBorders>
            <w:shd w:val="clear" w:color="000000" w:fill="FFFFFF"/>
            <w:vAlign w:val="center"/>
            <w:hideMark/>
          </w:tcPr>
          <w:p w14:paraId="03247E22" w14:textId="04F39F9C"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Func</w:t>
            </w:r>
            <w:r w:rsidR="00B13B9A" w:rsidRPr="00B13B9A">
              <w:rPr>
                <w:rFonts w:asciiTheme="majorHAnsi" w:eastAsia="Times New Roman" w:hAnsiTheme="majorHAnsi" w:cstheme="majorHAnsi"/>
                <w:i/>
                <w:iCs/>
                <w:color w:val="000000"/>
                <w:sz w:val="20"/>
                <w:szCs w:val="20"/>
                <w:lang w:val="ro-MD"/>
              </w:rPr>
              <w:t>ț</w:t>
            </w:r>
            <w:r w:rsidRPr="00B13B9A">
              <w:rPr>
                <w:rFonts w:asciiTheme="majorHAnsi" w:eastAsia="Times New Roman" w:hAnsiTheme="majorHAnsi" w:cstheme="majorHAnsi"/>
                <w:i/>
                <w:iCs/>
                <w:color w:val="000000"/>
                <w:sz w:val="20"/>
                <w:szCs w:val="20"/>
                <w:lang w:val="ro-MD"/>
              </w:rPr>
              <w:t>ional</w:t>
            </w:r>
          </w:p>
        </w:tc>
        <w:tc>
          <w:tcPr>
            <w:tcW w:w="6491" w:type="dxa"/>
            <w:tcBorders>
              <w:top w:val="nil"/>
              <w:left w:val="nil"/>
              <w:bottom w:val="single" w:sz="4" w:space="0" w:color="auto"/>
              <w:right w:val="single" w:sz="4" w:space="0" w:color="auto"/>
            </w:tcBorders>
            <w:shd w:val="clear" w:color="000000" w:fill="FFFFFF"/>
            <w:vAlign w:val="center"/>
            <w:hideMark/>
          </w:tcPr>
          <w:p w14:paraId="2A079414" w14:textId="7059000F" w:rsidR="00D3471D" w:rsidRPr="00B13B9A" w:rsidRDefault="00D3471D" w:rsidP="00332FF7">
            <w:pPr>
              <w:spacing w:after="0" w:line="240" w:lineRule="auto"/>
              <w:rPr>
                <w:rFonts w:asciiTheme="majorHAnsi" w:eastAsia="Times New Roman" w:hAnsiTheme="majorHAnsi" w:cstheme="majorHAnsi"/>
                <w:i/>
                <w:iCs/>
                <w:color w:val="000000"/>
                <w:sz w:val="20"/>
                <w:szCs w:val="20"/>
                <w:highlight w:val="red"/>
                <w:lang w:val="ro-MD"/>
              </w:rPr>
            </w:pPr>
            <w:r w:rsidRPr="00B13B9A">
              <w:rPr>
                <w:rFonts w:asciiTheme="majorHAnsi" w:eastAsia="Times New Roman" w:hAnsiTheme="majorHAnsi" w:cstheme="majorHAnsi"/>
                <w:i/>
                <w:iCs/>
                <w:color w:val="000000"/>
                <w:sz w:val="20"/>
                <w:szCs w:val="20"/>
                <w:lang w:val="ro-MD"/>
              </w:rPr>
              <w:t xml:space="preserve">Stare bună, apartamentele au fost repartizate colaboratorilor </w:t>
            </w:r>
            <w:r w:rsidR="00B13B9A" w:rsidRPr="00B13B9A">
              <w:rPr>
                <w:rFonts w:asciiTheme="majorHAnsi" w:eastAsia="Times New Roman" w:hAnsiTheme="majorHAnsi" w:cstheme="majorHAnsi"/>
                <w:i/>
                <w:iCs/>
                <w:color w:val="000000"/>
                <w:sz w:val="20"/>
                <w:szCs w:val="20"/>
                <w:lang w:val="ro-MD"/>
              </w:rPr>
              <w:t>ș</w:t>
            </w:r>
            <w:r w:rsidRPr="00B13B9A">
              <w:rPr>
                <w:rFonts w:asciiTheme="majorHAnsi" w:eastAsia="Times New Roman" w:hAnsiTheme="majorHAnsi" w:cstheme="majorHAnsi"/>
                <w:i/>
                <w:iCs/>
                <w:color w:val="000000"/>
                <w:sz w:val="20"/>
                <w:szCs w:val="20"/>
                <w:lang w:val="ro-MD"/>
              </w:rPr>
              <w:t xml:space="preserve">i au fost privatizate prin anii </w:t>
            </w:r>
            <w:r w:rsidRPr="00B13B9A">
              <w:rPr>
                <w:rFonts w:asciiTheme="majorHAnsi" w:eastAsia="Times New Roman" w:hAnsiTheme="majorHAnsi" w:cstheme="majorHAnsi"/>
                <w:i/>
                <w:iCs/>
                <w:color w:val="000000"/>
                <w:sz w:val="20"/>
                <w:szCs w:val="20"/>
                <w:vertAlign w:val="superscript"/>
                <w:lang w:val="ro-MD"/>
              </w:rPr>
              <w:t>,</w:t>
            </w:r>
            <w:r w:rsidRPr="00B13B9A">
              <w:rPr>
                <w:rFonts w:asciiTheme="majorHAnsi" w:eastAsia="Times New Roman" w:hAnsiTheme="majorHAnsi" w:cstheme="majorHAnsi"/>
                <w:i/>
                <w:iCs/>
                <w:color w:val="000000"/>
                <w:sz w:val="20"/>
                <w:szCs w:val="20"/>
                <w:lang w:val="ro-MD"/>
              </w:rPr>
              <w:t>92, până în prezent nu au fost înregistrate la cadastru</w:t>
            </w:r>
          </w:p>
        </w:tc>
        <w:tc>
          <w:tcPr>
            <w:tcW w:w="1378" w:type="dxa"/>
            <w:tcBorders>
              <w:top w:val="nil"/>
              <w:left w:val="nil"/>
              <w:bottom w:val="single" w:sz="4" w:space="0" w:color="auto"/>
              <w:right w:val="single" w:sz="8" w:space="0" w:color="auto"/>
            </w:tcBorders>
            <w:shd w:val="clear" w:color="000000" w:fill="FFFFFF"/>
            <w:noWrap/>
            <w:vAlign w:val="center"/>
            <w:hideMark/>
          </w:tcPr>
          <w:p w14:paraId="7FC896CD" w14:textId="77777777" w:rsidR="00D3471D" w:rsidRPr="00B13B9A" w:rsidRDefault="00D3471D" w:rsidP="00332FF7">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3.508.808,00</w:t>
            </w:r>
          </w:p>
        </w:tc>
      </w:tr>
      <w:tr w:rsidR="00D3471D" w:rsidRPr="00B13B9A" w14:paraId="6D161478" w14:textId="77777777" w:rsidTr="002B7B86">
        <w:trPr>
          <w:trHeight w:val="20"/>
        </w:trPr>
        <w:tc>
          <w:tcPr>
            <w:tcW w:w="547" w:type="dxa"/>
            <w:tcBorders>
              <w:top w:val="nil"/>
              <w:left w:val="single" w:sz="8" w:space="0" w:color="auto"/>
              <w:bottom w:val="single" w:sz="4" w:space="0" w:color="auto"/>
              <w:right w:val="single" w:sz="4" w:space="0" w:color="auto"/>
            </w:tcBorders>
            <w:shd w:val="clear" w:color="000000" w:fill="FFFFFF"/>
            <w:noWrap/>
            <w:vAlign w:val="center"/>
            <w:hideMark/>
          </w:tcPr>
          <w:p w14:paraId="4E7A26AA" w14:textId="77777777" w:rsidR="00D3471D" w:rsidRPr="00B13B9A" w:rsidRDefault="00D3471D" w:rsidP="00332FF7">
            <w:pPr>
              <w:spacing w:after="0" w:line="240" w:lineRule="auto"/>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12</w:t>
            </w:r>
          </w:p>
        </w:tc>
        <w:tc>
          <w:tcPr>
            <w:tcW w:w="2998" w:type="dxa"/>
            <w:tcBorders>
              <w:top w:val="nil"/>
              <w:left w:val="nil"/>
              <w:bottom w:val="single" w:sz="4" w:space="0" w:color="auto"/>
              <w:right w:val="single" w:sz="4" w:space="0" w:color="auto"/>
            </w:tcBorders>
            <w:shd w:val="clear" w:color="000000" w:fill="FFFFFF"/>
            <w:vAlign w:val="center"/>
            <w:hideMark/>
          </w:tcPr>
          <w:p w14:paraId="3F2A1B3A" w14:textId="77777777"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Casa de locuit 4 apartamente Vorniceni 8042208360.01</w:t>
            </w:r>
          </w:p>
        </w:tc>
        <w:tc>
          <w:tcPr>
            <w:tcW w:w="1480" w:type="dxa"/>
            <w:tcBorders>
              <w:top w:val="nil"/>
              <w:left w:val="nil"/>
              <w:bottom w:val="single" w:sz="4" w:space="0" w:color="auto"/>
              <w:right w:val="single" w:sz="4" w:space="0" w:color="auto"/>
            </w:tcBorders>
            <w:shd w:val="clear" w:color="000000" w:fill="FFFFFF"/>
            <w:vAlign w:val="center"/>
            <w:hideMark/>
          </w:tcPr>
          <w:p w14:paraId="4D63673F" w14:textId="77777777" w:rsidR="00D3471D" w:rsidRPr="00B13B9A" w:rsidRDefault="00D3471D" w:rsidP="00332FF7">
            <w:pPr>
              <w:spacing w:after="0" w:line="240" w:lineRule="auto"/>
              <w:jc w:val="right"/>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136.191,00</w:t>
            </w:r>
          </w:p>
        </w:tc>
        <w:tc>
          <w:tcPr>
            <w:tcW w:w="1242" w:type="dxa"/>
            <w:tcBorders>
              <w:top w:val="nil"/>
              <w:left w:val="nil"/>
              <w:bottom w:val="single" w:sz="4" w:space="0" w:color="auto"/>
              <w:right w:val="single" w:sz="4" w:space="0" w:color="auto"/>
            </w:tcBorders>
            <w:shd w:val="clear" w:color="000000" w:fill="FFFFFF"/>
            <w:vAlign w:val="center"/>
            <w:hideMark/>
          </w:tcPr>
          <w:p w14:paraId="797CBA4B" w14:textId="300D7E4B"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Func</w:t>
            </w:r>
            <w:r w:rsidR="00B13B9A" w:rsidRPr="00B13B9A">
              <w:rPr>
                <w:rFonts w:asciiTheme="majorHAnsi" w:eastAsia="Times New Roman" w:hAnsiTheme="majorHAnsi" w:cstheme="majorHAnsi"/>
                <w:i/>
                <w:iCs/>
                <w:color w:val="000000"/>
                <w:sz w:val="20"/>
                <w:szCs w:val="20"/>
                <w:lang w:val="ro-MD"/>
              </w:rPr>
              <w:t>ț</w:t>
            </w:r>
            <w:r w:rsidRPr="00B13B9A">
              <w:rPr>
                <w:rFonts w:asciiTheme="majorHAnsi" w:eastAsia="Times New Roman" w:hAnsiTheme="majorHAnsi" w:cstheme="majorHAnsi"/>
                <w:i/>
                <w:iCs/>
                <w:color w:val="000000"/>
                <w:sz w:val="20"/>
                <w:szCs w:val="20"/>
                <w:lang w:val="ro-MD"/>
              </w:rPr>
              <w:t>ional</w:t>
            </w:r>
          </w:p>
        </w:tc>
        <w:tc>
          <w:tcPr>
            <w:tcW w:w="6491" w:type="dxa"/>
            <w:tcBorders>
              <w:top w:val="nil"/>
              <w:left w:val="nil"/>
              <w:bottom w:val="single" w:sz="4" w:space="0" w:color="auto"/>
              <w:right w:val="single" w:sz="4" w:space="0" w:color="auto"/>
            </w:tcBorders>
            <w:shd w:val="clear" w:color="000000" w:fill="FFFFFF"/>
            <w:vAlign w:val="center"/>
            <w:hideMark/>
          </w:tcPr>
          <w:p w14:paraId="4103CA5B" w14:textId="1C0D90E3" w:rsidR="00D3471D" w:rsidRPr="00B13B9A" w:rsidRDefault="00D3471D" w:rsidP="00332FF7">
            <w:pPr>
              <w:spacing w:after="0" w:line="240" w:lineRule="auto"/>
              <w:rPr>
                <w:rFonts w:asciiTheme="majorHAnsi" w:eastAsia="Times New Roman" w:hAnsiTheme="majorHAnsi" w:cstheme="majorHAnsi"/>
                <w:i/>
                <w:iCs/>
                <w:color w:val="000000"/>
                <w:sz w:val="20"/>
                <w:szCs w:val="20"/>
                <w:highlight w:val="red"/>
                <w:lang w:val="ro-MD"/>
              </w:rPr>
            </w:pPr>
            <w:r w:rsidRPr="00B13B9A">
              <w:rPr>
                <w:rFonts w:asciiTheme="majorHAnsi" w:eastAsia="Times New Roman" w:hAnsiTheme="majorHAnsi" w:cstheme="majorHAnsi"/>
                <w:i/>
                <w:iCs/>
                <w:color w:val="000000"/>
                <w:sz w:val="20"/>
                <w:szCs w:val="20"/>
                <w:lang w:val="ro-MD"/>
              </w:rPr>
              <w:t xml:space="preserve">Stare bună, apartamentele au fost repartizate colaboratorilor </w:t>
            </w:r>
            <w:r w:rsidR="00B13B9A" w:rsidRPr="00B13B9A">
              <w:rPr>
                <w:rFonts w:asciiTheme="majorHAnsi" w:eastAsia="Times New Roman" w:hAnsiTheme="majorHAnsi" w:cstheme="majorHAnsi"/>
                <w:i/>
                <w:iCs/>
                <w:color w:val="000000"/>
                <w:sz w:val="20"/>
                <w:szCs w:val="20"/>
                <w:lang w:val="ro-MD"/>
              </w:rPr>
              <w:t>ș</w:t>
            </w:r>
            <w:r w:rsidRPr="00B13B9A">
              <w:rPr>
                <w:rFonts w:asciiTheme="majorHAnsi" w:eastAsia="Times New Roman" w:hAnsiTheme="majorHAnsi" w:cstheme="majorHAnsi"/>
                <w:i/>
                <w:iCs/>
                <w:color w:val="000000"/>
                <w:sz w:val="20"/>
                <w:szCs w:val="20"/>
                <w:lang w:val="ro-MD"/>
              </w:rPr>
              <w:t>i 3 apartamente de 188,9 m.p. din 356 m.p. au fost privatizate, înregistrate la cadastru în anii 2010-2011. Totodată, dreptul asupra terenului de 0,1 ha nu a fost solicitat.</w:t>
            </w:r>
          </w:p>
        </w:tc>
        <w:tc>
          <w:tcPr>
            <w:tcW w:w="1378" w:type="dxa"/>
            <w:tcBorders>
              <w:top w:val="nil"/>
              <w:left w:val="nil"/>
              <w:bottom w:val="single" w:sz="4" w:space="0" w:color="auto"/>
              <w:right w:val="single" w:sz="8" w:space="0" w:color="auto"/>
            </w:tcBorders>
            <w:shd w:val="clear" w:color="000000" w:fill="FFFFFF"/>
            <w:noWrap/>
            <w:vAlign w:val="center"/>
            <w:hideMark/>
          </w:tcPr>
          <w:p w14:paraId="4976C951" w14:textId="77777777" w:rsidR="00D3471D" w:rsidRPr="00B13B9A" w:rsidRDefault="00D3471D" w:rsidP="00332FF7">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136.191,00</w:t>
            </w:r>
          </w:p>
        </w:tc>
      </w:tr>
      <w:tr w:rsidR="00D3471D" w:rsidRPr="00B13B9A" w14:paraId="1D893EA9" w14:textId="77777777" w:rsidTr="002B7B86">
        <w:trPr>
          <w:trHeight w:val="20"/>
        </w:trPr>
        <w:tc>
          <w:tcPr>
            <w:tcW w:w="547" w:type="dxa"/>
            <w:tcBorders>
              <w:top w:val="nil"/>
              <w:left w:val="single" w:sz="8" w:space="0" w:color="auto"/>
              <w:bottom w:val="single" w:sz="4" w:space="0" w:color="auto"/>
              <w:right w:val="single" w:sz="4" w:space="0" w:color="auto"/>
            </w:tcBorders>
            <w:shd w:val="clear" w:color="000000" w:fill="FFFFFF"/>
            <w:noWrap/>
            <w:vAlign w:val="center"/>
            <w:hideMark/>
          </w:tcPr>
          <w:p w14:paraId="031C3CF4" w14:textId="77777777" w:rsidR="00D3471D" w:rsidRPr="00B13B9A" w:rsidRDefault="00D3471D" w:rsidP="00332FF7">
            <w:pPr>
              <w:spacing w:after="0" w:line="240" w:lineRule="auto"/>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13</w:t>
            </w:r>
          </w:p>
        </w:tc>
        <w:tc>
          <w:tcPr>
            <w:tcW w:w="2998" w:type="dxa"/>
            <w:tcBorders>
              <w:top w:val="nil"/>
              <w:left w:val="nil"/>
              <w:bottom w:val="single" w:sz="4" w:space="0" w:color="auto"/>
              <w:right w:val="single" w:sz="4" w:space="0" w:color="auto"/>
            </w:tcBorders>
            <w:shd w:val="clear" w:color="000000" w:fill="FFFFFF"/>
            <w:vAlign w:val="center"/>
            <w:hideMark/>
          </w:tcPr>
          <w:p w14:paraId="6D5B0BC5" w14:textId="77777777"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Casa de locuit 48 apartamente Vorniceni 8042208425.01</w:t>
            </w:r>
          </w:p>
        </w:tc>
        <w:tc>
          <w:tcPr>
            <w:tcW w:w="1480" w:type="dxa"/>
            <w:tcBorders>
              <w:top w:val="nil"/>
              <w:left w:val="nil"/>
              <w:bottom w:val="single" w:sz="4" w:space="0" w:color="auto"/>
              <w:right w:val="single" w:sz="4" w:space="0" w:color="auto"/>
            </w:tcBorders>
            <w:shd w:val="clear" w:color="000000" w:fill="FFFFFF"/>
            <w:vAlign w:val="center"/>
            <w:hideMark/>
          </w:tcPr>
          <w:p w14:paraId="58DF6813" w14:textId="77777777" w:rsidR="00D3471D" w:rsidRPr="00B13B9A" w:rsidRDefault="00D3471D" w:rsidP="00332FF7">
            <w:pPr>
              <w:spacing w:after="0" w:line="240" w:lineRule="auto"/>
              <w:jc w:val="right"/>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1.807.606,00</w:t>
            </w:r>
          </w:p>
        </w:tc>
        <w:tc>
          <w:tcPr>
            <w:tcW w:w="1242" w:type="dxa"/>
            <w:tcBorders>
              <w:top w:val="nil"/>
              <w:left w:val="nil"/>
              <w:bottom w:val="single" w:sz="4" w:space="0" w:color="auto"/>
              <w:right w:val="single" w:sz="4" w:space="0" w:color="auto"/>
            </w:tcBorders>
            <w:shd w:val="clear" w:color="000000" w:fill="FFFFFF"/>
            <w:vAlign w:val="center"/>
            <w:hideMark/>
          </w:tcPr>
          <w:p w14:paraId="0DA873DA" w14:textId="357A0D76"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Func</w:t>
            </w:r>
            <w:r w:rsidR="00B13B9A" w:rsidRPr="00B13B9A">
              <w:rPr>
                <w:rFonts w:asciiTheme="majorHAnsi" w:eastAsia="Times New Roman" w:hAnsiTheme="majorHAnsi" w:cstheme="majorHAnsi"/>
                <w:i/>
                <w:iCs/>
                <w:color w:val="000000"/>
                <w:sz w:val="20"/>
                <w:szCs w:val="20"/>
                <w:lang w:val="ro-MD"/>
              </w:rPr>
              <w:t>ț</w:t>
            </w:r>
            <w:r w:rsidRPr="00B13B9A">
              <w:rPr>
                <w:rFonts w:asciiTheme="majorHAnsi" w:eastAsia="Times New Roman" w:hAnsiTheme="majorHAnsi" w:cstheme="majorHAnsi"/>
                <w:i/>
                <w:iCs/>
                <w:color w:val="000000"/>
                <w:sz w:val="20"/>
                <w:szCs w:val="20"/>
                <w:lang w:val="ro-MD"/>
              </w:rPr>
              <w:t>ional</w:t>
            </w:r>
          </w:p>
        </w:tc>
        <w:tc>
          <w:tcPr>
            <w:tcW w:w="6491" w:type="dxa"/>
            <w:tcBorders>
              <w:top w:val="nil"/>
              <w:left w:val="nil"/>
              <w:bottom w:val="single" w:sz="4" w:space="0" w:color="auto"/>
              <w:right w:val="single" w:sz="4" w:space="0" w:color="auto"/>
            </w:tcBorders>
            <w:shd w:val="clear" w:color="000000" w:fill="FFFFFF"/>
            <w:vAlign w:val="center"/>
            <w:hideMark/>
          </w:tcPr>
          <w:p w14:paraId="12712899" w14:textId="644C5A17" w:rsidR="00D3471D" w:rsidRPr="00B13B9A" w:rsidRDefault="00D3471D" w:rsidP="00332FF7">
            <w:pPr>
              <w:spacing w:after="0" w:line="240" w:lineRule="auto"/>
              <w:rPr>
                <w:rFonts w:asciiTheme="majorHAnsi" w:eastAsia="Times New Roman" w:hAnsiTheme="majorHAnsi" w:cstheme="majorHAnsi"/>
                <w:i/>
                <w:iCs/>
                <w:color w:val="000000"/>
                <w:sz w:val="20"/>
                <w:szCs w:val="20"/>
                <w:highlight w:val="red"/>
                <w:lang w:val="ro-MD"/>
              </w:rPr>
            </w:pPr>
            <w:r w:rsidRPr="00B13B9A">
              <w:rPr>
                <w:rFonts w:asciiTheme="majorHAnsi" w:eastAsia="Times New Roman" w:hAnsiTheme="majorHAnsi" w:cstheme="majorHAnsi"/>
                <w:i/>
                <w:iCs/>
                <w:color w:val="000000"/>
                <w:sz w:val="20"/>
                <w:szCs w:val="20"/>
                <w:lang w:val="ro-MD"/>
              </w:rPr>
              <w:t xml:space="preserve">Stare bună, apartamentele au fost repartizate colaboratorilor </w:t>
            </w:r>
            <w:r w:rsidR="00B13B9A" w:rsidRPr="00B13B9A">
              <w:rPr>
                <w:rFonts w:asciiTheme="majorHAnsi" w:eastAsia="Times New Roman" w:hAnsiTheme="majorHAnsi" w:cstheme="majorHAnsi"/>
                <w:i/>
                <w:iCs/>
                <w:color w:val="000000"/>
                <w:sz w:val="20"/>
                <w:szCs w:val="20"/>
                <w:lang w:val="ro-MD"/>
              </w:rPr>
              <w:t>ș</w:t>
            </w:r>
            <w:r w:rsidRPr="00B13B9A">
              <w:rPr>
                <w:rFonts w:asciiTheme="majorHAnsi" w:eastAsia="Times New Roman" w:hAnsiTheme="majorHAnsi" w:cstheme="majorHAnsi"/>
                <w:i/>
                <w:iCs/>
                <w:color w:val="000000"/>
                <w:sz w:val="20"/>
                <w:szCs w:val="20"/>
                <w:lang w:val="ro-MD"/>
              </w:rPr>
              <w:t xml:space="preserve">i au fost privatizate prin anii </w:t>
            </w:r>
            <w:r w:rsidRPr="00B13B9A">
              <w:rPr>
                <w:rFonts w:asciiTheme="majorHAnsi" w:eastAsia="Times New Roman" w:hAnsiTheme="majorHAnsi" w:cstheme="majorHAnsi"/>
                <w:i/>
                <w:iCs/>
                <w:color w:val="000000"/>
                <w:sz w:val="20"/>
                <w:szCs w:val="20"/>
                <w:vertAlign w:val="superscript"/>
                <w:lang w:val="ro-MD"/>
              </w:rPr>
              <w:t>,</w:t>
            </w:r>
            <w:r w:rsidRPr="00B13B9A">
              <w:rPr>
                <w:rFonts w:asciiTheme="majorHAnsi" w:eastAsia="Times New Roman" w:hAnsiTheme="majorHAnsi" w:cstheme="majorHAnsi"/>
                <w:i/>
                <w:iCs/>
                <w:color w:val="000000"/>
                <w:sz w:val="20"/>
                <w:szCs w:val="20"/>
                <w:lang w:val="ro-MD"/>
              </w:rPr>
              <w:t>92, până în prezent doar 1 apartament este înregistrat la cadastru</w:t>
            </w:r>
          </w:p>
        </w:tc>
        <w:tc>
          <w:tcPr>
            <w:tcW w:w="1378" w:type="dxa"/>
            <w:tcBorders>
              <w:top w:val="nil"/>
              <w:left w:val="nil"/>
              <w:bottom w:val="single" w:sz="4" w:space="0" w:color="auto"/>
              <w:right w:val="single" w:sz="8" w:space="0" w:color="auto"/>
            </w:tcBorders>
            <w:shd w:val="clear" w:color="000000" w:fill="FFFFFF"/>
            <w:noWrap/>
            <w:vAlign w:val="center"/>
            <w:hideMark/>
          </w:tcPr>
          <w:p w14:paraId="1A2F241D" w14:textId="77777777" w:rsidR="00D3471D" w:rsidRPr="00B13B9A" w:rsidRDefault="00D3471D" w:rsidP="00332FF7">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1.807.606,00</w:t>
            </w:r>
          </w:p>
        </w:tc>
      </w:tr>
      <w:tr w:rsidR="00D3471D" w:rsidRPr="00B13B9A" w14:paraId="7F9C0033" w14:textId="77777777" w:rsidTr="002B7B86">
        <w:trPr>
          <w:trHeight w:val="20"/>
        </w:trPr>
        <w:tc>
          <w:tcPr>
            <w:tcW w:w="547" w:type="dxa"/>
            <w:tcBorders>
              <w:top w:val="nil"/>
              <w:left w:val="single" w:sz="8" w:space="0" w:color="auto"/>
              <w:bottom w:val="single" w:sz="4" w:space="0" w:color="auto"/>
              <w:right w:val="single" w:sz="4" w:space="0" w:color="auto"/>
            </w:tcBorders>
            <w:shd w:val="clear" w:color="000000" w:fill="FFFFFF"/>
            <w:noWrap/>
            <w:vAlign w:val="center"/>
            <w:hideMark/>
          </w:tcPr>
          <w:p w14:paraId="35358FDE" w14:textId="77777777" w:rsidR="00D3471D" w:rsidRPr="00B13B9A" w:rsidRDefault="00D3471D" w:rsidP="00332FF7">
            <w:pPr>
              <w:spacing w:after="0" w:line="240" w:lineRule="auto"/>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14</w:t>
            </w:r>
          </w:p>
        </w:tc>
        <w:tc>
          <w:tcPr>
            <w:tcW w:w="2998" w:type="dxa"/>
            <w:tcBorders>
              <w:top w:val="nil"/>
              <w:left w:val="nil"/>
              <w:bottom w:val="single" w:sz="4" w:space="0" w:color="auto"/>
              <w:right w:val="single" w:sz="4" w:space="0" w:color="auto"/>
            </w:tcBorders>
            <w:shd w:val="clear" w:color="000000" w:fill="FFFFFF"/>
            <w:vAlign w:val="center"/>
            <w:hideMark/>
          </w:tcPr>
          <w:p w14:paraId="62DD1382" w14:textId="77777777"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Casa de locuit 55 apartamente Vorniceni 8042208425.02</w:t>
            </w:r>
          </w:p>
        </w:tc>
        <w:tc>
          <w:tcPr>
            <w:tcW w:w="1480" w:type="dxa"/>
            <w:tcBorders>
              <w:top w:val="nil"/>
              <w:left w:val="nil"/>
              <w:bottom w:val="single" w:sz="4" w:space="0" w:color="auto"/>
              <w:right w:val="single" w:sz="4" w:space="0" w:color="auto"/>
            </w:tcBorders>
            <w:shd w:val="clear" w:color="000000" w:fill="FFFFFF"/>
            <w:vAlign w:val="center"/>
            <w:hideMark/>
          </w:tcPr>
          <w:p w14:paraId="56425697" w14:textId="77777777" w:rsidR="00D3471D" w:rsidRPr="00B13B9A" w:rsidRDefault="00D3471D" w:rsidP="00332FF7">
            <w:pPr>
              <w:spacing w:after="0" w:line="240" w:lineRule="auto"/>
              <w:jc w:val="right"/>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2.210.169,00</w:t>
            </w:r>
          </w:p>
        </w:tc>
        <w:tc>
          <w:tcPr>
            <w:tcW w:w="1242" w:type="dxa"/>
            <w:tcBorders>
              <w:top w:val="nil"/>
              <w:left w:val="nil"/>
              <w:bottom w:val="single" w:sz="4" w:space="0" w:color="auto"/>
              <w:right w:val="single" w:sz="4" w:space="0" w:color="auto"/>
            </w:tcBorders>
            <w:shd w:val="clear" w:color="000000" w:fill="FFFFFF"/>
            <w:vAlign w:val="center"/>
            <w:hideMark/>
          </w:tcPr>
          <w:p w14:paraId="4A00BC11" w14:textId="4A18C033"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Func</w:t>
            </w:r>
            <w:r w:rsidR="00B13B9A" w:rsidRPr="00B13B9A">
              <w:rPr>
                <w:rFonts w:asciiTheme="majorHAnsi" w:eastAsia="Times New Roman" w:hAnsiTheme="majorHAnsi" w:cstheme="majorHAnsi"/>
                <w:i/>
                <w:iCs/>
                <w:color w:val="000000"/>
                <w:sz w:val="20"/>
                <w:szCs w:val="20"/>
                <w:lang w:val="ro-MD"/>
              </w:rPr>
              <w:t>ț</w:t>
            </w:r>
            <w:r w:rsidRPr="00B13B9A">
              <w:rPr>
                <w:rFonts w:asciiTheme="majorHAnsi" w:eastAsia="Times New Roman" w:hAnsiTheme="majorHAnsi" w:cstheme="majorHAnsi"/>
                <w:i/>
                <w:iCs/>
                <w:color w:val="000000"/>
                <w:sz w:val="20"/>
                <w:szCs w:val="20"/>
                <w:lang w:val="ro-MD"/>
              </w:rPr>
              <w:t>ional</w:t>
            </w:r>
          </w:p>
        </w:tc>
        <w:tc>
          <w:tcPr>
            <w:tcW w:w="6491" w:type="dxa"/>
            <w:tcBorders>
              <w:top w:val="nil"/>
              <w:left w:val="nil"/>
              <w:bottom w:val="single" w:sz="4" w:space="0" w:color="auto"/>
              <w:right w:val="single" w:sz="4" w:space="0" w:color="auto"/>
            </w:tcBorders>
            <w:shd w:val="clear" w:color="000000" w:fill="FFFFFF"/>
            <w:vAlign w:val="center"/>
            <w:hideMark/>
          </w:tcPr>
          <w:p w14:paraId="193BB085" w14:textId="24BCFB83" w:rsidR="00D3471D" w:rsidRPr="00B13B9A" w:rsidRDefault="00D3471D" w:rsidP="00332FF7">
            <w:pPr>
              <w:spacing w:after="0" w:line="240" w:lineRule="auto"/>
              <w:rPr>
                <w:rFonts w:asciiTheme="majorHAnsi" w:eastAsia="Times New Roman" w:hAnsiTheme="majorHAnsi" w:cstheme="majorHAnsi"/>
                <w:i/>
                <w:iCs/>
                <w:color w:val="000000"/>
                <w:sz w:val="20"/>
                <w:szCs w:val="20"/>
                <w:highlight w:val="red"/>
                <w:lang w:val="ro-MD"/>
              </w:rPr>
            </w:pPr>
            <w:r w:rsidRPr="00B13B9A">
              <w:rPr>
                <w:rFonts w:asciiTheme="majorHAnsi" w:eastAsia="Times New Roman" w:hAnsiTheme="majorHAnsi" w:cstheme="majorHAnsi"/>
                <w:i/>
                <w:iCs/>
                <w:color w:val="000000"/>
                <w:sz w:val="20"/>
                <w:szCs w:val="20"/>
                <w:lang w:val="ro-MD"/>
              </w:rPr>
              <w:t xml:space="preserve">Stare bună, apartamentele au fost repartizate colaboratorilor </w:t>
            </w:r>
            <w:r w:rsidR="00B13B9A" w:rsidRPr="00B13B9A">
              <w:rPr>
                <w:rFonts w:asciiTheme="majorHAnsi" w:eastAsia="Times New Roman" w:hAnsiTheme="majorHAnsi" w:cstheme="majorHAnsi"/>
                <w:i/>
                <w:iCs/>
                <w:color w:val="000000"/>
                <w:sz w:val="20"/>
                <w:szCs w:val="20"/>
                <w:lang w:val="ro-MD"/>
              </w:rPr>
              <w:t>ș</w:t>
            </w:r>
            <w:r w:rsidRPr="00B13B9A">
              <w:rPr>
                <w:rFonts w:asciiTheme="majorHAnsi" w:eastAsia="Times New Roman" w:hAnsiTheme="majorHAnsi" w:cstheme="majorHAnsi"/>
                <w:i/>
                <w:iCs/>
                <w:color w:val="000000"/>
                <w:sz w:val="20"/>
                <w:szCs w:val="20"/>
                <w:lang w:val="ro-MD"/>
              </w:rPr>
              <w:t xml:space="preserve">i au fost privatizate prin anii </w:t>
            </w:r>
            <w:r w:rsidRPr="00B13B9A">
              <w:rPr>
                <w:rFonts w:asciiTheme="majorHAnsi" w:eastAsia="Times New Roman" w:hAnsiTheme="majorHAnsi" w:cstheme="majorHAnsi"/>
                <w:i/>
                <w:iCs/>
                <w:color w:val="000000"/>
                <w:sz w:val="20"/>
                <w:szCs w:val="20"/>
                <w:vertAlign w:val="superscript"/>
                <w:lang w:val="ro-MD"/>
              </w:rPr>
              <w:t>,</w:t>
            </w:r>
            <w:r w:rsidRPr="00B13B9A">
              <w:rPr>
                <w:rFonts w:asciiTheme="majorHAnsi" w:eastAsia="Times New Roman" w:hAnsiTheme="majorHAnsi" w:cstheme="majorHAnsi"/>
                <w:i/>
                <w:iCs/>
                <w:color w:val="000000"/>
                <w:sz w:val="20"/>
                <w:szCs w:val="20"/>
                <w:lang w:val="ro-MD"/>
              </w:rPr>
              <w:t>92, până în prezent nu au fost înregistrate la cadastru</w:t>
            </w:r>
          </w:p>
        </w:tc>
        <w:tc>
          <w:tcPr>
            <w:tcW w:w="1378" w:type="dxa"/>
            <w:tcBorders>
              <w:top w:val="nil"/>
              <w:left w:val="nil"/>
              <w:bottom w:val="single" w:sz="4" w:space="0" w:color="auto"/>
              <w:right w:val="single" w:sz="8" w:space="0" w:color="auto"/>
            </w:tcBorders>
            <w:shd w:val="clear" w:color="000000" w:fill="FFFFFF"/>
            <w:noWrap/>
            <w:vAlign w:val="center"/>
            <w:hideMark/>
          </w:tcPr>
          <w:p w14:paraId="21EF97B7" w14:textId="77777777" w:rsidR="00D3471D" w:rsidRPr="00B13B9A" w:rsidRDefault="00D3471D" w:rsidP="00332FF7">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2.210.169,00</w:t>
            </w:r>
          </w:p>
        </w:tc>
      </w:tr>
      <w:tr w:rsidR="00D3471D" w:rsidRPr="00B13B9A" w14:paraId="203D1103" w14:textId="77777777" w:rsidTr="002B7B86">
        <w:trPr>
          <w:trHeight w:val="20"/>
        </w:trPr>
        <w:tc>
          <w:tcPr>
            <w:tcW w:w="547" w:type="dxa"/>
            <w:tcBorders>
              <w:top w:val="nil"/>
              <w:left w:val="single" w:sz="8" w:space="0" w:color="auto"/>
              <w:bottom w:val="single" w:sz="4" w:space="0" w:color="auto"/>
              <w:right w:val="single" w:sz="4" w:space="0" w:color="auto"/>
            </w:tcBorders>
            <w:shd w:val="clear" w:color="000000" w:fill="FFFFFF"/>
            <w:noWrap/>
            <w:vAlign w:val="center"/>
            <w:hideMark/>
          </w:tcPr>
          <w:p w14:paraId="1EC091A0" w14:textId="77777777" w:rsidR="00D3471D" w:rsidRPr="00B13B9A" w:rsidRDefault="00D3471D" w:rsidP="00332FF7">
            <w:pPr>
              <w:spacing w:after="0" w:line="240" w:lineRule="auto"/>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15</w:t>
            </w:r>
          </w:p>
        </w:tc>
        <w:tc>
          <w:tcPr>
            <w:tcW w:w="2998" w:type="dxa"/>
            <w:tcBorders>
              <w:top w:val="nil"/>
              <w:left w:val="nil"/>
              <w:bottom w:val="single" w:sz="4" w:space="0" w:color="auto"/>
              <w:right w:val="single" w:sz="4" w:space="0" w:color="auto"/>
            </w:tcBorders>
            <w:shd w:val="clear" w:color="000000" w:fill="FFFFFF"/>
            <w:vAlign w:val="center"/>
            <w:hideMark/>
          </w:tcPr>
          <w:p w14:paraId="5C9F6C95" w14:textId="77777777"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Cazangeria Vorniceni c/c 8042208425.05</w:t>
            </w:r>
          </w:p>
        </w:tc>
        <w:tc>
          <w:tcPr>
            <w:tcW w:w="1480" w:type="dxa"/>
            <w:tcBorders>
              <w:top w:val="nil"/>
              <w:left w:val="nil"/>
              <w:bottom w:val="single" w:sz="4" w:space="0" w:color="auto"/>
              <w:right w:val="single" w:sz="4" w:space="0" w:color="auto"/>
            </w:tcBorders>
            <w:shd w:val="clear" w:color="000000" w:fill="FFFFFF"/>
            <w:vAlign w:val="center"/>
            <w:hideMark/>
          </w:tcPr>
          <w:p w14:paraId="6B157894" w14:textId="77777777" w:rsidR="00D3471D" w:rsidRPr="00B13B9A" w:rsidRDefault="00D3471D" w:rsidP="00332FF7">
            <w:pPr>
              <w:spacing w:after="0" w:line="240" w:lineRule="auto"/>
              <w:jc w:val="right"/>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73.724,00</w:t>
            </w:r>
          </w:p>
        </w:tc>
        <w:tc>
          <w:tcPr>
            <w:tcW w:w="1242" w:type="dxa"/>
            <w:tcBorders>
              <w:top w:val="nil"/>
              <w:left w:val="nil"/>
              <w:bottom w:val="single" w:sz="4" w:space="0" w:color="auto"/>
              <w:right w:val="single" w:sz="4" w:space="0" w:color="auto"/>
            </w:tcBorders>
            <w:shd w:val="clear" w:color="000000" w:fill="FFFFFF"/>
            <w:vAlign w:val="center"/>
            <w:hideMark/>
          </w:tcPr>
          <w:p w14:paraId="31BFA78C" w14:textId="306C6271"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Nefunc</w:t>
            </w:r>
            <w:r w:rsidR="00B13B9A" w:rsidRPr="00B13B9A">
              <w:rPr>
                <w:rFonts w:asciiTheme="majorHAnsi" w:eastAsia="Times New Roman" w:hAnsiTheme="majorHAnsi" w:cstheme="majorHAnsi"/>
                <w:i/>
                <w:iCs/>
                <w:color w:val="000000"/>
                <w:sz w:val="20"/>
                <w:szCs w:val="20"/>
                <w:lang w:val="ro-MD"/>
              </w:rPr>
              <w:t>ț</w:t>
            </w:r>
            <w:r w:rsidRPr="00B13B9A">
              <w:rPr>
                <w:rFonts w:asciiTheme="majorHAnsi" w:eastAsia="Times New Roman" w:hAnsiTheme="majorHAnsi" w:cstheme="majorHAnsi"/>
                <w:i/>
                <w:iCs/>
                <w:color w:val="000000"/>
                <w:sz w:val="20"/>
                <w:szCs w:val="20"/>
                <w:lang w:val="ro-MD"/>
              </w:rPr>
              <w:t>ional</w:t>
            </w:r>
          </w:p>
        </w:tc>
        <w:tc>
          <w:tcPr>
            <w:tcW w:w="6491" w:type="dxa"/>
            <w:tcBorders>
              <w:top w:val="nil"/>
              <w:left w:val="nil"/>
              <w:bottom w:val="single" w:sz="4" w:space="0" w:color="auto"/>
              <w:right w:val="single" w:sz="4" w:space="0" w:color="auto"/>
            </w:tcBorders>
            <w:shd w:val="clear" w:color="000000" w:fill="FFFFFF"/>
            <w:vAlign w:val="center"/>
            <w:hideMark/>
          </w:tcPr>
          <w:p w14:paraId="208B8159" w14:textId="05777549"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Stare deplorabilă, sunt doar pere</w:t>
            </w:r>
            <w:r w:rsidR="00B13B9A" w:rsidRPr="00B13B9A">
              <w:rPr>
                <w:rFonts w:asciiTheme="majorHAnsi" w:eastAsia="Times New Roman" w:hAnsiTheme="majorHAnsi" w:cstheme="majorHAnsi"/>
                <w:i/>
                <w:iCs/>
                <w:color w:val="000000"/>
                <w:sz w:val="20"/>
                <w:szCs w:val="20"/>
                <w:lang w:val="ro-MD"/>
              </w:rPr>
              <w:t>ț</w:t>
            </w:r>
            <w:r w:rsidRPr="00B13B9A">
              <w:rPr>
                <w:rFonts w:asciiTheme="majorHAnsi" w:eastAsia="Times New Roman" w:hAnsiTheme="majorHAnsi" w:cstheme="majorHAnsi"/>
                <w:i/>
                <w:iCs/>
                <w:color w:val="000000"/>
                <w:sz w:val="20"/>
                <w:szCs w:val="20"/>
                <w:lang w:val="ro-MD"/>
              </w:rPr>
              <w:t xml:space="preserve">ii </w:t>
            </w:r>
            <w:r w:rsidR="00B13B9A" w:rsidRPr="00B13B9A">
              <w:rPr>
                <w:rFonts w:asciiTheme="majorHAnsi" w:eastAsia="Times New Roman" w:hAnsiTheme="majorHAnsi" w:cstheme="majorHAnsi"/>
                <w:i/>
                <w:iCs/>
                <w:color w:val="000000"/>
                <w:sz w:val="20"/>
                <w:szCs w:val="20"/>
                <w:lang w:val="ro-MD"/>
              </w:rPr>
              <w:t>ș</w:t>
            </w:r>
            <w:r w:rsidRPr="00B13B9A">
              <w:rPr>
                <w:rFonts w:asciiTheme="majorHAnsi" w:eastAsia="Times New Roman" w:hAnsiTheme="majorHAnsi" w:cstheme="majorHAnsi"/>
                <w:i/>
                <w:iCs/>
                <w:color w:val="000000"/>
                <w:sz w:val="20"/>
                <w:szCs w:val="20"/>
                <w:lang w:val="ro-MD"/>
              </w:rPr>
              <w:t>i acoperi</w:t>
            </w:r>
            <w:r w:rsidR="00B13B9A" w:rsidRPr="00B13B9A">
              <w:rPr>
                <w:rFonts w:asciiTheme="majorHAnsi" w:eastAsia="Times New Roman" w:hAnsiTheme="majorHAnsi" w:cstheme="majorHAnsi"/>
                <w:i/>
                <w:iCs/>
                <w:color w:val="000000"/>
                <w:sz w:val="20"/>
                <w:szCs w:val="20"/>
                <w:lang w:val="ro-MD"/>
              </w:rPr>
              <w:t>ș</w:t>
            </w:r>
            <w:r w:rsidRPr="00B13B9A">
              <w:rPr>
                <w:rFonts w:asciiTheme="majorHAnsi" w:eastAsia="Times New Roman" w:hAnsiTheme="majorHAnsi" w:cstheme="majorHAnsi"/>
                <w:i/>
                <w:iCs/>
                <w:color w:val="000000"/>
                <w:sz w:val="20"/>
                <w:szCs w:val="20"/>
                <w:lang w:val="ro-MD"/>
              </w:rPr>
              <w:t>ul care formează carcasa.</w:t>
            </w:r>
          </w:p>
        </w:tc>
        <w:tc>
          <w:tcPr>
            <w:tcW w:w="1378" w:type="dxa"/>
            <w:tcBorders>
              <w:top w:val="nil"/>
              <w:left w:val="nil"/>
              <w:bottom w:val="single" w:sz="4" w:space="0" w:color="auto"/>
              <w:right w:val="single" w:sz="8" w:space="0" w:color="auto"/>
            </w:tcBorders>
            <w:shd w:val="clear" w:color="000000" w:fill="FFFFFF"/>
            <w:noWrap/>
            <w:vAlign w:val="center"/>
            <w:hideMark/>
          </w:tcPr>
          <w:p w14:paraId="22EE04DB" w14:textId="77777777" w:rsidR="00D3471D" w:rsidRPr="00B13B9A" w:rsidRDefault="00D3471D" w:rsidP="00332FF7">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50.316,63</w:t>
            </w:r>
          </w:p>
        </w:tc>
      </w:tr>
      <w:tr w:rsidR="00D3471D" w:rsidRPr="00B13B9A" w14:paraId="18E2898A" w14:textId="77777777" w:rsidTr="002B7B86">
        <w:trPr>
          <w:trHeight w:val="20"/>
        </w:trPr>
        <w:tc>
          <w:tcPr>
            <w:tcW w:w="547" w:type="dxa"/>
            <w:tcBorders>
              <w:top w:val="nil"/>
              <w:left w:val="single" w:sz="8" w:space="0" w:color="auto"/>
              <w:bottom w:val="single" w:sz="4" w:space="0" w:color="auto"/>
              <w:right w:val="single" w:sz="4" w:space="0" w:color="auto"/>
            </w:tcBorders>
            <w:shd w:val="clear" w:color="000000" w:fill="FFFFFF"/>
            <w:noWrap/>
            <w:vAlign w:val="center"/>
            <w:hideMark/>
          </w:tcPr>
          <w:p w14:paraId="61C2768E" w14:textId="77777777" w:rsidR="00D3471D" w:rsidRPr="00B13B9A" w:rsidRDefault="00D3471D" w:rsidP="00332FF7">
            <w:pPr>
              <w:spacing w:after="0" w:line="240" w:lineRule="auto"/>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16</w:t>
            </w:r>
          </w:p>
        </w:tc>
        <w:tc>
          <w:tcPr>
            <w:tcW w:w="2998" w:type="dxa"/>
            <w:tcBorders>
              <w:top w:val="nil"/>
              <w:left w:val="nil"/>
              <w:bottom w:val="single" w:sz="4" w:space="0" w:color="auto"/>
              <w:right w:val="single" w:sz="4" w:space="0" w:color="auto"/>
            </w:tcBorders>
            <w:shd w:val="clear" w:color="000000" w:fill="FFFFFF"/>
            <w:vAlign w:val="center"/>
            <w:hideMark/>
          </w:tcPr>
          <w:p w14:paraId="7C4B16F3" w14:textId="77777777"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Cazangerie  Vorniceni 8042208387.11</w:t>
            </w:r>
          </w:p>
        </w:tc>
        <w:tc>
          <w:tcPr>
            <w:tcW w:w="1480" w:type="dxa"/>
            <w:tcBorders>
              <w:top w:val="nil"/>
              <w:left w:val="nil"/>
              <w:bottom w:val="single" w:sz="4" w:space="0" w:color="auto"/>
              <w:right w:val="single" w:sz="4" w:space="0" w:color="auto"/>
            </w:tcBorders>
            <w:shd w:val="clear" w:color="000000" w:fill="FFFFFF"/>
            <w:vAlign w:val="center"/>
            <w:hideMark/>
          </w:tcPr>
          <w:p w14:paraId="67BC61A9" w14:textId="77777777" w:rsidR="00D3471D" w:rsidRPr="00B13B9A" w:rsidRDefault="00D3471D" w:rsidP="00332FF7">
            <w:pPr>
              <w:spacing w:after="0" w:line="240" w:lineRule="auto"/>
              <w:jc w:val="right"/>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2.129.882,48</w:t>
            </w:r>
          </w:p>
        </w:tc>
        <w:tc>
          <w:tcPr>
            <w:tcW w:w="1242" w:type="dxa"/>
            <w:tcBorders>
              <w:top w:val="nil"/>
              <w:left w:val="nil"/>
              <w:bottom w:val="single" w:sz="4" w:space="0" w:color="auto"/>
              <w:right w:val="single" w:sz="4" w:space="0" w:color="auto"/>
            </w:tcBorders>
            <w:shd w:val="clear" w:color="000000" w:fill="FFFFFF"/>
            <w:vAlign w:val="center"/>
            <w:hideMark/>
          </w:tcPr>
          <w:p w14:paraId="40FB7420" w14:textId="3997B9CC"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Func</w:t>
            </w:r>
            <w:r w:rsidR="00B13B9A" w:rsidRPr="00B13B9A">
              <w:rPr>
                <w:rFonts w:asciiTheme="majorHAnsi" w:eastAsia="Times New Roman" w:hAnsiTheme="majorHAnsi" w:cstheme="majorHAnsi"/>
                <w:i/>
                <w:iCs/>
                <w:color w:val="000000"/>
                <w:sz w:val="20"/>
                <w:szCs w:val="20"/>
                <w:lang w:val="ro-MD"/>
              </w:rPr>
              <w:t>ț</w:t>
            </w:r>
            <w:r w:rsidRPr="00B13B9A">
              <w:rPr>
                <w:rFonts w:asciiTheme="majorHAnsi" w:eastAsia="Times New Roman" w:hAnsiTheme="majorHAnsi" w:cstheme="majorHAnsi"/>
                <w:i/>
                <w:iCs/>
                <w:color w:val="000000"/>
                <w:sz w:val="20"/>
                <w:szCs w:val="20"/>
                <w:lang w:val="ro-MD"/>
              </w:rPr>
              <w:t>ional</w:t>
            </w:r>
          </w:p>
        </w:tc>
        <w:tc>
          <w:tcPr>
            <w:tcW w:w="6491" w:type="dxa"/>
            <w:tcBorders>
              <w:top w:val="nil"/>
              <w:left w:val="nil"/>
              <w:bottom w:val="single" w:sz="4" w:space="0" w:color="auto"/>
              <w:right w:val="single" w:sz="4" w:space="0" w:color="auto"/>
            </w:tcBorders>
            <w:shd w:val="clear" w:color="000000" w:fill="FFFFFF"/>
            <w:vAlign w:val="center"/>
            <w:hideMark/>
          </w:tcPr>
          <w:p w14:paraId="09A2C067" w14:textId="77777777"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Cazangeria de lângă Blocul nr.2 în stare bună</w:t>
            </w:r>
          </w:p>
        </w:tc>
        <w:tc>
          <w:tcPr>
            <w:tcW w:w="1378" w:type="dxa"/>
            <w:tcBorders>
              <w:top w:val="nil"/>
              <w:left w:val="nil"/>
              <w:bottom w:val="single" w:sz="4" w:space="0" w:color="auto"/>
              <w:right w:val="single" w:sz="8" w:space="0" w:color="auto"/>
            </w:tcBorders>
            <w:shd w:val="clear" w:color="000000" w:fill="FFFFFF"/>
            <w:noWrap/>
            <w:vAlign w:val="center"/>
            <w:hideMark/>
          </w:tcPr>
          <w:p w14:paraId="43BBDB8D" w14:textId="77777777" w:rsidR="00D3471D" w:rsidRPr="00B13B9A" w:rsidRDefault="00D3471D" w:rsidP="00332FF7">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901.482,71</w:t>
            </w:r>
          </w:p>
        </w:tc>
      </w:tr>
      <w:tr w:rsidR="00D3471D" w:rsidRPr="00B13B9A" w14:paraId="5AFF0675" w14:textId="77777777" w:rsidTr="002B7B86">
        <w:trPr>
          <w:trHeight w:val="20"/>
        </w:trPr>
        <w:tc>
          <w:tcPr>
            <w:tcW w:w="547" w:type="dxa"/>
            <w:tcBorders>
              <w:top w:val="nil"/>
              <w:left w:val="single" w:sz="8" w:space="0" w:color="auto"/>
              <w:bottom w:val="single" w:sz="4" w:space="0" w:color="auto"/>
              <w:right w:val="single" w:sz="4" w:space="0" w:color="auto"/>
            </w:tcBorders>
            <w:shd w:val="clear" w:color="000000" w:fill="FFFFFF"/>
            <w:noWrap/>
            <w:vAlign w:val="center"/>
            <w:hideMark/>
          </w:tcPr>
          <w:p w14:paraId="45C33A64" w14:textId="77777777" w:rsidR="00D3471D" w:rsidRPr="00B13B9A" w:rsidRDefault="00D3471D" w:rsidP="00332FF7">
            <w:pPr>
              <w:spacing w:after="0" w:line="240" w:lineRule="auto"/>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17</w:t>
            </w:r>
          </w:p>
        </w:tc>
        <w:tc>
          <w:tcPr>
            <w:tcW w:w="2998" w:type="dxa"/>
            <w:tcBorders>
              <w:top w:val="nil"/>
              <w:left w:val="nil"/>
              <w:bottom w:val="single" w:sz="4" w:space="0" w:color="auto"/>
              <w:right w:val="single" w:sz="4" w:space="0" w:color="auto"/>
            </w:tcBorders>
            <w:shd w:val="clear" w:color="000000" w:fill="FFFFFF"/>
            <w:vAlign w:val="center"/>
            <w:hideMark/>
          </w:tcPr>
          <w:p w14:paraId="6DA3DE33" w14:textId="77777777"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Cazangerie  Vorniceni 8042208387.28</w:t>
            </w:r>
          </w:p>
        </w:tc>
        <w:tc>
          <w:tcPr>
            <w:tcW w:w="1480" w:type="dxa"/>
            <w:tcBorders>
              <w:top w:val="nil"/>
              <w:left w:val="nil"/>
              <w:bottom w:val="single" w:sz="4" w:space="0" w:color="auto"/>
              <w:right w:val="single" w:sz="4" w:space="0" w:color="auto"/>
            </w:tcBorders>
            <w:shd w:val="clear" w:color="000000" w:fill="FFFFFF"/>
            <w:vAlign w:val="center"/>
            <w:hideMark/>
          </w:tcPr>
          <w:p w14:paraId="42903C7E" w14:textId="77777777" w:rsidR="00D3471D" w:rsidRPr="00B13B9A" w:rsidRDefault="00D3471D" w:rsidP="00332FF7">
            <w:pPr>
              <w:spacing w:after="0" w:line="240" w:lineRule="auto"/>
              <w:jc w:val="right"/>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285.849,00</w:t>
            </w:r>
          </w:p>
        </w:tc>
        <w:tc>
          <w:tcPr>
            <w:tcW w:w="1242" w:type="dxa"/>
            <w:tcBorders>
              <w:top w:val="nil"/>
              <w:left w:val="nil"/>
              <w:bottom w:val="single" w:sz="4" w:space="0" w:color="auto"/>
              <w:right w:val="single" w:sz="4" w:space="0" w:color="auto"/>
            </w:tcBorders>
            <w:shd w:val="clear" w:color="000000" w:fill="FFFFFF"/>
            <w:vAlign w:val="center"/>
            <w:hideMark/>
          </w:tcPr>
          <w:p w14:paraId="326D9241" w14:textId="2B91BE5A"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Func</w:t>
            </w:r>
            <w:r w:rsidR="00B13B9A" w:rsidRPr="00B13B9A">
              <w:rPr>
                <w:rFonts w:asciiTheme="majorHAnsi" w:eastAsia="Times New Roman" w:hAnsiTheme="majorHAnsi" w:cstheme="majorHAnsi"/>
                <w:i/>
                <w:iCs/>
                <w:color w:val="000000"/>
                <w:sz w:val="20"/>
                <w:szCs w:val="20"/>
                <w:lang w:val="ro-MD"/>
              </w:rPr>
              <w:t>ț</w:t>
            </w:r>
            <w:r w:rsidRPr="00B13B9A">
              <w:rPr>
                <w:rFonts w:asciiTheme="majorHAnsi" w:eastAsia="Times New Roman" w:hAnsiTheme="majorHAnsi" w:cstheme="majorHAnsi"/>
                <w:i/>
                <w:iCs/>
                <w:color w:val="000000"/>
                <w:sz w:val="20"/>
                <w:szCs w:val="20"/>
                <w:lang w:val="ro-MD"/>
              </w:rPr>
              <w:t>ional</w:t>
            </w:r>
          </w:p>
        </w:tc>
        <w:tc>
          <w:tcPr>
            <w:tcW w:w="6491" w:type="dxa"/>
            <w:tcBorders>
              <w:top w:val="nil"/>
              <w:left w:val="nil"/>
              <w:bottom w:val="single" w:sz="4" w:space="0" w:color="auto"/>
              <w:right w:val="single" w:sz="4" w:space="0" w:color="auto"/>
            </w:tcBorders>
            <w:shd w:val="clear" w:color="000000" w:fill="FFFFFF"/>
            <w:vAlign w:val="center"/>
            <w:hideMark/>
          </w:tcPr>
          <w:p w14:paraId="30909158" w14:textId="77777777"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Stare bună</w:t>
            </w:r>
          </w:p>
        </w:tc>
        <w:tc>
          <w:tcPr>
            <w:tcW w:w="1378" w:type="dxa"/>
            <w:tcBorders>
              <w:top w:val="nil"/>
              <w:left w:val="nil"/>
              <w:bottom w:val="single" w:sz="4" w:space="0" w:color="auto"/>
              <w:right w:val="single" w:sz="8" w:space="0" w:color="auto"/>
            </w:tcBorders>
            <w:shd w:val="clear" w:color="000000" w:fill="FFFFFF"/>
            <w:noWrap/>
            <w:vAlign w:val="center"/>
            <w:hideMark/>
          </w:tcPr>
          <w:p w14:paraId="3524AC9E" w14:textId="77777777" w:rsidR="00D3471D" w:rsidRPr="00B13B9A" w:rsidRDefault="00D3471D" w:rsidP="00332FF7">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135.635,46</w:t>
            </w:r>
          </w:p>
        </w:tc>
      </w:tr>
      <w:tr w:rsidR="00D3471D" w:rsidRPr="00B13B9A" w14:paraId="5E8A23E2" w14:textId="77777777" w:rsidTr="002B7B86">
        <w:trPr>
          <w:trHeight w:val="20"/>
        </w:trPr>
        <w:tc>
          <w:tcPr>
            <w:tcW w:w="547" w:type="dxa"/>
            <w:tcBorders>
              <w:top w:val="nil"/>
              <w:left w:val="single" w:sz="8" w:space="0" w:color="auto"/>
              <w:bottom w:val="single" w:sz="4" w:space="0" w:color="auto"/>
              <w:right w:val="single" w:sz="4" w:space="0" w:color="auto"/>
            </w:tcBorders>
            <w:shd w:val="clear" w:color="000000" w:fill="FFFFFF"/>
            <w:noWrap/>
            <w:vAlign w:val="center"/>
            <w:hideMark/>
          </w:tcPr>
          <w:p w14:paraId="04A7A746" w14:textId="77777777" w:rsidR="00D3471D" w:rsidRPr="00B13B9A" w:rsidRDefault="00D3471D" w:rsidP="00332FF7">
            <w:pPr>
              <w:spacing w:after="0" w:line="240" w:lineRule="auto"/>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18</w:t>
            </w:r>
          </w:p>
        </w:tc>
        <w:tc>
          <w:tcPr>
            <w:tcW w:w="2998" w:type="dxa"/>
            <w:tcBorders>
              <w:top w:val="nil"/>
              <w:left w:val="nil"/>
              <w:bottom w:val="single" w:sz="4" w:space="0" w:color="auto"/>
              <w:right w:val="single" w:sz="4" w:space="0" w:color="auto"/>
            </w:tcBorders>
            <w:shd w:val="clear" w:color="000000" w:fill="FFFFFF"/>
            <w:vAlign w:val="center"/>
            <w:hideMark/>
          </w:tcPr>
          <w:p w14:paraId="2EC8EA11" w14:textId="77777777"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Depozit  p/u combustibil Vorniceni 8042208387.27</w:t>
            </w:r>
          </w:p>
        </w:tc>
        <w:tc>
          <w:tcPr>
            <w:tcW w:w="1480" w:type="dxa"/>
            <w:tcBorders>
              <w:top w:val="nil"/>
              <w:left w:val="nil"/>
              <w:bottom w:val="single" w:sz="4" w:space="0" w:color="auto"/>
              <w:right w:val="single" w:sz="4" w:space="0" w:color="auto"/>
            </w:tcBorders>
            <w:shd w:val="clear" w:color="000000" w:fill="FFFFFF"/>
            <w:vAlign w:val="center"/>
            <w:hideMark/>
          </w:tcPr>
          <w:p w14:paraId="6CC86C82" w14:textId="77777777" w:rsidR="00D3471D" w:rsidRPr="00B13B9A" w:rsidRDefault="00D3471D" w:rsidP="00332FF7">
            <w:pPr>
              <w:spacing w:after="0" w:line="240" w:lineRule="auto"/>
              <w:jc w:val="right"/>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29.947,00</w:t>
            </w:r>
          </w:p>
        </w:tc>
        <w:tc>
          <w:tcPr>
            <w:tcW w:w="1242" w:type="dxa"/>
            <w:tcBorders>
              <w:top w:val="nil"/>
              <w:left w:val="nil"/>
              <w:bottom w:val="single" w:sz="4" w:space="0" w:color="auto"/>
              <w:right w:val="single" w:sz="4" w:space="0" w:color="auto"/>
            </w:tcBorders>
            <w:shd w:val="clear" w:color="000000" w:fill="FFFFFF"/>
            <w:vAlign w:val="center"/>
            <w:hideMark/>
          </w:tcPr>
          <w:p w14:paraId="5FF7AB5D" w14:textId="6AA6E268"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Nefunc</w:t>
            </w:r>
            <w:r w:rsidR="00B13B9A" w:rsidRPr="00B13B9A">
              <w:rPr>
                <w:rFonts w:asciiTheme="majorHAnsi" w:eastAsia="Times New Roman" w:hAnsiTheme="majorHAnsi" w:cstheme="majorHAnsi"/>
                <w:i/>
                <w:iCs/>
                <w:color w:val="000000"/>
                <w:sz w:val="20"/>
                <w:szCs w:val="20"/>
                <w:lang w:val="ro-MD"/>
              </w:rPr>
              <w:t>ț</w:t>
            </w:r>
            <w:r w:rsidRPr="00B13B9A">
              <w:rPr>
                <w:rFonts w:asciiTheme="majorHAnsi" w:eastAsia="Times New Roman" w:hAnsiTheme="majorHAnsi" w:cstheme="majorHAnsi"/>
                <w:i/>
                <w:iCs/>
                <w:color w:val="000000"/>
                <w:sz w:val="20"/>
                <w:szCs w:val="20"/>
                <w:lang w:val="ro-MD"/>
              </w:rPr>
              <w:t>ional</w:t>
            </w:r>
          </w:p>
        </w:tc>
        <w:tc>
          <w:tcPr>
            <w:tcW w:w="6491" w:type="dxa"/>
            <w:tcBorders>
              <w:top w:val="nil"/>
              <w:left w:val="nil"/>
              <w:bottom w:val="single" w:sz="4" w:space="0" w:color="auto"/>
              <w:right w:val="single" w:sz="4" w:space="0" w:color="auto"/>
            </w:tcBorders>
            <w:shd w:val="clear" w:color="000000" w:fill="FFFFFF"/>
            <w:vAlign w:val="center"/>
            <w:hideMark/>
          </w:tcPr>
          <w:p w14:paraId="3B75FD9B" w14:textId="77777777"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Stare deplorabilă, învechit, spre demolare, valoarea lucrărilor de demolare constituie 34.398,40 lei</w:t>
            </w:r>
          </w:p>
        </w:tc>
        <w:tc>
          <w:tcPr>
            <w:tcW w:w="1378" w:type="dxa"/>
            <w:tcBorders>
              <w:top w:val="nil"/>
              <w:left w:val="nil"/>
              <w:bottom w:val="single" w:sz="4" w:space="0" w:color="auto"/>
              <w:right w:val="single" w:sz="8" w:space="0" w:color="auto"/>
            </w:tcBorders>
            <w:shd w:val="clear" w:color="000000" w:fill="FFFFFF"/>
            <w:noWrap/>
            <w:vAlign w:val="center"/>
            <w:hideMark/>
          </w:tcPr>
          <w:p w14:paraId="388EEF96" w14:textId="77777777" w:rsidR="00D3471D" w:rsidRPr="00B13B9A" w:rsidRDefault="00D3471D" w:rsidP="00332FF7">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20.827,98</w:t>
            </w:r>
          </w:p>
        </w:tc>
      </w:tr>
      <w:tr w:rsidR="00D3471D" w:rsidRPr="00B13B9A" w14:paraId="6B453B10" w14:textId="77777777" w:rsidTr="002B7B86">
        <w:trPr>
          <w:trHeight w:val="20"/>
        </w:trPr>
        <w:tc>
          <w:tcPr>
            <w:tcW w:w="547" w:type="dxa"/>
            <w:tcBorders>
              <w:top w:val="nil"/>
              <w:left w:val="single" w:sz="8" w:space="0" w:color="auto"/>
              <w:bottom w:val="single" w:sz="4" w:space="0" w:color="auto"/>
              <w:right w:val="single" w:sz="4" w:space="0" w:color="auto"/>
            </w:tcBorders>
            <w:shd w:val="clear" w:color="000000" w:fill="FFFFFF"/>
            <w:noWrap/>
            <w:vAlign w:val="center"/>
            <w:hideMark/>
          </w:tcPr>
          <w:p w14:paraId="748F7F7F" w14:textId="77777777" w:rsidR="00D3471D" w:rsidRPr="00B13B9A" w:rsidRDefault="00D3471D" w:rsidP="00332FF7">
            <w:pPr>
              <w:spacing w:after="0" w:line="240" w:lineRule="auto"/>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19</w:t>
            </w:r>
          </w:p>
        </w:tc>
        <w:tc>
          <w:tcPr>
            <w:tcW w:w="2998" w:type="dxa"/>
            <w:tcBorders>
              <w:top w:val="nil"/>
              <w:left w:val="nil"/>
              <w:bottom w:val="single" w:sz="4" w:space="0" w:color="auto"/>
              <w:right w:val="single" w:sz="4" w:space="0" w:color="auto"/>
            </w:tcBorders>
            <w:shd w:val="clear" w:color="000000" w:fill="FFFFFF"/>
            <w:vAlign w:val="center"/>
            <w:hideMark/>
          </w:tcPr>
          <w:p w14:paraId="401B28A4" w14:textId="77777777"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Depozit de materiale Vorniceni 8042208387.23</w:t>
            </w:r>
          </w:p>
        </w:tc>
        <w:tc>
          <w:tcPr>
            <w:tcW w:w="1480" w:type="dxa"/>
            <w:tcBorders>
              <w:top w:val="nil"/>
              <w:left w:val="nil"/>
              <w:bottom w:val="single" w:sz="4" w:space="0" w:color="auto"/>
              <w:right w:val="single" w:sz="4" w:space="0" w:color="auto"/>
            </w:tcBorders>
            <w:shd w:val="clear" w:color="000000" w:fill="FFFFFF"/>
            <w:vAlign w:val="center"/>
            <w:hideMark/>
          </w:tcPr>
          <w:p w14:paraId="6CF2FF01" w14:textId="77777777" w:rsidR="00D3471D" w:rsidRPr="00B13B9A" w:rsidRDefault="00D3471D" w:rsidP="00332FF7">
            <w:pPr>
              <w:spacing w:after="0" w:line="240" w:lineRule="auto"/>
              <w:jc w:val="right"/>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156.668,00</w:t>
            </w:r>
          </w:p>
        </w:tc>
        <w:tc>
          <w:tcPr>
            <w:tcW w:w="1242" w:type="dxa"/>
            <w:tcBorders>
              <w:top w:val="nil"/>
              <w:left w:val="nil"/>
              <w:bottom w:val="single" w:sz="4" w:space="0" w:color="auto"/>
              <w:right w:val="single" w:sz="4" w:space="0" w:color="auto"/>
            </w:tcBorders>
            <w:shd w:val="clear" w:color="000000" w:fill="FFFFFF"/>
            <w:vAlign w:val="center"/>
            <w:hideMark/>
          </w:tcPr>
          <w:p w14:paraId="412DCAFD" w14:textId="42DEE4DB"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Func</w:t>
            </w:r>
            <w:r w:rsidR="00B13B9A" w:rsidRPr="00B13B9A">
              <w:rPr>
                <w:rFonts w:asciiTheme="majorHAnsi" w:eastAsia="Times New Roman" w:hAnsiTheme="majorHAnsi" w:cstheme="majorHAnsi"/>
                <w:i/>
                <w:iCs/>
                <w:color w:val="000000"/>
                <w:sz w:val="20"/>
                <w:szCs w:val="20"/>
                <w:lang w:val="ro-MD"/>
              </w:rPr>
              <w:t>ț</w:t>
            </w:r>
            <w:r w:rsidRPr="00B13B9A">
              <w:rPr>
                <w:rFonts w:asciiTheme="majorHAnsi" w:eastAsia="Times New Roman" w:hAnsiTheme="majorHAnsi" w:cstheme="majorHAnsi"/>
                <w:i/>
                <w:iCs/>
                <w:color w:val="000000"/>
                <w:sz w:val="20"/>
                <w:szCs w:val="20"/>
                <w:lang w:val="ro-MD"/>
              </w:rPr>
              <w:t>ional</w:t>
            </w:r>
          </w:p>
        </w:tc>
        <w:tc>
          <w:tcPr>
            <w:tcW w:w="6491" w:type="dxa"/>
            <w:tcBorders>
              <w:top w:val="nil"/>
              <w:left w:val="nil"/>
              <w:bottom w:val="single" w:sz="4" w:space="0" w:color="auto"/>
              <w:right w:val="single" w:sz="4" w:space="0" w:color="auto"/>
            </w:tcBorders>
            <w:shd w:val="clear" w:color="000000" w:fill="FFFFFF"/>
            <w:vAlign w:val="center"/>
            <w:hideMark/>
          </w:tcPr>
          <w:p w14:paraId="14D12F0B" w14:textId="2371631A"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Stare satisfăcătoare, acoperi</w:t>
            </w:r>
            <w:r w:rsidR="00B13B9A" w:rsidRPr="00B13B9A">
              <w:rPr>
                <w:rFonts w:asciiTheme="majorHAnsi" w:eastAsia="Times New Roman" w:hAnsiTheme="majorHAnsi" w:cstheme="majorHAnsi"/>
                <w:i/>
                <w:iCs/>
                <w:color w:val="000000"/>
                <w:sz w:val="20"/>
                <w:szCs w:val="20"/>
                <w:lang w:val="ro-MD"/>
              </w:rPr>
              <w:t>ș</w:t>
            </w:r>
            <w:r w:rsidRPr="00B13B9A">
              <w:rPr>
                <w:rFonts w:asciiTheme="majorHAnsi" w:eastAsia="Times New Roman" w:hAnsiTheme="majorHAnsi" w:cstheme="majorHAnsi"/>
                <w:i/>
                <w:iCs/>
                <w:color w:val="000000"/>
                <w:sz w:val="20"/>
                <w:szCs w:val="20"/>
                <w:lang w:val="ro-MD"/>
              </w:rPr>
              <w:t>ul reparat</w:t>
            </w:r>
          </w:p>
        </w:tc>
        <w:tc>
          <w:tcPr>
            <w:tcW w:w="1378" w:type="dxa"/>
            <w:tcBorders>
              <w:top w:val="nil"/>
              <w:left w:val="nil"/>
              <w:bottom w:val="single" w:sz="4" w:space="0" w:color="auto"/>
              <w:right w:val="single" w:sz="8" w:space="0" w:color="auto"/>
            </w:tcBorders>
            <w:shd w:val="clear" w:color="000000" w:fill="FFFFFF"/>
            <w:noWrap/>
            <w:vAlign w:val="center"/>
            <w:hideMark/>
          </w:tcPr>
          <w:p w14:paraId="38067863" w14:textId="77777777" w:rsidR="00D3471D" w:rsidRPr="00B13B9A" w:rsidRDefault="00D3471D" w:rsidP="00332FF7">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127.292,36</w:t>
            </w:r>
          </w:p>
        </w:tc>
      </w:tr>
      <w:tr w:rsidR="00D3471D" w:rsidRPr="00B13B9A" w14:paraId="145ECE61" w14:textId="77777777" w:rsidTr="002B7B86">
        <w:trPr>
          <w:trHeight w:val="20"/>
        </w:trPr>
        <w:tc>
          <w:tcPr>
            <w:tcW w:w="547" w:type="dxa"/>
            <w:tcBorders>
              <w:top w:val="nil"/>
              <w:left w:val="single" w:sz="8" w:space="0" w:color="auto"/>
              <w:bottom w:val="single" w:sz="4" w:space="0" w:color="auto"/>
              <w:right w:val="single" w:sz="4" w:space="0" w:color="auto"/>
            </w:tcBorders>
            <w:shd w:val="clear" w:color="000000" w:fill="FFFFFF"/>
            <w:noWrap/>
            <w:vAlign w:val="center"/>
            <w:hideMark/>
          </w:tcPr>
          <w:p w14:paraId="59F7D17E" w14:textId="77777777" w:rsidR="00D3471D" w:rsidRPr="00B13B9A" w:rsidRDefault="00D3471D" w:rsidP="00332FF7">
            <w:pPr>
              <w:spacing w:after="0" w:line="240" w:lineRule="auto"/>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20</w:t>
            </w:r>
          </w:p>
        </w:tc>
        <w:tc>
          <w:tcPr>
            <w:tcW w:w="2998" w:type="dxa"/>
            <w:tcBorders>
              <w:top w:val="nil"/>
              <w:left w:val="nil"/>
              <w:bottom w:val="single" w:sz="4" w:space="0" w:color="auto"/>
              <w:right w:val="single" w:sz="4" w:space="0" w:color="auto"/>
            </w:tcBorders>
            <w:shd w:val="clear" w:color="000000" w:fill="FFFFFF"/>
            <w:vAlign w:val="center"/>
            <w:hideMark/>
          </w:tcPr>
          <w:p w14:paraId="132CB235" w14:textId="77777777"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Depozit p/u butelii de  gaz Vorniceni 8042208387.19</w:t>
            </w:r>
          </w:p>
        </w:tc>
        <w:tc>
          <w:tcPr>
            <w:tcW w:w="1480" w:type="dxa"/>
            <w:tcBorders>
              <w:top w:val="nil"/>
              <w:left w:val="nil"/>
              <w:bottom w:val="single" w:sz="4" w:space="0" w:color="auto"/>
              <w:right w:val="single" w:sz="4" w:space="0" w:color="auto"/>
            </w:tcBorders>
            <w:shd w:val="clear" w:color="000000" w:fill="FFFFFF"/>
            <w:vAlign w:val="center"/>
            <w:hideMark/>
          </w:tcPr>
          <w:p w14:paraId="34BD5028" w14:textId="77777777" w:rsidR="00D3471D" w:rsidRPr="00B13B9A" w:rsidRDefault="00D3471D" w:rsidP="00332FF7">
            <w:pPr>
              <w:spacing w:after="0" w:line="240" w:lineRule="auto"/>
              <w:jc w:val="right"/>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10.630,00</w:t>
            </w:r>
          </w:p>
        </w:tc>
        <w:tc>
          <w:tcPr>
            <w:tcW w:w="1242" w:type="dxa"/>
            <w:tcBorders>
              <w:top w:val="nil"/>
              <w:left w:val="nil"/>
              <w:bottom w:val="single" w:sz="4" w:space="0" w:color="auto"/>
              <w:right w:val="single" w:sz="4" w:space="0" w:color="auto"/>
            </w:tcBorders>
            <w:shd w:val="clear" w:color="000000" w:fill="FFFFFF"/>
            <w:vAlign w:val="center"/>
            <w:hideMark/>
          </w:tcPr>
          <w:p w14:paraId="5DB8CB26" w14:textId="6E89B0CB"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Nefunc</w:t>
            </w:r>
            <w:r w:rsidR="00B13B9A" w:rsidRPr="00B13B9A">
              <w:rPr>
                <w:rFonts w:asciiTheme="majorHAnsi" w:eastAsia="Times New Roman" w:hAnsiTheme="majorHAnsi" w:cstheme="majorHAnsi"/>
                <w:i/>
                <w:iCs/>
                <w:color w:val="000000"/>
                <w:sz w:val="20"/>
                <w:szCs w:val="20"/>
                <w:lang w:val="ro-MD"/>
              </w:rPr>
              <w:t>ț</w:t>
            </w:r>
            <w:r w:rsidRPr="00B13B9A">
              <w:rPr>
                <w:rFonts w:asciiTheme="majorHAnsi" w:eastAsia="Times New Roman" w:hAnsiTheme="majorHAnsi" w:cstheme="majorHAnsi"/>
                <w:i/>
                <w:iCs/>
                <w:color w:val="000000"/>
                <w:sz w:val="20"/>
                <w:szCs w:val="20"/>
                <w:lang w:val="ro-MD"/>
              </w:rPr>
              <w:t>ional</w:t>
            </w:r>
          </w:p>
        </w:tc>
        <w:tc>
          <w:tcPr>
            <w:tcW w:w="6491" w:type="dxa"/>
            <w:tcBorders>
              <w:top w:val="nil"/>
              <w:left w:val="nil"/>
              <w:bottom w:val="single" w:sz="4" w:space="0" w:color="auto"/>
              <w:right w:val="single" w:sz="4" w:space="0" w:color="auto"/>
            </w:tcBorders>
            <w:shd w:val="clear" w:color="000000" w:fill="FFFFFF"/>
            <w:vAlign w:val="center"/>
            <w:hideMark/>
          </w:tcPr>
          <w:p w14:paraId="155648A0" w14:textId="28947CB0"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Stare deplorabilă, sunt doar pere</w:t>
            </w:r>
            <w:r w:rsidR="00B13B9A" w:rsidRPr="00B13B9A">
              <w:rPr>
                <w:rFonts w:asciiTheme="majorHAnsi" w:eastAsia="Times New Roman" w:hAnsiTheme="majorHAnsi" w:cstheme="majorHAnsi"/>
                <w:i/>
                <w:iCs/>
                <w:color w:val="000000"/>
                <w:sz w:val="20"/>
                <w:szCs w:val="20"/>
                <w:lang w:val="ro-MD"/>
              </w:rPr>
              <w:t>ț</w:t>
            </w:r>
            <w:r w:rsidRPr="00B13B9A">
              <w:rPr>
                <w:rFonts w:asciiTheme="majorHAnsi" w:eastAsia="Times New Roman" w:hAnsiTheme="majorHAnsi" w:cstheme="majorHAnsi"/>
                <w:i/>
                <w:iCs/>
                <w:color w:val="000000"/>
                <w:sz w:val="20"/>
                <w:szCs w:val="20"/>
                <w:lang w:val="ro-MD"/>
              </w:rPr>
              <w:t>i, acoperi</w:t>
            </w:r>
            <w:r w:rsidR="00B13B9A" w:rsidRPr="00B13B9A">
              <w:rPr>
                <w:rFonts w:asciiTheme="majorHAnsi" w:eastAsia="Times New Roman" w:hAnsiTheme="majorHAnsi" w:cstheme="majorHAnsi"/>
                <w:i/>
                <w:iCs/>
                <w:color w:val="000000"/>
                <w:sz w:val="20"/>
                <w:szCs w:val="20"/>
                <w:lang w:val="ro-MD"/>
              </w:rPr>
              <w:t>ș</w:t>
            </w:r>
            <w:r w:rsidRPr="00B13B9A">
              <w:rPr>
                <w:rFonts w:asciiTheme="majorHAnsi" w:eastAsia="Times New Roman" w:hAnsiTheme="majorHAnsi" w:cstheme="majorHAnsi"/>
                <w:i/>
                <w:iCs/>
                <w:color w:val="000000"/>
                <w:sz w:val="20"/>
                <w:szCs w:val="20"/>
                <w:lang w:val="ro-MD"/>
              </w:rPr>
              <w:t>ul e cu găuri, spre demolare, valoarea lucrărilor de demolare constituie  11.526,13 lei</w:t>
            </w:r>
          </w:p>
        </w:tc>
        <w:tc>
          <w:tcPr>
            <w:tcW w:w="1378" w:type="dxa"/>
            <w:tcBorders>
              <w:top w:val="nil"/>
              <w:left w:val="nil"/>
              <w:bottom w:val="single" w:sz="4" w:space="0" w:color="auto"/>
              <w:right w:val="single" w:sz="8" w:space="0" w:color="auto"/>
            </w:tcBorders>
            <w:shd w:val="clear" w:color="000000" w:fill="FFFFFF"/>
            <w:noWrap/>
            <w:vAlign w:val="center"/>
            <w:hideMark/>
          </w:tcPr>
          <w:p w14:paraId="2A2CD11B" w14:textId="77777777" w:rsidR="00D3471D" w:rsidRPr="00B13B9A" w:rsidRDefault="00D3471D" w:rsidP="00332FF7">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7.807,91</w:t>
            </w:r>
          </w:p>
        </w:tc>
      </w:tr>
      <w:tr w:rsidR="00D3471D" w:rsidRPr="00B13B9A" w14:paraId="57C80230" w14:textId="77777777" w:rsidTr="002B7B86">
        <w:trPr>
          <w:trHeight w:val="20"/>
        </w:trPr>
        <w:tc>
          <w:tcPr>
            <w:tcW w:w="547" w:type="dxa"/>
            <w:tcBorders>
              <w:top w:val="nil"/>
              <w:left w:val="single" w:sz="8" w:space="0" w:color="auto"/>
              <w:bottom w:val="single" w:sz="4" w:space="0" w:color="auto"/>
              <w:right w:val="single" w:sz="4" w:space="0" w:color="auto"/>
            </w:tcBorders>
            <w:shd w:val="clear" w:color="000000" w:fill="FFFFFF"/>
            <w:noWrap/>
            <w:vAlign w:val="center"/>
            <w:hideMark/>
          </w:tcPr>
          <w:p w14:paraId="1420235A" w14:textId="77777777" w:rsidR="00D3471D" w:rsidRPr="00B13B9A" w:rsidRDefault="00D3471D" w:rsidP="00332FF7">
            <w:pPr>
              <w:spacing w:after="0" w:line="240" w:lineRule="auto"/>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21</w:t>
            </w:r>
          </w:p>
        </w:tc>
        <w:tc>
          <w:tcPr>
            <w:tcW w:w="2998" w:type="dxa"/>
            <w:tcBorders>
              <w:top w:val="nil"/>
              <w:left w:val="nil"/>
              <w:bottom w:val="single" w:sz="4" w:space="0" w:color="auto"/>
              <w:right w:val="single" w:sz="4" w:space="0" w:color="auto"/>
            </w:tcBorders>
            <w:shd w:val="clear" w:color="000000" w:fill="FFFFFF"/>
            <w:vAlign w:val="center"/>
            <w:hideMark/>
          </w:tcPr>
          <w:p w14:paraId="2FF8EB71" w14:textId="1795361F"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Dispanser cu 9</w:t>
            </w:r>
            <w:r w:rsidR="00D80586" w:rsidRPr="00B13B9A">
              <w:rPr>
                <w:rFonts w:asciiTheme="majorHAnsi" w:eastAsia="Times New Roman" w:hAnsiTheme="majorHAnsi" w:cstheme="majorHAnsi"/>
                <w:i/>
                <w:iCs/>
                <w:color w:val="000000"/>
                <w:sz w:val="20"/>
                <w:szCs w:val="20"/>
                <w:lang w:val="ro-MD"/>
              </w:rPr>
              <w:t xml:space="preserve"> </w:t>
            </w:r>
            <w:r w:rsidRPr="00B13B9A">
              <w:rPr>
                <w:rFonts w:asciiTheme="majorHAnsi" w:eastAsia="Times New Roman" w:hAnsiTheme="majorHAnsi" w:cstheme="majorHAnsi"/>
                <w:i/>
                <w:iCs/>
                <w:color w:val="000000"/>
                <w:sz w:val="20"/>
                <w:szCs w:val="20"/>
                <w:lang w:val="ro-MD"/>
              </w:rPr>
              <w:t>et. or.Chisinau 0100213274.01</w:t>
            </w:r>
          </w:p>
        </w:tc>
        <w:tc>
          <w:tcPr>
            <w:tcW w:w="1480" w:type="dxa"/>
            <w:tcBorders>
              <w:top w:val="nil"/>
              <w:left w:val="nil"/>
              <w:bottom w:val="single" w:sz="4" w:space="0" w:color="auto"/>
              <w:right w:val="single" w:sz="4" w:space="0" w:color="auto"/>
            </w:tcBorders>
            <w:shd w:val="clear" w:color="000000" w:fill="FFFFFF"/>
            <w:vAlign w:val="center"/>
            <w:hideMark/>
          </w:tcPr>
          <w:p w14:paraId="7B6D2D48" w14:textId="77777777" w:rsidR="00D3471D" w:rsidRPr="00B13B9A" w:rsidRDefault="00D3471D" w:rsidP="00332FF7">
            <w:pPr>
              <w:spacing w:after="0" w:line="240" w:lineRule="auto"/>
              <w:jc w:val="right"/>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12.729.729,10</w:t>
            </w:r>
          </w:p>
        </w:tc>
        <w:tc>
          <w:tcPr>
            <w:tcW w:w="1242" w:type="dxa"/>
            <w:tcBorders>
              <w:top w:val="nil"/>
              <w:left w:val="nil"/>
              <w:bottom w:val="single" w:sz="4" w:space="0" w:color="auto"/>
              <w:right w:val="single" w:sz="4" w:space="0" w:color="auto"/>
            </w:tcBorders>
            <w:shd w:val="clear" w:color="000000" w:fill="FFFFFF"/>
            <w:vAlign w:val="center"/>
            <w:hideMark/>
          </w:tcPr>
          <w:p w14:paraId="266F1E31" w14:textId="47ABFB60"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Func</w:t>
            </w:r>
            <w:r w:rsidR="00B13B9A" w:rsidRPr="00B13B9A">
              <w:rPr>
                <w:rFonts w:asciiTheme="majorHAnsi" w:eastAsia="Times New Roman" w:hAnsiTheme="majorHAnsi" w:cstheme="majorHAnsi"/>
                <w:i/>
                <w:iCs/>
                <w:color w:val="000000"/>
                <w:sz w:val="20"/>
                <w:szCs w:val="20"/>
                <w:lang w:val="ro-MD"/>
              </w:rPr>
              <w:t>ț</w:t>
            </w:r>
            <w:r w:rsidRPr="00B13B9A">
              <w:rPr>
                <w:rFonts w:asciiTheme="majorHAnsi" w:eastAsia="Times New Roman" w:hAnsiTheme="majorHAnsi" w:cstheme="majorHAnsi"/>
                <w:i/>
                <w:iCs/>
                <w:color w:val="000000"/>
                <w:sz w:val="20"/>
                <w:szCs w:val="20"/>
                <w:lang w:val="ro-MD"/>
              </w:rPr>
              <w:t>ional</w:t>
            </w:r>
          </w:p>
        </w:tc>
        <w:tc>
          <w:tcPr>
            <w:tcW w:w="6491" w:type="dxa"/>
            <w:tcBorders>
              <w:top w:val="nil"/>
              <w:left w:val="nil"/>
              <w:bottom w:val="single" w:sz="4" w:space="0" w:color="auto"/>
              <w:right w:val="single" w:sz="4" w:space="0" w:color="auto"/>
            </w:tcBorders>
            <w:shd w:val="clear" w:color="000000" w:fill="FFFFFF"/>
            <w:vAlign w:val="center"/>
            <w:hideMark/>
          </w:tcPr>
          <w:p w14:paraId="0FE5FB2C" w14:textId="01AE0445"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Stare bună, se utilizează pentru prestarea serviciilor pacien</w:t>
            </w:r>
            <w:r w:rsidR="00B13B9A" w:rsidRPr="00B13B9A">
              <w:rPr>
                <w:rFonts w:asciiTheme="majorHAnsi" w:eastAsia="Times New Roman" w:hAnsiTheme="majorHAnsi" w:cstheme="majorHAnsi"/>
                <w:i/>
                <w:iCs/>
                <w:color w:val="000000"/>
                <w:sz w:val="20"/>
                <w:szCs w:val="20"/>
                <w:lang w:val="ro-MD"/>
              </w:rPr>
              <w:t>ț</w:t>
            </w:r>
            <w:r w:rsidRPr="00B13B9A">
              <w:rPr>
                <w:rFonts w:asciiTheme="majorHAnsi" w:eastAsia="Times New Roman" w:hAnsiTheme="majorHAnsi" w:cstheme="majorHAnsi"/>
                <w:i/>
                <w:iCs/>
                <w:color w:val="000000"/>
                <w:sz w:val="20"/>
                <w:szCs w:val="20"/>
                <w:lang w:val="ro-MD"/>
              </w:rPr>
              <w:t>ilor</w:t>
            </w:r>
          </w:p>
        </w:tc>
        <w:tc>
          <w:tcPr>
            <w:tcW w:w="1378" w:type="dxa"/>
            <w:tcBorders>
              <w:top w:val="nil"/>
              <w:left w:val="nil"/>
              <w:bottom w:val="single" w:sz="4" w:space="0" w:color="auto"/>
              <w:right w:val="single" w:sz="8" w:space="0" w:color="auto"/>
            </w:tcBorders>
            <w:shd w:val="clear" w:color="000000" w:fill="FFFFFF"/>
            <w:noWrap/>
            <w:vAlign w:val="center"/>
            <w:hideMark/>
          </w:tcPr>
          <w:p w14:paraId="04E17166" w14:textId="77777777" w:rsidR="00D3471D" w:rsidRPr="00B13B9A" w:rsidRDefault="00D3471D" w:rsidP="00332FF7">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7.520.730,10</w:t>
            </w:r>
          </w:p>
        </w:tc>
      </w:tr>
      <w:tr w:rsidR="00D3471D" w:rsidRPr="00B13B9A" w14:paraId="1EE81B3F" w14:textId="77777777" w:rsidTr="002B7B86">
        <w:trPr>
          <w:trHeight w:val="20"/>
        </w:trPr>
        <w:tc>
          <w:tcPr>
            <w:tcW w:w="547" w:type="dxa"/>
            <w:tcBorders>
              <w:top w:val="nil"/>
              <w:left w:val="single" w:sz="8" w:space="0" w:color="auto"/>
              <w:bottom w:val="single" w:sz="4" w:space="0" w:color="auto"/>
              <w:right w:val="single" w:sz="4" w:space="0" w:color="auto"/>
            </w:tcBorders>
            <w:shd w:val="clear" w:color="000000" w:fill="FFFFFF"/>
            <w:noWrap/>
            <w:vAlign w:val="center"/>
            <w:hideMark/>
          </w:tcPr>
          <w:p w14:paraId="2F08C4C1" w14:textId="77777777" w:rsidR="00D3471D" w:rsidRPr="00B13B9A" w:rsidRDefault="00D3471D" w:rsidP="00332FF7">
            <w:pPr>
              <w:spacing w:after="0" w:line="240" w:lineRule="auto"/>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22</w:t>
            </w:r>
          </w:p>
        </w:tc>
        <w:tc>
          <w:tcPr>
            <w:tcW w:w="2998" w:type="dxa"/>
            <w:tcBorders>
              <w:top w:val="nil"/>
              <w:left w:val="nil"/>
              <w:bottom w:val="single" w:sz="4" w:space="0" w:color="auto"/>
              <w:right w:val="single" w:sz="4" w:space="0" w:color="auto"/>
            </w:tcBorders>
            <w:shd w:val="clear" w:color="000000" w:fill="FFFFFF"/>
            <w:vAlign w:val="center"/>
            <w:hideMark/>
          </w:tcPr>
          <w:p w14:paraId="7E70E75E" w14:textId="77777777"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Estrada de vara (scena) Vorniceni 8042208387.09</w:t>
            </w:r>
          </w:p>
        </w:tc>
        <w:tc>
          <w:tcPr>
            <w:tcW w:w="1480" w:type="dxa"/>
            <w:tcBorders>
              <w:top w:val="nil"/>
              <w:left w:val="nil"/>
              <w:bottom w:val="single" w:sz="4" w:space="0" w:color="auto"/>
              <w:right w:val="single" w:sz="4" w:space="0" w:color="auto"/>
            </w:tcBorders>
            <w:shd w:val="clear" w:color="000000" w:fill="FFFFFF"/>
            <w:vAlign w:val="center"/>
            <w:hideMark/>
          </w:tcPr>
          <w:p w14:paraId="4C68F763" w14:textId="77777777" w:rsidR="00D3471D" w:rsidRPr="00B13B9A" w:rsidRDefault="00D3471D" w:rsidP="00332FF7">
            <w:pPr>
              <w:spacing w:after="0" w:line="240" w:lineRule="auto"/>
              <w:jc w:val="right"/>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188.666,00</w:t>
            </w:r>
          </w:p>
        </w:tc>
        <w:tc>
          <w:tcPr>
            <w:tcW w:w="1242" w:type="dxa"/>
            <w:tcBorders>
              <w:top w:val="nil"/>
              <w:left w:val="nil"/>
              <w:bottom w:val="single" w:sz="4" w:space="0" w:color="auto"/>
              <w:right w:val="single" w:sz="4" w:space="0" w:color="auto"/>
            </w:tcBorders>
            <w:shd w:val="clear" w:color="000000" w:fill="FFFFFF"/>
            <w:vAlign w:val="center"/>
            <w:hideMark/>
          </w:tcPr>
          <w:p w14:paraId="71E75CB7" w14:textId="23F91307"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Nefunc</w:t>
            </w:r>
            <w:r w:rsidR="00B13B9A" w:rsidRPr="00B13B9A">
              <w:rPr>
                <w:rFonts w:asciiTheme="majorHAnsi" w:eastAsia="Times New Roman" w:hAnsiTheme="majorHAnsi" w:cstheme="majorHAnsi"/>
                <w:i/>
                <w:iCs/>
                <w:color w:val="000000"/>
                <w:sz w:val="20"/>
                <w:szCs w:val="20"/>
                <w:lang w:val="ro-MD"/>
              </w:rPr>
              <w:t>ț</w:t>
            </w:r>
            <w:r w:rsidRPr="00B13B9A">
              <w:rPr>
                <w:rFonts w:asciiTheme="majorHAnsi" w:eastAsia="Times New Roman" w:hAnsiTheme="majorHAnsi" w:cstheme="majorHAnsi"/>
                <w:i/>
                <w:iCs/>
                <w:color w:val="000000"/>
                <w:sz w:val="20"/>
                <w:szCs w:val="20"/>
                <w:lang w:val="ro-MD"/>
              </w:rPr>
              <w:t>ional</w:t>
            </w:r>
          </w:p>
        </w:tc>
        <w:tc>
          <w:tcPr>
            <w:tcW w:w="6491" w:type="dxa"/>
            <w:tcBorders>
              <w:top w:val="nil"/>
              <w:left w:val="nil"/>
              <w:bottom w:val="single" w:sz="4" w:space="0" w:color="auto"/>
              <w:right w:val="single" w:sz="4" w:space="0" w:color="auto"/>
            </w:tcBorders>
            <w:shd w:val="clear" w:color="000000" w:fill="FFFFFF"/>
            <w:vAlign w:val="center"/>
            <w:hideMark/>
          </w:tcPr>
          <w:p w14:paraId="53DCCAD2" w14:textId="77777777"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Stare deplorabilă, învechit, spre demolare, valoarea lucrărilor de demolare constituie 79.801,88 lei</w:t>
            </w:r>
          </w:p>
        </w:tc>
        <w:tc>
          <w:tcPr>
            <w:tcW w:w="1378" w:type="dxa"/>
            <w:tcBorders>
              <w:top w:val="nil"/>
              <w:left w:val="nil"/>
              <w:bottom w:val="single" w:sz="4" w:space="0" w:color="auto"/>
              <w:right w:val="single" w:sz="8" w:space="0" w:color="auto"/>
            </w:tcBorders>
            <w:shd w:val="clear" w:color="000000" w:fill="FFFFFF"/>
            <w:noWrap/>
            <w:vAlign w:val="center"/>
            <w:hideMark/>
          </w:tcPr>
          <w:p w14:paraId="585DBB52" w14:textId="77777777" w:rsidR="00D3471D" w:rsidRPr="00B13B9A" w:rsidRDefault="00D3471D" w:rsidP="00332FF7">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131.217,38</w:t>
            </w:r>
          </w:p>
        </w:tc>
      </w:tr>
      <w:tr w:rsidR="00D3471D" w:rsidRPr="00B13B9A" w14:paraId="5246F1B7" w14:textId="77777777" w:rsidTr="002B7B86">
        <w:trPr>
          <w:trHeight w:val="20"/>
        </w:trPr>
        <w:tc>
          <w:tcPr>
            <w:tcW w:w="547" w:type="dxa"/>
            <w:tcBorders>
              <w:top w:val="nil"/>
              <w:left w:val="single" w:sz="8" w:space="0" w:color="auto"/>
              <w:bottom w:val="single" w:sz="4" w:space="0" w:color="auto"/>
              <w:right w:val="single" w:sz="4" w:space="0" w:color="auto"/>
            </w:tcBorders>
            <w:shd w:val="clear" w:color="000000" w:fill="FFFFFF"/>
            <w:noWrap/>
            <w:vAlign w:val="center"/>
            <w:hideMark/>
          </w:tcPr>
          <w:p w14:paraId="496A0D4A" w14:textId="77777777" w:rsidR="00D3471D" w:rsidRPr="00B13B9A" w:rsidRDefault="00D3471D" w:rsidP="00332FF7">
            <w:pPr>
              <w:spacing w:after="0" w:line="240" w:lineRule="auto"/>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23</w:t>
            </w:r>
          </w:p>
        </w:tc>
        <w:tc>
          <w:tcPr>
            <w:tcW w:w="2998" w:type="dxa"/>
            <w:tcBorders>
              <w:top w:val="nil"/>
              <w:left w:val="nil"/>
              <w:bottom w:val="single" w:sz="4" w:space="0" w:color="auto"/>
              <w:right w:val="single" w:sz="4" w:space="0" w:color="auto"/>
            </w:tcBorders>
            <w:shd w:val="clear" w:color="000000" w:fill="FFFFFF"/>
            <w:vAlign w:val="center"/>
            <w:hideMark/>
          </w:tcPr>
          <w:p w14:paraId="048C9BB7" w14:textId="77777777"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Ferma    8042208387.21</w:t>
            </w:r>
          </w:p>
        </w:tc>
        <w:tc>
          <w:tcPr>
            <w:tcW w:w="1480" w:type="dxa"/>
            <w:tcBorders>
              <w:top w:val="nil"/>
              <w:left w:val="nil"/>
              <w:bottom w:val="single" w:sz="4" w:space="0" w:color="auto"/>
              <w:right w:val="single" w:sz="4" w:space="0" w:color="auto"/>
            </w:tcBorders>
            <w:shd w:val="clear" w:color="000000" w:fill="FFFFFF"/>
            <w:vAlign w:val="center"/>
            <w:hideMark/>
          </w:tcPr>
          <w:p w14:paraId="213E6811" w14:textId="77777777" w:rsidR="00D3471D" w:rsidRPr="00B13B9A" w:rsidRDefault="00D3471D" w:rsidP="00332FF7">
            <w:pPr>
              <w:spacing w:after="0" w:line="240" w:lineRule="auto"/>
              <w:jc w:val="right"/>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34.465,00</w:t>
            </w:r>
          </w:p>
        </w:tc>
        <w:tc>
          <w:tcPr>
            <w:tcW w:w="1242" w:type="dxa"/>
            <w:tcBorders>
              <w:top w:val="nil"/>
              <w:left w:val="nil"/>
              <w:bottom w:val="single" w:sz="4" w:space="0" w:color="auto"/>
              <w:right w:val="single" w:sz="4" w:space="0" w:color="auto"/>
            </w:tcBorders>
            <w:shd w:val="clear" w:color="000000" w:fill="FFFFFF"/>
            <w:vAlign w:val="center"/>
            <w:hideMark/>
          </w:tcPr>
          <w:p w14:paraId="722B0A92" w14:textId="49C0CDE4"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Nefunc</w:t>
            </w:r>
            <w:r w:rsidR="00B13B9A" w:rsidRPr="00B13B9A">
              <w:rPr>
                <w:rFonts w:asciiTheme="majorHAnsi" w:eastAsia="Times New Roman" w:hAnsiTheme="majorHAnsi" w:cstheme="majorHAnsi"/>
                <w:i/>
                <w:iCs/>
                <w:color w:val="000000"/>
                <w:sz w:val="20"/>
                <w:szCs w:val="20"/>
                <w:lang w:val="ro-MD"/>
              </w:rPr>
              <w:t>ț</w:t>
            </w:r>
            <w:r w:rsidRPr="00B13B9A">
              <w:rPr>
                <w:rFonts w:asciiTheme="majorHAnsi" w:eastAsia="Times New Roman" w:hAnsiTheme="majorHAnsi" w:cstheme="majorHAnsi"/>
                <w:i/>
                <w:iCs/>
                <w:color w:val="000000"/>
                <w:sz w:val="20"/>
                <w:szCs w:val="20"/>
                <w:lang w:val="ro-MD"/>
              </w:rPr>
              <w:t>ional</w:t>
            </w:r>
          </w:p>
        </w:tc>
        <w:tc>
          <w:tcPr>
            <w:tcW w:w="6491" w:type="dxa"/>
            <w:tcBorders>
              <w:top w:val="nil"/>
              <w:left w:val="nil"/>
              <w:bottom w:val="single" w:sz="4" w:space="0" w:color="auto"/>
              <w:right w:val="single" w:sz="4" w:space="0" w:color="auto"/>
            </w:tcBorders>
            <w:shd w:val="clear" w:color="000000" w:fill="FFFFFF"/>
            <w:vAlign w:val="center"/>
            <w:hideMark/>
          </w:tcPr>
          <w:p w14:paraId="78417E4B" w14:textId="6F97DC69"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Stare deplorabilă, învechit. Prin HG nr.945 din 20.08.2007 obiectul a fost inclus în Lista bunurilor proprietate de stat supuse privatizării. Ca urmare, Agen</w:t>
            </w:r>
            <w:r w:rsidR="00B13B9A" w:rsidRPr="00B13B9A">
              <w:rPr>
                <w:rFonts w:asciiTheme="majorHAnsi" w:eastAsia="Times New Roman" w:hAnsiTheme="majorHAnsi" w:cstheme="majorHAnsi"/>
                <w:i/>
                <w:iCs/>
                <w:color w:val="000000"/>
                <w:sz w:val="20"/>
                <w:szCs w:val="20"/>
                <w:lang w:val="ro-MD"/>
              </w:rPr>
              <w:t>ț</w:t>
            </w:r>
            <w:r w:rsidRPr="00B13B9A">
              <w:rPr>
                <w:rFonts w:asciiTheme="majorHAnsi" w:eastAsia="Times New Roman" w:hAnsiTheme="majorHAnsi" w:cstheme="majorHAnsi"/>
                <w:i/>
                <w:iCs/>
                <w:color w:val="000000"/>
                <w:sz w:val="20"/>
                <w:szCs w:val="20"/>
                <w:lang w:val="ro-MD"/>
              </w:rPr>
              <w:t>ia Proprietă</w:t>
            </w:r>
            <w:r w:rsidR="00B13B9A" w:rsidRPr="00B13B9A">
              <w:rPr>
                <w:rFonts w:asciiTheme="majorHAnsi" w:eastAsia="Times New Roman" w:hAnsiTheme="majorHAnsi" w:cstheme="majorHAnsi"/>
                <w:i/>
                <w:iCs/>
                <w:color w:val="000000"/>
                <w:sz w:val="20"/>
                <w:szCs w:val="20"/>
                <w:lang w:val="ro-MD"/>
              </w:rPr>
              <w:t>ț</w:t>
            </w:r>
            <w:r w:rsidRPr="00B13B9A">
              <w:rPr>
                <w:rFonts w:asciiTheme="majorHAnsi" w:eastAsia="Times New Roman" w:hAnsiTheme="majorHAnsi" w:cstheme="majorHAnsi"/>
                <w:i/>
                <w:iCs/>
                <w:color w:val="000000"/>
                <w:sz w:val="20"/>
                <w:szCs w:val="20"/>
                <w:lang w:val="ro-MD"/>
              </w:rPr>
              <w:t xml:space="preserve">ii Publice a intervenit cu solicitarea de a permite accesul </w:t>
            </w:r>
            <w:r w:rsidR="00B13B9A" w:rsidRPr="00B13B9A">
              <w:rPr>
                <w:rFonts w:asciiTheme="majorHAnsi" w:eastAsia="Times New Roman" w:hAnsiTheme="majorHAnsi" w:cstheme="majorHAnsi"/>
                <w:i/>
                <w:iCs/>
                <w:color w:val="000000"/>
                <w:sz w:val="20"/>
                <w:szCs w:val="20"/>
                <w:lang w:val="ro-MD"/>
              </w:rPr>
              <w:t>ș</w:t>
            </w:r>
            <w:r w:rsidRPr="00B13B9A">
              <w:rPr>
                <w:rFonts w:asciiTheme="majorHAnsi" w:eastAsia="Times New Roman" w:hAnsiTheme="majorHAnsi" w:cstheme="majorHAnsi"/>
                <w:i/>
                <w:iCs/>
                <w:color w:val="000000"/>
                <w:sz w:val="20"/>
                <w:szCs w:val="20"/>
                <w:lang w:val="ro-MD"/>
              </w:rPr>
              <w:t xml:space="preserve">i de a prezenta documentele </w:t>
            </w:r>
            <w:r w:rsidR="00B13B9A" w:rsidRPr="00B13B9A">
              <w:rPr>
                <w:rFonts w:asciiTheme="majorHAnsi" w:eastAsia="Times New Roman" w:hAnsiTheme="majorHAnsi" w:cstheme="majorHAnsi"/>
                <w:i/>
                <w:iCs/>
                <w:color w:val="000000"/>
                <w:sz w:val="20"/>
                <w:szCs w:val="20"/>
                <w:lang w:val="ro-MD"/>
              </w:rPr>
              <w:t>ș</w:t>
            </w:r>
            <w:r w:rsidRPr="00B13B9A">
              <w:rPr>
                <w:rFonts w:asciiTheme="majorHAnsi" w:eastAsia="Times New Roman" w:hAnsiTheme="majorHAnsi" w:cstheme="majorHAnsi"/>
                <w:i/>
                <w:iCs/>
                <w:color w:val="000000"/>
                <w:sz w:val="20"/>
                <w:szCs w:val="20"/>
                <w:lang w:val="ro-MD"/>
              </w:rPr>
              <w:t>i informa</w:t>
            </w:r>
            <w:r w:rsidR="00B13B9A" w:rsidRPr="00B13B9A">
              <w:rPr>
                <w:rFonts w:asciiTheme="majorHAnsi" w:eastAsia="Times New Roman" w:hAnsiTheme="majorHAnsi" w:cstheme="majorHAnsi"/>
                <w:i/>
                <w:iCs/>
                <w:color w:val="000000"/>
                <w:sz w:val="20"/>
                <w:szCs w:val="20"/>
                <w:lang w:val="ro-MD"/>
              </w:rPr>
              <w:t>ț</w:t>
            </w:r>
            <w:r w:rsidRPr="00B13B9A">
              <w:rPr>
                <w:rFonts w:asciiTheme="majorHAnsi" w:eastAsia="Times New Roman" w:hAnsiTheme="majorHAnsi" w:cstheme="majorHAnsi"/>
                <w:i/>
                <w:iCs/>
                <w:color w:val="000000"/>
                <w:sz w:val="20"/>
                <w:szCs w:val="20"/>
                <w:lang w:val="ro-MD"/>
              </w:rPr>
              <w:t>iile necesare evaluării construc</w:t>
            </w:r>
            <w:r w:rsidR="00B13B9A" w:rsidRPr="00B13B9A">
              <w:rPr>
                <w:rFonts w:asciiTheme="majorHAnsi" w:eastAsia="Times New Roman" w:hAnsiTheme="majorHAnsi" w:cstheme="majorHAnsi"/>
                <w:i/>
                <w:iCs/>
                <w:color w:val="000000"/>
                <w:sz w:val="20"/>
                <w:szCs w:val="20"/>
                <w:lang w:val="ro-MD"/>
              </w:rPr>
              <w:t>ț</w:t>
            </w:r>
            <w:r w:rsidRPr="00B13B9A">
              <w:rPr>
                <w:rFonts w:asciiTheme="majorHAnsi" w:eastAsia="Times New Roman" w:hAnsiTheme="majorHAnsi" w:cstheme="majorHAnsi"/>
                <w:i/>
                <w:iCs/>
                <w:color w:val="000000"/>
                <w:sz w:val="20"/>
                <w:szCs w:val="20"/>
                <w:lang w:val="ro-MD"/>
              </w:rPr>
              <w:t>iei - ferma de porcine. La această solicitare entitatea a emis o scrisoare răspuns prin care informează că accesul către obiect este limitat, unica cale de acces este traversarea teritoriului clinicii. Obiectul nu dispune de sistem de canalizare, imposibilitatea racordării la re</w:t>
            </w:r>
            <w:r w:rsidR="00B13B9A" w:rsidRPr="00B13B9A">
              <w:rPr>
                <w:rFonts w:asciiTheme="majorHAnsi" w:eastAsia="Times New Roman" w:hAnsiTheme="majorHAnsi" w:cstheme="majorHAnsi"/>
                <w:i/>
                <w:iCs/>
                <w:color w:val="000000"/>
                <w:sz w:val="20"/>
                <w:szCs w:val="20"/>
                <w:lang w:val="ro-MD"/>
              </w:rPr>
              <w:t>ț</w:t>
            </w:r>
            <w:r w:rsidRPr="00B13B9A">
              <w:rPr>
                <w:rFonts w:asciiTheme="majorHAnsi" w:eastAsia="Times New Roman" w:hAnsiTheme="majorHAnsi" w:cstheme="majorHAnsi"/>
                <w:i/>
                <w:iCs/>
                <w:color w:val="000000"/>
                <w:sz w:val="20"/>
                <w:szCs w:val="20"/>
                <w:lang w:val="ro-MD"/>
              </w:rPr>
              <w:t>eaua locală de distribu</w:t>
            </w:r>
            <w:r w:rsidR="00B13B9A" w:rsidRPr="00B13B9A">
              <w:rPr>
                <w:rFonts w:asciiTheme="majorHAnsi" w:eastAsia="Times New Roman" w:hAnsiTheme="majorHAnsi" w:cstheme="majorHAnsi"/>
                <w:i/>
                <w:iCs/>
                <w:color w:val="000000"/>
                <w:sz w:val="20"/>
                <w:szCs w:val="20"/>
                <w:lang w:val="ro-MD"/>
              </w:rPr>
              <w:t>ț</w:t>
            </w:r>
            <w:r w:rsidRPr="00B13B9A">
              <w:rPr>
                <w:rFonts w:asciiTheme="majorHAnsi" w:eastAsia="Times New Roman" w:hAnsiTheme="majorHAnsi" w:cstheme="majorHAnsi"/>
                <w:i/>
                <w:iCs/>
                <w:color w:val="000000"/>
                <w:sz w:val="20"/>
                <w:szCs w:val="20"/>
                <w:lang w:val="ro-MD"/>
              </w:rPr>
              <w:t>ie a energiei electrice. Mai mult ca atât, în preajma obiectului ”ferma de porcine” se află zona de protec</w:t>
            </w:r>
            <w:r w:rsidR="00B13B9A" w:rsidRPr="00B13B9A">
              <w:rPr>
                <w:rFonts w:asciiTheme="majorHAnsi" w:eastAsia="Times New Roman" w:hAnsiTheme="majorHAnsi" w:cstheme="majorHAnsi"/>
                <w:i/>
                <w:iCs/>
                <w:color w:val="000000"/>
                <w:sz w:val="20"/>
                <w:szCs w:val="20"/>
                <w:lang w:val="ro-MD"/>
              </w:rPr>
              <w:t>ț</w:t>
            </w:r>
            <w:r w:rsidRPr="00B13B9A">
              <w:rPr>
                <w:rFonts w:asciiTheme="majorHAnsi" w:eastAsia="Times New Roman" w:hAnsiTheme="majorHAnsi" w:cstheme="majorHAnsi"/>
                <w:i/>
                <w:iCs/>
                <w:color w:val="000000"/>
                <w:sz w:val="20"/>
                <w:szCs w:val="20"/>
                <w:lang w:val="ro-MD"/>
              </w:rPr>
              <w:t xml:space="preserve">ie sanitară cu regim sever a Sondei arteziene nr.1067 (unica sursa de apă) care alimentează cu apă potabilă </w:t>
            </w:r>
            <w:r w:rsidR="00B13B9A" w:rsidRPr="00B13B9A">
              <w:rPr>
                <w:rFonts w:asciiTheme="majorHAnsi" w:eastAsia="Times New Roman" w:hAnsiTheme="majorHAnsi" w:cstheme="majorHAnsi"/>
                <w:i/>
                <w:iCs/>
                <w:color w:val="000000"/>
                <w:sz w:val="20"/>
                <w:szCs w:val="20"/>
                <w:lang w:val="ro-MD"/>
              </w:rPr>
              <w:t>ș</w:t>
            </w:r>
            <w:r w:rsidRPr="00B13B9A">
              <w:rPr>
                <w:rFonts w:asciiTheme="majorHAnsi" w:eastAsia="Times New Roman" w:hAnsiTheme="majorHAnsi" w:cstheme="majorHAnsi"/>
                <w:i/>
                <w:iCs/>
                <w:color w:val="000000"/>
                <w:sz w:val="20"/>
                <w:szCs w:val="20"/>
                <w:lang w:val="ro-MD"/>
              </w:rPr>
              <w:t>i func</w:t>
            </w:r>
            <w:r w:rsidR="00B13B9A" w:rsidRPr="00B13B9A">
              <w:rPr>
                <w:rFonts w:asciiTheme="majorHAnsi" w:eastAsia="Times New Roman" w:hAnsiTheme="majorHAnsi" w:cstheme="majorHAnsi"/>
                <w:i/>
                <w:iCs/>
                <w:color w:val="000000"/>
                <w:sz w:val="20"/>
                <w:szCs w:val="20"/>
                <w:lang w:val="ro-MD"/>
              </w:rPr>
              <w:t>ț</w:t>
            </w:r>
            <w:r w:rsidRPr="00B13B9A">
              <w:rPr>
                <w:rFonts w:asciiTheme="majorHAnsi" w:eastAsia="Times New Roman" w:hAnsiTheme="majorHAnsi" w:cstheme="majorHAnsi"/>
                <w:i/>
                <w:iCs/>
                <w:color w:val="000000"/>
                <w:sz w:val="20"/>
                <w:szCs w:val="20"/>
                <w:lang w:val="ro-MD"/>
              </w:rPr>
              <w:t>ionare, inclusiv antiincendiară clinica Vorniceni. Prin urmare, entitatea intervine cu rugămintea de a exclude obiectul ”ferma de porcine” din Lista bunurilor proprietate de stat supuse privatizări.</w:t>
            </w:r>
          </w:p>
        </w:tc>
        <w:tc>
          <w:tcPr>
            <w:tcW w:w="1378" w:type="dxa"/>
            <w:tcBorders>
              <w:top w:val="nil"/>
              <w:left w:val="nil"/>
              <w:bottom w:val="single" w:sz="4" w:space="0" w:color="auto"/>
              <w:right w:val="single" w:sz="8" w:space="0" w:color="auto"/>
            </w:tcBorders>
            <w:shd w:val="clear" w:color="000000" w:fill="FFFFFF"/>
            <w:noWrap/>
            <w:vAlign w:val="center"/>
            <w:hideMark/>
          </w:tcPr>
          <w:p w14:paraId="0396FBCF" w14:textId="77777777" w:rsidR="00D3471D" w:rsidRPr="00B13B9A" w:rsidRDefault="00D3471D" w:rsidP="00332FF7">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26.659,06</w:t>
            </w:r>
          </w:p>
        </w:tc>
      </w:tr>
      <w:tr w:rsidR="00D3471D" w:rsidRPr="00B13B9A" w14:paraId="50F4154B" w14:textId="77777777" w:rsidTr="002B7B86">
        <w:trPr>
          <w:trHeight w:val="20"/>
        </w:trPr>
        <w:tc>
          <w:tcPr>
            <w:tcW w:w="547" w:type="dxa"/>
            <w:tcBorders>
              <w:top w:val="nil"/>
              <w:left w:val="single" w:sz="8" w:space="0" w:color="auto"/>
              <w:bottom w:val="single" w:sz="4" w:space="0" w:color="auto"/>
              <w:right w:val="single" w:sz="4" w:space="0" w:color="auto"/>
            </w:tcBorders>
            <w:shd w:val="clear" w:color="000000" w:fill="FFFFFF"/>
            <w:noWrap/>
            <w:vAlign w:val="center"/>
            <w:hideMark/>
          </w:tcPr>
          <w:p w14:paraId="06B3D832" w14:textId="77777777" w:rsidR="00D3471D" w:rsidRPr="00B13B9A" w:rsidRDefault="00D3471D" w:rsidP="00332FF7">
            <w:pPr>
              <w:spacing w:after="0" w:line="240" w:lineRule="auto"/>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24</w:t>
            </w:r>
          </w:p>
        </w:tc>
        <w:tc>
          <w:tcPr>
            <w:tcW w:w="2998" w:type="dxa"/>
            <w:tcBorders>
              <w:top w:val="nil"/>
              <w:left w:val="nil"/>
              <w:bottom w:val="single" w:sz="4" w:space="0" w:color="auto"/>
              <w:right w:val="single" w:sz="4" w:space="0" w:color="auto"/>
            </w:tcBorders>
            <w:shd w:val="clear" w:color="000000" w:fill="FFFFFF"/>
            <w:vAlign w:val="center"/>
            <w:hideMark/>
          </w:tcPr>
          <w:p w14:paraId="3C799A0E" w14:textId="77777777"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Garaj   nr.1    Vorniceni 8042208387.26</w:t>
            </w:r>
          </w:p>
        </w:tc>
        <w:tc>
          <w:tcPr>
            <w:tcW w:w="1480" w:type="dxa"/>
            <w:tcBorders>
              <w:top w:val="nil"/>
              <w:left w:val="nil"/>
              <w:bottom w:val="single" w:sz="4" w:space="0" w:color="auto"/>
              <w:right w:val="single" w:sz="4" w:space="0" w:color="auto"/>
            </w:tcBorders>
            <w:shd w:val="clear" w:color="000000" w:fill="FFFFFF"/>
            <w:vAlign w:val="center"/>
            <w:hideMark/>
          </w:tcPr>
          <w:p w14:paraId="2017E527" w14:textId="77777777" w:rsidR="00D3471D" w:rsidRPr="00B13B9A" w:rsidRDefault="00D3471D" w:rsidP="00332FF7">
            <w:pPr>
              <w:spacing w:after="0" w:line="240" w:lineRule="auto"/>
              <w:jc w:val="right"/>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148.115,00</w:t>
            </w:r>
          </w:p>
        </w:tc>
        <w:tc>
          <w:tcPr>
            <w:tcW w:w="1242" w:type="dxa"/>
            <w:tcBorders>
              <w:top w:val="nil"/>
              <w:left w:val="nil"/>
              <w:bottom w:val="single" w:sz="4" w:space="0" w:color="auto"/>
              <w:right w:val="single" w:sz="4" w:space="0" w:color="auto"/>
            </w:tcBorders>
            <w:shd w:val="clear" w:color="000000" w:fill="FFFFFF"/>
            <w:vAlign w:val="center"/>
            <w:hideMark/>
          </w:tcPr>
          <w:p w14:paraId="4FBEC962" w14:textId="15A1CC89"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Nefunc</w:t>
            </w:r>
            <w:r w:rsidR="00B13B9A" w:rsidRPr="00B13B9A">
              <w:rPr>
                <w:rFonts w:asciiTheme="majorHAnsi" w:eastAsia="Times New Roman" w:hAnsiTheme="majorHAnsi" w:cstheme="majorHAnsi"/>
                <w:i/>
                <w:iCs/>
                <w:color w:val="000000"/>
                <w:sz w:val="20"/>
                <w:szCs w:val="20"/>
                <w:lang w:val="ro-MD"/>
              </w:rPr>
              <w:t>ț</w:t>
            </w:r>
            <w:r w:rsidRPr="00B13B9A">
              <w:rPr>
                <w:rFonts w:asciiTheme="majorHAnsi" w:eastAsia="Times New Roman" w:hAnsiTheme="majorHAnsi" w:cstheme="majorHAnsi"/>
                <w:i/>
                <w:iCs/>
                <w:color w:val="000000"/>
                <w:sz w:val="20"/>
                <w:szCs w:val="20"/>
                <w:lang w:val="ro-MD"/>
              </w:rPr>
              <w:t>ional</w:t>
            </w:r>
          </w:p>
        </w:tc>
        <w:tc>
          <w:tcPr>
            <w:tcW w:w="6491" w:type="dxa"/>
            <w:tcBorders>
              <w:top w:val="nil"/>
              <w:left w:val="nil"/>
              <w:bottom w:val="single" w:sz="4" w:space="0" w:color="auto"/>
              <w:right w:val="single" w:sz="4" w:space="0" w:color="auto"/>
            </w:tcBorders>
            <w:shd w:val="clear" w:color="000000" w:fill="FFFFFF"/>
            <w:vAlign w:val="center"/>
            <w:hideMark/>
          </w:tcPr>
          <w:p w14:paraId="654081A0" w14:textId="5BEB4535"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Stare deplorabilă, învechit, majoritatea boxelor nu au acoperi</w:t>
            </w:r>
            <w:r w:rsidR="00B13B9A" w:rsidRPr="00B13B9A">
              <w:rPr>
                <w:rFonts w:asciiTheme="majorHAnsi" w:eastAsia="Times New Roman" w:hAnsiTheme="majorHAnsi" w:cstheme="majorHAnsi"/>
                <w:i/>
                <w:iCs/>
                <w:color w:val="000000"/>
                <w:sz w:val="20"/>
                <w:szCs w:val="20"/>
                <w:lang w:val="ro-MD"/>
              </w:rPr>
              <w:t>ș</w:t>
            </w:r>
            <w:r w:rsidRPr="00B13B9A">
              <w:rPr>
                <w:rFonts w:asciiTheme="majorHAnsi" w:eastAsia="Times New Roman" w:hAnsiTheme="majorHAnsi" w:cstheme="majorHAnsi"/>
                <w:i/>
                <w:iCs/>
                <w:color w:val="000000"/>
                <w:sz w:val="20"/>
                <w:szCs w:val="20"/>
                <w:lang w:val="ro-MD"/>
              </w:rPr>
              <w:t>, spre demolare</w:t>
            </w:r>
          </w:p>
        </w:tc>
        <w:tc>
          <w:tcPr>
            <w:tcW w:w="1378" w:type="dxa"/>
            <w:tcBorders>
              <w:top w:val="nil"/>
              <w:left w:val="nil"/>
              <w:bottom w:val="single" w:sz="4" w:space="0" w:color="auto"/>
              <w:right w:val="single" w:sz="8" w:space="0" w:color="auto"/>
            </w:tcBorders>
            <w:shd w:val="clear" w:color="000000" w:fill="FFFFFF"/>
            <w:noWrap/>
            <w:vAlign w:val="center"/>
            <w:hideMark/>
          </w:tcPr>
          <w:p w14:paraId="76B9CCD6" w14:textId="77777777" w:rsidR="00D3471D" w:rsidRPr="00B13B9A" w:rsidRDefault="00D3471D" w:rsidP="00332FF7">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122.491,47</w:t>
            </w:r>
          </w:p>
        </w:tc>
      </w:tr>
      <w:tr w:rsidR="00D3471D" w:rsidRPr="00B13B9A" w14:paraId="15763512" w14:textId="77777777" w:rsidTr="002B7B86">
        <w:trPr>
          <w:trHeight w:val="20"/>
        </w:trPr>
        <w:tc>
          <w:tcPr>
            <w:tcW w:w="547" w:type="dxa"/>
            <w:tcBorders>
              <w:top w:val="nil"/>
              <w:left w:val="single" w:sz="8" w:space="0" w:color="auto"/>
              <w:bottom w:val="single" w:sz="4" w:space="0" w:color="auto"/>
              <w:right w:val="single" w:sz="4" w:space="0" w:color="auto"/>
            </w:tcBorders>
            <w:shd w:val="clear" w:color="000000" w:fill="FFFFFF"/>
            <w:noWrap/>
            <w:vAlign w:val="center"/>
            <w:hideMark/>
          </w:tcPr>
          <w:p w14:paraId="3EE1B949" w14:textId="77777777" w:rsidR="00D3471D" w:rsidRPr="00B13B9A" w:rsidRDefault="00D3471D" w:rsidP="00332FF7">
            <w:pPr>
              <w:spacing w:after="0" w:line="240" w:lineRule="auto"/>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25</w:t>
            </w:r>
          </w:p>
        </w:tc>
        <w:tc>
          <w:tcPr>
            <w:tcW w:w="2998" w:type="dxa"/>
            <w:tcBorders>
              <w:top w:val="nil"/>
              <w:left w:val="nil"/>
              <w:bottom w:val="single" w:sz="4" w:space="0" w:color="auto"/>
              <w:right w:val="single" w:sz="4" w:space="0" w:color="auto"/>
            </w:tcBorders>
            <w:shd w:val="clear" w:color="000000" w:fill="FFFFFF"/>
            <w:vAlign w:val="center"/>
            <w:hideMark/>
          </w:tcPr>
          <w:p w14:paraId="748DF398" w14:textId="77777777"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Garaj  0100213541.03</w:t>
            </w:r>
          </w:p>
        </w:tc>
        <w:tc>
          <w:tcPr>
            <w:tcW w:w="1480" w:type="dxa"/>
            <w:tcBorders>
              <w:top w:val="nil"/>
              <w:left w:val="nil"/>
              <w:bottom w:val="single" w:sz="4" w:space="0" w:color="auto"/>
              <w:right w:val="single" w:sz="4" w:space="0" w:color="auto"/>
            </w:tcBorders>
            <w:shd w:val="clear" w:color="000000" w:fill="FFFFFF"/>
            <w:vAlign w:val="center"/>
            <w:hideMark/>
          </w:tcPr>
          <w:p w14:paraId="04C6F267" w14:textId="77777777" w:rsidR="00D3471D" w:rsidRPr="00B13B9A" w:rsidRDefault="00D3471D" w:rsidP="00332FF7">
            <w:pPr>
              <w:spacing w:after="0" w:line="240" w:lineRule="auto"/>
              <w:jc w:val="right"/>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4.554.956,00</w:t>
            </w:r>
          </w:p>
        </w:tc>
        <w:tc>
          <w:tcPr>
            <w:tcW w:w="1242" w:type="dxa"/>
            <w:tcBorders>
              <w:top w:val="nil"/>
              <w:left w:val="nil"/>
              <w:bottom w:val="single" w:sz="4" w:space="0" w:color="auto"/>
              <w:right w:val="single" w:sz="4" w:space="0" w:color="auto"/>
            </w:tcBorders>
            <w:shd w:val="clear" w:color="000000" w:fill="FFFFFF"/>
            <w:vAlign w:val="center"/>
            <w:hideMark/>
          </w:tcPr>
          <w:p w14:paraId="5F4E0759" w14:textId="076D8AA0"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Func</w:t>
            </w:r>
            <w:r w:rsidR="00B13B9A" w:rsidRPr="00B13B9A">
              <w:rPr>
                <w:rFonts w:asciiTheme="majorHAnsi" w:eastAsia="Times New Roman" w:hAnsiTheme="majorHAnsi" w:cstheme="majorHAnsi"/>
                <w:i/>
                <w:iCs/>
                <w:color w:val="000000"/>
                <w:sz w:val="20"/>
                <w:szCs w:val="20"/>
                <w:lang w:val="ro-MD"/>
              </w:rPr>
              <w:t>ț</w:t>
            </w:r>
            <w:r w:rsidRPr="00B13B9A">
              <w:rPr>
                <w:rFonts w:asciiTheme="majorHAnsi" w:eastAsia="Times New Roman" w:hAnsiTheme="majorHAnsi" w:cstheme="majorHAnsi"/>
                <w:i/>
                <w:iCs/>
                <w:color w:val="000000"/>
                <w:sz w:val="20"/>
                <w:szCs w:val="20"/>
                <w:lang w:val="ro-MD"/>
              </w:rPr>
              <w:t>ional</w:t>
            </w:r>
          </w:p>
        </w:tc>
        <w:tc>
          <w:tcPr>
            <w:tcW w:w="6491" w:type="dxa"/>
            <w:tcBorders>
              <w:top w:val="nil"/>
              <w:left w:val="nil"/>
              <w:bottom w:val="single" w:sz="4" w:space="0" w:color="auto"/>
              <w:right w:val="single" w:sz="4" w:space="0" w:color="auto"/>
            </w:tcBorders>
            <w:shd w:val="clear" w:color="000000" w:fill="FFFFFF"/>
            <w:vAlign w:val="center"/>
            <w:hideMark/>
          </w:tcPr>
          <w:p w14:paraId="4F7CC86F" w14:textId="121C633A"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Stare bună, se utilizează pentru autoparcul entită</w:t>
            </w:r>
            <w:r w:rsidR="00B13B9A" w:rsidRPr="00B13B9A">
              <w:rPr>
                <w:rFonts w:asciiTheme="majorHAnsi" w:eastAsia="Times New Roman" w:hAnsiTheme="majorHAnsi" w:cstheme="majorHAnsi"/>
                <w:i/>
                <w:iCs/>
                <w:color w:val="000000"/>
                <w:sz w:val="20"/>
                <w:szCs w:val="20"/>
                <w:lang w:val="ro-MD"/>
              </w:rPr>
              <w:t>ț</w:t>
            </w:r>
            <w:r w:rsidRPr="00B13B9A">
              <w:rPr>
                <w:rFonts w:asciiTheme="majorHAnsi" w:eastAsia="Times New Roman" w:hAnsiTheme="majorHAnsi" w:cstheme="majorHAnsi"/>
                <w:i/>
                <w:iCs/>
                <w:color w:val="000000"/>
                <w:sz w:val="20"/>
                <w:szCs w:val="20"/>
                <w:lang w:val="ro-MD"/>
              </w:rPr>
              <w:t>ii</w:t>
            </w:r>
          </w:p>
        </w:tc>
        <w:tc>
          <w:tcPr>
            <w:tcW w:w="1378" w:type="dxa"/>
            <w:tcBorders>
              <w:top w:val="nil"/>
              <w:left w:val="nil"/>
              <w:bottom w:val="single" w:sz="4" w:space="0" w:color="auto"/>
              <w:right w:val="single" w:sz="8" w:space="0" w:color="auto"/>
            </w:tcBorders>
            <w:shd w:val="clear" w:color="000000" w:fill="FFFFFF"/>
            <w:noWrap/>
            <w:vAlign w:val="center"/>
            <w:hideMark/>
          </w:tcPr>
          <w:p w14:paraId="012221C5" w14:textId="77777777" w:rsidR="00D3471D" w:rsidRPr="00B13B9A" w:rsidRDefault="00D3471D" w:rsidP="00332FF7">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1.924.469,25</w:t>
            </w:r>
          </w:p>
        </w:tc>
      </w:tr>
      <w:tr w:rsidR="00D3471D" w:rsidRPr="00B13B9A" w14:paraId="7E5D8F57" w14:textId="77777777" w:rsidTr="002B7B86">
        <w:trPr>
          <w:trHeight w:val="20"/>
        </w:trPr>
        <w:tc>
          <w:tcPr>
            <w:tcW w:w="547" w:type="dxa"/>
            <w:tcBorders>
              <w:top w:val="nil"/>
              <w:left w:val="single" w:sz="8" w:space="0" w:color="auto"/>
              <w:bottom w:val="single" w:sz="4" w:space="0" w:color="auto"/>
              <w:right w:val="single" w:sz="4" w:space="0" w:color="auto"/>
            </w:tcBorders>
            <w:shd w:val="clear" w:color="000000" w:fill="FFFFFF"/>
            <w:noWrap/>
            <w:vAlign w:val="center"/>
            <w:hideMark/>
          </w:tcPr>
          <w:p w14:paraId="72DEB759" w14:textId="77777777" w:rsidR="00D3471D" w:rsidRPr="00B13B9A" w:rsidRDefault="00D3471D" w:rsidP="00332FF7">
            <w:pPr>
              <w:spacing w:after="0" w:line="240" w:lineRule="auto"/>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26</w:t>
            </w:r>
          </w:p>
        </w:tc>
        <w:tc>
          <w:tcPr>
            <w:tcW w:w="2998" w:type="dxa"/>
            <w:tcBorders>
              <w:top w:val="nil"/>
              <w:left w:val="nil"/>
              <w:bottom w:val="single" w:sz="4" w:space="0" w:color="auto"/>
              <w:right w:val="single" w:sz="4" w:space="0" w:color="auto"/>
            </w:tcBorders>
            <w:shd w:val="clear" w:color="000000" w:fill="FFFFFF"/>
            <w:vAlign w:val="center"/>
            <w:hideMark/>
          </w:tcPr>
          <w:p w14:paraId="652CC56E" w14:textId="77777777"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Garaj Vorniceni c/c 80422088387.16</w:t>
            </w:r>
          </w:p>
        </w:tc>
        <w:tc>
          <w:tcPr>
            <w:tcW w:w="1480" w:type="dxa"/>
            <w:tcBorders>
              <w:top w:val="nil"/>
              <w:left w:val="nil"/>
              <w:bottom w:val="single" w:sz="4" w:space="0" w:color="auto"/>
              <w:right w:val="single" w:sz="4" w:space="0" w:color="auto"/>
            </w:tcBorders>
            <w:shd w:val="clear" w:color="000000" w:fill="FFFFFF"/>
            <w:vAlign w:val="center"/>
            <w:hideMark/>
          </w:tcPr>
          <w:p w14:paraId="019F0B5E" w14:textId="77777777" w:rsidR="00D3471D" w:rsidRPr="00B13B9A" w:rsidRDefault="00D3471D" w:rsidP="00332FF7">
            <w:pPr>
              <w:spacing w:after="0" w:line="240" w:lineRule="auto"/>
              <w:jc w:val="right"/>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220.170,00</w:t>
            </w:r>
          </w:p>
        </w:tc>
        <w:tc>
          <w:tcPr>
            <w:tcW w:w="1242" w:type="dxa"/>
            <w:tcBorders>
              <w:top w:val="nil"/>
              <w:left w:val="nil"/>
              <w:bottom w:val="single" w:sz="4" w:space="0" w:color="auto"/>
              <w:right w:val="single" w:sz="4" w:space="0" w:color="auto"/>
            </w:tcBorders>
            <w:shd w:val="clear" w:color="000000" w:fill="FFFFFF"/>
            <w:vAlign w:val="center"/>
            <w:hideMark/>
          </w:tcPr>
          <w:p w14:paraId="4D83D908" w14:textId="27F4E8FC"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Nefunc</w:t>
            </w:r>
            <w:r w:rsidR="00B13B9A" w:rsidRPr="00B13B9A">
              <w:rPr>
                <w:rFonts w:asciiTheme="majorHAnsi" w:eastAsia="Times New Roman" w:hAnsiTheme="majorHAnsi" w:cstheme="majorHAnsi"/>
                <w:i/>
                <w:iCs/>
                <w:color w:val="000000"/>
                <w:sz w:val="20"/>
                <w:szCs w:val="20"/>
                <w:lang w:val="ro-MD"/>
              </w:rPr>
              <w:t>ț</w:t>
            </w:r>
            <w:r w:rsidRPr="00B13B9A">
              <w:rPr>
                <w:rFonts w:asciiTheme="majorHAnsi" w:eastAsia="Times New Roman" w:hAnsiTheme="majorHAnsi" w:cstheme="majorHAnsi"/>
                <w:i/>
                <w:iCs/>
                <w:color w:val="000000"/>
                <w:sz w:val="20"/>
                <w:szCs w:val="20"/>
                <w:lang w:val="ro-MD"/>
              </w:rPr>
              <w:t>ional</w:t>
            </w:r>
          </w:p>
        </w:tc>
        <w:tc>
          <w:tcPr>
            <w:tcW w:w="6491" w:type="dxa"/>
            <w:tcBorders>
              <w:top w:val="nil"/>
              <w:left w:val="nil"/>
              <w:bottom w:val="single" w:sz="4" w:space="0" w:color="auto"/>
              <w:right w:val="single" w:sz="4" w:space="0" w:color="auto"/>
            </w:tcBorders>
            <w:shd w:val="clear" w:color="000000" w:fill="FFFFFF"/>
            <w:vAlign w:val="center"/>
            <w:hideMark/>
          </w:tcPr>
          <w:p w14:paraId="5629F77A" w14:textId="77777777"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Stare deplorabilă, învechit, spre demolare, valoarea lucrărilor de demolare constituie 106.447,32 lei</w:t>
            </w:r>
          </w:p>
        </w:tc>
        <w:tc>
          <w:tcPr>
            <w:tcW w:w="1378" w:type="dxa"/>
            <w:tcBorders>
              <w:top w:val="nil"/>
              <w:left w:val="nil"/>
              <w:bottom w:val="single" w:sz="4" w:space="0" w:color="auto"/>
              <w:right w:val="single" w:sz="8" w:space="0" w:color="auto"/>
            </w:tcBorders>
            <w:shd w:val="clear" w:color="000000" w:fill="FFFFFF"/>
            <w:noWrap/>
            <w:vAlign w:val="center"/>
            <w:hideMark/>
          </w:tcPr>
          <w:p w14:paraId="2307D405" w14:textId="77777777" w:rsidR="00D3471D" w:rsidRPr="00B13B9A" w:rsidRDefault="00D3471D" w:rsidP="00332FF7">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121.644,00</w:t>
            </w:r>
          </w:p>
        </w:tc>
      </w:tr>
      <w:tr w:rsidR="00D3471D" w:rsidRPr="00B13B9A" w14:paraId="1EF932C8" w14:textId="77777777" w:rsidTr="002B7B86">
        <w:trPr>
          <w:trHeight w:val="20"/>
        </w:trPr>
        <w:tc>
          <w:tcPr>
            <w:tcW w:w="547" w:type="dxa"/>
            <w:tcBorders>
              <w:top w:val="nil"/>
              <w:left w:val="single" w:sz="8" w:space="0" w:color="auto"/>
              <w:bottom w:val="single" w:sz="4" w:space="0" w:color="auto"/>
              <w:right w:val="single" w:sz="4" w:space="0" w:color="auto"/>
            </w:tcBorders>
            <w:shd w:val="clear" w:color="000000" w:fill="FFFFFF"/>
            <w:noWrap/>
            <w:vAlign w:val="center"/>
            <w:hideMark/>
          </w:tcPr>
          <w:p w14:paraId="66510067" w14:textId="77777777" w:rsidR="00D3471D" w:rsidRPr="00B13B9A" w:rsidRDefault="00D3471D" w:rsidP="00332FF7">
            <w:pPr>
              <w:spacing w:after="0" w:line="240" w:lineRule="auto"/>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27</w:t>
            </w:r>
          </w:p>
        </w:tc>
        <w:tc>
          <w:tcPr>
            <w:tcW w:w="2998" w:type="dxa"/>
            <w:tcBorders>
              <w:top w:val="nil"/>
              <w:left w:val="nil"/>
              <w:bottom w:val="single" w:sz="4" w:space="0" w:color="auto"/>
              <w:right w:val="single" w:sz="4" w:space="0" w:color="auto"/>
            </w:tcBorders>
            <w:shd w:val="clear" w:color="000000" w:fill="FFFFFF"/>
            <w:vAlign w:val="center"/>
            <w:hideMark/>
          </w:tcPr>
          <w:p w14:paraId="4C895CBD" w14:textId="65441E85"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 xml:space="preserve">Gard </w:t>
            </w:r>
            <w:r w:rsidR="00B13B9A" w:rsidRPr="00B13B9A">
              <w:rPr>
                <w:rFonts w:asciiTheme="majorHAnsi" w:eastAsia="Times New Roman" w:hAnsiTheme="majorHAnsi" w:cstheme="majorHAnsi"/>
                <w:i/>
                <w:iCs/>
                <w:color w:val="000000"/>
                <w:sz w:val="20"/>
                <w:szCs w:val="20"/>
                <w:lang w:val="ro-MD"/>
              </w:rPr>
              <w:t>ș</w:t>
            </w:r>
            <w:r w:rsidRPr="00B13B9A">
              <w:rPr>
                <w:rFonts w:asciiTheme="majorHAnsi" w:eastAsia="Times New Roman" w:hAnsiTheme="majorHAnsi" w:cstheme="majorHAnsi"/>
                <w:i/>
                <w:iCs/>
                <w:color w:val="000000"/>
                <w:sz w:val="20"/>
                <w:szCs w:val="20"/>
                <w:lang w:val="ro-MD"/>
              </w:rPr>
              <w:t>i punct de control Vorniceni 8042208387.34</w:t>
            </w:r>
          </w:p>
        </w:tc>
        <w:tc>
          <w:tcPr>
            <w:tcW w:w="1480" w:type="dxa"/>
            <w:tcBorders>
              <w:top w:val="nil"/>
              <w:left w:val="nil"/>
              <w:bottom w:val="single" w:sz="4" w:space="0" w:color="auto"/>
              <w:right w:val="single" w:sz="4" w:space="0" w:color="auto"/>
            </w:tcBorders>
            <w:shd w:val="clear" w:color="000000" w:fill="FFFFFF"/>
            <w:vAlign w:val="center"/>
            <w:hideMark/>
          </w:tcPr>
          <w:p w14:paraId="4CB79906" w14:textId="77777777" w:rsidR="00D3471D" w:rsidRPr="00B13B9A" w:rsidRDefault="00D3471D" w:rsidP="00332FF7">
            <w:pPr>
              <w:spacing w:after="0" w:line="240" w:lineRule="auto"/>
              <w:jc w:val="right"/>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5.586.515,44</w:t>
            </w:r>
          </w:p>
        </w:tc>
        <w:tc>
          <w:tcPr>
            <w:tcW w:w="1242" w:type="dxa"/>
            <w:tcBorders>
              <w:top w:val="nil"/>
              <w:left w:val="nil"/>
              <w:bottom w:val="single" w:sz="4" w:space="0" w:color="auto"/>
              <w:right w:val="single" w:sz="4" w:space="0" w:color="auto"/>
            </w:tcBorders>
            <w:shd w:val="clear" w:color="000000" w:fill="FFFFFF"/>
            <w:vAlign w:val="center"/>
            <w:hideMark/>
          </w:tcPr>
          <w:p w14:paraId="3A765744" w14:textId="418AD03F"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Func</w:t>
            </w:r>
            <w:r w:rsidR="00B13B9A" w:rsidRPr="00B13B9A">
              <w:rPr>
                <w:rFonts w:asciiTheme="majorHAnsi" w:eastAsia="Times New Roman" w:hAnsiTheme="majorHAnsi" w:cstheme="majorHAnsi"/>
                <w:i/>
                <w:iCs/>
                <w:color w:val="000000"/>
                <w:sz w:val="20"/>
                <w:szCs w:val="20"/>
                <w:lang w:val="ro-MD"/>
              </w:rPr>
              <w:t>ț</w:t>
            </w:r>
            <w:r w:rsidRPr="00B13B9A">
              <w:rPr>
                <w:rFonts w:asciiTheme="majorHAnsi" w:eastAsia="Times New Roman" w:hAnsiTheme="majorHAnsi" w:cstheme="majorHAnsi"/>
                <w:i/>
                <w:iCs/>
                <w:color w:val="000000"/>
                <w:sz w:val="20"/>
                <w:szCs w:val="20"/>
                <w:lang w:val="ro-MD"/>
              </w:rPr>
              <w:t>ional</w:t>
            </w:r>
          </w:p>
        </w:tc>
        <w:tc>
          <w:tcPr>
            <w:tcW w:w="6491" w:type="dxa"/>
            <w:tcBorders>
              <w:top w:val="nil"/>
              <w:left w:val="nil"/>
              <w:bottom w:val="single" w:sz="4" w:space="0" w:color="auto"/>
              <w:right w:val="single" w:sz="4" w:space="0" w:color="auto"/>
            </w:tcBorders>
            <w:shd w:val="clear" w:color="000000" w:fill="FFFFFF"/>
            <w:vAlign w:val="center"/>
            <w:hideMark/>
          </w:tcPr>
          <w:p w14:paraId="68FEAE9B" w14:textId="63D35758"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Stare bună, se utilizează în activitatea entită</w:t>
            </w:r>
            <w:r w:rsidR="00B13B9A" w:rsidRPr="00B13B9A">
              <w:rPr>
                <w:rFonts w:asciiTheme="majorHAnsi" w:eastAsia="Times New Roman" w:hAnsiTheme="majorHAnsi" w:cstheme="majorHAnsi"/>
                <w:i/>
                <w:iCs/>
                <w:color w:val="000000"/>
                <w:sz w:val="20"/>
                <w:szCs w:val="20"/>
                <w:lang w:val="ro-MD"/>
              </w:rPr>
              <w:t>ț</w:t>
            </w:r>
            <w:r w:rsidRPr="00B13B9A">
              <w:rPr>
                <w:rFonts w:asciiTheme="majorHAnsi" w:eastAsia="Times New Roman" w:hAnsiTheme="majorHAnsi" w:cstheme="majorHAnsi"/>
                <w:i/>
                <w:iCs/>
                <w:color w:val="000000"/>
                <w:sz w:val="20"/>
                <w:szCs w:val="20"/>
                <w:lang w:val="ro-MD"/>
              </w:rPr>
              <w:t>ii</w:t>
            </w:r>
          </w:p>
        </w:tc>
        <w:tc>
          <w:tcPr>
            <w:tcW w:w="1378" w:type="dxa"/>
            <w:tcBorders>
              <w:top w:val="nil"/>
              <w:left w:val="nil"/>
              <w:bottom w:val="single" w:sz="4" w:space="0" w:color="auto"/>
              <w:right w:val="single" w:sz="8" w:space="0" w:color="auto"/>
            </w:tcBorders>
            <w:shd w:val="clear" w:color="000000" w:fill="FFFFFF"/>
            <w:noWrap/>
            <w:vAlign w:val="center"/>
            <w:hideMark/>
          </w:tcPr>
          <w:p w14:paraId="0D7D6786" w14:textId="77777777" w:rsidR="00D3471D" w:rsidRPr="00B13B9A" w:rsidRDefault="00D3471D" w:rsidP="00332FF7">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1.472.046,86</w:t>
            </w:r>
          </w:p>
        </w:tc>
      </w:tr>
      <w:tr w:rsidR="00D3471D" w:rsidRPr="00B13B9A" w14:paraId="5328A746" w14:textId="77777777" w:rsidTr="002B7B86">
        <w:trPr>
          <w:trHeight w:val="20"/>
        </w:trPr>
        <w:tc>
          <w:tcPr>
            <w:tcW w:w="547" w:type="dxa"/>
            <w:tcBorders>
              <w:top w:val="nil"/>
              <w:left w:val="single" w:sz="8" w:space="0" w:color="auto"/>
              <w:bottom w:val="single" w:sz="4" w:space="0" w:color="auto"/>
              <w:right w:val="single" w:sz="4" w:space="0" w:color="auto"/>
            </w:tcBorders>
            <w:shd w:val="clear" w:color="000000" w:fill="FFFFFF"/>
            <w:noWrap/>
            <w:vAlign w:val="center"/>
            <w:hideMark/>
          </w:tcPr>
          <w:p w14:paraId="591DF7D9" w14:textId="77777777" w:rsidR="00D3471D" w:rsidRPr="00B13B9A" w:rsidRDefault="00D3471D" w:rsidP="00332FF7">
            <w:pPr>
              <w:spacing w:after="0" w:line="240" w:lineRule="auto"/>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28</w:t>
            </w:r>
          </w:p>
        </w:tc>
        <w:tc>
          <w:tcPr>
            <w:tcW w:w="2998" w:type="dxa"/>
            <w:tcBorders>
              <w:top w:val="nil"/>
              <w:left w:val="nil"/>
              <w:bottom w:val="single" w:sz="4" w:space="0" w:color="auto"/>
              <w:right w:val="single" w:sz="4" w:space="0" w:color="auto"/>
            </w:tcBorders>
            <w:shd w:val="clear" w:color="000000" w:fill="FFFFFF"/>
            <w:vAlign w:val="center"/>
            <w:hideMark/>
          </w:tcPr>
          <w:p w14:paraId="6DBA2DD3" w14:textId="189A1698"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Laboratorul Na</w:t>
            </w:r>
            <w:r w:rsidR="00B13B9A" w:rsidRPr="00B13B9A">
              <w:rPr>
                <w:rFonts w:asciiTheme="majorHAnsi" w:eastAsia="Times New Roman" w:hAnsiTheme="majorHAnsi" w:cstheme="majorHAnsi"/>
                <w:i/>
                <w:iCs/>
                <w:color w:val="000000"/>
                <w:sz w:val="20"/>
                <w:szCs w:val="20"/>
                <w:lang w:val="ro-MD"/>
              </w:rPr>
              <w:t>ț</w:t>
            </w:r>
            <w:r w:rsidRPr="00B13B9A">
              <w:rPr>
                <w:rFonts w:asciiTheme="majorHAnsi" w:eastAsia="Times New Roman" w:hAnsiTheme="majorHAnsi" w:cstheme="majorHAnsi"/>
                <w:i/>
                <w:iCs/>
                <w:color w:val="000000"/>
                <w:sz w:val="20"/>
                <w:szCs w:val="20"/>
                <w:lang w:val="ro-MD"/>
              </w:rPr>
              <w:t>ional de Referin</w:t>
            </w:r>
            <w:r w:rsidR="00B13B9A" w:rsidRPr="00B13B9A">
              <w:rPr>
                <w:rFonts w:asciiTheme="majorHAnsi" w:eastAsia="Times New Roman" w:hAnsiTheme="majorHAnsi" w:cstheme="majorHAnsi"/>
                <w:i/>
                <w:iCs/>
                <w:color w:val="000000"/>
                <w:sz w:val="20"/>
                <w:szCs w:val="20"/>
                <w:lang w:val="ro-MD"/>
              </w:rPr>
              <w:t>ț</w:t>
            </w:r>
            <w:r w:rsidRPr="00B13B9A">
              <w:rPr>
                <w:rFonts w:asciiTheme="majorHAnsi" w:eastAsia="Times New Roman" w:hAnsiTheme="majorHAnsi" w:cstheme="majorHAnsi"/>
                <w:i/>
                <w:iCs/>
                <w:color w:val="000000"/>
                <w:sz w:val="20"/>
                <w:szCs w:val="20"/>
                <w:lang w:val="ro-MD"/>
              </w:rPr>
              <w:t>ă Chi</w:t>
            </w:r>
            <w:r w:rsidR="00B13B9A" w:rsidRPr="00B13B9A">
              <w:rPr>
                <w:rFonts w:asciiTheme="majorHAnsi" w:eastAsia="Times New Roman" w:hAnsiTheme="majorHAnsi" w:cstheme="majorHAnsi"/>
                <w:i/>
                <w:iCs/>
                <w:color w:val="000000"/>
                <w:sz w:val="20"/>
                <w:szCs w:val="20"/>
                <w:lang w:val="ro-MD"/>
              </w:rPr>
              <w:t>ș</w:t>
            </w:r>
            <w:r w:rsidRPr="00B13B9A">
              <w:rPr>
                <w:rFonts w:asciiTheme="majorHAnsi" w:eastAsia="Times New Roman" w:hAnsiTheme="majorHAnsi" w:cstheme="majorHAnsi"/>
                <w:i/>
                <w:iCs/>
                <w:color w:val="000000"/>
                <w:sz w:val="20"/>
                <w:szCs w:val="20"/>
                <w:lang w:val="ro-MD"/>
              </w:rPr>
              <w:t>inău 0100213541.01</w:t>
            </w:r>
          </w:p>
        </w:tc>
        <w:tc>
          <w:tcPr>
            <w:tcW w:w="1480" w:type="dxa"/>
            <w:tcBorders>
              <w:top w:val="nil"/>
              <w:left w:val="nil"/>
              <w:bottom w:val="single" w:sz="4" w:space="0" w:color="auto"/>
              <w:right w:val="single" w:sz="4" w:space="0" w:color="auto"/>
            </w:tcBorders>
            <w:shd w:val="clear" w:color="000000" w:fill="FFFFFF"/>
            <w:vAlign w:val="center"/>
            <w:hideMark/>
          </w:tcPr>
          <w:p w14:paraId="1A7CEA5F" w14:textId="77777777" w:rsidR="00D3471D" w:rsidRPr="00B13B9A" w:rsidRDefault="00D3471D" w:rsidP="00332FF7">
            <w:pPr>
              <w:spacing w:after="0" w:line="240" w:lineRule="auto"/>
              <w:jc w:val="right"/>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27.472.847,42</w:t>
            </w:r>
          </w:p>
        </w:tc>
        <w:tc>
          <w:tcPr>
            <w:tcW w:w="1242" w:type="dxa"/>
            <w:tcBorders>
              <w:top w:val="nil"/>
              <w:left w:val="nil"/>
              <w:bottom w:val="single" w:sz="4" w:space="0" w:color="auto"/>
              <w:right w:val="single" w:sz="4" w:space="0" w:color="auto"/>
            </w:tcBorders>
            <w:shd w:val="clear" w:color="000000" w:fill="FFFFFF"/>
            <w:vAlign w:val="center"/>
            <w:hideMark/>
          </w:tcPr>
          <w:p w14:paraId="4537F596" w14:textId="3C42A997"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Func</w:t>
            </w:r>
            <w:r w:rsidR="00B13B9A" w:rsidRPr="00B13B9A">
              <w:rPr>
                <w:rFonts w:asciiTheme="majorHAnsi" w:eastAsia="Times New Roman" w:hAnsiTheme="majorHAnsi" w:cstheme="majorHAnsi"/>
                <w:i/>
                <w:iCs/>
                <w:color w:val="000000"/>
                <w:sz w:val="20"/>
                <w:szCs w:val="20"/>
                <w:lang w:val="ro-MD"/>
              </w:rPr>
              <w:t>ț</w:t>
            </w:r>
            <w:r w:rsidRPr="00B13B9A">
              <w:rPr>
                <w:rFonts w:asciiTheme="majorHAnsi" w:eastAsia="Times New Roman" w:hAnsiTheme="majorHAnsi" w:cstheme="majorHAnsi"/>
                <w:i/>
                <w:iCs/>
                <w:color w:val="000000"/>
                <w:sz w:val="20"/>
                <w:szCs w:val="20"/>
                <w:lang w:val="ro-MD"/>
              </w:rPr>
              <w:t>ional</w:t>
            </w:r>
          </w:p>
        </w:tc>
        <w:tc>
          <w:tcPr>
            <w:tcW w:w="6491" w:type="dxa"/>
            <w:tcBorders>
              <w:top w:val="nil"/>
              <w:left w:val="nil"/>
              <w:bottom w:val="single" w:sz="4" w:space="0" w:color="auto"/>
              <w:right w:val="single" w:sz="4" w:space="0" w:color="auto"/>
            </w:tcBorders>
            <w:shd w:val="clear" w:color="000000" w:fill="FFFFFF"/>
            <w:vAlign w:val="center"/>
            <w:hideMark/>
          </w:tcPr>
          <w:p w14:paraId="0ED54261" w14:textId="583A0D3C"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Stare bună, se utilizează în activitatea entită</w:t>
            </w:r>
            <w:r w:rsidR="00B13B9A" w:rsidRPr="00B13B9A">
              <w:rPr>
                <w:rFonts w:asciiTheme="majorHAnsi" w:eastAsia="Times New Roman" w:hAnsiTheme="majorHAnsi" w:cstheme="majorHAnsi"/>
                <w:i/>
                <w:iCs/>
                <w:color w:val="000000"/>
                <w:sz w:val="20"/>
                <w:szCs w:val="20"/>
                <w:lang w:val="ro-MD"/>
              </w:rPr>
              <w:t>ț</w:t>
            </w:r>
            <w:r w:rsidRPr="00B13B9A">
              <w:rPr>
                <w:rFonts w:asciiTheme="majorHAnsi" w:eastAsia="Times New Roman" w:hAnsiTheme="majorHAnsi" w:cstheme="majorHAnsi"/>
                <w:i/>
                <w:iCs/>
                <w:color w:val="000000"/>
                <w:sz w:val="20"/>
                <w:szCs w:val="20"/>
                <w:lang w:val="ro-MD"/>
              </w:rPr>
              <w:t>ii pentru examinări de laborator</w:t>
            </w:r>
          </w:p>
        </w:tc>
        <w:tc>
          <w:tcPr>
            <w:tcW w:w="1378" w:type="dxa"/>
            <w:tcBorders>
              <w:top w:val="nil"/>
              <w:left w:val="nil"/>
              <w:bottom w:val="single" w:sz="4" w:space="0" w:color="auto"/>
              <w:right w:val="single" w:sz="8" w:space="0" w:color="auto"/>
            </w:tcBorders>
            <w:shd w:val="clear" w:color="000000" w:fill="FFFFFF"/>
            <w:noWrap/>
            <w:vAlign w:val="center"/>
            <w:hideMark/>
          </w:tcPr>
          <w:p w14:paraId="26603046" w14:textId="77777777" w:rsidR="00D3471D" w:rsidRPr="00B13B9A" w:rsidRDefault="00D3471D" w:rsidP="00332FF7">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12.248.000,34</w:t>
            </w:r>
          </w:p>
        </w:tc>
      </w:tr>
      <w:tr w:rsidR="00D3471D" w:rsidRPr="00B13B9A" w14:paraId="3E21630D" w14:textId="77777777" w:rsidTr="002B7B86">
        <w:trPr>
          <w:trHeight w:val="20"/>
        </w:trPr>
        <w:tc>
          <w:tcPr>
            <w:tcW w:w="547" w:type="dxa"/>
            <w:tcBorders>
              <w:top w:val="nil"/>
              <w:left w:val="single" w:sz="8" w:space="0" w:color="auto"/>
              <w:bottom w:val="single" w:sz="4" w:space="0" w:color="auto"/>
              <w:right w:val="single" w:sz="4" w:space="0" w:color="auto"/>
            </w:tcBorders>
            <w:shd w:val="clear" w:color="000000" w:fill="FFFFFF"/>
            <w:noWrap/>
            <w:vAlign w:val="center"/>
            <w:hideMark/>
          </w:tcPr>
          <w:p w14:paraId="59A60AF6" w14:textId="77777777" w:rsidR="00D3471D" w:rsidRPr="00B13B9A" w:rsidRDefault="00D3471D" w:rsidP="00332FF7">
            <w:pPr>
              <w:spacing w:after="0" w:line="240" w:lineRule="auto"/>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29</w:t>
            </w:r>
          </w:p>
        </w:tc>
        <w:tc>
          <w:tcPr>
            <w:tcW w:w="2998" w:type="dxa"/>
            <w:tcBorders>
              <w:top w:val="nil"/>
              <w:left w:val="nil"/>
              <w:bottom w:val="single" w:sz="4" w:space="0" w:color="auto"/>
              <w:right w:val="single" w:sz="4" w:space="0" w:color="auto"/>
            </w:tcBorders>
            <w:shd w:val="clear" w:color="000000" w:fill="FFFFFF"/>
            <w:vAlign w:val="center"/>
            <w:hideMark/>
          </w:tcPr>
          <w:p w14:paraId="51FF53BC" w14:textId="77777777"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Laboratorul bacteriologic Vorniceni 8042208387.03</w:t>
            </w:r>
          </w:p>
        </w:tc>
        <w:tc>
          <w:tcPr>
            <w:tcW w:w="1480" w:type="dxa"/>
            <w:tcBorders>
              <w:top w:val="nil"/>
              <w:left w:val="nil"/>
              <w:bottom w:val="single" w:sz="4" w:space="0" w:color="auto"/>
              <w:right w:val="single" w:sz="4" w:space="0" w:color="auto"/>
            </w:tcBorders>
            <w:shd w:val="clear" w:color="000000" w:fill="FFFFFF"/>
            <w:vAlign w:val="center"/>
            <w:hideMark/>
          </w:tcPr>
          <w:p w14:paraId="4B3C415E" w14:textId="77777777" w:rsidR="00D3471D" w:rsidRPr="00B13B9A" w:rsidRDefault="00D3471D" w:rsidP="00332FF7">
            <w:pPr>
              <w:spacing w:after="0" w:line="240" w:lineRule="auto"/>
              <w:jc w:val="right"/>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4.334.143,00</w:t>
            </w:r>
          </w:p>
        </w:tc>
        <w:tc>
          <w:tcPr>
            <w:tcW w:w="1242" w:type="dxa"/>
            <w:tcBorders>
              <w:top w:val="nil"/>
              <w:left w:val="nil"/>
              <w:bottom w:val="single" w:sz="4" w:space="0" w:color="auto"/>
              <w:right w:val="single" w:sz="4" w:space="0" w:color="auto"/>
            </w:tcBorders>
            <w:shd w:val="clear" w:color="000000" w:fill="FFFFFF"/>
            <w:vAlign w:val="center"/>
            <w:hideMark/>
          </w:tcPr>
          <w:p w14:paraId="61A48678" w14:textId="036DD76D"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Func</w:t>
            </w:r>
            <w:r w:rsidR="00B13B9A" w:rsidRPr="00B13B9A">
              <w:rPr>
                <w:rFonts w:asciiTheme="majorHAnsi" w:eastAsia="Times New Roman" w:hAnsiTheme="majorHAnsi" w:cstheme="majorHAnsi"/>
                <w:i/>
                <w:iCs/>
                <w:color w:val="000000"/>
                <w:sz w:val="20"/>
                <w:szCs w:val="20"/>
                <w:lang w:val="ro-MD"/>
              </w:rPr>
              <w:t>ț</w:t>
            </w:r>
            <w:r w:rsidRPr="00B13B9A">
              <w:rPr>
                <w:rFonts w:asciiTheme="majorHAnsi" w:eastAsia="Times New Roman" w:hAnsiTheme="majorHAnsi" w:cstheme="majorHAnsi"/>
                <w:i/>
                <w:iCs/>
                <w:color w:val="000000"/>
                <w:sz w:val="20"/>
                <w:szCs w:val="20"/>
                <w:lang w:val="ro-MD"/>
              </w:rPr>
              <w:t>ional</w:t>
            </w:r>
          </w:p>
        </w:tc>
        <w:tc>
          <w:tcPr>
            <w:tcW w:w="6491" w:type="dxa"/>
            <w:tcBorders>
              <w:top w:val="nil"/>
              <w:left w:val="nil"/>
              <w:bottom w:val="single" w:sz="4" w:space="0" w:color="auto"/>
              <w:right w:val="single" w:sz="4" w:space="0" w:color="auto"/>
            </w:tcBorders>
            <w:shd w:val="clear" w:color="000000" w:fill="FFFFFF"/>
            <w:vAlign w:val="center"/>
            <w:hideMark/>
          </w:tcPr>
          <w:p w14:paraId="7FC782D4" w14:textId="03143D90"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 xml:space="preserve">Stare bună, se utilizează </w:t>
            </w:r>
            <w:r w:rsidR="00B13B9A" w:rsidRPr="00B13B9A">
              <w:rPr>
                <w:rFonts w:asciiTheme="majorHAnsi" w:eastAsia="Times New Roman" w:hAnsiTheme="majorHAnsi" w:cstheme="majorHAnsi"/>
                <w:i/>
                <w:iCs/>
                <w:color w:val="000000"/>
                <w:sz w:val="20"/>
                <w:szCs w:val="20"/>
                <w:lang w:val="ro-MD"/>
              </w:rPr>
              <w:t>ș</w:t>
            </w:r>
            <w:r w:rsidRPr="00B13B9A">
              <w:rPr>
                <w:rFonts w:asciiTheme="majorHAnsi" w:eastAsia="Times New Roman" w:hAnsiTheme="majorHAnsi" w:cstheme="majorHAnsi"/>
                <w:i/>
                <w:iCs/>
                <w:color w:val="000000"/>
                <w:sz w:val="20"/>
                <w:szCs w:val="20"/>
                <w:lang w:val="ro-MD"/>
              </w:rPr>
              <w:t>i include</w:t>
            </w:r>
            <w:r w:rsidR="00CD15BA" w:rsidRPr="00B13B9A">
              <w:rPr>
                <w:rFonts w:asciiTheme="majorHAnsi" w:eastAsia="Times New Roman" w:hAnsiTheme="majorHAnsi" w:cstheme="majorHAnsi"/>
                <w:i/>
                <w:iCs/>
                <w:color w:val="000000"/>
                <w:sz w:val="20"/>
                <w:szCs w:val="20"/>
                <w:lang w:val="ro-MD"/>
              </w:rPr>
              <w:t>:</w:t>
            </w:r>
            <w:r w:rsidRPr="00B13B9A">
              <w:rPr>
                <w:rFonts w:asciiTheme="majorHAnsi" w:eastAsia="Times New Roman" w:hAnsiTheme="majorHAnsi" w:cstheme="majorHAnsi"/>
                <w:i/>
                <w:iCs/>
                <w:color w:val="000000"/>
                <w:sz w:val="20"/>
                <w:szCs w:val="20"/>
                <w:lang w:val="ro-MD"/>
              </w:rPr>
              <w:t xml:space="preserve"> arhiva </w:t>
            </w:r>
            <w:r w:rsidR="00CD15BA" w:rsidRPr="00B13B9A">
              <w:rPr>
                <w:rFonts w:asciiTheme="majorHAnsi" w:eastAsia="Times New Roman" w:hAnsiTheme="majorHAnsi" w:cstheme="majorHAnsi"/>
                <w:i/>
                <w:iCs/>
                <w:color w:val="000000"/>
                <w:sz w:val="20"/>
                <w:szCs w:val="20"/>
                <w:lang w:val="ro-MD"/>
              </w:rPr>
              <w:t>(</w:t>
            </w:r>
            <w:r w:rsidRPr="00B13B9A">
              <w:rPr>
                <w:rFonts w:asciiTheme="majorHAnsi" w:eastAsia="Times New Roman" w:hAnsiTheme="majorHAnsi" w:cstheme="majorHAnsi"/>
                <w:i/>
                <w:iCs/>
                <w:color w:val="000000"/>
                <w:sz w:val="20"/>
                <w:szCs w:val="20"/>
                <w:lang w:val="ro-MD"/>
              </w:rPr>
              <w:t>etajul 3</w:t>
            </w:r>
            <w:r w:rsidR="00CD15BA" w:rsidRPr="00B13B9A">
              <w:rPr>
                <w:rFonts w:asciiTheme="majorHAnsi" w:eastAsia="Times New Roman" w:hAnsiTheme="majorHAnsi" w:cstheme="majorHAnsi"/>
                <w:i/>
                <w:iCs/>
                <w:color w:val="000000"/>
                <w:sz w:val="20"/>
                <w:szCs w:val="20"/>
                <w:lang w:val="ro-MD"/>
              </w:rPr>
              <w:t>)</w:t>
            </w:r>
            <w:r w:rsidRPr="00B13B9A">
              <w:rPr>
                <w:rFonts w:asciiTheme="majorHAnsi" w:eastAsia="Times New Roman" w:hAnsiTheme="majorHAnsi" w:cstheme="majorHAnsi"/>
                <w:i/>
                <w:iCs/>
                <w:color w:val="000000"/>
                <w:sz w:val="20"/>
                <w:szCs w:val="20"/>
                <w:lang w:val="ro-MD"/>
              </w:rPr>
              <w:t xml:space="preserve">, laboratorul </w:t>
            </w:r>
            <w:r w:rsidR="00CD15BA" w:rsidRPr="00B13B9A">
              <w:rPr>
                <w:rFonts w:asciiTheme="majorHAnsi" w:eastAsia="Times New Roman" w:hAnsiTheme="majorHAnsi" w:cstheme="majorHAnsi"/>
                <w:i/>
                <w:iCs/>
                <w:color w:val="000000"/>
                <w:sz w:val="20"/>
                <w:szCs w:val="20"/>
                <w:lang w:val="ro-MD"/>
              </w:rPr>
              <w:t>(</w:t>
            </w:r>
            <w:r w:rsidRPr="00B13B9A">
              <w:rPr>
                <w:rFonts w:asciiTheme="majorHAnsi" w:eastAsia="Times New Roman" w:hAnsiTheme="majorHAnsi" w:cstheme="majorHAnsi"/>
                <w:i/>
                <w:iCs/>
                <w:color w:val="000000"/>
                <w:sz w:val="20"/>
                <w:szCs w:val="20"/>
                <w:lang w:val="ro-MD"/>
              </w:rPr>
              <w:t>etajul 2</w:t>
            </w:r>
            <w:r w:rsidR="00CD15BA" w:rsidRPr="00B13B9A">
              <w:rPr>
                <w:rFonts w:asciiTheme="majorHAnsi" w:eastAsia="Times New Roman" w:hAnsiTheme="majorHAnsi" w:cstheme="majorHAnsi"/>
                <w:i/>
                <w:iCs/>
                <w:color w:val="000000"/>
                <w:sz w:val="20"/>
                <w:szCs w:val="20"/>
                <w:lang w:val="ro-MD"/>
              </w:rPr>
              <w:t>)</w:t>
            </w:r>
            <w:r w:rsidRPr="00B13B9A">
              <w:rPr>
                <w:rFonts w:asciiTheme="majorHAnsi" w:eastAsia="Times New Roman" w:hAnsiTheme="majorHAnsi" w:cstheme="majorHAnsi"/>
                <w:i/>
                <w:iCs/>
                <w:color w:val="000000"/>
                <w:sz w:val="20"/>
                <w:szCs w:val="20"/>
                <w:lang w:val="ro-MD"/>
              </w:rPr>
              <w:t xml:space="preserve"> </w:t>
            </w:r>
            <w:r w:rsidR="00B13B9A" w:rsidRPr="00B13B9A">
              <w:rPr>
                <w:rFonts w:asciiTheme="majorHAnsi" w:eastAsia="Times New Roman" w:hAnsiTheme="majorHAnsi" w:cstheme="majorHAnsi"/>
                <w:i/>
                <w:iCs/>
                <w:color w:val="000000"/>
                <w:sz w:val="20"/>
                <w:szCs w:val="20"/>
                <w:lang w:val="ro-MD"/>
              </w:rPr>
              <w:t>ș</w:t>
            </w:r>
            <w:r w:rsidRPr="00B13B9A">
              <w:rPr>
                <w:rFonts w:asciiTheme="majorHAnsi" w:eastAsia="Times New Roman" w:hAnsiTheme="majorHAnsi" w:cstheme="majorHAnsi"/>
                <w:i/>
                <w:iCs/>
                <w:color w:val="000000"/>
                <w:sz w:val="20"/>
                <w:szCs w:val="20"/>
                <w:lang w:val="ro-MD"/>
              </w:rPr>
              <w:t xml:space="preserve">i farmacia </w:t>
            </w:r>
            <w:r w:rsidR="00CD15BA" w:rsidRPr="00B13B9A">
              <w:rPr>
                <w:rFonts w:asciiTheme="majorHAnsi" w:eastAsia="Times New Roman" w:hAnsiTheme="majorHAnsi" w:cstheme="majorHAnsi"/>
                <w:i/>
                <w:iCs/>
                <w:color w:val="000000"/>
                <w:sz w:val="20"/>
                <w:szCs w:val="20"/>
                <w:lang w:val="ro-MD"/>
              </w:rPr>
              <w:t>(</w:t>
            </w:r>
            <w:r w:rsidRPr="00B13B9A">
              <w:rPr>
                <w:rFonts w:asciiTheme="majorHAnsi" w:eastAsia="Times New Roman" w:hAnsiTheme="majorHAnsi" w:cstheme="majorHAnsi"/>
                <w:i/>
                <w:iCs/>
                <w:color w:val="000000"/>
                <w:sz w:val="20"/>
                <w:szCs w:val="20"/>
                <w:lang w:val="ro-MD"/>
              </w:rPr>
              <w:t>etajul 1</w:t>
            </w:r>
            <w:r w:rsidR="00CD15BA" w:rsidRPr="00B13B9A">
              <w:rPr>
                <w:rFonts w:asciiTheme="majorHAnsi" w:eastAsia="Times New Roman" w:hAnsiTheme="majorHAnsi" w:cstheme="majorHAnsi"/>
                <w:i/>
                <w:iCs/>
                <w:color w:val="000000"/>
                <w:sz w:val="20"/>
                <w:szCs w:val="20"/>
                <w:lang w:val="ro-MD"/>
              </w:rPr>
              <w:t>)</w:t>
            </w:r>
          </w:p>
        </w:tc>
        <w:tc>
          <w:tcPr>
            <w:tcW w:w="1378" w:type="dxa"/>
            <w:tcBorders>
              <w:top w:val="nil"/>
              <w:left w:val="nil"/>
              <w:bottom w:val="single" w:sz="4" w:space="0" w:color="auto"/>
              <w:right w:val="single" w:sz="8" w:space="0" w:color="auto"/>
            </w:tcBorders>
            <w:shd w:val="clear" w:color="000000" w:fill="FFFFFF"/>
            <w:noWrap/>
            <w:vAlign w:val="center"/>
            <w:hideMark/>
          </w:tcPr>
          <w:p w14:paraId="23F30C08" w14:textId="77777777" w:rsidR="00D3471D" w:rsidRPr="00B13B9A" w:rsidRDefault="00D3471D" w:rsidP="00332FF7">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1.887.519,24</w:t>
            </w:r>
          </w:p>
        </w:tc>
      </w:tr>
      <w:tr w:rsidR="00D3471D" w:rsidRPr="00B13B9A" w14:paraId="5E1FC9CF" w14:textId="77777777" w:rsidTr="002B7B86">
        <w:trPr>
          <w:trHeight w:val="20"/>
        </w:trPr>
        <w:tc>
          <w:tcPr>
            <w:tcW w:w="547" w:type="dxa"/>
            <w:tcBorders>
              <w:top w:val="nil"/>
              <w:left w:val="single" w:sz="8" w:space="0" w:color="auto"/>
              <w:bottom w:val="single" w:sz="4" w:space="0" w:color="auto"/>
              <w:right w:val="single" w:sz="4" w:space="0" w:color="auto"/>
            </w:tcBorders>
            <w:shd w:val="clear" w:color="000000" w:fill="FFFFFF"/>
            <w:noWrap/>
            <w:vAlign w:val="center"/>
            <w:hideMark/>
          </w:tcPr>
          <w:p w14:paraId="21E1C2E4" w14:textId="77777777" w:rsidR="00D3471D" w:rsidRPr="00B13B9A" w:rsidRDefault="00D3471D" w:rsidP="00332FF7">
            <w:pPr>
              <w:spacing w:after="0" w:line="240" w:lineRule="auto"/>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30</w:t>
            </w:r>
          </w:p>
        </w:tc>
        <w:tc>
          <w:tcPr>
            <w:tcW w:w="2998" w:type="dxa"/>
            <w:tcBorders>
              <w:top w:val="nil"/>
              <w:left w:val="nil"/>
              <w:bottom w:val="single" w:sz="4" w:space="0" w:color="auto"/>
              <w:right w:val="single" w:sz="4" w:space="0" w:color="auto"/>
            </w:tcBorders>
            <w:shd w:val="clear" w:color="000000" w:fill="FFFFFF"/>
            <w:vAlign w:val="center"/>
            <w:hideMark/>
          </w:tcPr>
          <w:p w14:paraId="6CFE5E25" w14:textId="77777777"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Laboratorul microbiologic Vorniceni 8042208387.04</w:t>
            </w:r>
          </w:p>
        </w:tc>
        <w:tc>
          <w:tcPr>
            <w:tcW w:w="1480" w:type="dxa"/>
            <w:tcBorders>
              <w:top w:val="nil"/>
              <w:left w:val="nil"/>
              <w:bottom w:val="single" w:sz="4" w:space="0" w:color="auto"/>
              <w:right w:val="single" w:sz="4" w:space="0" w:color="auto"/>
            </w:tcBorders>
            <w:shd w:val="clear" w:color="000000" w:fill="FFFFFF"/>
            <w:vAlign w:val="center"/>
            <w:hideMark/>
          </w:tcPr>
          <w:p w14:paraId="756EAFEB" w14:textId="77777777" w:rsidR="00D3471D" w:rsidRPr="00B13B9A" w:rsidRDefault="00D3471D" w:rsidP="00332FF7">
            <w:pPr>
              <w:spacing w:after="0" w:line="240" w:lineRule="auto"/>
              <w:jc w:val="right"/>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169.565,00</w:t>
            </w:r>
          </w:p>
        </w:tc>
        <w:tc>
          <w:tcPr>
            <w:tcW w:w="1242" w:type="dxa"/>
            <w:tcBorders>
              <w:top w:val="nil"/>
              <w:left w:val="nil"/>
              <w:bottom w:val="single" w:sz="4" w:space="0" w:color="auto"/>
              <w:right w:val="single" w:sz="4" w:space="0" w:color="auto"/>
            </w:tcBorders>
            <w:shd w:val="clear" w:color="000000" w:fill="FFFFFF"/>
            <w:vAlign w:val="center"/>
            <w:hideMark/>
          </w:tcPr>
          <w:p w14:paraId="325FBB97" w14:textId="765DB966"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Nefunc</w:t>
            </w:r>
            <w:r w:rsidR="00B13B9A" w:rsidRPr="00B13B9A">
              <w:rPr>
                <w:rFonts w:asciiTheme="majorHAnsi" w:eastAsia="Times New Roman" w:hAnsiTheme="majorHAnsi" w:cstheme="majorHAnsi"/>
                <w:i/>
                <w:iCs/>
                <w:color w:val="000000"/>
                <w:sz w:val="20"/>
                <w:szCs w:val="20"/>
                <w:lang w:val="ro-MD"/>
              </w:rPr>
              <w:t>ț</w:t>
            </w:r>
            <w:r w:rsidRPr="00B13B9A">
              <w:rPr>
                <w:rFonts w:asciiTheme="majorHAnsi" w:eastAsia="Times New Roman" w:hAnsiTheme="majorHAnsi" w:cstheme="majorHAnsi"/>
                <w:i/>
                <w:iCs/>
                <w:color w:val="000000"/>
                <w:sz w:val="20"/>
                <w:szCs w:val="20"/>
                <w:lang w:val="ro-MD"/>
              </w:rPr>
              <w:t>ional</w:t>
            </w:r>
          </w:p>
        </w:tc>
        <w:tc>
          <w:tcPr>
            <w:tcW w:w="6491" w:type="dxa"/>
            <w:tcBorders>
              <w:top w:val="nil"/>
              <w:left w:val="nil"/>
              <w:bottom w:val="single" w:sz="4" w:space="0" w:color="auto"/>
              <w:right w:val="single" w:sz="4" w:space="0" w:color="auto"/>
            </w:tcBorders>
            <w:shd w:val="clear" w:color="000000" w:fill="FFFFFF"/>
            <w:vAlign w:val="center"/>
            <w:hideMark/>
          </w:tcPr>
          <w:p w14:paraId="1DAC5504" w14:textId="77777777"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Stare deplorabilă, învechit, nu se utilizează de foarte mult timp, spre demolare, valoarea lucrărilor de demolare constituie 152.310,28 lei</w:t>
            </w:r>
          </w:p>
        </w:tc>
        <w:tc>
          <w:tcPr>
            <w:tcW w:w="1378" w:type="dxa"/>
            <w:tcBorders>
              <w:top w:val="nil"/>
              <w:left w:val="nil"/>
              <w:bottom w:val="single" w:sz="4" w:space="0" w:color="auto"/>
              <w:right w:val="single" w:sz="8" w:space="0" w:color="auto"/>
            </w:tcBorders>
            <w:shd w:val="clear" w:color="000000" w:fill="FFFFFF"/>
            <w:noWrap/>
            <w:vAlign w:val="center"/>
            <w:hideMark/>
          </w:tcPr>
          <w:p w14:paraId="77464707" w14:textId="77777777" w:rsidR="00D3471D" w:rsidRPr="00B13B9A" w:rsidRDefault="00D3471D" w:rsidP="00332FF7">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14.328,37</w:t>
            </w:r>
          </w:p>
        </w:tc>
      </w:tr>
      <w:tr w:rsidR="00D3471D" w:rsidRPr="00B13B9A" w14:paraId="4E51ED88" w14:textId="77777777" w:rsidTr="002B7B86">
        <w:trPr>
          <w:trHeight w:val="20"/>
        </w:trPr>
        <w:tc>
          <w:tcPr>
            <w:tcW w:w="547" w:type="dxa"/>
            <w:tcBorders>
              <w:top w:val="nil"/>
              <w:left w:val="single" w:sz="8" w:space="0" w:color="auto"/>
              <w:bottom w:val="single" w:sz="4" w:space="0" w:color="auto"/>
              <w:right w:val="single" w:sz="4" w:space="0" w:color="auto"/>
            </w:tcBorders>
            <w:shd w:val="clear" w:color="000000" w:fill="FFFFFF"/>
            <w:noWrap/>
            <w:vAlign w:val="center"/>
            <w:hideMark/>
          </w:tcPr>
          <w:p w14:paraId="048DE431" w14:textId="77777777" w:rsidR="00D3471D" w:rsidRPr="00B13B9A" w:rsidRDefault="00D3471D" w:rsidP="00332FF7">
            <w:pPr>
              <w:spacing w:after="0" w:line="240" w:lineRule="auto"/>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31</w:t>
            </w:r>
          </w:p>
        </w:tc>
        <w:tc>
          <w:tcPr>
            <w:tcW w:w="2998" w:type="dxa"/>
            <w:tcBorders>
              <w:top w:val="nil"/>
              <w:left w:val="nil"/>
              <w:bottom w:val="single" w:sz="4" w:space="0" w:color="auto"/>
              <w:right w:val="single" w:sz="4" w:space="0" w:color="auto"/>
            </w:tcBorders>
            <w:shd w:val="clear" w:color="000000" w:fill="FFFFFF"/>
            <w:vAlign w:val="center"/>
            <w:hideMark/>
          </w:tcPr>
          <w:p w14:paraId="5277E50C" w14:textId="77777777"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Lemnărie Vorniceni 8042208387.25</w:t>
            </w:r>
          </w:p>
        </w:tc>
        <w:tc>
          <w:tcPr>
            <w:tcW w:w="1480" w:type="dxa"/>
            <w:tcBorders>
              <w:top w:val="nil"/>
              <w:left w:val="nil"/>
              <w:bottom w:val="single" w:sz="4" w:space="0" w:color="auto"/>
              <w:right w:val="single" w:sz="4" w:space="0" w:color="auto"/>
            </w:tcBorders>
            <w:shd w:val="clear" w:color="000000" w:fill="FFFFFF"/>
            <w:vAlign w:val="center"/>
            <w:hideMark/>
          </w:tcPr>
          <w:p w14:paraId="5C9ACE81" w14:textId="77777777" w:rsidR="00D3471D" w:rsidRPr="00B13B9A" w:rsidRDefault="00D3471D" w:rsidP="00332FF7">
            <w:pPr>
              <w:spacing w:after="0" w:line="240" w:lineRule="auto"/>
              <w:jc w:val="right"/>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49.435,00</w:t>
            </w:r>
          </w:p>
        </w:tc>
        <w:tc>
          <w:tcPr>
            <w:tcW w:w="1242" w:type="dxa"/>
            <w:tcBorders>
              <w:top w:val="nil"/>
              <w:left w:val="nil"/>
              <w:bottom w:val="single" w:sz="4" w:space="0" w:color="auto"/>
              <w:right w:val="single" w:sz="4" w:space="0" w:color="auto"/>
            </w:tcBorders>
            <w:shd w:val="clear" w:color="000000" w:fill="FFFFFF"/>
            <w:vAlign w:val="center"/>
            <w:hideMark/>
          </w:tcPr>
          <w:p w14:paraId="39F12034" w14:textId="4D985028"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Nefunc</w:t>
            </w:r>
            <w:r w:rsidR="00B13B9A" w:rsidRPr="00B13B9A">
              <w:rPr>
                <w:rFonts w:asciiTheme="majorHAnsi" w:eastAsia="Times New Roman" w:hAnsiTheme="majorHAnsi" w:cstheme="majorHAnsi"/>
                <w:i/>
                <w:iCs/>
                <w:color w:val="000000"/>
                <w:sz w:val="20"/>
                <w:szCs w:val="20"/>
                <w:lang w:val="ro-MD"/>
              </w:rPr>
              <w:t>ț</w:t>
            </w:r>
            <w:r w:rsidRPr="00B13B9A">
              <w:rPr>
                <w:rFonts w:asciiTheme="majorHAnsi" w:eastAsia="Times New Roman" w:hAnsiTheme="majorHAnsi" w:cstheme="majorHAnsi"/>
                <w:i/>
                <w:iCs/>
                <w:color w:val="000000"/>
                <w:sz w:val="20"/>
                <w:szCs w:val="20"/>
                <w:lang w:val="ro-MD"/>
              </w:rPr>
              <w:t>ional</w:t>
            </w:r>
          </w:p>
        </w:tc>
        <w:tc>
          <w:tcPr>
            <w:tcW w:w="6491" w:type="dxa"/>
            <w:tcBorders>
              <w:top w:val="nil"/>
              <w:left w:val="nil"/>
              <w:bottom w:val="single" w:sz="4" w:space="0" w:color="auto"/>
              <w:right w:val="single" w:sz="4" w:space="0" w:color="auto"/>
            </w:tcBorders>
            <w:shd w:val="clear" w:color="000000" w:fill="FFFFFF"/>
            <w:vAlign w:val="center"/>
            <w:hideMark/>
          </w:tcPr>
          <w:p w14:paraId="726D2F99" w14:textId="732EDC41"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Stare deplorabilă, învechit, pere</w:t>
            </w:r>
            <w:r w:rsidR="00B13B9A" w:rsidRPr="00B13B9A">
              <w:rPr>
                <w:rFonts w:asciiTheme="majorHAnsi" w:eastAsia="Times New Roman" w:hAnsiTheme="majorHAnsi" w:cstheme="majorHAnsi"/>
                <w:i/>
                <w:iCs/>
                <w:color w:val="000000"/>
                <w:sz w:val="20"/>
                <w:szCs w:val="20"/>
                <w:lang w:val="ro-MD"/>
              </w:rPr>
              <w:t>ț</w:t>
            </w:r>
            <w:r w:rsidRPr="00B13B9A">
              <w:rPr>
                <w:rFonts w:asciiTheme="majorHAnsi" w:eastAsia="Times New Roman" w:hAnsiTheme="majorHAnsi" w:cstheme="majorHAnsi"/>
                <w:i/>
                <w:iCs/>
                <w:color w:val="000000"/>
                <w:sz w:val="20"/>
                <w:szCs w:val="20"/>
                <w:lang w:val="ro-MD"/>
              </w:rPr>
              <w:t>ii crăpa</w:t>
            </w:r>
            <w:r w:rsidR="00B13B9A" w:rsidRPr="00B13B9A">
              <w:rPr>
                <w:rFonts w:asciiTheme="majorHAnsi" w:eastAsia="Times New Roman" w:hAnsiTheme="majorHAnsi" w:cstheme="majorHAnsi"/>
                <w:i/>
                <w:iCs/>
                <w:color w:val="000000"/>
                <w:sz w:val="20"/>
                <w:szCs w:val="20"/>
                <w:lang w:val="ro-MD"/>
              </w:rPr>
              <w:t>ț</w:t>
            </w:r>
            <w:r w:rsidRPr="00B13B9A">
              <w:rPr>
                <w:rFonts w:asciiTheme="majorHAnsi" w:eastAsia="Times New Roman" w:hAnsiTheme="majorHAnsi" w:cstheme="majorHAnsi"/>
                <w:i/>
                <w:iCs/>
                <w:color w:val="000000"/>
                <w:sz w:val="20"/>
                <w:szCs w:val="20"/>
                <w:lang w:val="ro-MD"/>
              </w:rPr>
              <w:t>i, spre demolare, valoarea lucrărilor de demolare constituie 32.631,63 lei</w:t>
            </w:r>
          </w:p>
        </w:tc>
        <w:tc>
          <w:tcPr>
            <w:tcW w:w="1378" w:type="dxa"/>
            <w:tcBorders>
              <w:top w:val="nil"/>
              <w:left w:val="nil"/>
              <w:bottom w:val="single" w:sz="4" w:space="0" w:color="auto"/>
              <w:right w:val="single" w:sz="8" w:space="0" w:color="auto"/>
            </w:tcBorders>
            <w:shd w:val="clear" w:color="000000" w:fill="FFFFFF"/>
            <w:noWrap/>
            <w:vAlign w:val="center"/>
            <w:hideMark/>
          </w:tcPr>
          <w:p w14:paraId="61C7F013" w14:textId="77777777" w:rsidR="00D3471D" w:rsidRPr="00B13B9A" w:rsidRDefault="00D3471D" w:rsidP="00332FF7">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49.435,00</w:t>
            </w:r>
          </w:p>
        </w:tc>
      </w:tr>
      <w:tr w:rsidR="00D3471D" w:rsidRPr="00B13B9A" w14:paraId="7FB817CE" w14:textId="77777777" w:rsidTr="002B7B86">
        <w:trPr>
          <w:trHeight w:val="20"/>
        </w:trPr>
        <w:tc>
          <w:tcPr>
            <w:tcW w:w="547" w:type="dxa"/>
            <w:tcBorders>
              <w:top w:val="nil"/>
              <w:left w:val="single" w:sz="8" w:space="0" w:color="auto"/>
              <w:bottom w:val="single" w:sz="4" w:space="0" w:color="auto"/>
              <w:right w:val="single" w:sz="4" w:space="0" w:color="auto"/>
            </w:tcBorders>
            <w:shd w:val="clear" w:color="000000" w:fill="FFFFFF"/>
            <w:noWrap/>
            <w:vAlign w:val="center"/>
            <w:hideMark/>
          </w:tcPr>
          <w:p w14:paraId="38125213" w14:textId="77777777" w:rsidR="00D3471D" w:rsidRPr="00B13B9A" w:rsidRDefault="00D3471D" w:rsidP="00332FF7">
            <w:pPr>
              <w:spacing w:after="0" w:line="240" w:lineRule="auto"/>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32</w:t>
            </w:r>
          </w:p>
        </w:tc>
        <w:tc>
          <w:tcPr>
            <w:tcW w:w="2998" w:type="dxa"/>
            <w:tcBorders>
              <w:top w:val="nil"/>
              <w:left w:val="nil"/>
              <w:bottom w:val="single" w:sz="4" w:space="0" w:color="auto"/>
              <w:right w:val="single" w:sz="4" w:space="0" w:color="auto"/>
            </w:tcBorders>
            <w:shd w:val="clear" w:color="000000" w:fill="FFFFFF"/>
            <w:vAlign w:val="center"/>
            <w:hideMark/>
          </w:tcPr>
          <w:p w14:paraId="31E36A4F" w14:textId="77777777"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Rezervor de apa Vorniceni 8042208387.33</w:t>
            </w:r>
          </w:p>
        </w:tc>
        <w:tc>
          <w:tcPr>
            <w:tcW w:w="1480" w:type="dxa"/>
            <w:tcBorders>
              <w:top w:val="nil"/>
              <w:left w:val="nil"/>
              <w:bottom w:val="single" w:sz="4" w:space="0" w:color="auto"/>
              <w:right w:val="single" w:sz="4" w:space="0" w:color="auto"/>
            </w:tcBorders>
            <w:shd w:val="clear" w:color="000000" w:fill="FFFFFF"/>
            <w:vAlign w:val="center"/>
            <w:hideMark/>
          </w:tcPr>
          <w:p w14:paraId="7C723682" w14:textId="77777777" w:rsidR="00D3471D" w:rsidRPr="00B13B9A" w:rsidRDefault="00D3471D" w:rsidP="00332FF7">
            <w:pPr>
              <w:spacing w:after="0" w:line="240" w:lineRule="auto"/>
              <w:jc w:val="right"/>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45.694,41</w:t>
            </w:r>
          </w:p>
        </w:tc>
        <w:tc>
          <w:tcPr>
            <w:tcW w:w="1242" w:type="dxa"/>
            <w:tcBorders>
              <w:top w:val="nil"/>
              <w:left w:val="nil"/>
              <w:bottom w:val="single" w:sz="4" w:space="0" w:color="auto"/>
              <w:right w:val="single" w:sz="4" w:space="0" w:color="auto"/>
            </w:tcBorders>
            <w:shd w:val="clear" w:color="000000" w:fill="FFFFFF"/>
            <w:vAlign w:val="center"/>
            <w:hideMark/>
          </w:tcPr>
          <w:p w14:paraId="44A202F3" w14:textId="7E4EED1F"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Func</w:t>
            </w:r>
            <w:r w:rsidR="00B13B9A" w:rsidRPr="00B13B9A">
              <w:rPr>
                <w:rFonts w:asciiTheme="majorHAnsi" w:eastAsia="Times New Roman" w:hAnsiTheme="majorHAnsi" w:cstheme="majorHAnsi"/>
                <w:i/>
                <w:iCs/>
                <w:color w:val="000000"/>
                <w:sz w:val="20"/>
                <w:szCs w:val="20"/>
                <w:lang w:val="ro-MD"/>
              </w:rPr>
              <w:t>ț</w:t>
            </w:r>
            <w:r w:rsidRPr="00B13B9A">
              <w:rPr>
                <w:rFonts w:asciiTheme="majorHAnsi" w:eastAsia="Times New Roman" w:hAnsiTheme="majorHAnsi" w:cstheme="majorHAnsi"/>
                <w:i/>
                <w:iCs/>
                <w:color w:val="000000"/>
                <w:sz w:val="20"/>
                <w:szCs w:val="20"/>
                <w:lang w:val="ro-MD"/>
              </w:rPr>
              <w:t>ional</w:t>
            </w:r>
          </w:p>
        </w:tc>
        <w:tc>
          <w:tcPr>
            <w:tcW w:w="6491" w:type="dxa"/>
            <w:tcBorders>
              <w:top w:val="nil"/>
              <w:left w:val="nil"/>
              <w:bottom w:val="single" w:sz="4" w:space="0" w:color="auto"/>
              <w:right w:val="single" w:sz="4" w:space="0" w:color="auto"/>
            </w:tcBorders>
            <w:shd w:val="clear" w:color="000000" w:fill="FFFFFF"/>
            <w:vAlign w:val="center"/>
            <w:hideMark/>
          </w:tcPr>
          <w:p w14:paraId="16580982" w14:textId="77777777"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 </w:t>
            </w:r>
          </w:p>
        </w:tc>
        <w:tc>
          <w:tcPr>
            <w:tcW w:w="1378" w:type="dxa"/>
            <w:tcBorders>
              <w:top w:val="nil"/>
              <w:left w:val="nil"/>
              <w:bottom w:val="single" w:sz="4" w:space="0" w:color="auto"/>
              <w:right w:val="single" w:sz="8" w:space="0" w:color="auto"/>
            </w:tcBorders>
            <w:shd w:val="clear" w:color="000000" w:fill="FFFFFF"/>
            <w:noWrap/>
            <w:vAlign w:val="center"/>
            <w:hideMark/>
          </w:tcPr>
          <w:p w14:paraId="4A7182EA" w14:textId="77777777" w:rsidR="00D3471D" w:rsidRPr="00B13B9A" w:rsidRDefault="00D3471D" w:rsidP="00332FF7">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34.613,58</w:t>
            </w:r>
          </w:p>
        </w:tc>
      </w:tr>
      <w:tr w:rsidR="00D3471D" w:rsidRPr="00B13B9A" w14:paraId="3E890B7A" w14:textId="77777777" w:rsidTr="002B7B86">
        <w:trPr>
          <w:trHeight w:val="20"/>
        </w:trPr>
        <w:tc>
          <w:tcPr>
            <w:tcW w:w="547" w:type="dxa"/>
            <w:tcBorders>
              <w:top w:val="nil"/>
              <w:left w:val="single" w:sz="8" w:space="0" w:color="auto"/>
              <w:bottom w:val="single" w:sz="4" w:space="0" w:color="auto"/>
              <w:right w:val="single" w:sz="4" w:space="0" w:color="auto"/>
            </w:tcBorders>
            <w:shd w:val="clear" w:color="000000" w:fill="FFFFFF"/>
            <w:noWrap/>
            <w:vAlign w:val="center"/>
            <w:hideMark/>
          </w:tcPr>
          <w:p w14:paraId="54764101" w14:textId="77777777" w:rsidR="00D3471D" w:rsidRPr="00B13B9A" w:rsidRDefault="00D3471D" w:rsidP="00332FF7">
            <w:pPr>
              <w:spacing w:after="0" w:line="240" w:lineRule="auto"/>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33</w:t>
            </w:r>
          </w:p>
        </w:tc>
        <w:tc>
          <w:tcPr>
            <w:tcW w:w="2998" w:type="dxa"/>
            <w:tcBorders>
              <w:top w:val="nil"/>
              <w:left w:val="nil"/>
              <w:bottom w:val="single" w:sz="4" w:space="0" w:color="auto"/>
              <w:right w:val="single" w:sz="4" w:space="0" w:color="auto"/>
            </w:tcBorders>
            <w:shd w:val="clear" w:color="000000" w:fill="FFFFFF"/>
            <w:vAlign w:val="center"/>
            <w:hideMark/>
          </w:tcPr>
          <w:p w14:paraId="57A8B747" w14:textId="77777777"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Sarai 8042208387.31</w:t>
            </w:r>
          </w:p>
        </w:tc>
        <w:tc>
          <w:tcPr>
            <w:tcW w:w="1480" w:type="dxa"/>
            <w:tcBorders>
              <w:top w:val="nil"/>
              <w:left w:val="nil"/>
              <w:bottom w:val="single" w:sz="4" w:space="0" w:color="auto"/>
              <w:right w:val="single" w:sz="4" w:space="0" w:color="auto"/>
            </w:tcBorders>
            <w:shd w:val="clear" w:color="000000" w:fill="FFFFFF"/>
            <w:vAlign w:val="center"/>
            <w:hideMark/>
          </w:tcPr>
          <w:p w14:paraId="7E8BF88E" w14:textId="77777777" w:rsidR="00D3471D" w:rsidRPr="00B13B9A" w:rsidRDefault="00D3471D" w:rsidP="00332FF7">
            <w:pPr>
              <w:spacing w:after="0" w:line="240" w:lineRule="auto"/>
              <w:jc w:val="right"/>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12.178,80</w:t>
            </w:r>
          </w:p>
        </w:tc>
        <w:tc>
          <w:tcPr>
            <w:tcW w:w="1242" w:type="dxa"/>
            <w:tcBorders>
              <w:top w:val="nil"/>
              <w:left w:val="nil"/>
              <w:bottom w:val="single" w:sz="4" w:space="0" w:color="auto"/>
              <w:right w:val="single" w:sz="4" w:space="0" w:color="auto"/>
            </w:tcBorders>
            <w:shd w:val="clear" w:color="000000" w:fill="FFFFFF"/>
            <w:vAlign w:val="center"/>
            <w:hideMark/>
          </w:tcPr>
          <w:p w14:paraId="5ACB50A7" w14:textId="5183DDBC"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Nefunc</w:t>
            </w:r>
            <w:r w:rsidR="00B13B9A" w:rsidRPr="00B13B9A">
              <w:rPr>
                <w:rFonts w:asciiTheme="majorHAnsi" w:eastAsia="Times New Roman" w:hAnsiTheme="majorHAnsi" w:cstheme="majorHAnsi"/>
                <w:i/>
                <w:iCs/>
                <w:color w:val="000000"/>
                <w:sz w:val="20"/>
                <w:szCs w:val="20"/>
                <w:lang w:val="ro-MD"/>
              </w:rPr>
              <w:t>ț</w:t>
            </w:r>
            <w:r w:rsidRPr="00B13B9A">
              <w:rPr>
                <w:rFonts w:asciiTheme="majorHAnsi" w:eastAsia="Times New Roman" w:hAnsiTheme="majorHAnsi" w:cstheme="majorHAnsi"/>
                <w:i/>
                <w:iCs/>
                <w:color w:val="000000"/>
                <w:sz w:val="20"/>
                <w:szCs w:val="20"/>
                <w:lang w:val="ro-MD"/>
              </w:rPr>
              <w:t>ional</w:t>
            </w:r>
          </w:p>
        </w:tc>
        <w:tc>
          <w:tcPr>
            <w:tcW w:w="6491" w:type="dxa"/>
            <w:tcBorders>
              <w:top w:val="nil"/>
              <w:left w:val="nil"/>
              <w:bottom w:val="single" w:sz="4" w:space="0" w:color="auto"/>
              <w:right w:val="single" w:sz="4" w:space="0" w:color="auto"/>
            </w:tcBorders>
            <w:shd w:val="clear" w:color="000000" w:fill="FFFFFF"/>
            <w:vAlign w:val="center"/>
            <w:hideMark/>
          </w:tcPr>
          <w:p w14:paraId="44E1F441" w14:textId="77777777"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Stare deplorabilă, învechit, spre demolare</w:t>
            </w:r>
          </w:p>
        </w:tc>
        <w:tc>
          <w:tcPr>
            <w:tcW w:w="1378" w:type="dxa"/>
            <w:tcBorders>
              <w:top w:val="nil"/>
              <w:left w:val="nil"/>
              <w:bottom w:val="single" w:sz="4" w:space="0" w:color="auto"/>
              <w:right w:val="single" w:sz="8" w:space="0" w:color="auto"/>
            </w:tcBorders>
            <w:shd w:val="clear" w:color="000000" w:fill="FFFFFF"/>
            <w:noWrap/>
            <w:vAlign w:val="center"/>
            <w:hideMark/>
          </w:tcPr>
          <w:p w14:paraId="2B64366F" w14:textId="77777777" w:rsidR="00D3471D" w:rsidRPr="00B13B9A" w:rsidRDefault="00D3471D" w:rsidP="00332FF7">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8.443,64</w:t>
            </w:r>
          </w:p>
        </w:tc>
      </w:tr>
      <w:tr w:rsidR="00D3471D" w:rsidRPr="00B13B9A" w14:paraId="2141E400" w14:textId="77777777" w:rsidTr="002B7B86">
        <w:trPr>
          <w:trHeight w:val="20"/>
        </w:trPr>
        <w:tc>
          <w:tcPr>
            <w:tcW w:w="547" w:type="dxa"/>
            <w:tcBorders>
              <w:top w:val="nil"/>
              <w:left w:val="single" w:sz="8" w:space="0" w:color="auto"/>
              <w:bottom w:val="single" w:sz="4" w:space="0" w:color="auto"/>
              <w:right w:val="single" w:sz="4" w:space="0" w:color="auto"/>
            </w:tcBorders>
            <w:shd w:val="clear" w:color="000000" w:fill="FFFFFF"/>
            <w:noWrap/>
            <w:vAlign w:val="center"/>
            <w:hideMark/>
          </w:tcPr>
          <w:p w14:paraId="2A8A2847" w14:textId="77777777" w:rsidR="00D3471D" w:rsidRPr="00B13B9A" w:rsidRDefault="00D3471D" w:rsidP="00332FF7">
            <w:pPr>
              <w:spacing w:after="0" w:line="240" w:lineRule="auto"/>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34</w:t>
            </w:r>
          </w:p>
        </w:tc>
        <w:tc>
          <w:tcPr>
            <w:tcW w:w="2998" w:type="dxa"/>
            <w:tcBorders>
              <w:top w:val="nil"/>
              <w:left w:val="nil"/>
              <w:bottom w:val="single" w:sz="4" w:space="0" w:color="auto"/>
              <w:right w:val="single" w:sz="4" w:space="0" w:color="auto"/>
            </w:tcBorders>
            <w:shd w:val="clear" w:color="000000" w:fill="FFFFFF"/>
            <w:vAlign w:val="center"/>
            <w:hideMark/>
          </w:tcPr>
          <w:p w14:paraId="11380749" w14:textId="77777777"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Spălătoria Vorniceni 8042208387.18</w:t>
            </w:r>
          </w:p>
        </w:tc>
        <w:tc>
          <w:tcPr>
            <w:tcW w:w="1480" w:type="dxa"/>
            <w:tcBorders>
              <w:top w:val="nil"/>
              <w:left w:val="nil"/>
              <w:bottom w:val="single" w:sz="4" w:space="0" w:color="auto"/>
              <w:right w:val="single" w:sz="4" w:space="0" w:color="auto"/>
            </w:tcBorders>
            <w:shd w:val="clear" w:color="000000" w:fill="FFFFFF"/>
            <w:vAlign w:val="center"/>
            <w:hideMark/>
          </w:tcPr>
          <w:p w14:paraId="2D7C26AE" w14:textId="77777777" w:rsidR="00D3471D" w:rsidRPr="00B13B9A" w:rsidRDefault="00D3471D" w:rsidP="00332FF7">
            <w:pPr>
              <w:spacing w:after="0" w:line="240" w:lineRule="auto"/>
              <w:jc w:val="right"/>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2.969.278,87</w:t>
            </w:r>
          </w:p>
        </w:tc>
        <w:tc>
          <w:tcPr>
            <w:tcW w:w="1242" w:type="dxa"/>
            <w:tcBorders>
              <w:top w:val="nil"/>
              <w:left w:val="nil"/>
              <w:bottom w:val="single" w:sz="4" w:space="0" w:color="auto"/>
              <w:right w:val="single" w:sz="4" w:space="0" w:color="auto"/>
            </w:tcBorders>
            <w:shd w:val="clear" w:color="000000" w:fill="FFFFFF"/>
            <w:vAlign w:val="center"/>
            <w:hideMark/>
          </w:tcPr>
          <w:p w14:paraId="0EE4ACAB" w14:textId="4EC2558C"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Func</w:t>
            </w:r>
            <w:r w:rsidR="00B13B9A" w:rsidRPr="00B13B9A">
              <w:rPr>
                <w:rFonts w:asciiTheme="majorHAnsi" w:eastAsia="Times New Roman" w:hAnsiTheme="majorHAnsi" w:cstheme="majorHAnsi"/>
                <w:i/>
                <w:iCs/>
                <w:color w:val="000000"/>
                <w:sz w:val="20"/>
                <w:szCs w:val="20"/>
                <w:lang w:val="ro-MD"/>
              </w:rPr>
              <w:t>ț</w:t>
            </w:r>
            <w:r w:rsidRPr="00B13B9A">
              <w:rPr>
                <w:rFonts w:asciiTheme="majorHAnsi" w:eastAsia="Times New Roman" w:hAnsiTheme="majorHAnsi" w:cstheme="majorHAnsi"/>
                <w:i/>
                <w:iCs/>
                <w:color w:val="000000"/>
                <w:sz w:val="20"/>
                <w:szCs w:val="20"/>
                <w:lang w:val="ro-MD"/>
              </w:rPr>
              <w:t>ional</w:t>
            </w:r>
          </w:p>
        </w:tc>
        <w:tc>
          <w:tcPr>
            <w:tcW w:w="6491" w:type="dxa"/>
            <w:tcBorders>
              <w:top w:val="nil"/>
              <w:left w:val="nil"/>
              <w:bottom w:val="single" w:sz="4" w:space="0" w:color="auto"/>
              <w:right w:val="single" w:sz="4" w:space="0" w:color="auto"/>
            </w:tcBorders>
            <w:shd w:val="clear" w:color="000000" w:fill="FFFFFF"/>
            <w:vAlign w:val="center"/>
            <w:hideMark/>
          </w:tcPr>
          <w:p w14:paraId="75C0CC39" w14:textId="3916A4FB"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Stare bună, se utilizează în activitatea entită</w:t>
            </w:r>
            <w:r w:rsidR="00B13B9A" w:rsidRPr="00B13B9A">
              <w:rPr>
                <w:rFonts w:asciiTheme="majorHAnsi" w:eastAsia="Times New Roman" w:hAnsiTheme="majorHAnsi" w:cstheme="majorHAnsi"/>
                <w:i/>
                <w:iCs/>
                <w:color w:val="000000"/>
                <w:sz w:val="20"/>
                <w:szCs w:val="20"/>
                <w:lang w:val="ro-MD"/>
              </w:rPr>
              <w:t>ț</w:t>
            </w:r>
            <w:r w:rsidRPr="00B13B9A">
              <w:rPr>
                <w:rFonts w:asciiTheme="majorHAnsi" w:eastAsia="Times New Roman" w:hAnsiTheme="majorHAnsi" w:cstheme="majorHAnsi"/>
                <w:i/>
                <w:iCs/>
                <w:color w:val="000000"/>
                <w:sz w:val="20"/>
                <w:szCs w:val="20"/>
                <w:lang w:val="ro-MD"/>
              </w:rPr>
              <w:t>ii de zi cu zi</w:t>
            </w:r>
          </w:p>
        </w:tc>
        <w:tc>
          <w:tcPr>
            <w:tcW w:w="1378" w:type="dxa"/>
            <w:tcBorders>
              <w:top w:val="nil"/>
              <w:left w:val="nil"/>
              <w:bottom w:val="single" w:sz="4" w:space="0" w:color="auto"/>
              <w:right w:val="single" w:sz="8" w:space="0" w:color="auto"/>
            </w:tcBorders>
            <w:shd w:val="clear" w:color="000000" w:fill="FFFFFF"/>
            <w:noWrap/>
            <w:vAlign w:val="center"/>
            <w:hideMark/>
          </w:tcPr>
          <w:p w14:paraId="00679814" w14:textId="77777777" w:rsidR="00D3471D" w:rsidRPr="00B13B9A" w:rsidRDefault="00D3471D" w:rsidP="00332FF7">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521.108,54</w:t>
            </w:r>
          </w:p>
        </w:tc>
      </w:tr>
      <w:tr w:rsidR="00D3471D" w:rsidRPr="00B13B9A" w14:paraId="28994B52" w14:textId="77777777" w:rsidTr="002B7B86">
        <w:trPr>
          <w:trHeight w:val="20"/>
        </w:trPr>
        <w:tc>
          <w:tcPr>
            <w:tcW w:w="547" w:type="dxa"/>
            <w:tcBorders>
              <w:top w:val="nil"/>
              <w:left w:val="single" w:sz="8" w:space="0" w:color="auto"/>
              <w:bottom w:val="single" w:sz="4" w:space="0" w:color="auto"/>
              <w:right w:val="single" w:sz="4" w:space="0" w:color="auto"/>
            </w:tcBorders>
            <w:shd w:val="clear" w:color="000000" w:fill="FFFFFF"/>
            <w:noWrap/>
            <w:vAlign w:val="center"/>
            <w:hideMark/>
          </w:tcPr>
          <w:p w14:paraId="77D49855" w14:textId="77777777" w:rsidR="00D3471D" w:rsidRPr="00B13B9A" w:rsidRDefault="00D3471D" w:rsidP="00332FF7">
            <w:pPr>
              <w:spacing w:after="0" w:line="240" w:lineRule="auto"/>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35</w:t>
            </w:r>
          </w:p>
        </w:tc>
        <w:tc>
          <w:tcPr>
            <w:tcW w:w="2998" w:type="dxa"/>
            <w:tcBorders>
              <w:top w:val="nil"/>
              <w:left w:val="nil"/>
              <w:bottom w:val="single" w:sz="4" w:space="0" w:color="auto"/>
              <w:right w:val="single" w:sz="4" w:space="0" w:color="auto"/>
            </w:tcBorders>
            <w:shd w:val="clear" w:color="000000" w:fill="FFFFFF"/>
            <w:vAlign w:val="center"/>
            <w:hideMark/>
          </w:tcPr>
          <w:p w14:paraId="31E4F648" w14:textId="5ED0E365"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Sta</w:t>
            </w:r>
            <w:r w:rsidR="00B13B9A" w:rsidRPr="00B13B9A">
              <w:rPr>
                <w:rFonts w:asciiTheme="majorHAnsi" w:eastAsia="Times New Roman" w:hAnsiTheme="majorHAnsi" w:cstheme="majorHAnsi"/>
                <w:i/>
                <w:iCs/>
                <w:color w:val="000000"/>
                <w:sz w:val="20"/>
                <w:szCs w:val="20"/>
                <w:lang w:val="ro-MD"/>
              </w:rPr>
              <w:t>ț</w:t>
            </w:r>
            <w:r w:rsidRPr="00B13B9A">
              <w:rPr>
                <w:rFonts w:asciiTheme="majorHAnsi" w:eastAsia="Times New Roman" w:hAnsiTheme="majorHAnsi" w:cstheme="majorHAnsi"/>
                <w:i/>
                <w:iCs/>
                <w:color w:val="000000"/>
                <w:sz w:val="20"/>
                <w:szCs w:val="20"/>
                <w:lang w:val="ro-MD"/>
              </w:rPr>
              <w:t>ie de epurare Vorniceni 8042208387.32</w:t>
            </w:r>
          </w:p>
        </w:tc>
        <w:tc>
          <w:tcPr>
            <w:tcW w:w="1480" w:type="dxa"/>
            <w:tcBorders>
              <w:top w:val="nil"/>
              <w:left w:val="nil"/>
              <w:bottom w:val="single" w:sz="4" w:space="0" w:color="auto"/>
              <w:right w:val="single" w:sz="4" w:space="0" w:color="auto"/>
            </w:tcBorders>
            <w:shd w:val="clear" w:color="000000" w:fill="FFFFFF"/>
            <w:vAlign w:val="center"/>
            <w:hideMark/>
          </w:tcPr>
          <w:p w14:paraId="37C8F64F" w14:textId="77777777" w:rsidR="00D3471D" w:rsidRPr="00B13B9A" w:rsidRDefault="00D3471D" w:rsidP="00332FF7">
            <w:pPr>
              <w:spacing w:after="0" w:line="240" w:lineRule="auto"/>
              <w:jc w:val="right"/>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6.793.348,33</w:t>
            </w:r>
          </w:p>
        </w:tc>
        <w:tc>
          <w:tcPr>
            <w:tcW w:w="1242" w:type="dxa"/>
            <w:tcBorders>
              <w:top w:val="nil"/>
              <w:left w:val="nil"/>
              <w:bottom w:val="single" w:sz="4" w:space="0" w:color="auto"/>
              <w:right w:val="single" w:sz="4" w:space="0" w:color="auto"/>
            </w:tcBorders>
            <w:shd w:val="clear" w:color="000000" w:fill="FFFFFF"/>
            <w:vAlign w:val="center"/>
            <w:hideMark/>
          </w:tcPr>
          <w:p w14:paraId="339DF97C" w14:textId="24A5BF0D"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Func</w:t>
            </w:r>
            <w:r w:rsidR="00B13B9A" w:rsidRPr="00B13B9A">
              <w:rPr>
                <w:rFonts w:asciiTheme="majorHAnsi" w:eastAsia="Times New Roman" w:hAnsiTheme="majorHAnsi" w:cstheme="majorHAnsi"/>
                <w:i/>
                <w:iCs/>
                <w:color w:val="000000"/>
                <w:sz w:val="20"/>
                <w:szCs w:val="20"/>
                <w:lang w:val="ro-MD"/>
              </w:rPr>
              <w:t>ț</w:t>
            </w:r>
            <w:r w:rsidRPr="00B13B9A">
              <w:rPr>
                <w:rFonts w:asciiTheme="majorHAnsi" w:eastAsia="Times New Roman" w:hAnsiTheme="majorHAnsi" w:cstheme="majorHAnsi"/>
                <w:i/>
                <w:iCs/>
                <w:color w:val="000000"/>
                <w:sz w:val="20"/>
                <w:szCs w:val="20"/>
                <w:lang w:val="ro-MD"/>
              </w:rPr>
              <w:t>ional</w:t>
            </w:r>
          </w:p>
        </w:tc>
        <w:tc>
          <w:tcPr>
            <w:tcW w:w="6491" w:type="dxa"/>
            <w:tcBorders>
              <w:top w:val="nil"/>
              <w:left w:val="nil"/>
              <w:bottom w:val="single" w:sz="4" w:space="0" w:color="auto"/>
              <w:right w:val="single" w:sz="4" w:space="0" w:color="auto"/>
            </w:tcBorders>
            <w:shd w:val="clear" w:color="000000" w:fill="FFFFFF"/>
            <w:vAlign w:val="center"/>
            <w:hideMark/>
          </w:tcPr>
          <w:p w14:paraId="4E78DA25" w14:textId="444737A2"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Stare bună, se utilizează în activitatea entită</w:t>
            </w:r>
            <w:r w:rsidR="00B13B9A" w:rsidRPr="00B13B9A">
              <w:rPr>
                <w:rFonts w:asciiTheme="majorHAnsi" w:eastAsia="Times New Roman" w:hAnsiTheme="majorHAnsi" w:cstheme="majorHAnsi"/>
                <w:i/>
                <w:iCs/>
                <w:color w:val="000000"/>
                <w:sz w:val="20"/>
                <w:szCs w:val="20"/>
                <w:lang w:val="ro-MD"/>
              </w:rPr>
              <w:t>ț</w:t>
            </w:r>
            <w:r w:rsidRPr="00B13B9A">
              <w:rPr>
                <w:rFonts w:asciiTheme="majorHAnsi" w:eastAsia="Times New Roman" w:hAnsiTheme="majorHAnsi" w:cstheme="majorHAnsi"/>
                <w:i/>
                <w:iCs/>
                <w:color w:val="000000"/>
                <w:sz w:val="20"/>
                <w:szCs w:val="20"/>
                <w:lang w:val="ro-MD"/>
              </w:rPr>
              <w:t>ii de zi cu zi</w:t>
            </w:r>
          </w:p>
        </w:tc>
        <w:tc>
          <w:tcPr>
            <w:tcW w:w="1378" w:type="dxa"/>
            <w:tcBorders>
              <w:top w:val="nil"/>
              <w:left w:val="nil"/>
              <w:bottom w:val="single" w:sz="4" w:space="0" w:color="auto"/>
              <w:right w:val="single" w:sz="8" w:space="0" w:color="auto"/>
            </w:tcBorders>
            <w:shd w:val="clear" w:color="000000" w:fill="FFFFFF"/>
            <w:noWrap/>
            <w:vAlign w:val="center"/>
            <w:hideMark/>
          </w:tcPr>
          <w:p w14:paraId="0D559DF4" w14:textId="77777777" w:rsidR="00D3471D" w:rsidRPr="00B13B9A" w:rsidRDefault="00D3471D" w:rsidP="00332FF7">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684.038,85</w:t>
            </w:r>
          </w:p>
        </w:tc>
      </w:tr>
      <w:tr w:rsidR="00D3471D" w:rsidRPr="00B13B9A" w14:paraId="50D78CB6" w14:textId="77777777" w:rsidTr="002B7B86">
        <w:trPr>
          <w:trHeight w:val="20"/>
        </w:trPr>
        <w:tc>
          <w:tcPr>
            <w:tcW w:w="547" w:type="dxa"/>
            <w:tcBorders>
              <w:top w:val="nil"/>
              <w:left w:val="single" w:sz="8" w:space="0" w:color="auto"/>
              <w:bottom w:val="single" w:sz="4" w:space="0" w:color="auto"/>
              <w:right w:val="single" w:sz="4" w:space="0" w:color="auto"/>
            </w:tcBorders>
            <w:shd w:val="clear" w:color="000000" w:fill="FFFFFF"/>
            <w:noWrap/>
            <w:vAlign w:val="center"/>
            <w:hideMark/>
          </w:tcPr>
          <w:p w14:paraId="1BEB4CAD" w14:textId="77777777" w:rsidR="00D3471D" w:rsidRPr="00B13B9A" w:rsidRDefault="00D3471D" w:rsidP="00332FF7">
            <w:pPr>
              <w:spacing w:after="0" w:line="240" w:lineRule="auto"/>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36</w:t>
            </w:r>
          </w:p>
        </w:tc>
        <w:tc>
          <w:tcPr>
            <w:tcW w:w="2998" w:type="dxa"/>
            <w:tcBorders>
              <w:top w:val="nil"/>
              <w:left w:val="nil"/>
              <w:bottom w:val="single" w:sz="4" w:space="0" w:color="auto"/>
              <w:right w:val="single" w:sz="4" w:space="0" w:color="auto"/>
            </w:tcBorders>
            <w:shd w:val="clear" w:color="000000" w:fill="FFFFFF"/>
            <w:vAlign w:val="center"/>
            <w:hideMark/>
          </w:tcPr>
          <w:p w14:paraId="2CE9520E" w14:textId="357B695C"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Sta</w:t>
            </w:r>
            <w:r w:rsidR="00B13B9A" w:rsidRPr="00B13B9A">
              <w:rPr>
                <w:rFonts w:asciiTheme="majorHAnsi" w:eastAsia="Times New Roman" w:hAnsiTheme="majorHAnsi" w:cstheme="majorHAnsi"/>
                <w:i/>
                <w:iCs/>
                <w:color w:val="000000"/>
                <w:sz w:val="20"/>
                <w:szCs w:val="20"/>
                <w:lang w:val="ro-MD"/>
              </w:rPr>
              <w:t>ț</w:t>
            </w:r>
            <w:r w:rsidRPr="00B13B9A">
              <w:rPr>
                <w:rFonts w:asciiTheme="majorHAnsi" w:eastAsia="Times New Roman" w:hAnsiTheme="majorHAnsi" w:cstheme="majorHAnsi"/>
                <w:i/>
                <w:iCs/>
                <w:color w:val="000000"/>
                <w:sz w:val="20"/>
                <w:szCs w:val="20"/>
                <w:lang w:val="ro-MD"/>
              </w:rPr>
              <w:t>ie de transformatoare Vorniceni 8042208387.02</w:t>
            </w:r>
          </w:p>
        </w:tc>
        <w:tc>
          <w:tcPr>
            <w:tcW w:w="1480" w:type="dxa"/>
            <w:tcBorders>
              <w:top w:val="nil"/>
              <w:left w:val="nil"/>
              <w:bottom w:val="single" w:sz="4" w:space="0" w:color="auto"/>
              <w:right w:val="single" w:sz="4" w:space="0" w:color="auto"/>
            </w:tcBorders>
            <w:shd w:val="clear" w:color="000000" w:fill="FFFFFF"/>
            <w:vAlign w:val="center"/>
            <w:hideMark/>
          </w:tcPr>
          <w:p w14:paraId="0DFDA853" w14:textId="77777777" w:rsidR="00D3471D" w:rsidRPr="00B13B9A" w:rsidRDefault="00D3471D" w:rsidP="00332FF7">
            <w:pPr>
              <w:spacing w:after="0" w:line="240" w:lineRule="auto"/>
              <w:jc w:val="right"/>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43.916,00</w:t>
            </w:r>
          </w:p>
        </w:tc>
        <w:tc>
          <w:tcPr>
            <w:tcW w:w="1242" w:type="dxa"/>
            <w:tcBorders>
              <w:top w:val="nil"/>
              <w:left w:val="nil"/>
              <w:bottom w:val="single" w:sz="4" w:space="0" w:color="auto"/>
              <w:right w:val="single" w:sz="4" w:space="0" w:color="auto"/>
            </w:tcBorders>
            <w:shd w:val="clear" w:color="000000" w:fill="FFFFFF"/>
            <w:vAlign w:val="center"/>
            <w:hideMark/>
          </w:tcPr>
          <w:p w14:paraId="572F2555" w14:textId="55DFAC5C"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Nefunc</w:t>
            </w:r>
            <w:r w:rsidR="00B13B9A" w:rsidRPr="00B13B9A">
              <w:rPr>
                <w:rFonts w:asciiTheme="majorHAnsi" w:eastAsia="Times New Roman" w:hAnsiTheme="majorHAnsi" w:cstheme="majorHAnsi"/>
                <w:i/>
                <w:iCs/>
                <w:color w:val="000000"/>
                <w:sz w:val="20"/>
                <w:szCs w:val="20"/>
                <w:lang w:val="ro-MD"/>
              </w:rPr>
              <w:t>ț</w:t>
            </w:r>
            <w:r w:rsidRPr="00B13B9A">
              <w:rPr>
                <w:rFonts w:asciiTheme="majorHAnsi" w:eastAsia="Times New Roman" w:hAnsiTheme="majorHAnsi" w:cstheme="majorHAnsi"/>
                <w:i/>
                <w:iCs/>
                <w:color w:val="000000"/>
                <w:sz w:val="20"/>
                <w:szCs w:val="20"/>
                <w:lang w:val="ro-MD"/>
              </w:rPr>
              <w:t>ional</w:t>
            </w:r>
          </w:p>
        </w:tc>
        <w:tc>
          <w:tcPr>
            <w:tcW w:w="6491" w:type="dxa"/>
            <w:tcBorders>
              <w:top w:val="nil"/>
              <w:left w:val="nil"/>
              <w:bottom w:val="single" w:sz="4" w:space="0" w:color="auto"/>
              <w:right w:val="single" w:sz="4" w:space="0" w:color="auto"/>
            </w:tcBorders>
            <w:shd w:val="clear" w:color="000000" w:fill="FFFFFF"/>
            <w:vAlign w:val="center"/>
            <w:hideMark/>
          </w:tcPr>
          <w:p w14:paraId="46B81C06" w14:textId="77777777"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Stare deplorabilă, învechit</w:t>
            </w:r>
          </w:p>
        </w:tc>
        <w:tc>
          <w:tcPr>
            <w:tcW w:w="1378" w:type="dxa"/>
            <w:tcBorders>
              <w:top w:val="nil"/>
              <w:left w:val="nil"/>
              <w:bottom w:val="single" w:sz="4" w:space="0" w:color="auto"/>
              <w:right w:val="single" w:sz="8" w:space="0" w:color="auto"/>
            </w:tcBorders>
            <w:shd w:val="clear" w:color="000000" w:fill="FFFFFF"/>
            <w:noWrap/>
            <w:vAlign w:val="center"/>
            <w:hideMark/>
          </w:tcPr>
          <w:p w14:paraId="2017EC78" w14:textId="77777777" w:rsidR="00D3471D" w:rsidRPr="00B13B9A" w:rsidRDefault="00D3471D" w:rsidP="00332FF7">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31.019,57</w:t>
            </w:r>
          </w:p>
        </w:tc>
      </w:tr>
      <w:tr w:rsidR="00D3471D" w:rsidRPr="00B13B9A" w14:paraId="17B2CD4D" w14:textId="77777777" w:rsidTr="002B7B86">
        <w:trPr>
          <w:trHeight w:val="20"/>
        </w:trPr>
        <w:tc>
          <w:tcPr>
            <w:tcW w:w="547" w:type="dxa"/>
            <w:tcBorders>
              <w:top w:val="nil"/>
              <w:left w:val="single" w:sz="8" w:space="0" w:color="auto"/>
              <w:bottom w:val="single" w:sz="8" w:space="0" w:color="auto"/>
              <w:right w:val="single" w:sz="4" w:space="0" w:color="auto"/>
            </w:tcBorders>
            <w:shd w:val="clear" w:color="000000" w:fill="FFFFFF"/>
            <w:noWrap/>
            <w:vAlign w:val="center"/>
            <w:hideMark/>
          </w:tcPr>
          <w:p w14:paraId="783E0924" w14:textId="77777777" w:rsidR="00D3471D" w:rsidRPr="00B13B9A" w:rsidRDefault="00D3471D" w:rsidP="00332FF7">
            <w:pPr>
              <w:spacing w:after="0" w:line="240" w:lineRule="auto"/>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37</w:t>
            </w:r>
          </w:p>
        </w:tc>
        <w:tc>
          <w:tcPr>
            <w:tcW w:w="2998" w:type="dxa"/>
            <w:tcBorders>
              <w:top w:val="nil"/>
              <w:left w:val="nil"/>
              <w:bottom w:val="single" w:sz="8" w:space="0" w:color="auto"/>
              <w:right w:val="single" w:sz="4" w:space="0" w:color="auto"/>
            </w:tcBorders>
            <w:shd w:val="clear" w:color="000000" w:fill="FFFFFF"/>
            <w:vAlign w:val="center"/>
            <w:hideMark/>
          </w:tcPr>
          <w:p w14:paraId="7EF1A0E9" w14:textId="4D75BDA5"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Sta</w:t>
            </w:r>
            <w:r w:rsidR="00B13B9A" w:rsidRPr="00B13B9A">
              <w:rPr>
                <w:rFonts w:asciiTheme="majorHAnsi" w:eastAsia="Times New Roman" w:hAnsiTheme="majorHAnsi" w:cstheme="majorHAnsi"/>
                <w:i/>
                <w:iCs/>
                <w:color w:val="000000"/>
                <w:sz w:val="20"/>
                <w:szCs w:val="20"/>
                <w:lang w:val="ro-MD"/>
              </w:rPr>
              <w:t>ț</w:t>
            </w:r>
            <w:r w:rsidRPr="00B13B9A">
              <w:rPr>
                <w:rFonts w:asciiTheme="majorHAnsi" w:eastAsia="Times New Roman" w:hAnsiTheme="majorHAnsi" w:cstheme="majorHAnsi"/>
                <w:i/>
                <w:iCs/>
                <w:color w:val="000000"/>
                <w:sz w:val="20"/>
                <w:szCs w:val="20"/>
                <w:lang w:val="ro-MD"/>
              </w:rPr>
              <w:t>ionar pansionat 240 locuri  0100213274.01</w:t>
            </w:r>
          </w:p>
        </w:tc>
        <w:tc>
          <w:tcPr>
            <w:tcW w:w="1480" w:type="dxa"/>
            <w:tcBorders>
              <w:top w:val="nil"/>
              <w:left w:val="nil"/>
              <w:bottom w:val="single" w:sz="8" w:space="0" w:color="auto"/>
              <w:right w:val="single" w:sz="4" w:space="0" w:color="auto"/>
            </w:tcBorders>
            <w:shd w:val="clear" w:color="000000" w:fill="FFFFFF"/>
            <w:vAlign w:val="center"/>
            <w:hideMark/>
          </w:tcPr>
          <w:p w14:paraId="16B70E26" w14:textId="77777777" w:rsidR="00D3471D" w:rsidRPr="00B13B9A" w:rsidRDefault="00D3471D" w:rsidP="00332FF7">
            <w:pPr>
              <w:spacing w:after="0" w:line="240" w:lineRule="auto"/>
              <w:jc w:val="right"/>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19.684.071,04</w:t>
            </w:r>
          </w:p>
        </w:tc>
        <w:tc>
          <w:tcPr>
            <w:tcW w:w="1242" w:type="dxa"/>
            <w:tcBorders>
              <w:top w:val="nil"/>
              <w:left w:val="nil"/>
              <w:bottom w:val="single" w:sz="8" w:space="0" w:color="auto"/>
              <w:right w:val="single" w:sz="4" w:space="0" w:color="auto"/>
            </w:tcBorders>
            <w:shd w:val="clear" w:color="000000" w:fill="FFFFFF"/>
            <w:vAlign w:val="center"/>
            <w:hideMark/>
          </w:tcPr>
          <w:p w14:paraId="07A672E4" w14:textId="4E300FB0"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Func</w:t>
            </w:r>
            <w:r w:rsidR="00B13B9A" w:rsidRPr="00B13B9A">
              <w:rPr>
                <w:rFonts w:asciiTheme="majorHAnsi" w:eastAsia="Times New Roman" w:hAnsiTheme="majorHAnsi" w:cstheme="majorHAnsi"/>
                <w:i/>
                <w:iCs/>
                <w:color w:val="000000"/>
                <w:sz w:val="20"/>
                <w:szCs w:val="20"/>
                <w:lang w:val="ro-MD"/>
              </w:rPr>
              <w:t>ț</w:t>
            </w:r>
            <w:r w:rsidRPr="00B13B9A">
              <w:rPr>
                <w:rFonts w:asciiTheme="majorHAnsi" w:eastAsia="Times New Roman" w:hAnsiTheme="majorHAnsi" w:cstheme="majorHAnsi"/>
                <w:i/>
                <w:iCs/>
                <w:color w:val="000000"/>
                <w:sz w:val="20"/>
                <w:szCs w:val="20"/>
                <w:lang w:val="ro-MD"/>
              </w:rPr>
              <w:t>ional</w:t>
            </w:r>
          </w:p>
        </w:tc>
        <w:tc>
          <w:tcPr>
            <w:tcW w:w="6491" w:type="dxa"/>
            <w:tcBorders>
              <w:top w:val="nil"/>
              <w:left w:val="nil"/>
              <w:bottom w:val="single" w:sz="8" w:space="0" w:color="auto"/>
              <w:right w:val="single" w:sz="4" w:space="0" w:color="auto"/>
            </w:tcBorders>
            <w:shd w:val="clear" w:color="000000" w:fill="FFFFFF"/>
            <w:vAlign w:val="center"/>
            <w:hideMark/>
          </w:tcPr>
          <w:p w14:paraId="17925951" w14:textId="5930D12A" w:rsidR="00D3471D" w:rsidRPr="00B13B9A" w:rsidRDefault="00D3471D" w:rsidP="00332FF7">
            <w:pPr>
              <w:spacing w:after="0" w:line="240" w:lineRule="auto"/>
              <w:rPr>
                <w:rFonts w:asciiTheme="majorHAnsi" w:eastAsia="Times New Roman" w:hAnsiTheme="majorHAnsi" w:cstheme="majorHAnsi"/>
                <w:i/>
                <w:iCs/>
                <w:color w:val="000000"/>
                <w:sz w:val="20"/>
                <w:szCs w:val="20"/>
                <w:lang w:val="ro-MD"/>
              </w:rPr>
            </w:pPr>
            <w:r w:rsidRPr="00B13B9A">
              <w:rPr>
                <w:rFonts w:asciiTheme="majorHAnsi" w:eastAsia="Times New Roman" w:hAnsiTheme="majorHAnsi" w:cstheme="majorHAnsi"/>
                <w:i/>
                <w:iCs/>
                <w:color w:val="000000"/>
                <w:sz w:val="20"/>
                <w:szCs w:val="20"/>
                <w:lang w:val="ro-MD"/>
              </w:rPr>
              <w:t>Stare bună, se utilizează pentru tratarea pacien</w:t>
            </w:r>
            <w:r w:rsidR="00B13B9A" w:rsidRPr="00B13B9A">
              <w:rPr>
                <w:rFonts w:asciiTheme="majorHAnsi" w:eastAsia="Times New Roman" w:hAnsiTheme="majorHAnsi" w:cstheme="majorHAnsi"/>
                <w:i/>
                <w:iCs/>
                <w:color w:val="000000"/>
                <w:sz w:val="20"/>
                <w:szCs w:val="20"/>
                <w:lang w:val="ro-MD"/>
              </w:rPr>
              <w:t>ț</w:t>
            </w:r>
            <w:r w:rsidRPr="00B13B9A">
              <w:rPr>
                <w:rFonts w:asciiTheme="majorHAnsi" w:eastAsia="Times New Roman" w:hAnsiTheme="majorHAnsi" w:cstheme="majorHAnsi"/>
                <w:i/>
                <w:iCs/>
                <w:color w:val="000000"/>
                <w:sz w:val="20"/>
                <w:szCs w:val="20"/>
                <w:lang w:val="ro-MD"/>
              </w:rPr>
              <w:t>ilor</w:t>
            </w:r>
            <w:r w:rsidR="00CD15BA" w:rsidRPr="00B13B9A">
              <w:rPr>
                <w:rFonts w:asciiTheme="majorHAnsi" w:eastAsia="Times New Roman" w:hAnsiTheme="majorHAnsi" w:cstheme="majorHAnsi"/>
                <w:i/>
                <w:iCs/>
                <w:color w:val="000000"/>
                <w:sz w:val="20"/>
                <w:szCs w:val="20"/>
                <w:lang w:val="ro-MD"/>
              </w:rPr>
              <w:t>,</w:t>
            </w:r>
            <w:r w:rsidRPr="00B13B9A">
              <w:rPr>
                <w:rFonts w:asciiTheme="majorHAnsi" w:eastAsia="Times New Roman" w:hAnsiTheme="majorHAnsi" w:cstheme="majorHAnsi"/>
                <w:i/>
                <w:iCs/>
                <w:color w:val="000000"/>
                <w:sz w:val="20"/>
                <w:szCs w:val="20"/>
                <w:lang w:val="ro-MD"/>
              </w:rPr>
              <w:t xml:space="preserve"> cu o disponibilitate de 240 paturi</w:t>
            </w:r>
          </w:p>
        </w:tc>
        <w:tc>
          <w:tcPr>
            <w:tcW w:w="1378" w:type="dxa"/>
            <w:tcBorders>
              <w:top w:val="nil"/>
              <w:left w:val="nil"/>
              <w:bottom w:val="single" w:sz="8" w:space="0" w:color="auto"/>
              <w:right w:val="single" w:sz="8" w:space="0" w:color="auto"/>
            </w:tcBorders>
            <w:shd w:val="clear" w:color="000000" w:fill="FFFFFF"/>
            <w:noWrap/>
            <w:vAlign w:val="center"/>
            <w:hideMark/>
          </w:tcPr>
          <w:p w14:paraId="64792CA6" w14:textId="77777777" w:rsidR="00D3471D" w:rsidRPr="00B13B9A" w:rsidRDefault="00D3471D" w:rsidP="00332FF7">
            <w:pPr>
              <w:spacing w:after="0" w:line="240" w:lineRule="auto"/>
              <w:jc w:val="right"/>
              <w:rPr>
                <w:rFonts w:asciiTheme="majorHAnsi" w:eastAsia="Times New Roman" w:hAnsiTheme="majorHAnsi" w:cstheme="majorHAnsi"/>
                <w:color w:val="000000"/>
                <w:sz w:val="20"/>
                <w:szCs w:val="20"/>
                <w:lang w:val="ro-MD"/>
              </w:rPr>
            </w:pPr>
            <w:r w:rsidRPr="00B13B9A">
              <w:rPr>
                <w:rFonts w:asciiTheme="majorHAnsi" w:eastAsia="Times New Roman" w:hAnsiTheme="majorHAnsi" w:cstheme="majorHAnsi"/>
                <w:color w:val="000000"/>
                <w:sz w:val="20"/>
                <w:szCs w:val="20"/>
                <w:lang w:val="ro-MD"/>
              </w:rPr>
              <w:t>7.871.722,00</w:t>
            </w:r>
          </w:p>
        </w:tc>
      </w:tr>
      <w:tr w:rsidR="00D3471D" w:rsidRPr="00B13B9A" w14:paraId="0B3A42AF" w14:textId="77777777" w:rsidTr="002B7B86">
        <w:trPr>
          <w:trHeight w:val="20"/>
        </w:trPr>
        <w:tc>
          <w:tcPr>
            <w:tcW w:w="547" w:type="dxa"/>
            <w:tcBorders>
              <w:top w:val="nil"/>
              <w:left w:val="single" w:sz="8" w:space="0" w:color="auto"/>
              <w:bottom w:val="single" w:sz="8" w:space="0" w:color="auto"/>
              <w:right w:val="nil"/>
            </w:tcBorders>
            <w:shd w:val="clear" w:color="000000" w:fill="FFFFFF"/>
            <w:noWrap/>
            <w:vAlign w:val="center"/>
            <w:hideMark/>
          </w:tcPr>
          <w:p w14:paraId="417AB327" w14:textId="77777777" w:rsidR="00D3471D" w:rsidRPr="00B13B9A" w:rsidRDefault="00D3471D" w:rsidP="00332FF7">
            <w:pPr>
              <w:spacing w:after="0" w:line="240" w:lineRule="auto"/>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 </w:t>
            </w:r>
          </w:p>
        </w:tc>
        <w:tc>
          <w:tcPr>
            <w:tcW w:w="2998" w:type="dxa"/>
            <w:tcBorders>
              <w:top w:val="nil"/>
              <w:left w:val="nil"/>
              <w:bottom w:val="single" w:sz="8" w:space="0" w:color="auto"/>
              <w:right w:val="single" w:sz="8" w:space="0" w:color="auto"/>
            </w:tcBorders>
            <w:shd w:val="clear" w:color="000000" w:fill="FFFFFF"/>
            <w:noWrap/>
            <w:vAlign w:val="center"/>
            <w:hideMark/>
          </w:tcPr>
          <w:p w14:paraId="1B37B124" w14:textId="77777777" w:rsidR="00D3471D" w:rsidRPr="00B13B9A" w:rsidRDefault="00D3471D" w:rsidP="00332FF7">
            <w:pPr>
              <w:spacing w:after="0" w:line="240" w:lineRule="auto"/>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TOTAL</w:t>
            </w:r>
          </w:p>
        </w:tc>
        <w:tc>
          <w:tcPr>
            <w:tcW w:w="1480" w:type="dxa"/>
            <w:tcBorders>
              <w:top w:val="nil"/>
              <w:left w:val="nil"/>
              <w:bottom w:val="single" w:sz="8" w:space="0" w:color="auto"/>
              <w:right w:val="single" w:sz="8" w:space="0" w:color="auto"/>
            </w:tcBorders>
            <w:shd w:val="clear" w:color="000000" w:fill="FFFFFF"/>
            <w:noWrap/>
            <w:vAlign w:val="center"/>
            <w:hideMark/>
          </w:tcPr>
          <w:p w14:paraId="429380FA" w14:textId="77777777" w:rsidR="00D3471D" w:rsidRPr="00B13B9A" w:rsidRDefault="00D3471D" w:rsidP="00332FF7">
            <w:pPr>
              <w:spacing w:after="0" w:line="240" w:lineRule="auto"/>
              <w:jc w:val="right"/>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169.016.039,21</w:t>
            </w:r>
          </w:p>
        </w:tc>
        <w:tc>
          <w:tcPr>
            <w:tcW w:w="1242" w:type="dxa"/>
            <w:tcBorders>
              <w:top w:val="nil"/>
              <w:left w:val="nil"/>
              <w:bottom w:val="single" w:sz="8" w:space="0" w:color="auto"/>
              <w:right w:val="single" w:sz="8" w:space="0" w:color="auto"/>
            </w:tcBorders>
            <w:shd w:val="clear" w:color="000000" w:fill="FFFFFF"/>
            <w:noWrap/>
            <w:vAlign w:val="center"/>
            <w:hideMark/>
          </w:tcPr>
          <w:p w14:paraId="2FC7DAED" w14:textId="77777777" w:rsidR="00D3471D" w:rsidRPr="00B13B9A" w:rsidRDefault="00D3471D" w:rsidP="00332FF7">
            <w:pPr>
              <w:spacing w:after="0" w:line="240" w:lineRule="auto"/>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 </w:t>
            </w:r>
          </w:p>
        </w:tc>
        <w:tc>
          <w:tcPr>
            <w:tcW w:w="6491" w:type="dxa"/>
            <w:tcBorders>
              <w:top w:val="nil"/>
              <w:left w:val="nil"/>
              <w:bottom w:val="single" w:sz="8" w:space="0" w:color="auto"/>
              <w:right w:val="single" w:sz="8" w:space="0" w:color="auto"/>
            </w:tcBorders>
            <w:shd w:val="clear" w:color="000000" w:fill="FFFFFF"/>
            <w:vAlign w:val="center"/>
            <w:hideMark/>
          </w:tcPr>
          <w:p w14:paraId="2126835A" w14:textId="77777777" w:rsidR="00D3471D" w:rsidRPr="00B13B9A" w:rsidRDefault="00D3471D" w:rsidP="00332FF7">
            <w:pPr>
              <w:spacing w:after="0" w:line="240" w:lineRule="auto"/>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 </w:t>
            </w:r>
          </w:p>
        </w:tc>
        <w:tc>
          <w:tcPr>
            <w:tcW w:w="1378" w:type="dxa"/>
            <w:tcBorders>
              <w:top w:val="nil"/>
              <w:left w:val="nil"/>
              <w:bottom w:val="single" w:sz="8" w:space="0" w:color="auto"/>
              <w:right w:val="single" w:sz="8" w:space="0" w:color="auto"/>
            </w:tcBorders>
            <w:shd w:val="clear" w:color="000000" w:fill="FFFFFF"/>
            <w:noWrap/>
            <w:vAlign w:val="center"/>
            <w:hideMark/>
          </w:tcPr>
          <w:p w14:paraId="5D89D196" w14:textId="77777777" w:rsidR="00D3471D" w:rsidRPr="00B13B9A" w:rsidRDefault="00D3471D" w:rsidP="00332FF7">
            <w:pPr>
              <w:spacing w:after="0" w:line="240" w:lineRule="auto"/>
              <w:jc w:val="right"/>
              <w:rPr>
                <w:rFonts w:asciiTheme="majorHAnsi" w:eastAsia="Times New Roman" w:hAnsiTheme="majorHAnsi" w:cstheme="majorHAnsi"/>
                <w:b/>
                <w:bCs/>
                <w:color w:val="000000"/>
                <w:sz w:val="20"/>
                <w:szCs w:val="20"/>
                <w:lang w:val="ro-MD"/>
              </w:rPr>
            </w:pPr>
            <w:r w:rsidRPr="00B13B9A">
              <w:rPr>
                <w:rFonts w:asciiTheme="majorHAnsi" w:eastAsia="Times New Roman" w:hAnsiTheme="majorHAnsi" w:cstheme="majorHAnsi"/>
                <w:b/>
                <w:bCs/>
                <w:color w:val="000000"/>
                <w:sz w:val="20"/>
                <w:szCs w:val="20"/>
                <w:lang w:val="ro-MD"/>
              </w:rPr>
              <w:t>76.170.405,98</w:t>
            </w:r>
          </w:p>
        </w:tc>
      </w:tr>
    </w:tbl>
    <w:p w14:paraId="551CE939" w14:textId="4AB96885" w:rsidR="0007264E" w:rsidRPr="00B13B9A" w:rsidRDefault="0007264E" w:rsidP="0007264E">
      <w:pPr>
        <w:pStyle w:val="cn"/>
        <w:spacing w:line="276" w:lineRule="auto"/>
        <w:ind w:right="71"/>
        <w:jc w:val="both"/>
        <w:rPr>
          <w:rFonts w:asciiTheme="majorHAnsi" w:eastAsiaTheme="minorHAnsi" w:hAnsiTheme="majorHAnsi" w:cstheme="majorHAnsi"/>
          <w:i/>
          <w:sz w:val="20"/>
          <w:szCs w:val="20"/>
          <w:lang w:val="ro-MD" w:eastAsia="en-US"/>
        </w:rPr>
      </w:pPr>
      <w:r w:rsidRPr="00B13B9A">
        <w:rPr>
          <w:rFonts w:asciiTheme="majorHAnsi" w:eastAsiaTheme="minorHAnsi" w:hAnsiTheme="majorHAnsi" w:cstheme="majorHAnsi"/>
          <w:b/>
          <w:i/>
          <w:sz w:val="20"/>
          <w:szCs w:val="20"/>
          <w:lang w:val="ro-MD" w:eastAsia="en-US"/>
        </w:rPr>
        <w:t>Sursa:</w:t>
      </w:r>
      <w:r w:rsidRPr="00B13B9A">
        <w:rPr>
          <w:rFonts w:asciiTheme="majorHAnsi" w:eastAsiaTheme="minorHAnsi" w:hAnsiTheme="majorHAnsi" w:cstheme="majorHAnsi"/>
          <w:i/>
          <w:sz w:val="20"/>
          <w:szCs w:val="20"/>
          <w:lang w:val="ro-MD" w:eastAsia="en-US"/>
        </w:rPr>
        <w:t xml:space="preserve"> Informa</w:t>
      </w:r>
      <w:r w:rsidR="00B13B9A" w:rsidRPr="00B13B9A">
        <w:rPr>
          <w:rFonts w:asciiTheme="majorHAnsi" w:eastAsiaTheme="minorHAnsi" w:hAnsiTheme="majorHAnsi" w:cstheme="majorHAnsi"/>
          <w:i/>
          <w:sz w:val="20"/>
          <w:szCs w:val="20"/>
          <w:lang w:val="ro-MD" w:eastAsia="en-US"/>
        </w:rPr>
        <w:t>ț</w:t>
      </w:r>
      <w:r w:rsidRPr="00B13B9A">
        <w:rPr>
          <w:rFonts w:asciiTheme="majorHAnsi" w:eastAsiaTheme="minorHAnsi" w:hAnsiTheme="majorHAnsi" w:cstheme="majorHAnsi"/>
          <w:i/>
          <w:sz w:val="20"/>
          <w:szCs w:val="20"/>
          <w:lang w:val="ro-MD" w:eastAsia="en-US"/>
        </w:rPr>
        <w:t>ii prezentate de entitate</w:t>
      </w:r>
      <w:r w:rsidR="00CD15BA" w:rsidRPr="00B13B9A">
        <w:rPr>
          <w:rFonts w:asciiTheme="majorHAnsi" w:eastAsiaTheme="minorHAnsi" w:hAnsiTheme="majorHAnsi" w:cstheme="majorHAnsi"/>
          <w:i/>
          <w:sz w:val="20"/>
          <w:szCs w:val="20"/>
          <w:lang w:val="ro-MD" w:eastAsia="en-US"/>
        </w:rPr>
        <w:t>.</w:t>
      </w:r>
    </w:p>
    <w:p w14:paraId="512C0BA5" w14:textId="77777777" w:rsidR="00D3471D" w:rsidRPr="00B13B9A" w:rsidRDefault="00D3471D" w:rsidP="00D3471D">
      <w:pPr>
        <w:spacing w:after="0" w:line="240" w:lineRule="auto"/>
        <w:jc w:val="center"/>
        <w:rPr>
          <w:rFonts w:asciiTheme="majorHAnsi" w:eastAsia="Times New Roman" w:hAnsiTheme="majorHAnsi" w:cstheme="majorHAnsi"/>
          <w:b/>
          <w:bCs/>
          <w:color w:val="000000"/>
          <w:sz w:val="20"/>
          <w:szCs w:val="20"/>
          <w:lang w:val="ro-MD"/>
        </w:rPr>
        <w:sectPr w:rsidR="00D3471D" w:rsidRPr="00B13B9A" w:rsidSect="00D3471D">
          <w:pgSz w:w="15840" w:h="12240" w:orient="landscape"/>
          <w:pgMar w:top="1170" w:right="1138" w:bottom="763" w:left="1138" w:header="706" w:footer="706" w:gutter="0"/>
          <w:cols w:space="708"/>
          <w:titlePg/>
          <w:docGrid w:linePitch="360"/>
        </w:sectPr>
      </w:pPr>
    </w:p>
    <w:p w14:paraId="21C78DEA" w14:textId="77777777" w:rsidR="000A5AB9" w:rsidRPr="00B13B9A" w:rsidRDefault="000A5AB9" w:rsidP="00D3471D">
      <w:pPr>
        <w:pStyle w:val="3"/>
        <w:jc w:val="right"/>
        <w:rPr>
          <w:rFonts w:cstheme="majorHAnsi"/>
          <w:b/>
          <w:iCs/>
          <w:color w:val="auto"/>
        </w:rPr>
      </w:pPr>
      <w:bookmarkStart w:id="71" w:name="_Toc154562541"/>
      <w:r w:rsidRPr="00B13B9A">
        <w:rPr>
          <w:rFonts w:cstheme="majorHAnsi"/>
          <w:b/>
          <w:iCs/>
          <w:color w:val="auto"/>
        </w:rPr>
        <w:t>Anexa nr. 1</w:t>
      </w:r>
      <w:r w:rsidR="00251EC7" w:rsidRPr="00B13B9A">
        <w:rPr>
          <w:rFonts w:cstheme="majorHAnsi"/>
          <w:b/>
          <w:iCs/>
          <w:color w:val="auto"/>
        </w:rPr>
        <w:t>8</w:t>
      </w:r>
      <w:bookmarkEnd w:id="71"/>
    </w:p>
    <w:p w14:paraId="7F9BFCBB" w14:textId="51229E9D" w:rsidR="00E335CE" w:rsidRPr="00B13B9A" w:rsidRDefault="00E335CE" w:rsidP="00F0722E">
      <w:pPr>
        <w:pStyle w:val="cn"/>
        <w:spacing w:line="276" w:lineRule="auto"/>
        <w:ind w:right="71"/>
        <w:rPr>
          <w:rFonts w:asciiTheme="majorHAnsi" w:eastAsiaTheme="minorHAnsi" w:hAnsiTheme="majorHAnsi" w:cstheme="majorHAnsi"/>
          <w:b/>
          <w:lang w:val="ro-MD" w:eastAsia="en-US"/>
        </w:rPr>
      </w:pPr>
      <w:r w:rsidRPr="00B13B9A">
        <w:rPr>
          <w:rFonts w:asciiTheme="majorHAnsi" w:eastAsiaTheme="minorHAnsi" w:hAnsiTheme="majorHAnsi" w:cstheme="majorHAnsi"/>
          <w:b/>
          <w:lang w:val="ro-MD" w:eastAsia="en-US"/>
        </w:rPr>
        <w:t>Dinamica numărului de pacien</w:t>
      </w:r>
      <w:r w:rsidR="00B13B9A" w:rsidRPr="00B13B9A">
        <w:rPr>
          <w:rFonts w:asciiTheme="majorHAnsi" w:eastAsiaTheme="minorHAnsi" w:hAnsiTheme="majorHAnsi" w:cstheme="majorHAnsi"/>
          <w:b/>
          <w:lang w:val="ro-MD" w:eastAsia="en-US"/>
        </w:rPr>
        <w:t>ț</w:t>
      </w:r>
      <w:r w:rsidRPr="00B13B9A">
        <w:rPr>
          <w:rFonts w:asciiTheme="majorHAnsi" w:eastAsiaTheme="minorHAnsi" w:hAnsiTheme="majorHAnsi" w:cstheme="majorHAnsi"/>
          <w:b/>
          <w:lang w:val="ro-MD" w:eastAsia="en-US"/>
        </w:rPr>
        <w:t xml:space="preserve">i </w:t>
      </w:r>
      <w:r w:rsidR="00F0722E" w:rsidRPr="00B13B9A">
        <w:rPr>
          <w:rFonts w:asciiTheme="majorHAnsi" w:eastAsiaTheme="minorHAnsi" w:hAnsiTheme="majorHAnsi" w:cstheme="majorHAnsi"/>
          <w:b/>
          <w:lang w:val="ro-MD" w:eastAsia="en-US"/>
        </w:rPr>
        <w:t>interna</w:t>
      </w:r>
      <w:r w:rsidR="00B13B9A" w:rsidRPr="00B13B9A">
        <w:rPr>
          <w:rFonts w:asciiTheme="majorHAnsi" w:eastAsiaTheme="minorHAnsi" w:hAnsiTheme="majorHAnsi" w:cstheme="majorHAnsi"/>
          <w:b/>
          <w:lang w:val="ro-MD" w:eastAsia="en-US"/>
        </w:rPr>
        <w:t>ț</w:t>
      </w:r>
      <w:r w:rsidR="00F0722E" w:rsidRPr="00B13B9A">
        <w:rPr>
          <w:rFonts w:asciiTheme="majorHAnsi" w:eastAsiaTheme="minorHAnsi" w:hAnsiTheme="majorHAnsi" w:cstheme="majorHAnsi"/>
          <w:b/>
          <w:lang w:val="ro-MD" w:eastAsia="en-US"/>
        </w:rPr>
        <w:t>i pe sec</w:t>
      </w:r>
      <w:r w:rsidR="00B13B9A" w:rsidRPr="00B13B9A">
        <w:rPr>
          <w:rFonts w:asciiTheme="majorHAnsi" w:eastAsiaTheme="minorHAnsi" w:hAnsiTheme="majorHAnsi" w:cstheme="majorHAnsi"/>
          <w:b/>
          <w:lang w:val="ro-MD" w:eastAsia="en-US"/>
        </w:rPr>
        <w:t>ț</w:t>
      </w:r>
      <w:r w:rsidR="00F0722E" w:rsidRPr="00B13B9A">
        <w:rPr>
          <w:rFonts w:asciiTheme="majorHAnsi" w:eastAsiaTheme="minorHAnsi" w:hAnsiTheme="majorHAnsi" w:cstheme="majorHAnsi"/>
          <w:b/>
          <w:lang w:val="ro-MD" w:eastAsia="en-US"/>
        </w:rPr>
        <w:t>ii, comparativ cu numărul de paturi existent</w:t>
      </w:r>
      <w:r w:rsidR="00CA40D9" w:rsidRPr="00B13B9A">
        <w:rPr>
          <w:rFonts w:asciiTheme="majorHAnsi" w:eastAsiaTheme="minorHAnsi" w:hAnsiTheme="majorHAnsi" w:cstheme="majorHAnsi"/>
          <w:b/>
          <w:lang w:val="ro-MD" w:eastAsia="en-US"/>
        </w:rPr>
        <w:t xml:space="preserve"> în perioada 2021-2023 </w:t>
      </w:r>
      <w:r w:rsidR="00D80586" w:rsidRPr="00B13B9A">
        <w:rPr>
          <w:rFonts w:asciiTheme="majorHAnsi" w:eastAsiaTheme="minorHAnsi" w:hAnsiTheme="majorHAnsi" w:cstheme="majorHAnsi"/>
          <w:b/>
          <w:lang w:val="ro-MD" w:eastAsia="en-US"/>
        </w:rPr>
        <w:t>(</w:t>
      </w:r>
      <w:r w:rsidR="00CA40D9" w:rsidRPr="00B13B9A">
        <w:rPr>
          <w:rFonts w:asciiTheme="majorHAnsi" w:eastAsiaTheme="minorHAnsi" w:hAnsiTheme="majorHAnsi" w:cstheme="majorHAnsi"/>
          <w:b/>
          <w:lang w:val="ro-MD" w:eastAsia="en-US"/>
        </w:rPr>
        <w:t>6 luni</w:t>
      </w:r>
      <w:r w:rsidR="00D80586" w:rsidRPr="00B13B9A">
        <w:rPr>
          <w:rFonts w:asciiTheme="majorHAnsi" w:eastAsiaTheme="minorHAnsi" w:hAnsiTheme="majorHAnsi" w:cstheme="majorHAnsi"/>
          <w:b/>
          <w:lang w:val="ro-MD" w:eastAsia="en-US"/>
        </w:rPr>
        <w:t>)</w:t>
      </w:r>
    </w:p>
    <w:tbl>
      <w:tblPr>
        <w:tblW w:w="14269" w:type="dxa"/>
        <w:tblLayout w:type="fixed"/>
        <w:tblLook w:val="04A0" w:firstRow="1" w:lastRow="0" w:firstColumn="1" w:lastColumn="0" w:noHBand="0" w:noVBand="1"/>
      </w:tblPr>
      <w:tblGrid>
        <w:gridCol w:w="1060"/>
        <w:gridCol w:w="703"/>
        <w:gridCol w:w="640"/>
        <w:gridCol w:w="580"/>
        <w:gridCol w:w="13"/>
        <w:gridCol w:w="690"/>
        <w:gridCol w:w="680"/>
        <w:gridCol w:w="534"/>
        <w:gridCol w:w="10"/>
        <w:gridCol w:w="693"/>
        <w:gridCol w:w="629"/>
        <w:gridCol w:w="567"/>
        <w:gridCol w:w="703"/>
        <w:gridCol w:w="609"/>
        <w:gridCol w:w="531"/>
        <w:gridCol w:w="616"/>
        <w:gridCol w:w="620"/>
        <w:gridCol w:w="623"/>
        <w:gridCol w:w="551"/>
        <w:gridCol w:w="567"/>
        <w:gridCol w:w="567"/>
        <w:gridCol w:w="703"/>
        <w:gridCol w:w="700"/>
        <w:gridCol w:w="680"/>
      </w:tblGrid>
      <w:tr w:rsidR="00E335CE" w:rsidRPr="00B13B9A" w14:paraId="650FEF5D" w14:textId="77777777" w:rsidTr="00332FF7">
        <w:trPr>
          <w:trHeight w:val="20"/>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3B9104" w14:textId="03C9A1EB" w:rsidR="00E335CE" w:rsidRPr="00B13B9A" w:rsidRDefault="00E335CE" w:rsidP="00E335CE">
            <w:pPr>
              <w:spacing w:after="0" w:line="240" w:lineRule="auto"/>
              <w:jc w:val="center"/>
              <w:rPr>
                <w:rFonts w:asciiTheme="majorHAnsi" w:eastAsia="Times New Roman" w:hAnsiTheme="majorHAnsi" w:cstheme="majorHAnsi"/>
                <w:b/>
                <w:bCs/>
                <w:color w:val="000000"/>
                <w:sz w:val="20"/>
                <w:szCs w:val="16"/>
                <w:lang w:val="ro-MD"/>
              </w:rPr>
            </w:pPr>
            <w:r w:rsidRPr="00B13B9A">
              <w:rPr>
                <w:rFonts w:asciiTheme="majorHAnsi" w:eastAsia="Times New Roman" w:hAnsiTheme="majorHAnsi" w:cstheme="majorHAnsi"/>
                <w:b/>
                <w:bCs/>
                <w:color w:val="000000"/>
                <w:sz w:val="20"/>
                <w:szCs w:val="16"/>
                <w:lang w:val="ro-MD"/>
              </w:rPr>
              <w:t>Sec</w:t>
            </w:r>
            <w:r w:rsidR="00B13B9A" w:rsidRPr="00B13B9A">
              <w:rPr>
                <w:rFonts w:asciiTheme="majorHAnsi" w:eastAsia="Times New Roman" w:hAnsiTheme="majorHAnsi" w:cstheme="majorHAnsi"/>
                <w:b/>
                <w:bCs/>
                <w:color w:val="000000"/>
                <w:sz w:val="20"/>
                <w:szCs w:val="16"/>
                <w:lang w:val="ro-MD"/>
              </w:rPr>
              <w:t>ț</w:t>
            </w:r>
            <w:r w:rsidRPr="00B13B9A">
              <w:rPr>
                <w:rFonts w:asciiTheme="majorHAnsi" w:eastAsia="Times New Roman" w:hAnsiTheme="majorHAnsi" w:cstheme="majorHAnsi"/>
                <w:b/>
                <w:bCs/>
                <w:color w:val="000000"/>
                <w:sz w:val="20"/>
                <w:szCs w:val="16"/>
                <w:lang w:val="ro-MD"/>
              </w:rPr>
              <w:t>ii</w:t>
            </w:r>
          </w:p>
        </w:tc>
        <w:tc>
          <w:tcPr>
            <w:tcW w:w="1936" w:type="dxa"/>
            <w:gridSpan w:val="4"/>
            <w:tcBorders>
              <w:top w:val="single" w:sz="4" w:space="0" w:color="auto"/>
              <w:left w:val="nil"/>
              <w:bottom w:val="single" w:sz="4" w:space="0" w:color="auto"/>
              <w:right w:val="single" w:sz="4" w:space="0" w:color="auto"/>
            </w:tcBorders>
            <w:shd w:val="clear" w:color="auto" w:fill="auto"/>
            <w:noWrap/>
            <w:vAlign w:val="bottom"/>
            <w:hideMark/>
          </w:tcPr>
          <w:p w14:paraId="6E36FC53" w14:textId="77777777" w:rsidR="00E335CE" w:rsidRPr="00B13B9A" w:rsidRDefault="00E335CE" w:rsidP="00E335CE">
            <w:pPr>
              <w:spacing w:after="0" w:line="240" w:lineRule="auto"/>
              <w:jc w:val="center"/>
              <w:rPr>
                <w:rFonts w:asciiTheme="majorHAnsi" w:eastAsia="Times New Roman" w:hAnsiTheme="majorHAnsi" w:cstheme="majorHAnsi"/>
                <w:b/>
                <w:bCs/>
                <w:color w:val="000000"/>
                <w:sz w:val="20"/>
                <w:szCs w:val="16"/>
                <w:lang w:val="ro-MD"/>
              </w:rPr>
            </w:pPr>
            <w:r w:rsidRPr="00B13B9A">
              <w:rPr>
                <w:rFonts w:asciiTheme="majorHAnsi" w:eastAsia="Times New Roman" w:hAnsiTheme="majorHAnsi" w:cstheme="majorHAnsi"/>
                <w:b/>
                <w:bCs/>
                <w:color w:val="000000"/>
                <w:sz w:val="20"/>
                <w:szCs w:val="16"/>
                <w:lang w:val="ro-MD"/>
              </w:rPr>
              <w:t>Ftiziopneumologie</w:t>
            </w:r>
          </w:p>
        </w:tc>
        <w:tc>
          <w:tcPr>
            <w:tcW w:w="1914" w:type="dxa"/>
            <w:gridSpan w:val="4"/>
            <w:tcBorders>
              <w:top w:val="single" w:sz="4" w:space="0" w:color="auto"/>
              <w:left w:val="nil"/>
              <w:bottom w:val="single" w:sz="4" w:space="0" w:color="auto"/>
              <w:right w:val="single" w:sz="4" w:space="0" w:color="auto"/>
            </w:tcBorders>
            <w:shd w:val="clear" w:color="auto" w:fill="auto"/>
            <w:noWrap/>
            <w:vAlign w:val="bottom"/>
            <w:hideMark/>
          </w:tcPr>
          <w:p w14:paraId="4E7AECFE" w14:textId="77777777" w:rsidR="00E335CE" w:rsidRPr="00B13B9A" w:rsidRDefault="00E335CE" w:rsidP="00E335CE">
            <w:pPr>
              <w:spacing w:after="0" w:line="240" w:lineRule="auto"/>
              <w:jc w:val="center"/>
              <w:rPr>
                <w:rFonts w:asciiTheme="majorHAnsi" w:eastAsia="Times New Roman" w:hAnsiTheme="majorHAnsi" w:cstheme="majorHAnsi"/>
                <w:b/>
                <w:bCs/>
                <w:color w:val="000000"/>
                <w:sz w:val="20"/>
                <w:szCs w:val="16"/>
                <w:lang w:val="ro-MD"/>
              </w:rPr>
            </w:pPr>
            <w:r w:rsidRPr="00B13B9A">
              <w:rPr>
                <w:rFonts w:asciiTheme="majorHAnsi" w:eastAsia="Times New Roman" w:hAnsiTheme="majorHAnsi" w:cstheme="majorHAnsi"/>
                <w:b/>
                <w:bCs/>
                <w:color w:val="000000"/>
                <w:sz w:val="20"/>
                <w:szCs w:val="16"/>
                <w:lang w:val="ro-MD"/>
              </w:rPr>
              <w:t>MDR 1</w:t>
            </w:r>
          </w:p>
        </w:tc>
        <w:tc>
          <w:tcPr>
            <w:tcW w:w="1889" w:type="dxa"/>
            <w:gridSpan w:val="3"/>
            <w:tcBorders>
              <w:top w:val="single" w:sz="4" w:space="0" w:color="auto"/>
              <w:left w:val="nil"/>
              <w:bottom w:val="single" w:sz="4" w:space="0" w:color="auto"/>
              <w:right w:val="single" w:sz="4" w:space="0" w:color="auto"/>
            </w:tcBorders>
            <w:shd w:val="clear" w:color="auto" w:fill="auto"/>
            <w:noWrap/>
            <w:vAlign w:val="bottom"/>
            <w:hideMark/>
          </w:tcPr>
          <w:p w14:paraId="5CE2BB64" w14:textId="77777777" w:rsidR="00E335CE" w:rsidRPr="00B13B9A" w:rsidRDefault="00E335CE" w:rsidP="00E335CE">
            <w:pPr>
              <w:spacing w:after="0" w:line="240" w:lineRule="auto"/>
              <w:jc w:val="center"/>
              <w:rPr>
                <w:rFonts w:asciiTheme="majorHAnsi" w:eastAsia="Times New Roman" w:hAnsiTheme="majorHAnsi" w:cstheme="majorHAnsi"/>
                <w:b/>
                <w:bCs/>
                <w:color w:val="000000"/>
                <w:sz w:val="20"/>
                <w:szCs w:val="16"/>
                <w:lang w:val="ro-MD"/>
              </w:rPr>
            </w:pPr>
            <w:r w:rsidRPr="00B13B9A">
              <w:rPr>
                <w:rFonts w:asciiTheme="majorHAnsi" w:eastAsia="Times New Roman" w:hAnsiTheme="majorHAnsi" w:cstheme="majorHAnsi"/>
                <w:b/>
                <w:bCs/>
                <w:color w:val="000000"/>
                <w:sz w:val="20"/>
                <w:szCs w:val="16"/>
                <w:lang w:val="ro-MD"/>
              </w:rPr>
              <w:t>Ftiziologie 1</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14:paraId="013BD37C" w14:textId="77777777" w:rsidR="00E335CE" w:rsidRPr="00B13B9A" w:rsidRDefault="00E335CE" w:rsidP="00E335CE">
            <w:pPr>
              <w:spacing w:after="0" w:line="240" w:lineRule="auto"/>
              <w:jc w:val="center"/>
              <w:rPr>
                <w:rFonts w:asciiTheme="majorHAnsi" w:eastAsia="Times New Roman" w:hAnsiTheme="majorHAnsi" w:cstheme="majorHAnsi"/>
                <w:b/>
                <w:bCs/>
                <w:color w:val="000000"/>
                <w:sz w:val="20"/>
                <w:szCs w:val="16"/>
                <w:lang w:val="ro-MD"/>
              </w:rPr>
            </w:pPr>
            <w:r w:rsidRPr="00B13B9A">
              <w:rPr>
                <w:rFonts w:asciiTheme="majorHAnsi" w:eastAsia="Times New Roman" w:hAnsiTheme="majorHAnsi" w:cstheme="majorHAnsi"/>
                <w:b/>
                <w:bCs/>
                <w:color w:val="000000"/>
                <w:sz w:val="20"/>
                <w:szCs w:val="16"/>
                <w:lang w:val="ro-MD"/>
              </w:rPr>
              <w:t>Ftiziologie 2</w:t>
            </w:r>
          </w:p>
        </w:tc>
        <w:tc>
          <w:tcPr>
            <w:tcW w:w="1859" w:type="dxa"/>
            <w:gridSpan w:val="3"/>
            <w:tcBorders>
              <w:top w:val="single" w:sz="4" w:space="0" w:color="auto"/>
              <w:left w:val="nil"/>
              <w:bottom w:val="single" w:sz="4" w:space="0" w:color="auto"/>
              <w:right w:val="single" w:sz="4" w:space="0" w:color="auto"/>
            </w:tcBorders>
            <w:shd w:val="clear" w:color="auto" w:fill="auto"/>
            <w:noWrap/>
            <w:vAlign w:val="bottom"/>
            <w:hideMark/>
          </w:tcPr>
          <w:p w14:paraId="6F2CDB97" w14:textId="77777777" w:rsidR="00E335CE" w:rsidRPr="00B13B9A" w:rsidRDefault="00E335CE" w:rsidP="00E335CE">
            <w:pPr>
              <w:spacing w:after="0" w:line="240" w:lineRule="auto"/>
              <w:jc w:val="center"/>
              <w:rPr>
                <w:rFonts w:asciiTheme="majorHAnsi" w:eastAsia="Times New Roman" w:hAnsiTheme="majorHAnsi" w:cstheme="majorHAnsi"/>
                <w:b/>
                <w:bCs/>
                <w:color w:val="000000"/>
                <w:sz w:val="20"/>
                <w:szCs w:val="16"/>
                <w:lang w:val="ro-MD"/>
              </w:rPr>
            </w:pPr>
            <w:r w:rsidRPr="00B13B9A">
              <w:rPr>
                <w:rFonts w:asciiTheme="majorHAnsi" w:eastAsia="Times New Roman" w:hAnsiTheme="majorHAnsi" w:cstheme="majorHAnsi"/>
                <w:b/>
                <w:bCs/>
                <w:color w:val="000000"/>
                <w:sz w:val="20"/>
                <w:szCs w:val="16"/>
                <w:lang w:val="ro-MD"/>
              </w:rPr>
              <w:t>MDR 2</w:t>
            </w:r>
          </w:p>
        </w:tc>
        <w:tc>
          <w:tcPr>
            <w:tcW w:w="1685" w:type="dxa"/>
            <w:gridSpan w:val="3"/>
            <w:tcBorders>
              <w:top w:val="single" w:sz="4" w:space="0" w:color="auto"/>
              <w:left w:val="nil"/>
              <w:bottom w:val="single" w:sz="4" w:space="0" w:color="auto"/>
              <w:right w:val="single" w:sz="4" w:space="0" w:color="auto"/>
            </w:tcBorders>
            <w:shd w:val="clear" w:color="auto" w:fill="auto"/>
            <w:noWrap/>
            <w:vAlign w:val="bottom"/>
            <w:hideMark/>
          </w:tcPr>
          <w:p w14:paraId="26F11BC1" w14:textId="77777777" w:rsidR="00E335CE" w:rsidRPr="00B13B9A" w:rsidRDefault="00E335CE" w:rsidP="00E335CE">
            <w:pPr>
              <w:spacing w:after="0" w:line="240" w:lineRule="auto"/>
              <w:jc w:val="center"/>
              <w:rPr>
                <w:rFonts w:asciiTheme="majorHAnsi" w:eastAsia="Times New Roman" w:hAnsiTheme="majorHAnsi" w:cstheme="majorHAnsi"/>
                <w:b/>
                <w:bCs/>
                <w:color w:val="000000"/>
                <w:sz w:val="20"/>
                <w:szCs w:val="16"/>
                <w:lang w:val="ro-MD"/>
              </w:rPr>
            </w:pPr>
            <w:r w:rsidRPr="00B13B9A">
              <w:rPr>
                <w:rFonts w:asciiTheme="majorHAnsi" w:eastAsia="Times New Roman" w:hAnsiTheme="majorHAnsi" w:cstheme="majorHAnsi"/>
                <w:b/>
                <w:bCs/>
                <w:color w:val="000000"/>
                <w:sz w:val="20"/>
                <w:szCs w:val="16"/>
                <w:lang w:val="ro-MD"/>
              </w:rPr>
              <w:t>ATI</w:t>
            </w:r>
          </w:p>
        </w:tc>
        <w:tc>
          <w:tcPr>
            <w:tcW w:w="2083"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AC28FB6" w14:textId="77777777" w:rsidR="00E335CE" w:rsidRPr="00B13B9A" w:rsidRDefault="00E335CE" w:rsidP="00E335CE">
            <w:pPr>
              <w:spacing w:after="0" w:line="240" w:lineRule="auto"/>
              <w:jc w:val="center"/>
              <w:rPr>
                <w:rFonts w:asciiTheme="majorHAnsi" w:eastAsia="Times New Roman" w:hAnsiTheme="majorHAnsi" w:cstheme="majorHAnsi"/>
                <w:b/>
                <w:bCs/>
                <w:color w:val="000000"/>
                <w:sz w:val="20"/>
                <w:szCs w:val="16"/>
                <w:lang w:val="ro-MD"/>
              </w:rPr>
            </w:pPr>
            <w:r w:rsidRPr="00B13B9A">
              <w:rPr>
                <w:rFonts w:asciiTheme="majorHAnsi" w:eastAsia="Times New Roman" w:hAnsiTheme="majorHAnsi" w:cstheme="majorHAnsi"/>
                <w:b/>
                <w:bCs/>
                <w:color w:val="000000"/>
                <w:sz w:val="20"/>
                <w:szCs w:val="16"/>
                <w:lang w:val="ro-MD"/>
              </w:rPr>
              <w:t xml:space="preserve">Total </w:t>
            </w:r>
          </w:p>
        </w:tc>
      </w:tr>
      <w:tr w:rsidR="00E335CE" w:rsidRPr="00B13B9A" w14:paraId="0AC90E1A" w14:textId="77777777" w:rsidTr="00332FF7">
        <w:trPr>
          <w:trHeight w:val="2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2F5EB01B" w14:textId="77777777" w:rsidR="00E335CE" w:rsidRPr="00B13B9A" w:rsidRDefault="00E335CE" w:rsidP="00E335CE">
            <w:pPr>
              <w:spacing w:after="0" w:line="240" w:lineRule="auto"/>
              <w:jc w:val="center"/>
              <w:rPr>
                <w:rFonts w:asciiTheme="majorHAnsi" w:eastAsia="Times New Roman" w:hAnsiTheme="majorHAnsi" w:cstheme="majorHAnsi"/>
                <w:b/>
                <w:bCs/>
                <w:color w:val="000000"/>
                <w:sz w:val="16"/>
                <w:szCs w:val="16"/>
                <w:lang w:val="ro-MD"/>
              </w:rPr>
            </w:pPr>
            <w:r w:rsidRPr="00B13B9A">
              <w:rPr>
                <w:rFonts w:asciiTheme="majorHAnsi" w:eastAsia="Times New Roman" w:hAnsiTheme="majorHAnsi" w:cstheme="majorHAnsi"/>
                <w:b/>
                <w:bCs/>
                <w:color w:val="000000"/>
                <w:sz w:val="16"/>
                <w:szCs w:val="16"/>
                <w:lang w:val="ro-MD"/>
              </w:rPr>
              <w:t>Perioada</w:t>
            </w:r>
          </w:p>
        </w:tc>
        <w:tc>
          <w:tcPr>
            <w:tcW w:w="703" w:type="dxa"/>
            <w:tcBorders>
              <w:top w:val="nil"/>
              <w:left w:val="nil"/>
              <w:bottom w:val="single" w:sz="4" w:space="0" w:color="auto"/>
              <w:right w:val="single" w:sz="4" w:space="0" w:color="auto"/>
            </w:tcBorders>
            <w:shd w:val="clear" w:color="auto" w:fill="auto"/>
            <w:vAlign w:val="center"/>
            <w:hideMark/>
          </w:tcPr>
          <w:p w14:paraId="5E96D62C" w14:textId="77777777" w:rsidR="00E335CE" w:rsidRPr="00B13B9A" w:rsidRDefault="00E335CE" w:rsidP="00E335CE">
            <w:pPr>
              <w:spacing w:after="0" w:line="240" w:lineRule="auto"/>
              <w:jc w:val="center"/>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Nr. efectiv de paturi</w:t>
            </w:r>
          </w:p>
        </w:tc>
        <w:tc>
          <w:tcPr>
            <w:tcW w:w="640" w:type="dxa"/>
            <w:tcBorders>
              <w:top w:val="nil"/>
              <w:left w:val="nil"/>
              <w:bottom w:val="single" w:sz="4" w:space="0" w:color="auto"/>
              <w:right w:val="single" w:sz="4" w:space="0" w:color="auto"/>
            </w:tcBorders>
            <w:shd w:val="clear" w:color="auto" w:fill="auto"/>
            <w:vAlign w:val="center"/>
            <w:hideMark/>
          </w:tcPr>
          <w:p w14:paraId="5BA33212" w14:textId="77A28A76" w:rsidR="00E335CE" w:rsidRPr="00B13B9A" w:rsidRDefault="00E335CE" w:rsidP="00E335CE">
            <w:pPr>
              <w:spacing w:after="0" w:line="240" w:lineRule="auto"/>
              <w:jc w:val="center"/>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la încep</w:t>
            </w:r>
            <w:r w:rsidR="00D80586" w:rsidRPr="00B13B9A">
              <w:rPr>
                <w:rFonts w:asciiTheme="majorHAnsi" w:eastAsia="Times New Roman" w:hAnsiTheme="majorHAnsi" w:cstheme="majorHAnsi"/>
                <w:color w:val="000000"/>
                <w:sz w:val="16"/>
                <w:szCs w:val="16"/>
                <w:lang w:val="ro-MD"/>
              </w:rPr>
              <w:t>.</w:t>
            </w:r>
            <w:r w:rsidRPr="00B13B9A">
              <w:rPr>
                <w:rFonts w:asciiTheme="majorHAnsi" w:eastAsia="Times New Roman" w:hAnsiTheme="majorHAnsi" w:cstheme="majorHAnsi"/>
                <w:color w:val="000000"/>
                <w:sz w:val="16"/>
                <w:szCs w:val="16"/>
                <w:lang w:val="ro-MD"/>
              </w:rPr>
              <w:t xml:space="preserve"> </w:t>
            </w:r>
            <w:r w:rsidR="00D80586" w:rsidRPr="00B13B9A">
              <w:rPr>
                <w:rFonts w:asciiTheme="majorHAnsi" w:eastAsia="Times New Roman" w:hAnsiTheme="majorHAnsi" w:cstheme="majorHAnsi"/>
                <w:color w:val="000000"/>
                <w:sz w:val="16"/>
                <w:szCs w:val="16"/>
                <w:lang w:val="ro-MD"/>
              </w:rPr>
              <w:t>P</w:t>
            </w:r>
            <w:r w:rsidRPr="00B13B9A">
              <w:rPr>
                <w:rFonts w:asciiTheme="majorHAnsi" w:eastAsia="Times New Roman" w:hAnsiTheme="majorHAnsi" w:cstheme="majorHAnsi"/>
                <w:color w:val="000000"/>
                <w:sz w:val="16"/>
                <w:szCs w:val="16"/>
                <w:lang w:val="ro-MD"/>
              </w:rPr>
              <w:t>er</w:t>
            </w:r>
            <w:r w:rsidR="00D80586" w:rsidRPr="00B13B9A">
              <w:rPr>
                <w:rFonts w:asciiTheme="majorHAnsi" w:eastAsia="Times New Roman" w:hAnsiTheme="majorHAnsi" w:cstheme="majorHAnsi"/>
                <w:color w:val="000000"/>
                <w:sz w:val="16"/>
                <w:szCs w:val="16"/>
                <w:lang w:val="ro-MD"/>
              </w:rPr>
              <w:t>.</w:t>
            </w:r>
          </w:p>
        </w:tc>
        <w:tc>
          <w:tcPr>
            <w:tcW w:w="580" w:type="dxa"/>
            <w:tcBorders>
              <w:top w:val="nil"/>
              <w:left w:val="nil"/>
              <w:bottom w:val="single" w:sz="4" w:space="0" w:color="auto"/>
              <w:right w:val="single" w:sz="4" w:space="0" w:color="auto"/>
            </w:tcBorders>
            <w:shd w:val="clear" w:color="auto" w:fill="auto"/>
            <w:vAlign w:val="center"/>
            <w:hideMark/>
          </w:tcPr>
          <w:p w14:paraId="1EC4BF72" w14:textId="4A39512E" w:rsidR="00E335CE" w:rsidRPr="00B13B9A" w:rsidRDefault="00E335CE" w:rsidP="00E335CE">
            <w:pPr>
              <w:spacing w:after="0" w:line="240" w:lineRule="auto"/>
              <w:jc w:val="center"/>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la sf. per</w:t>
            </w:r>
            <w:r w:rsidR="00D80586" w:rsidRPr="00B13B9A">
              <w:rPr>
                <w:rFonts w:asciiTheme="majorHAnsi" w:eastAsia="Times New Roman" w:hAnsiTheme="majorHAnsi" w:cstheme="majorHAnsi"/>
                <w:color w:val="000000"/>
                <w:sz w:val="16"/>
                <w:szCs w:val="16"/>
                <w:lang w:val="ro-MD"/>
              </w:rPr>
              <w:t>.</w:t>
            </w:r>
          </w:p>
        </w:tc>
        <w:tc>
          <w:tcPr>
            <w:tcW w:w="703" w:type="dxa"/>
            <w:gridSpan w:val="2"/>
            <w:tcBorders>
              <w:top w:val="nil"/>
              <w:left w:val="nil"/>
              <w:bottom w:val="single" w:sz="4" w:space="0" w:color="auto"/>
              <w:right w:val="single" w:sz="4" w:space="0" w:color="auto"/>
            </w:tcBorders>
            <w:shd w:val="clear" w:color="auto" w:fill="auto"/>
            <w:vAlign w:val="center"/>
            <w:hideMark/>
          </w:tcPr>
          <w:p w14:paraId="7CF14942" w14:textId="77777777" w:rsidR="00E335CE" w:rsidRPr="00B13B9A" w:rsidRDefault="00E335CE" w:rsidP="00E335CE">
            <w:pPr>
              <w:spacing w:after="0" w:line="240" w:lineRule="auto"/>
              <w:jc w:val="center"/>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Nr. efectiv de paturi</w:t>
            </w:r>
          </w:p>
        </w:tc>
        <w:tc>
          <w:tcPr>
            <w:tcW w:w="680" w:type="dxa"/>
            <w:tcBorders>
              <w:top w:val="nil"/>
              <w:left w:val="nil"/>
              <w:bottom w:val="single" w:sz="4" w:space="0" w:color="auto"/>
              <w:right w:val="single" w:sz="4" w:space="0" w:color="auto"/>
            </w:tcBorders>
            <w:shd w:val="clear" w:color="auto" w:fill="auto"/>
            <w:vAlign w:val="center"/>
            <w:hideMark/>
          </w:tcPr>
          <w:p w14:paraId="4F9468CE" w14:textId="42719266" w:rsidR="00E335CE" w:rsidRPr="00B13B9A" w:rsidRDefault="00E335CE" w:rsidP="00E335CE">
            <w:pPr>
              <w:spacing w:after="0" w:line="240" w:lineRule="auto"/>
              <w:jc w:val="center"/>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la încep</w:t>
            </w:r>
            <w:r w:rsidR="00D80586" w:rsidRPr="00B13B9A">
              <w:rPr>
                <w:rFonts w:asciiTheme="majorHAnsi" w:eastAsia="Times New Roman" w:hAnsiTheme="majorHAnsi" w:cstheme="majorHAnsi"/>
                <w:color w:val="000000"/>
                <w:sz w:val="16"/>
                <w:szCs w:val="16"/>
                <w:lang w:val="ro-MD"/>
              </w:rPr>
              <w:t>.</w:t>
            </w:r>
            <w:r w:rsidRPr="00B13B9A">
              <w:rPr>
                <w:rFonts w:asciiTheme="majorHAnsi" w:eastAsia="Times New Roman" w:hAnsiTheme="majorHAnsi" w:cstheme="majorHAnsi"/>
                <w:color w:val="000000"/>
                <w:sz w:val="16"/>
                <w:szCs w:val="16"/>
                <w:lang w:val="ro-MD"/>
              </w:rPr>
              <w:t xml:space="preserve"> </w:t>
            </w:r>
            <w:r w:rsidR="00D80586" w:rsidRPr="00B13B9A">
              <w:rPr>
                <w:rFonts w:asciiTheme="majorHAnsi" w:eastAsia="Times New Roman" w:hAnsiTheme="majorHAnsi" w:cstheme="majorHAnsi"/>
                <w:color w:val="000000"/>
                <w:sz w:val="16"/>
                <w:szCs w:val="16"/>
                <w:lang w:val="ro-MD"/>
              </w:rPr>
              <w:t>P</w:t>
            </w:r>
            <w:r w:rsidRPr="00B13B9A">
              <w:rPr>
                <w:rFonts w:asciiTheme="majorHAnsi" w:eastAsia="Times New Roman" w:hAnsiTheme="majorHAnsi" w:cstheme="majorHAnsi"/>
                <w:color w:val="000000"/>
                <w:sz w:val="16"/>
                <w:szCs w:val="16"/>
                <w:lang w:val="ro-MD"/>
              </w:rPr>
              <w:t>er</w:t>
            </w:r>
            <w:r w:rsidR="00D80586" w:rsidRPr="00B13B9A">
              <w:rPr>
                <w:rFonts w:asciiTheme="majorHAnsi" w:eastAsia="Times New Roman" w:hAnsiTheme="majorHAnsi" w:cstheme="majorHAnsi"/>
                <w:color w:val="000000"/>
                <w:sz w:val="16"/>
                <w:szCs w:val="16"/>
                <w:lang w:val="ro-MD"/>
              </w:rPr>
              <w:t>.</w:t>
            </w:r>
          </w:p>
        </w:tc>
        <w:tc>
          <w:tcPr>
            <w:tcW w:w="534" w:type="dxa"/>
            <w:tcBorders>
              <w:top w:val="nil"/>
              <w:left w:val="nil"/>
              <w:bottom w:val="single" w:sz="4" w:space="0" w:color="auto"/>
              <w:right w:val="single" w:sz="4" w:space="0" w:color="auto"/>
            </w:tcBorders>
            <w:shd w:val="clear" w:color="auto" w:fill="auto"/>
            <w:vAlign w:val="center"/>
            <w:hideMark/>
          </w:tcPr>
          <w:p w14:paraId="0B857C2F" w14:textId="3F85B7ED" w:rsidR="00E335CE" w:rsidRPr="00B13B9A" w:rsidRDefault="00E335CE" w:rsidP="00E335CE">
            <w:pPr>
              <w:spacing w:after="0" w:line="240" w:lineRule="auto"/>
              <w:jc w:val="center"/>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la sf. per</w:t>
            </w:r>
            <w:r w:rsidR="00D80586" w:rsidRPr="00B13B9A">
              <w:rPr>
                <w:rFonts w:asciiTheme="majorHAnsi" w:eastAsia="Times New Roman" w:hAnsiTheme="majorHAnsi" w:cstheme="majorHAnsi"/>
                <w:color w:val="000000"/>
                <w:sz w:val="16"/>
                <w:szCs w:val="16"/>
                <w:lang w:val="ro-MD"/>
              </w:rPr>
              <w:t>.</w:t>
            </w:r>
          </w:p>
        </w:tc>
        <w:tc>
          <w:tcPr>
            <w:tcW w:w="703" w:type="dxa"/>
            <w:gridSpan w:val="2"/>
            <w:tcBorders>
              <w:top w:val="nil"/>
              <w:left w:val="nil"/>
              <w:bottom w:val="single" w:sz="4" w:space="0" w:color="auto"/>
              <w:right w:val="single" w:sz="4" w:space="0" w:color="auto"/>
            </w:tcBorders>
            <w:shd w:val="clear" w:color="auto" w:fill="auto"/>
            <w:vAlign w:val="center"/>
            <w:hideMark/>
          </w:tcPr>
          <w:p w14:paraId="1AF9C648" w14:textId="77777777" w:rsidR="00E335CE" w:rsidRPr="00B13B9A" w:rsidRDefault="00E335CE" w:rsidP="00E335CE">
            <w:pPr>
              <w:spacing w:after="0" w:line="240" w:lineRule="auto"/>
              <w:jc w:val="center"/>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Nr. efectiv de paturi</w:t>
            </w:r>
          </w:p>
        </w:tc>
        <w:tc>
          <w:tcPr>
            <w:tcW w:w="629" w:type="dxa"/>
            <w:tcBorders>
              <w:top w:val="nil"/>
              <w:left w:val="nil"/>
              <w:bottom w:val="single" w:sz="4" w:space="0" w:color="auto"/>
              <w:right w:val="single" w:sz="4" w:space="0" w:color="auto"/>
            </w:tcBorders>
            <w:shd w:val="clear" w:color="auto" w:fill="auto"/>
            <w:vAlign w:val="center"/>
            <w:hideMark/>
          </w:tcPr>
          <w:p w14:paraId="7B387C43" w14:textId="7EFBA813" w:rsidR="00E335CE" w:rsidRPr="00B13B9A" w:rsidRDefault="00E335CE" w:rsidP="00E335CE">
            <w:pPr>
              <w:spacing w:after="0" w:line="240" w:lineRule="auto"/>
              <w:jc w:val="center"/>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la încep</w:t>
            </w:r>
            <w:r w:rsidR="00D80586" w:rsidRPr="00B13B9A">
              <w:rPr>
                <w:rFonts w:asciiTheme="majorHAnsi" w:eastAsia="Times New Roman" w:hAnsiTheme="majorHAnsi" w:cstheme="majorHAnsi"/>
                <w:color w:val="000000"/>
                <w:sz w:val="16"/>
                <w:szCs w:val="16"/>
                <w:lang w:val="ro-MD"/>
              </w:rPr>
              <w:t>.</w:t>
            </w:r>
            <w:r w:rsidRPr="00B13B9A">
              <w:rPr>
                <w:rFonts w:asciiTheme="majorHAnsi" w:eastAsia="Times New Roman" w:hAnsiTheme="majorHAnsi" w:cstheme="majorHAnsi"/>
                <w:color w:val="000000"/>
                <w:sz w:val="16"/>
                <w:szCs w:val="16"/>
                <w:lang w:val="ro-MD"/>
              </w:rPr>
              <w:t xml:space="preserve"> </w:t>
            </w:r>
            <w:r w:rsidR="00D80586" w:rsidRPr="00B13B9A">
              <w:rPr>
                <w:rFonts w:asciiTheme="majorHAnsi" w:eastAsia="Times New Roman" w:hAnsiTheme="majorHAnsi" w:cstheme="majorHAnsi"/>
                <w:color w:val="000000"/>
                <w:sz w:val="16"/>
                <w:szCs w:val="16"/>
                <w:lang w:val="ro-MD"/>
              </w:rPr>
              <w:t>P</w:t>
            </w:r>
            <w:r w:rsidRPr="00B13B9A">
              <w:rPr>
                <w:rFonts w:asciiTheme="majorHAnsi" w:eastAsia="Times New Roman" w:hAnsiTheme="majorHAnsi" w:cstheme="majorHAnsi"/>
                <w:color w:val="000000"/>
                <w:sz w:val="16"/>
                <w:szCs w:val="16"/>
                <w:lang w:val="ro-MD"/>
              </w:rPr>
              <w:t>er</w:t>
            </w:r>
            <w:r w:rsidR="00D80586" w:rsidRPr="00B13B9A">
              <w:rPr>
                <w:rFonts w:asciiTheme="majorHAnsi" w:eastAsia="Times New Roman" w:hAnsiTheme="majorHAnsi" w:cstheme="majorHAnsi"/>
                <w:color w:val="000000"/>
                <w:sz w:val="16"/>
                <w:szCs w:val="16"/>
                <w:lang w:val="ro-MD"/>
              </w:rPr>
              <w:t>.</w:t>
            </w:r>
          </w:p>
        </w:tc>
        <w:tc>
          <w:tcPr>
            <w:tcW w:w="567" w:type="dxa"/>
            <w:tcBorders>
              <w:top w:val="nil"/>
              <w:left w:val="nil"/>
              <w:bottom w:val="single" w:sz="4" w:space="0" w:color="auto"/>
              <w:right w:val="single" w:sz="4" w:space="0" w:color="auto"/>
            </w:tcBorders>
            <w:shd w:val="clear" w:color="auto" w:fill="auto"/>
            <w:vAlign w:val="center"/>
            <w:hideMark/>
          </w:tcPr>
          <w:p w14:paraId="41041AD0" w14:textId="240797C4" w:rsidR="00E335CE" w:rsidRPr="00B13B9A" w:rsidRDefault="00E335CE" w:rsidP="00E335CE">
            <w:pPr>
              <w:spacing w:after="0" w:line="240" w:lineRule="auto"/>
              <w:jc w:val="center"/>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la sf. per</w:t>
            </w:r>
            <w:r w:rsidR="00D80586" w:rsidRPr="00B13B9A">
              <w:rPr>
                <w:rFonts w:asciiTheme="majorHAnsi" w:eastAsia="Times New Roman" w:hAnsiTheme="majorHAnsi" w:cstheme="majorHAnsi"/>
                <w:color w:val="000000"/>
                <w:sz w:val="16"/>
                <w:szCs w:val="16"/>
                <w:lang w:val="ro-MD"/>
              </w:rPr>
              <w:t>.</w:t>
            </w:r>
          </w:p>
        </w:tc>
        <w:tc>
          <w:tcPr>
            <w:tcW w:w="703" w:type="dxa"/>
            <w:tcBorders>
              <w:top w:val="nil"/>
              <w:left w:val="nil"/>
              <w:bottom w:val="single" w:sz="4" w:space="0" w:color="auto"/>
              <w:right w:val="single" w:sz="4" w:space="0" w:color="auto"/>
            </w:tcBorders>
            <w:shd w:val="clear" w:color="auto" w:fill="auto"/>
            <w:vAlign w:val="center"/>
            <w:hideMark/>
          </w:tcPr>
          <w:p w14:paraId="55857CCC" w14:textId="77777777" w:rsidR="00E335CE" w:rsidRPr="00B13B9A" w:rsidRDefault="00E335CE" w:rsidP="00E335CE">
            <w:pPr>
              <w:spacing w:after="0" w:line="240" w:lineRule="auto"/>
              <w:jc w:val="center"/>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Nr. efectiv de paturi</w:t>
            </w:r>
          </w:p>
        </w:tc>
        <w:tc>
          <w:tcPr>
            <w:tcW w:w="609" w:type="dxa"/>
            <w:tcBorders>
              <w:top w:val="nil"/>
              <w:left w:val="nil"/>
              <w:bottom w:val="single" w:sz="4" w:space="0" w:color="auto"/>
              <w:right w:val="single" w:sz="4" w:space="0" w:color="auto"/>
            </w:tcBorders>
            <w:shd w:val="clear" w:color="auto" w:fill="auto"/>
            <w:vAlign w:val="center"/>
            <w:hideMark/>
          </w:tcPr>
          <w:p w14:paraId="7D1172C6" w14:textId="22915888" w:rsidR="00E335CE" w:rsidRPr="00B13B9A" w:rsidRDefault="00E335CE" w:rsidP="00E335CE">
            <w:pPr>
              <w:spacing w:after="0" w:line="240" w:lineRule="auto"/>
              <w:jc w:val="center"/>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la încep</w:t>
            </w:r>
            <w:r w:rsidR="00D80586" w:rsidRPr="00B13B9A">
              <w:rPr>
                <w:rFonts w:asciiTheme="majorHAnsi" w:eastAsia="Times New Roman" w:hAnsiTheme="majorHAnsi" w:cstheme="majorHAnsi"/>
                <w:color w:val="000000"/>
                <w:sz w:val="16"/>
                <w:szCs w:val="16"/>
                <w:lang w:val="ro-MD"/>
              </w:rPr>
              <w:t>.</w:t>
            </w:r>
            <w:r w:rsidRPr="00B13B9A">
              <w:rPr>
                <w:rFonts w:asciiTheme="majorHAnsi" w:eastAsia="Times New Roman" w:hAnsiTheme="majorHAnsi" w:cstheme="majorHAnsi"/>
                <w:color w:val="000000"/>
                <w:sz w:val="16"/>
                <w:szCs w:val="16"/>
                <w:lang w:val="ro-MD"/>
              </w:rPr>
              <w:t xml:space="preserve"> </w:t>
            </w:r>
            <w:r w:rsidR="00D80586" w:rsidRPr="00B13B9A">
              <w:rPr>
                <w:rFonts w:asciiTheme="majorHAnsi" w:eastAsia="Times New Roman" w:hAnsiTheme="majorHAnsi" w:cstheme="majorHAnsi"/>
                <w:color w:val="000000"/>
                <w:sz w:val="16"/>
                <w:szCs w:val="16"/>
                <w:lang w:val="ro-MD"/>
              </w:rPr>
              <w:t>P</w:t>
            </w:r>
            <w:r w:rsidRPr="00B13B9A">
              <w:rPr>
                <w:rFonts w:asciiTheme="majorHAnsi" w:eastAsia="Times New Roman" w:hAnsiTheme="majorHAnsi" w:cstheme="majorHAnsi"/>
                <w:color w:val="000000"/>
                <w:sz w:val="16"/>
                <w:szCs w:val="16"/>
                <w:lang w:val="ro-MD"/>
              </w:rPr>
              <w:t>er</w:t>
            </w:r>
            <w:r w:rsidR="00D80586" w:rsidRPr="00B13B9A">
              <w:rPr>
                <w:rFonts w:asciiTheme="majorHAnsi" w:eastAsia="Times New Roman" w:hAnsiTheme="majorHAnsi" w:cstheme="majorHAnsi"/>
                <w:color w:val="000000"/>
                <w:sz w:val="16"/>
                <w:szCs w:val="16"/>
                <w:lang w:val="ro-MD"/>
              </w:rPr>
              <w:t>.</w:t>
            </w:r>
          </w:p>
        </w:tc>
        <w:tc>
          <w:tcPr>
            <w:tcW w:w="531" w:type="dxa"/>
            <w:tcBorders>
              <w:top w:val="nil"/>
              <w:left w:val="nil"/>
              <w:bottom w:val="single" w:sz="4" w:space="0" w:color="auto"/>
              <w:right w:val="single" w:sz="4" w:space="0" w:color="auto"/>
            </w:tcBorders>
            <w:shd w:val="clear" w:color="auto" w:fill="auto"/>
            <w:vAlign w:val="center"/>
            <w:hideMark/>
          </w:tcPr>
          <w:p w14:paraId="216D1FE0" w14:textId="3A9496C6" w:rsidR="00E335CE" w:rsidRPr="00B13B9A" w:rsidRDefault="00E335CE" w:rsidP="00E335CE">
            <w:pPr>
              <w:spacing w:after="0" w:line="240" w:lineRule="auto"/>
              <w:jc w:val="center"/>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la sf. per</w:t>
            </w:r>
            <w:r w:rsidR="00D80586" w:rsidRPr="00B13B9A">
              <w:rPr>
                <w:rFonts w:asciiTheme="majorHAnsi" w:eastAsia="Times New Roman" w:hAnsiTheme="majorHAnsi" w:cstheme="majorHAnsi"/>
                <w:color w:val="000000"/>
                <w:sz w:val="16"/>
                <w:szCs w:val="16"/>
                <w:lang w:val="ro-MD"/>
              </w:rPr>
              <w:t>.</w:t>
            </w:r>
          </w:p>
        </w:tc>
        <w:tc>
          <w:tcPr>
            <w:tcW w:w="616" w:type="dxa"/>
            <w:tcBorders>
              <w:top w:val="nil"/>
              <w:left w:val="nil"/>
              <w:bottom w:val="single" w:sz="4" w:space="0" w:color="auto"/>
              <w:right w:val="single" w:sz="4" w:space="0" w:color="auto"/>
            </w:tcBorders>
            <w:shd w:val="clear" w:color="auto" w:fill="auto"/>
            <w:vAlign w:val="center"/>
            <w:hideMark/>
          </w:tcPr>
          <w:p w14:paraId="726C9749" w14:textId="77777777" w:rsidR="00E335CE" w:rsidRPr="00B13B9A" w:rsidRDefault="00E335CE" w:rsidP="00E335CE">
            <w:pPr>
              <w:spacing w:after="0" w:line="240" w:lineRule="auto"/>
              <w:jc w:val="center"/>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Nr. efectiv de paturi</w:t>
            </w:r>
          </w:p>
        </w:tc>
        <w:tc>
          <w:tcPr>
            <w:tcW w:w="620" w:type="dxa"/>
            <w:tcBorders>
              <w:top w:val="nil"/>
              <w:left w:val="nil"/>
              <w:bottom w:val="single" w:sz="4" w:space="0" w:color="auto"/>
              <w:right w:val="single" w:sz="4" w:space="0" w:color="auto"/>
            </w:tcBorders>
            <w:shd w:val="clear" w:color="auto" w:fill="auto"/>
            <w:vAlign w:val="center"/>
            <w:hideMark/>
          </w:tcPr>
          <w:p w14:paraId="4AF4AD3A" w14:textId="3B9C1876" w:rsidR="00E335CE" w:rsidRPr="00B13B9A" w:rsidRDefault="00E335CE" w:rsidP="00E335CE">
            <w:pPr>
              <w:spacing w:after="0" w:line="240" w:lineRule="auto"/>
              <w:jc w:val="center"/>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la încep</w:t>
            </w:r>
            <w:r w:rsidR="00D80586" w:rsidRPr="00B13B9A">
              <w:rPr>
                <w:rFonts w:asciiTheme="majorHAnsi" w:eastAsia="Times New Roman" w:hAnsiTheme="majorHAnsi" w:cstheme="majorHAnsi"/>
                <w:color w:val="000000"/>
                <w:sz w:val="16"/>
                <w:szCs w:val="16"/>
                <w:lang w:val="ro-MD"/>
              </w:rPr>
              <w:t>.</w:t>
            </w:r>
            <w:r w:rsidRPr="00B13B9A">
              <w:rPr>
                <w:rFonts w:asciiTheme="majorHAnsi" w:eastAsia="Times New Roman" w:hAnsiTheme="majorHAnsi" w:cstheme="majorHAnsi"/>
                <w:color w:val="000000"/>
                <w:sz w:val="16"/>
                <w:szCs w:val="16"/>
                <w:lang w:val="ro-MD"/>
              </w:rPr>
              <w:t xml:space="preserve"> </w:t>
            </w:r>
            <w:r w:rsidR="00D80586" w:rsidRPr="00B13B9A">
              <w:rPr>
                <w:rFonts w:asciiTheme="majorHAnsi" w:eastAsia="Times New Roman" w:hAnsiTheme="majorHAnsi" w:cstheme="majorHAnsi"/>
                <w:color w:val="000000"/>
                <w:sz w:val="16"/>
                <w:szCs w:val="16"/>
                <w:lang w:val="ro-MD"/>
              </w:rPr>
              <w:t>P</w:t>
            </w:r>
            <w:r w:rsidRPr="00B13B9A">
              <w:rPr>
                <w:rFonts w:asciiTheme="majorHAnsi" w:eastAsia="Times New Roman" w:hAnsiTheme="majorHAnsi" w:cstheme="majorHAnsi"/>
                <w:color w:val="000000"/>
                <w:sz w:val="16"/>
                <w:szCs w:val="16"/>
                <w:lang w:val="ro-MD"/>
              </w:rPr>
              <w:t>er</w:t>
            </w:r>
            <w:r w:rsidR="00D80586" w:rsidRPr="00B13B9A">
              <w:rPr>
                <w:rFonts w:asciiTheme="majorHAnsi" w:eastAsia="Times New Roman" w:hAnsiTheme="majorHAnsi" w:cstheme="majorHAnsi"/>
                <w:color w:val="000000"/>
                <w:sz w:val="16"/>
                <w:szCs w:val="16"/>
                <w:lang w:val="ro-MD"/>
              </w:rPr>
              <w:t>.</w:t>
            </w:r>
          </w:p>
        </w:tc>
        <w:tc>
          <w:tcPr>
            <w:tcW w:w="623" w:type="dxa"/>
            <w:tcBorders>
              <w:top w:val="nil"/>
              <w:left w:val="nil"/>
              <w:bottom w:val="single" w:sz="4" w:space="0" w:color="auto"/>
              <w:right w:val="single" w:sz="4" w:space="0" w:color="auto"/>
            </w:tcBorders>
            <w:shd w:val="clear" w:color="auto" w:fill="auto"/>
            <w:vAlign w:val="center"/>
            <w:hideMark/>
          </w:tcPr>
          <w:p w14:paraId="27A65E84" w14:textId="214450E2" w:rsidR="00E335CE" w:rsidRPr="00B13B9A" w:rsidRDefault="00E335CE" w:rsidP="00E335CE">
            <w:pPr>
              <w:spacing w:after="0" w:line="240" w:lineRule="auto"/>
              <w:jc w:val="center"/>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la sf. per</w:t>
            </w:r>
            <w:r w:rsidR="00D80586" w:rsidRPr="00B13B9A">
              <w:rPr>
                <w:rFonts w:asciiTheme="majorHAnsi" w:eastAsia="Times New Roman" w:hAnsiTheme="majorHAnsi" w:cstheme="majorHAnsi"/>
                <w:color w:val="000000"/>
                <w:sz w:val="16"/>
                <w:szCs w:val="16"/>
                <w:lang w:val="ro-MD"/>
              </w:rPr>
              <w:t>.</w:t>
            </w:r>
          </w:p>
        </w:tc>
        <w:tc>
          <w:tcPr>
            <w:tcW w:w="551" w:type="dxa"/>
            <w:tcBorders>
              <w:top w:val="nil"/>
              <w:left w:val="nil"/>
              <w:bottom w:val="single" w:sz="4" w:space="0" w:color="auto"/>
              <w:right w:val="single" w:sz="4" w:space="0" w:color="auto"/>
            </w:tcBorders>
            <w:shd w:val="clear" w:color="auto" w:fill="auto"/>
            <w:vAlign w:val="center"/>
            <w:hideMark/>
          </w:tcPr>
          <w:p w14:paraId="3484BCA1" w14:textId="77777777" w:rsidR="00E335CE" w:rsidRPr="00B13B9A" w:rsidRDefault="00E335CE" w:rsidP="00E335CE">
            <w:pPr>
              <w:spacing w:after="0" w:line="240" w:lineRule="auto"/>
              <w:jc w:val="center"/>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Nr. efectiv de paturi</w:t>
            </w:r>
          </w:p>
        </w:tc>
        <w:tc>
          <w:tcPr>
            <w:tcW w:w="567" w:type="dxa"/>
            <w:tcBorders>
              <w:top w:val="nil"/>
              <w:left w:val="nil"/>
              <w:bottom w:val="single" w:sz="4" w:space="0" w:color="auto"/>
              <w:right w:val="single" w:sz="4" w:space="0" w:color="auto"/>
            </w:tcBorders>
            <w:shd w:val="clear" w:color="auto" w:fill="auto"/>
            <w:vAlign w:val="center"/>
            <w:hideMark/>
          </w:tcPr>
          <w:p w14:paraId="63453BB0" w14:textId="7370078C" w:rsidR="00E335CE" w:rsidRPr="00B13B9A" w:rsidRDefault="00E335CE" w:rsidP="00E335CE">
            <w:pPr>
              <w:spacing w:after="0" w:line="240" w:lineRule="auto"/>
              <w:jc w:val="center"/>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la încep</w:t>
            </w:r>
            <w:r w:rsidR="00D80586" w:rsidRPr="00B13B9A">
              <w:rPr>
                <w:rFonts w:asciiTheme="majorHAnsi" w:eastAsia="Times New Roman" w:hAnsiTheme="majorHAnsi" w:cstheme="majorHAnsi"/>
                <w:color w:val="000000"/>
                <w:sz w:val="16"/>
                <w:szCs w:val="16"/>
                <w:lang w:val="ro-MD"/>
              </w:rPr>
              <w:t>.</w:t>
            </w:r>
            <w:r w:rsidRPr="00B13B9A">
              <w:rPr>
                <w:rFonts w:asciiTheme="majorHAnsi" w:eastAsia="Times New Roman" w:hAnsiTheme="majorHAnsi" w:cstheme="majorHAnsi"/>
                <w:color w:val="000000"/>
                <w:sz w:val="16"/>
                <w:szCs w:val="16"/>
                <w:lang w:val="ro-MD"/>
              </w:rPr>
              <w:t xml:space="preserve"> </w:t>
            </w:r>
            <w:r w:rsidR="00D80586" w:rsidRPr="00B13B9A">
              <w:rPr>
                <w:rFonts w:asciiTheme="majorHAnsi" w:eastAsia="Times New Roman" w:hAnsiTheme="majorHAnsi" w:cstheme="majorHAnsi"/>
                <w:color w:val="000000"/>
                <w:sz w:val="16"/>
                <w:szCs w:val="16"/>
                <w:lang w:val="ro-MD"/>
              </w:rPr>
              <w:t>P</w:t>
            </w:r>
            <w:r w:rsidRPr="00B13B9A">
              <w:rPr>
                <w:rFonts w:asciiTheme="majorHAnsi" w:eastAsia="Times New Roman" w:hAnsiTheme="majorHAnsi" w:cstheme="majorHAnsi"/>
                <w:color w:val="000000"/>
                <w:sz w:val="16"/>
                <w:szCs w:val="16"/>
                <w:lang w:val="ro-MD"/>
              </w:rPr>
              <w:t>er</w:t>
            </w:r>
            <w:r w:rsidR="00D80586" w:rsidRPr="00B13B9A">
              <w:rPr>
                <w:rFonts w:asciiTheme="majorHAnsi" w:eastAsia="Times New Roman" w:hAnsiTheme="majorHAnsi" w:cstheme="majorHAnsi"/>
                <w:color w:val="000000"/>
                <w:sz w:val="16"/>
                <w:szCs w:val="16"/>
                <w:lang w:val="ro-MD"/>
              </w:rPr>
              <w:t>.</w:t>
            </w:r>
          </w:p>
        </w:tc>
        <w:tc>
          <w:tcPr>
            <w:tcW w:w="567" w:type="dxa"/>
            <w:tcBorders>
              <w:top w:val="nil"/>
              <w:left w:val="nil"/>
              <w:bottom w:val="single" w:sz="4" w:space="0" w:color="auto"/>
              <w:right w:val="single" w:sz="4" w:space="0" w:color="auto"/>
            </w:tcBorders>
            <w:shd w:val="clear" w:color="auto" w:fill="auto"/>
            <w:vAlign w:val="center"/>
            <w:hideMark/>
          </w:tcPr>
          <w:p w14:paraId="720FA88D" w14:textId="31EEB6BC" w:rsidR="00E335CE" w:rsidRPr="00B13B9A" w:rsidRDefault="00E335CE" w:rsidP="00E335CE">
            <w:pPr>
              <w:spacing w:after="0" w:line="240" w:lineRule="auto"/>
              <w:jc w:val="center"/>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la sf. per</w:t>
            </w:r>
            <w:r w:rsidR="00D80586" w:rsidRPr="00B13B9A">
              <w:rPr>
                <w:rFonts w:asciiTheme="majorHAnsi" w:eastAsia="Times New Roman" w:hAnsiTheme="majorHAnsi" w:cstheme="majorHAnsi"/>
                <w:color w:val="000000"/>
                <w:sz w:val="16"/>
                <w:szCs w:val="16"/>
                <w:lang w:val="ro-MD"/>
              </w:rPr>
              <w:t>.</w:t>
            </w:r>
          </w:p>
        </w:tc>
        <w:tc>
          <w:tcPr>
            <w:tcW w:w="703" w:type="dxa"/>
            <w:tcBorders>
              <w:top w:val="nil"/>
              <w:left w:val="nil"/>
              <w:bottom w:val="single" w:sz="4" w:space="0" w:color="auto"/>
              <w:right w:val="single" w:sz="4" w:space="0" w:color="auto"/>
            </w:tcBorders>
            <w:shd w:val="clear" w:color="auto" w:fill="auto"/>
            <w:vAlign w:val="center"/>
            <w:hideMark/>
          </w:tcPr>
          <w:p w14:paraId="5DC20C5A" w14:textId="77777777" w:rsidR="00E335CE" w:rsidRPr="00B13B9A" w:rsidRDefault="00E335CE" w:rsidP="00E335CE">
            <w:pPr>
              <w:spacing w:after="0" w:line="240" w:lineRule="auto"/>
              <w:jc w:val="center"/>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Nr. efectiv de paturi</w:t>
            </w:r>
          </w:p>
        </w:tc>
        <w:tc>
          <w:tcPr>
            <w:tcW w:w="700" w:type="dxa"/>
            <w:tcBorders>
              <w:top w:val="nil"/>
              <w:left w:val="nil"/>
              <w:bottom w:val="single" w:sz="4" w:space="0" w:color="auto"/>
              <w:right w:val="single" w:sz="4" w:space="0" w:color="auto"/>
            </w:tcBorders>
            <w:shd w:val="clear" w:color="auto" w:fill="auto"/>
            <w:vAlign w:val="center"/>
            <w:hideMark/>
          </w:tcPr>
          <w:p w14:paraId="7860BE85" w14:textId="6B37DA29" w:rsidR="00E335CE" w:rsidRPr="00B13B9A" w:rsidRDefault="00E335CE" w:rsidP="00E335CE">
            <w:pPr>
              <w:spacing w:after="0" w:line="240" w:lineRule="auto"/>
              <w:jc w:val="center"/>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la încep</w:t>
            </w:r>
            <w:r w:rsidR="00D80586" w:rsidRPr="00B13B9A">
              <w:rPr>
                <w:rFonts w:asciiTheme="majorHAnsi" w:eastAsia="Times New Roman" w:hAnsiTheme="majorHAnsi" w:cstheme="majorHAnsi"/>
                <w:color w:val="000000"/>
                <w:sz w:val="16"/>
                <w:szCs w:val="16"/>
                <w:lang w:val="ro-MD"/>
              </w:rPr>
              <w:t>.</w:t>
            </w:r>
            <w:r w:rsidRPr="00B13B9A">
              <w:rPr>
                <w:rFonts w:asciiTheme="majorHAnsi" w:eastAsia="Times New Roman" w:hAnsiTheme="majorHAnsi" w:cstheme="majorHAnsi"/>
                <w:color w:val="000000"/>
                <w:sz w:val="16"/>
                <w:szCs w:val="16"/>
                <w:lang w:val="ro-MD"/>
              </w:rPr>
              <w:t xml:space="preserve"> </w:t>
            </w:r>
            <w:r w:rsidR="00D80586" w:rsidRPr="00B13B9A">
              <w:rPr>
                <w:rFonts w:asciiTheme="majorHAnsi" w:eastAsia="Times New Roman" w:hAnsiTheme="majorHAnsi" w:cstheme="majorHAnsi"/>
                <w:color w:val="000000"/>
                <w:sz w:val="16"/>
                <w:szCs w:val="16"/>
                <w:lang w:val="ro-MD"/>
              </w:rPr>
              <w:t>P</w:t>
            </w:r>
            <w:r w:rsidRPr="00B13B9A">
              <w:rPr>
                <w:rFonts w:asciiTheme="majorHAnsi" w:eastAsia="Times New Roman" w:hAnsiTheme="majorHAnsi" w:cstheme="majorHAnsi"/>
                <w:color w:val="000000"/>
                <w:sz w:val="16"/>
                <w:szCs w:val="16"/>
                <w:lang w:val="ro-MD"/>
              </w:rPr>
              <w:t>er</w:t>
            </w:r>
            <w:r w:rsidR="00D80586" w:rsidRPr="00B13B9A">
              <w:rPr>
                <w:rFonts w:asciiTheme="majorHAnsi" w:eastAsia="Times New Roman" w:hAnsiTheme="majorHAnsi" w:cstheme="majorHAnsi"/>
                <w:color w:val="000000"/>
                <w:sz w:val="16"/>
                <w:szCs w:val="16"/>
                <w:lang w:val="ro-MD"/>
              </w:rPr>
              <w:t>.</w:t>
            </w:r>
          </w:p>
        </w:tc>
        <w:tc>
          <w:tcPr>
            <w:tcW w:w="680" w:type="dxa"/>
            <w:tcBorders>
              <w:top w:val="nil"/>
              <w:left w:val="nil"/>
              <w:bottom w:val="single" w:sz="4" w:space="0" w:color="auto"/>
              <w:right w:val="single" w:sz="4" w:space="0" w:color="auto"/>
            </w:tcBorders>
            <w:shd w:val="clear" w:color="auto" w:fill="auto"/>
            <w:vAlign w:val="center"/>
            <w:hideMark/>
          </w:tcPr>
          <w:p w14:paraId="3279EEC0" w14:textId="5747464E" w:rsidR="00E335CE" w:rsidRPr="00B13B9A" w:rsidRDefault="00E335CE" w:rsidP="00E335CE">
            <w:pPr>
              <w:spacing w:after="0" w:line="240" w:lineRule="auto"/>
              <w:jc w:val="center"/>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la sf. per</w:t>
            </w:r>
            <w:r w:rsidR="00D80586" w:rsidRPr="00B13B9A">
              <w:rPr>
                <w:rFonts w:asciiTheme="majorHAnsi" w:eastAsia="Times New Roman" w:hAnsiTheme="majorHAnsi" w:cstheme="majorHAnsi"/>
                <w:color w:val="000000"/>
                <w:sz w:val="16"/>
                <w:szCs w:val="16"/>
                <w:lang w:val="ro-MD"/>
              </w:rPr>
              <w:t>.</w:t>
            </w:r>
          </w:p>
        </w:tc>
      </w:tr>
      <w:tr w:rsidR="00E335CE" w:rsidRPr="00B13B9A" w14:paraId="08C58423" w14:textId="77777777" w:rsidTr="00332FF7">
        <w:trPr>
          <w:trHeight w:val="2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5E2EA075" w14:textId="77777777" w:rsidR="00E335CE" w:rsidRPr="00B13B9A" w:rsidRDefault="00E335CE" w:rsidP="00E335CE">
            <w:pPr>
              <w:spacing w:after="0" w:line="240" w:lineRule="auto"/>
              <w:jc w:val="center"/>
              <w:rPr>
                <w:rFonts w:asciiTheme="majorHAnsi" w:eastAsia="Times New Roman" w:hAnsiTheme="majorHAnsi" w:cstheme="majorHAnsi"/>
                <w:b/>
                <w:bCs/>
                <w:color w:val="000000"/>
                <w:sz w:val="16"/>
                <w:szCs w:val="16"/>
                <w:lang w:val="ro-MD"/>
              </w:rPr>
            </w:pPr>
            <w:r w:rsidRPr="00B13B9A">
              <w:rPr>
                <w:rFonts w:asciiTheme="majorHAnsi" w:eastAsia="Times New Roman" w:hAnsiTheme="majorHAnsi" w:cstheme="majorHAnsi"/>
                <w:b/>
                <w:bCs/>
                <w:color w:val="000000"/>
                <w:sz w:val="16"/>
                <w:szCs w:val="16"/>
                <w:lang w:val="ro-MD"/>
              </w:rPr>
              <w:t>ian.21</w:t>
            </w:r>
          </w:p>
        </w:tc>
        <w:tc>
          <w:tcPr>
            <w:tcW w:w="703" w:type="dxa"/>
            <w:tcBorders>
              <w:top w:val="nil"/>
              <w:left w:val="nil"/>
              <w:bottom w:val="single" w:sz="4" w:space="0" w:color="auto"/>
              <w:right w:val="single" w:sz="4" w:space="0" w:color="auto"/>
            </w:tcBorders>
            <w:shd w:val="clear" w:color="auto" w:fill="auto"/>
            <w:noWrap/>
            <w:vAlign w:val="bottom"/>
            <w:hideMark/>
          </w:tcPr>
          <w:p w14:paraId="3DCE9E5E"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40</w:t>
            </w:r>
          </w:p>
        </w:tc>
        <w:tc>
          <w:tcPr>
            <w:tcW w:w="640" w:type="dxa"/>
            <w:tcBorders>
              <w:top w:val="nil"/>
              <w:left w:val="nil"/>
              <w:bottom w:val="single" w:sz="4" w:space="0" w:color="auto"/>
              <w:right w:val="single" w:sz="4" w:space="0" w:color="auto"/>
            </w:tcBorders>
            <w:shd w:val="clear" w:color="auto" w:fill="auto"/>
            <w:noWrap/>
            <w:vAlign w:val="bottom"/>
            <w:hideMark/>
          </w:tcPr>
          <w:p w14:paraId="3A9E4B46"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33</w:t>
            </w:r>
          </w:p>
        </w:tc>
        <w:tc>
          <w:tcPr>
            <w:tcW w:w="580" w:type="dxa"/>
            <w:tcBorders>
              <w:top w:val="nil"/>
              <w:left w:val="nil"/>
              <w:bottom w:val="single" w:sz="4" w:space="0" w:color="auto"/>
              <w:right w:val="single" w:sz="4" w:space="0" w:color="auto"/>
            </w:tcBorders>
            <w:shd w:val="clear" w:color="auto" w:fill="auto"/>
            <w:noWrap/>
            <w:vAlign w:val="bottom"/>
            <w:hideMark/>
          </w:tcPr>
          <w:p w14:paraId="65BA8F13"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35</w:t>
            </w:r>
          </w:p>
        </w:tc>
        <w:tc>
          <w:tcPr>
            <w:tcW w:w="703" w:type="dxa"/>
            <w:gridSpan w:val="2"/>
            <w:tcBorders>
              <w:top w:val="nil"/>
              <w:left w:val="nil"/>
              <w:bottom w:val="single" w:sz="4" w:space="0" w:color="auto"/>
              <w:right w:val="single" w:sz="4" w:space="0" w:color="auto"/>
            </w:tcBorders>
            <w:shd w:val="clear" w:color="auto" w:fill="auto"/>
            <w:noWrap/>
            <w:vAlign w:val="bottom"/>
            <w:hideMark/>
          </w:tcPr>
          <w:p w14:paraId="410FB327"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45</w:t>
            </w:r>
          </w:p>
        </w:tc>
        <w:tc>
          <w:tcPr>
            <w:tcW w:w="680" w:type="dxa"/>
            <w:tcBorders>
              <w:top w:val="nil"/>
              <w:left w:val="nil"/>
              <w:bottom w:val="single" w:sz="4" w:space="0" w:color="auto"/>
              <w:right w:val="single" w:sz="4" w:space="0" w:color="auto"/>
            </w:tcBorders>
            <w:shd w:val="clear" w:color="auto" w:fill="auto"/>
            <w:noWrap/>
            <w:vAlign w:val="bottom"/>
            <w:hideMark/>
          </w:tcPr>
          <w:p w14:paraId="1258C48D"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28</w:t>
            </w:r>
          </w:p>
        </w:tc>
        <w:tc>
          <w:tcPr>
            <w:tcW w:w="534" w:type="dxa"/>
            <w:tcBorders>
              <w:top w:val="nil"/>
              <w:left w:val="nil"/>
              <w:bottom w:val="single" w:sz="4" w:space="0" w:color="auto"/>
              <w:right w:val="single" w:sz="4" w:space="0" w:color="auto"/>
            </w:tcBorders>
            <w:shd w:val="clear" w:color="auto" w:fill="auto"/>
            <w:noWrap/>
            <w:vAlign w:val="bottom"/>
            <w:hideMark/>
          </w:tcPr>
          <w:p w14:paraId="7278FF7B"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33</w:t>
            </w:r>
          </w:p>
        </w:tc>
        <w:tc>
          <w:tcPr>
            <w:tcW w:w="703" w:type="dxa"/>
            <w:gridSpan w:val="2"/>
            <w:tcBorders>
              <w:top w:val="nil"/>
              <w:left w:val="nil"/>
              <w:bottom w:val="single" w:sz="4" w:space="0" w:color="auto"/>
              <w:right w:val="single" w:sz="4" w:space="0" w:color="auto"/>
            </w:tcBorders>
            <w:shd w:val="clear" w:color="auto" w:fill="auto"/>
            <w:noWrap/>
            <w:vAlign w:val="bottom"/>
            <w:hideMark/>
          </w:tcPr>
          <w:p w14:paraId="26EDFC9C"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65</w:t>
            </w:r>
          </w:p>
        </w:tc>
        <w:tc>
          <w:tcPr>
            <w:tcW w:w="629" w:type="dxa"/>
            <w:tcBorders>
              <w:top w:val="nil"/>
              <w:left w:val="nil"/>
              <w:bottom w:val="single" w:sz="4" w:space="0" w:color="auto"/>
              <w:right w:val="single" w:sz="4" w:space="0" w:color="auto"/>
            </w:tcBorders>
            <w:shd w:val="clear" w:color="auto" w:fill="auto"/>
            <w:noWrap/>
            <w:vAlign w:val="bottom"/>
            <w:hideMark/>
          </w:tcPr>
          <w:p w14:paraId="1300A7F1"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18</w:t>
            </w:r>
          </w:p>
        </w:tc>
        <w:tc>
          <w:tcPr>
            <w:tcW w:w="567" w:type="dxa"/>
            <w:tcBorders>
              <w:top w:val="nil"/>
              <w:left w:val="nil"/>
              <w:bottom w:val="single" w:sz="4" w:space="0" w:color="auto"/>
              <w:right w:val="single" w:sz="4" w:space="0" w:color="auto"/>
            </w:tcBorders>
            <w:shd w:val="clear" w:color="auto" w:fill="auto"/>
            <w:noWrap/>
            <w:vAlign w:val="bottom"/>
            <w:hideMark/>
          </w:tcPr>
          <w:p w14:paraId="1B379607"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28</w:t>
            </w:r>
          </w:p>
        </w:tc>
        <w:tc>
          <w:tcPr>
            <w:tcW w:w="703" w:type="dxa"/>
            <w:tcBorders>
              <w:top w:val="nil"/>
              <w:left w:val="nil"/>
              <w:bottom w:val="single" w:sz="4" w:space="0" w:color="auto"/>
              <w:right w:val="single" w:sz="4" w:space="0" w:color="auto"/>
            </w:tcBorders>
            <w:shd w:val="clear" w:color="auto" w:fill="auto"/>
            <w:noWrap/>
            <w:vAlign w:val="bottom"/>
            <w:hideMark/>
          </w:tcPr>
          <w:p w14:paraId="3E835D57"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85</w:t>
            </w:r>
          </w:p>
        </w:tc>
        <w:tc>
          <w:tcPr>
            <w:tcW w:w="609" w:type="dxa"/>
            <w:tcBorders>
              <w:top w:val="nil"/>
              <w:left w:val="nil"/>
              <w:bottom w:val="single" w:sz="4" w:space="0" w:color="auto"/>
              <w:right w:val="single" w:sz="4" w:space="0" w:color="auto"/>
            </w:tcBorders>
            <w:shd w:val="clear" w:color="auto" w:fill="auto"/>
            <w:noWrap/>
            <w:vAlign w:val="bottom"/>
            <w:hideMark/>
          </w:tcPr>
          <w:p w14:paraId="50A0A16E"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25</w:t>
            </w:r>
          </w:p>
        </w:tc>
        <w:tc>
          <w:tcPr>
            <w:tcW w:w="531" w:type="dxa"/>
            <w:tcBorders>
              <w:top w:val="nil"/>
              <w:left w:val="nil"/>
              <w:bottom w:val="single" w:sz="4" w:space="0" w:color="auto"/>
              <w:right w:val="single" w:sz="4" w:space="0" w:color="auto"/>
            </w:tcBorders>
            <w:shd w:val="clear" w:color="auto" w:fill="auto"/>
            <w:noWrap/>
            <w:vAlign w:val="bottom"/>
            <w:hideMark/>
          </w:tcPr>
          <w:p w14:paraId="3D5DD619"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39</w:t>
            </w:r>
          </w:p>
        </w:tc>
        <w:tc>
          <w:tcPr>
            <w:tcW w:w="616" w:type="dxa"/>
            <w:tcBorders>
              <w:top w:val="nil"/>
              <w:left w:val="nil"/>
              <w:bottom w:val="single" w:sz="4" w:space="0" w:color="auto"/>
              <w:right w:val="single" w:sz="4" w:space="0" w:color="auto"/>
            </w:tcBorders>
            <w:shd w:val="clear" w:color="auto" w:fill="auto"/>
            <w:noWrap/>
            <w:vAlign w:val="bottom"/>
            <w:hideMark/>
          </w:tcPr>
          <w:p w14:paraId="53EB4E74"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80</w:t>
            </w:r>
          </w:p>
        </w:tc>
        <w:tc>
          <w:tcPr>
            <w:tcW w:w="620" w:type="dxa"/>
            <w:tcBorders>
              <w:top w:val="nil"/>
              <w:left w:val="nil"/>
              <w:bottom w:val="single" w:sz="4" w:space="0" w:color="auto"/>
              <w:right w:val="single" w:sz="4" w:space="0" w:color="auto"/>
            </w:tcBorders>
            <w:shd w:val="clear" w:color="auto" w:fill="auto"/>
            <w:noWrap/>
            <w:vAlign w:val="bottom"/>
            <w:hideMark/>
          </w:tcPr>
          <w:p w14:paraId="052D9C06"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44</w:t>
            </w:r>
          </w:p>
        </w:tc>
        <w:tc>
          <w:tcPr>
            <w:tcW w:w="623" w:type="dxa"/>
            <w:tcBorders>
              <w:top w:val="nil"/>
              <w:left w:val="nil"/>
              <w:bottom w:val="single" w:sz="4" w:space="0" w:color="auto"/>
              <w:right w:val="single" w:sz="4" w:space="0" w:color="auto"/>
            </w:tcBorders>
            <w:shd w:val="clear" w:color="auto" w:fill="auto"/>
            <w:noWrap/>
            <w:vAlign w:val="bottom"/>
            <w:hideMark/>
          </w:tcPr>
          <w:p w14:paraId="41C74A87"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44</w:t>
            </w:r>
          </w:p>
        </w:tc>
        <w:tc>
          <w:tcPr>
            <w:tcW w:w="551" w:type="dxa"/>
            <w:tcBorders>
              <w:top w:val="nil"/>
              <w:left w:val="nil"/>
              <w:bottom w:val="single" w:sz="4" w:space="0" w:color="auto"/>
              <w:right w:val="single" w:sz="4" w:space="0" w:color="auto"/>
            </w:tcBorders>
            <w:shd w:val="clear" w:color="auto" w:fill="auto"/>
            <w:noWrap/>
            <w:vAlign w:val="bottom"/>
            <w:hideMark/>
          </w:tcPr>
          <w:p w14:paraId="1582E74D"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w:t>
            </w:r>
          </w:p>
        </w:tc>
        <w:tc>
          <w:tcPr>
            <w:tcW w:w="567" w:type="dxa"/>
            <w:tcBorders>
              <w:top w:val="nil"/>
              <w:left w:val="nil"/>
              <w:bottom w:val="single" w:sz="4" w:space="0" w:color="auto"/>
              <w:right w:val="single" w:sz="4" w:space="0" w:color="auto"/>
            </w:tcBorders>
            <w:shd w:val="clear" w:color="auto" w:fill="auto"/>
            <w:noWrap/>
            <w:vAlign w:val="bottom"/>
            <w:hideMark/>
          </w:tcPr>
          <w:p w14:paraId="59F028AC"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w:t>
            </w:r>
          </w:p>
        </w:tc>
        <w:tc>
          <w:tcPr>
            <w:tcW w:w="567" w:type="dxa"/>
            <w:tcBorders>
              <w:top w:val="nil"/>
              <w:left w:val="nil"/>
              <w:bottom w:val="single" w:sz="4" w:space="0" w:color="auto"/>
              <w:right w:val="single" w:sz="4" w:space="0" w:color="auto"/>
            </w:tcBorders>
            <w:shd w:val="clear" w:color="auto" w:fill="auto"/>
            <w:noWrap/>
            <w:vAlign w:val="bottom"/>
            <w:hideMark/>
          </w:tcPr>
          <w:p w14:paraId="6D55350F"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5</w:t>
            </w:r>
          </w:p>
        </w:tc>
        <w:tc>
          <w:tcPr>
            <w:tcW w:w="703" w:type="dxa"/>
            <w:tcBorders>
              <w:top w:val="nil"/>
              <w:left w:val="nil"/>
              <w:bottom w:val="single" w:sz="4" w:space="0" w:color="auto"/>
              <w:right w:val="single" w:sz="4" w:space="0" w:color="auto"/>
            </w:tcBorders>
            <w:shd w:val="clear" w:color="auto" w:fill="auto"/>
            <w:noWrap/>
            <w:vAlign w:val="bottom"/>
            <w:hideMark/>
          </w:tcPr>
          <w:p w14:paraId="78E173D6"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315</w:t>
            </w:r>
          </w:p>
        </w:tc>
        <w:tc>
          <w:tcPr>
            <w:tcW w:w="700" w:type="dxa"/>
            <w:tcBorders>
              <w:top w:val="nil"/>
              <w:left w:val="nil"/>
              <w:bottom w:val="single" w:sz="4" w:space="0" w:color="auto"/>
              <w:right w:val="single" w:sz="4" w:space="0" w:color="auto"/>
            </w:tcBorders>
            <w:shd w:val="clear" w:color="auto" w:fill="auto"/>
            <w:noWrap/>
            <w:vAlign w:val="bottom"/>
            <w:hideMark/>
          </w:tcPr>
          <w:p w14:paraId="7C25CE74"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150</w:t>
            </w:r>
          </w:p>
        </w:tc>
        <w:tc>
          <w:tcPr>
            <w:tcW w:w="680" w:type="dxa"/>
            <w:tcBorders>
              <w:top w:val="nil"/>
              <w:left w:val="nil"/>
              <w:bottom w:val="single" w:sz="4" w:space="0" w:color="auto"/>
              <w:right w:val="single" w:sz="4" w:space="0" w:color="auto"/>
            </w:tcBorders>
            <w:shd w:val="clear" w:color="auto" w:fill="auto"/>
            <w:noWrap/>
            <w:vAlign w:val="bottom"/>
            <w:hideMark/>
          </w:tcPr>
          <w:p w14:paraId="516E1FC4"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184</w:t>
            </w:r>
          </w:p>
        </w:tc>
      </w:tr>
      <w:tr w:rsidR="00E335CE" w:rsidRPr="00B13B9A" w14:paraId="1C22BA56" w14:textId="77777777" w:rsidTr="00332FF7">
        <w:trPr>
          <w:trHeight w:val="2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1C6AF5B4" w14:textId="77777777" w:rsidR="00E335CE" w:rsidRPr="00B13B9A" w:rsidRDefault="00E335CE" w:rsidP="00E335CE">
            <w:pPr>
              <w:spacing w:after="0" w:line="240" w:lineRule="auto"/>
              <w:jc w:val="center"/>
              <w:rPr>
                <w:rFonts w:asciiTheme="majorHAnsi" w:eastAsia="Times New Roman" w:hAnsiTheme="majorHAnsi" w:cstheme="majorHAnsi"/>
                <w:b/>
                <w:bCs/>
                <w:color w:val="000000"/>
                <w:sz w:val="16"/>
                <w:szCs w:val="16"/>
                <w:lang w:val="ro-MD"/>
              </w:rPr>
            </w:pPr>
            <w:r w:rsidRPr="00B13B9A">
              <w:rPr>
                <w:rFonts w:asciiTheme="majorHAnsi" w:eastAsia="Times New Roman" w:hAnsiTheme="majorHAnsi" w:cstheme="majorHAnsi"/>
                <w:b/>
                <w:bCs/>
                <w:color w:val="000000"/>
                <w:sz w:val="16"/>
                <w:szCs w:val="16"/>
                <w:lang w:val="ro-MD"/>
              </w:rPr>
              <w:t>feb.21</w:t>
            </w:r>
          </w:p>
        </w:tc>
        <w:tc>
          <w:tcPr>
            <w:tcW w:w="703" w:type="dxa"/>
            <w:tcBorders>
              <w:top w:val="nil"/>
              <w:left w:val="nil"/>
              <w:bottom w:val="single" w:sz="4" w:space="0" w:color="auto"/>
              <w:right w:val="single" w:sz="4" w:space="0" w:color="auto"/>
            </w:tcBorders>
            <w:shd w:val="clear" w:color="auto" w:fill="auto"/>
            <w:noWrap/>
            <w:vAlign w:val="bottom"/>
            <w:hideMark/>
          </w:tcPr>
          <w:p w14:paraId="4E60BCB4"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40</w:t>
            </w:r>
          </w:p>
        </w:tc>
        <w:tc>
          <w:tcPr>
            <w:tcW w:w="640" w:type="dxa"/>
            <w:tcBorders>
              <w:top w:val="nil"/>
              <w:left w:val="nil"/>
              <w:bottom w:val="single" w:sz="4" w:space="0" w:color="auto"/>
              <w:right w:val="single" w:sz="4" w:space="0" w:color="auto"/>
            </w:tcBorders>
            <w:shd w:val="clear" w:color="auto" w:fill="auto"/>
            <w:noWrap/>
            <w:vAlign w:val="bottom"/>
            <w:hideMark/>
          </w:tcPr>
          <w:p w14:paraId="703415B6"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35</w:t>
            </w:r>
          </w:p>
        </w:tc>
        <w:tc>
          <w:tcPr>
            <w:tcW w:w="580" w:type="dxa"/>
            <w:tcBorders>
              <w:top w:val="nil"/>
              <w:left w:val="nil"/>
              <w:bottom w:val="single" w:sz="4" w:space="0" w:color="auto"/>
              <w:right w:val="single" w:sz="4" w:space="0" w:color="auto"/>
            </w:tcBorders>
            <w:shd w:val="clear" w:color="auto" w:fill="auto"/>
            <w:noWrap/>
            <w:vAlign w:val="bottom"/>
            <w:hideMark/>
          </w:tcPr>
          <w:p w14:paraId="1931DC88"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59</w:t>
            </w:r>
          </w:p>
        </w:tc>
        <w:tc>
          <w:tcPr>
            <w:tcW w:w="703" w:type="dxa"/>
            <w:gridSpan w:val="2"/>
            <w:tcBorders>
              <w:top w:val="nil"/>
              <w:left w:val="nil"/>
              <w:bottom w:val="single" w:sz="4" w:space="0" w:color="auto"/>
              <w:right w:val="single" w:sz="4" w:space="0" w:color="auto"/>
            </w:tcBorders>
            <w:shd w:val="clear" w:color="auto" w:fill="auto"/>
            <w:noWrap/>
            <w:vAlign w:val="bottom"/>
            <w:hideMark/>
          </w:tcPr>
          <w:p w14:paraId="28E61929"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45</w:t>
            </w:r>
          </w:p>
        </w:tc>
        <w:tc>
          <w:tcPr>
            <w:tcW w:w="680" w:type="dxa"/>
            <w:tcBorders>
              <w:top w:val="nil"/>
              <w:left w:val="nil"/>
              <w:bottom w:val="single" w:sz="4" w:space="0" w:color="auto"/>
              <w:right w:val="single" w:sz="4" w:space="0" w:color="auto"/>
            </w:tcBorders>
            <w:shd w:val="clear" w:color="auto" w:fill="auto"/>
            <w:noWrap/>
            <w:vAlign w:val="bottom"/>
            <w:hideMark/>
          </w:tcPr>
          <w:p w14:paraId="1E6005E0"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33</w:t>
            </w:r>
          </w:p>
        </w:tc>
        <w:tc>
          <w:tcPr>
            <w:tcW w:w="534" w:type="dxa"/>
            <w:tcBorders>
              <w:top w:val="nil"/>
              <w:left w:val="nil"/>
              <w:bottom w:val="single" w:sz="4" w:space="0" w:color="auto"/>
              <w:right w:val="single" w:sz="4" w:space="0" w:color="auto"/>
            </w:tcBorders>
            <w:shd w:val="clear" w:color="auto" w:fill="auto"/>
            <w:noWrap/>
            <w:vAlign w:val="bottom"/>
            <w:hideMark/>
          </w:tcPr>
          <w:p w14:paraId="64CE1CE4"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30</w:t>
            </w:r>
          </w:p>
        </w:tc>
        <w:tc>
          <w:tcPr>
            <w:tcW w:w="703" w:type="dxa"/>
            <w:gridSpan w:val="2"/>
            <w:tcBorders>
              <w:top w:val="nil"/>
              <w:left w:val="nil"/>
              <w:bottom w:val="single" w:sz="4" w:space="0" w:color="auto"/>
              <w:right w:val="single" w:sz="4" w:space="0" w:color="auto"/>
            </w:tcBorders>
            <w:shd w:val="clear" w:color="auto" w:fill="auto"/>
            <w:noWrap/>
            <w:vAlign w:val="bottom"/>
            <w:hideMark/>
          </w:tcPr>
          <w:p w14:paraId="523751B6"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65</w:t>
            </w:r>
          </w:p>
        </w:tc>
        <w:tc>
          <w:tcPr>
            <w:tcW w:w="629" w:type="dxa"/>
            <w:tcBorders>
              <w:top w:val="nil"/>
              <w:left w:val="nil"/>
              <w:bottom w:val="single" w:sz="4" w:space="0" w:color="auto"/>
              <w:right w:val="single" w:sz="4" w:space="0" w:color="auto"/>
            </w:tcBorders>
            <w:shd w:val="clear" w:color="auto" w:fill="auto"/>
            <w:noWrap/>
            <w:vAlign w:val="bottom"/>
            <w:hideMark/>
          </w:tcPr>
          <w:p w14:paraId="2F4688C3"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28</w:t>
            </w:r>
          </w:p>
        </w:tc>
        <w:tc>
          <w:tcPr>
            <w:tcW w:w="567" w:type="dxa"/>
            <w:tcBorders>
              <w:top w:val="nil"/>
              <w:left w:val="nil"/>
              <w:bottom w:val="single" w:sz="4" w:space="0" w:color="auto"/>
              <w:right w:val="single" w:sz="4" w:space="0" w:color="auto"/>
            </w:tcBorders>
            <w:shd w:val="clear" w:color="auto" w:fill="auto"/>
            <w:noWrap/>
            <w:vAlign w:val="bottom"/>
            <w:hideMark/>
          </w:tcPr>
          <w:p w14:paraId="3FF96BEB"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58</w:t>
            </w:r>
          </w:p>
        </w:tc>
        <w:tc>
          <w:tcPr>
            <w:tcW w:w="703" w:type="dxa"/>
            <w:tcBorders>
              <w:top w:val="nil"/>
              <w:left w:val="nil"/>
              <w:bottom w:val="single" w:sz="4" w:space="0" w:color="auto"/>
              <w:right w:val="single" w:sz="4" w:space="0" w:color="auto"/>
            </w:tcBorders>
            <w:shd w:val="clear" w:color="auto" w:fill="auto"/>
            <w:noWrap/>
            <w:vAlign w:val="bottom"/>
            <w:hideMark/>
          </w:tcPr>
          <w:p w14:paraId="5EADF05C"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85</w:t>
            </w:r>
          </w:p>
        </w:tc>
        <w:tc>
          <w:tcPr>
            <w:tcW w:w="609" w:type="dxa"/>
            <w:tcBorders>
              <w:top w:val="nil"/>
              <w:left w:val="nil"/>
              <w:bottom w:val="single" w:sz="4" w:space="0" w:color="auto"/>
              <w:right w:val="single" w:sz="4" w:space="0" w:color="auto"/>
            </w:tcBorders>
            <w:shd w:val="clear" w:color="auto" w:fill="auto"/>
            <w:noWrap/>
            <w:vAlign w:val="bottom"/>
            <w:hideMark/>
          </w:tcPr>
          <w:p w14:paraId="51EAD908"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39</w:t>
            </w:r>
          </w:p>
        </w:tc>
        <w:tc>
          <w:tcPr>
            <w:tcW w:w="531" w:type="dxa"/>
            <w:tcBorders>
              <w:top w:val="nil"/>
              <w:left w:val="nil"/>
              <w:bottom w:val="single" w:sz="4" w:space="0" w:color="auto"/>
              <w:right w:val="single" w:sz="4" w:space="0" w:color="auto"/>
            </w:tcBorders>
            <w:shd w:val="clear" w:color="auto" w:fill="auto"/>
            <w:noWrap/>
            <w:vAlign w:val="bottom"/>
            <w:hideMark/>
          </w:tcPr>
          <w:p w14:paraId="3994D90E"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46</w:t>
            </w:r>
          </w:p>
        </w:tc>
        <w:tc>
          <w:tcPr>
            <w:tcW w:w="616" w:type="dxa"/>
            <w:tcBorders>
              <w:top w:val="nil"/>
              <w:left w:val="nil"/>
              <w:bottom w:val="single" w:sz="4" w:space="0" w:color="auto"/>
              <w:right w:val="single" w:sz="4" w:space="0" w:color="auto"/>
            </w:tcBorders>
            <w:shd w:val="clear" w:color="auto" w:fill="auto"/>
            <w:noWrap/>
            <w:vAlign w:val="bottom"/>
            <w:hideMark/>
          </w:tcPr>
          <w:p w14:paraId="1E57BD10"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80</w:t>
            </w:r>
          </w:p>
        </w:tc>
        <w:tc>
          <w:tcPr>
            <w:tcW w:w="620" w:type="dxa"/>
            <w:tcBorders>
              <w:top w:val="nil"/>
              <w:left w:val="nil"/>
              <w:bottom w:val="single" w:sz="4" w:space="0" w:color="auto"/>
              <w:right w:val="single" w:sz="4" w:space="0" w:color="auto"/>
            </w:tcBorders>
            <w:shd w:val="clear" w:color="auto" w:fill="auto"/>
            <w:noWrap/>
            <w:vAlign w:val="bottom"/>
            <w:hideMark/>
          </w:tcPr>
          <w:p w14:paraId="26FCD386"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44</w:t>
            </w:r>
          </w:p>
        </w:tc>
        <w:tc>
          <w:tcPr>
            <w:tcW w:w="623" w:type="dxa"/>
            <w:tcBorders>
              <w:top w:val="nil"/>
              <w:left w:val="nil"/>
              <w:bottom w:val="single" w:sz="4" w:space="0" w:color="auto"/>
              <w:right w:val="single" w:sz="4" w:space="0" w:color="auto"/>
            </w:tcBorders>
            <w:shd w:val="clear" w:color="auto" w:fill="auto"/>
            <w:noWrap/>
            <w:vAlign w:val="bottom"/>
            <w:hideMark/>
          </w:tcPr>
          <w:p w14:paraId="4C4B84CF"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78</w:t>
            </w:r>
          </w:p>
        </w:tc>
        <w:tc>
          <w:tcPr>
            <w:tcW w:w="551" w:type="dxa"/>
            <w:tcBorders>
              <w:top w:val="nil"/>
              <w:left w:val="nil"/>
              <w:bottom w:val="single" w:sz="4" w:space="0" w:color="auto"/>
              <w:right w:val="single" w:sz="4" w:space="0" w:color="auto"/>
            </w:tcBorders>
            <w:shd w:val="clear" w:color="auto" w:fill="auto"/>
            <w:noWrap/>
            <w:vAlign w:val="bottom"/>
            <w:hideMark/>
          </w:tcPr>
          <w:p w14:paraId="0832DDD5"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w:t>
            </w:r>
          </w:p>
        </w:tc>
        <w:tc>
          <w:tcPr>
            <w:tcW w:w="567" w:type="dxa"/>
            <w:tcBorders>
              <w:top w:val="nil"/>
              <w:left w:val="nil"/>
              <w:bottom w:val="single" w:sz="4" w:space="0" w:color="auto"/>
              <w:right w:val="single" w:sz="4" w:space="0" w:color="auto"/>
            </w:tcBorders>
            <w:shd w:val="clear" w:color="auto" w:fill="auto"/>
            <w:noWrap/>
            <w:vAlign w:val="bottom"/>
            <w:hideMark/>
          </w:tcPr>
          <w:p w14:paraId="2274E5AF"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5</w:t>
            </w:r>
          </w:p>
        </w:tc>
        <w:tc>
          <w:tcPr>
            <w:tcW w:w="567" w:type="dxa"/>
            <w:tcBorders>
              <w:top w:val="nil"/>
              <w:left w:val="nil"/>
              <w:bottom w:val="single" w:sz="4" w:space="0" w:color="auto"/>
              <w:right w:val="single" w:sz="4" w:space="0" w:color="auto"/>
            </w:tcBorders>
            <w:shd w:val="clear" w:color="auto" w:fill="auto"/>
            <w:noWrap/>
            <w:vAlign w:val="bottom"/>
            <w:hideMark/>
          </w:tcPr>
          <w:p w14:paraId="799C31FA"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8</w:t>
            </w:r>
          </w:p>
        </w:tc>
        <w:tc>
          <w:tcPr>
            <w:tcW w:w="703" w:type="dxa"/>
            <w:tcBorders>
              <w:top w:val="nil"/>
              <w:left w:val="nil"/>
              <w:bottom w:val="single" w:sz="4" w:space="0" w:color="auto"/>
              <w:right w:val="single" w:sz="4" w:space="0" w:color="auto"/>
            </w:tcBorders>
            <w:shd w:val="clear" w:color="auto" w:fill="auto"/>
            <w:noWrap/>
            <w:vAlign w:val="bottom"/>
            <w:hideMark/>
          </w:tcPr>
          <w:p w14:paraId="783647FE"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315</w:t>
            </w:r>
          </w:p>
        </w:tc>
        <w:tc>
          <w:tcPr>
            <w:tcW w:w="700" w:type="dxa"/>
            <w:tcBorders>
              <w:top w:val="nil"/>
              <w:left w:val="nil"/>
              <w:bottom w:val="single" w:sz="4" w:space="0" w:color="auto"/>
              <w:right w:val="single" w:sz="4" w:space="0" w:color="auto"/>
            </w:tcBorders>
            <w:shd w:val="clear" w:color="auto" w:fill="auto"/>
            <w:noWrap/>
            <w:vAlign w:val="bottom"/>
            <w:hideMark/>
          </w:tcPr>
          <w:p w14:paraId="5574C4FF"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184</w:t>
            </w:r>
          </w:p>
        </w:tc>
        <w:tc>
          <w:tcPr>
            <w:tcW w:w="680" w:type="dxa"/>
            <w:tcBorders>
              <w:top w:val="nil"/>
              <w:left w:val="nil"/>
              <w:bottom w:val="single" w:sz="4" w:space="0" w:color="auto"/>
              <w:right w:val="single" w:sz="4" w:space="0" w:color="auto"/>
            </w:tcBorders>
            <w:shd w:val="clear" w:color="auto" w:fill="auto"/>
            <w:noWrap/>
            <w:vAlign w:val="bottom"/>
            <w:hideMark/>
          </w:tcPr>
          <w:p w14:paraId="7BB64FDD"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279</w:t>
            </w:r>
          </w:p>
        </w:tc>
      </w:tr>
      <w:tr w:rsidR="00E335CE" w:rsidRPr="00B13B9A" w14:paraId="3B2CCB99" w14:textId="77777777" w:rsidTr="00332FF7">
        <w:trPr>
          <w:trHeight w:val="2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7B534231" w14:textId="77777777" w:rsidR="00E335CE" w:rsidRPr="00B13B9A" w:rsidRDefault="00E335CE" w:rsidP="00E335CE">
            <w:pPr>
              <w:spacing w:after="0" w:line="240" w:lineRule="auto"/>
              <w:jc w:val="center"/>
              <w:rPr>
                <w:rFonts w:asciiTheme="majorHAnsi" w:eastAsia="Times New Roman" w:hAnsiTheme="majorHAnsi" w:cstheme="majorHAnsi"/>
                <w:b/>
                <w:bCs/>
                <w:color w:val="000000"/>
                <w:sz w:val="16"/>
                <w:szCs w:val="16"/>
                <w:lang w:val="ro-MD"/>
              </w:rPr>
            </w:pPr>
            <w:r w:rsidRPr="00B13B9A">
              <w:rPr>
                <w:rFonts w:asciiTheme="majorHAnsi" w:eastAsia="Times New Roman" w:hAnsiTheme="majorHAnsi" w:cstheme="majorHAnsi"/>
                <w:b/>
                <w:bCs/>
                <w:color w:val="000000"/>
                <w:sz w:val="16"/>
                <w:szCs w:val="16"/>
                <w:lang w:val="ro-MD"/>
              </w:rPr>
              <w:t>mar.21</w:t>
            </w:r>
          </w:p>
        </w:tc>
        <w:tc>
          <w:tcPr>
            <w:tcW w:w="703" w:type="dxa"/>
            <w:tcBorders>
              <w:top w:val="nil"/>
              <w:left w:val="nil"/>
              <w:bottom w:val="single" w:sz="4" w:space="0" w:color="auto"/>
              <w:right w:val="single" w:sz="4" w:space="0" w:color="auto"/>
            </w:tcBorders>
            <w:shd w:val="clear" w:color="auto" w:fill="auto"/>
            <w:noWrap/>
            <w:vAlign w:val="bottom"/>
            <w:hideMark/>
          </w:tcPr>
          <w:p w14:paraId="441F408B"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40</w:t>
            </w:r>
          </w:p>
        </w:tc>
        <w:tc>
          <w:tcPr>
            <w:tcW w:w="640" w:type="dxa"/>
            <w:tcBorders>
              <w:top w:val="nil"/>
              <w:left w:val="nil"/>
              <w:bottom w:val="single" w:sz="4" w:space="0" w:color="auto"/>
              <w:right w:val="single" w:sz="4" w:space="0" w:color="auto"/>
            </w:tcBorders>
            <w:shd w:val="clear" w:color="auto" w:fill="auto"/>
            <w:noWrap/>
            <w:vAlign w:val="bottom"/>
            <w:hideMark/>
          </w:tcPr>
          <w:p w14:paraId="7DFC0050"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59</w:t>
            </w:r>
          </w:p>
        </w:tc>
        <w:tc>
          <w:tcPr>
            <w:tcW w:w="580" w:type="dxa"/>
            <w:tcBorders>
              <w:top w:val="nil"/>
              <w:left w:val="nil"/>
              <w:bottom w:val="single" w:sz="4" w:space="0" w:color="auto"/>
              <w:right w:val="single" w:sz="4" w:space="0" w:color="auto"/>
            </w:tcBorders>
            <w:shd w:val="clear" w:color="auto" w:fill="auto"/>
            <w:noWrap/>
            <w:vAlign w:val="bottom"/>
            <w:hideMark/>
          </w:tcPr>
          <w:p w14:paraId="47A50BE0"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51</w:t>
            </w:r>
          </w:p>
        </w:tc>
        <w:tc>
          <w:tcPr>
            <w:tcW w:w="703" w:type="dxa"/>
            <w:gridSpan w:val="2"/>
            <w:tcBorders>
              <w:top w:val="nil"/>
              <w:left w:val="nil"/>
              <w:bottom w:val="single" w:sz="4" w:space="0" w:color="auto"/>
              <w:right w:val="single" w:sz="4" w:space="0" w:color="auto"/>
            </w:tcBorders>
            <w:shd w:val="clear" w:color="auto" w:fill="auto"/>
            <w:noWrap/>
            <w:vAlign w:val="bottom"/>
            <w:hideMark/>
          </w:tcPr>
          <w:p w14:paraId="21C5724F"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45</w:t>
            </w:r>
          </w:p>
        </w:tc>
        <w:tc>
          <w:tcPr>
            <w:tcW w:w="680" w:type="dxa"/>
            <w:tcBorders>
              <w:top w:val="nil"/>
              <w:left w:val="nil"/>
              <w:bottom w:val="single" w:sz="4" w:space="0" w:color="auto"/>
              <w:right w:val="single" w:sz="4" w:space="0" w:color="auto"/>
            </w:tcBorders>
            <w:shd w:val="clear" w:color="auto" w:fill="auto"/>
            <w:noWrap/>
            <w:vAlign w:val="bottom"/>
            <w:hideMark/>
          </w:tcPr>
          <w:p w14:paraId="2EBF03B0"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30</w:t>
            </w:r>
          </w:p>
        </w:tc>
        <w:tc>
          <w:tcPr>
            <w:tcW w:w="534" w:type="dxa"/>
            <w:tcBorders>
              <w:top w:val="nil"/>
              <w:left w:val="nil"/>
              <w:bottom w:val="single" w:sz="4" w:space="0" w:color="auto"/>
              <w:right w:val="single" w:sz="4" w:space="0" w:color="auto"/>
            </w:tcBorders>
            <w:shd w:val="clear" w:color="auto" w:fill="auto"/>
            <w:noWrap/>
            <w:vAlign w:val="bottom"/>
            <w:hideMark/>
          </w:tcPr>
          <w:p w14:paraId="70FD393F"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34</w:t>
            </w:r>
          </w:p>
        </w:tc>
        <w:tc>
          <w:tcPr>
            <w:tcW w:w="703" w:type="dxa"/>
            <w:gridSpan w:val="2"/>
            <w:tcBorders>
              <w:top w:val="nil"/>
              <w:left w:val="nil"/>
              <w:bottom w:val="single" w:sz="4" w:space="0" w:color="auto"/>
              <w:right w:val="single" w:sz="4" w:space="0" w:color="auto"/>
            </w:tcBorders>
            <w:shd w:val="clear" w:color="auto" w:fill="auto"/>
            <w:noWrap/>
            <w:vAlign w:val="bottom"/>
            <w:hideMark/>
          </w:tcPr>
          <w:p w14:paraId="3D8A1C93"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65</w:t>
            </w:r>
          </w:p>
        </w:tc>
        <w:tc>
          <w:tcPr>
            <w:tcW w:w="629" w:type="dxa"/>
            <w:tcBorders>
              <w:top w:val="nil"/>
              <w:left w:val="nil"/>
              <w:bottom w:val="single" w:sz="4" w:space="0" w:color="auto"/>
              <w:right w:val="single" w:sz="4" w:space="0" w:color="auto"/>
            </w:tcBorders>
            <w:shd w:val="clear" w:color="auto" w:fill="auto"/>
            <w:noWrap/>
            <w:vAlign w:val="bottom"/>
            <w:hideMark/>
          </w:tcPr>
          <w:p w14:paraId="76770273"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58</w:t>
            </w:r>
          </w:p>
        </w:tc>
        <w:tc>
          <w:tcPr>
            <w:tcW w:w="567" w:type="dxa"/>
            <w:tcBorders>
              <w:top w:val="nil"/>
              <w:left w:val="nil"/>
              <w:bottom w:val="single" w:sz="4" w:space="0" w:color="auto"/>
              <w:right w:val="single" w:sz="4" w:space="0" w:color="auto"/>
            </w:tcBorders>
            <w:shd w:val="clear" w:color="auto" w:fill="auto"/>
            <w:noWrap/>
            <w:vAlign w:val="bottom"/>
            <w:hideMark/>
          </w:tcPr>
          <w:p w14:paraId="4EA5E7D1"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45</w:t>
            </w:r>
          </w:p>
        </w:tc>
        <w:tc>
          <w:tcPr>
            <w:tcW w:w="703" w:type="dxa"/>
            <w:tcBorders>
              <w:top w:val="nil"/>
              <w:left w:val="nil"/>
              <w:bottom w:val="single" w:sz="4" w:space="0" w:color="auto"/>
              <w:right w:val="single" w:sz="4" w:space="0" w:color="auto"/>
            </w:tcBorders>
            <w:shd w:val="clear" w:color="auto" w:fill="auto"/>
            <w:noWrap/>
            <w:vAlign w:val="bottom"/>
            <w:hideMark/>
          </w:tcPr>
          <w:p w14:paraId="4DBB2873"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85</w:t>
            </w:r>
          </w:p>
        </w:tc>
        <w:tc>
          <w:tcPr>
            <w:tcW w:w="609" w:type="dxa"/>
            <w:tcBorders>
              <w:top w:val="nil"/>
              <w:left w:val="nil"/>
              <w:bottom w:val="single" w:sz="4" w:space="0" w:color="auto"/>
              <w:right w:val="single" w:sz="4" w:space="0" w:color="auto"/>
            </w:tcBorders>
            <w:shd w:val="clear" w:color="auto" w:fill="auto"/>
            <w:noWrap/>
            <w:vAlign w:val="bottom"/>
            <w:hideMark/>
          </w:tcPr>
          <w:p w14:paraId="200B905B"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46</w:t>
            </w:r>
          </w:p>
        </w:tc>
        <w:tc>
          <w:tcPr>
            <w:tcW w:w="531" w:type="dxa"/>
            <w:tcBorders>
              <w:top w:val="nil"/>
              <w:left w:val="nil"/>
              <w:bottom w:val="single" w:sz="4" w:space="0" w:color="auto"/>
              <w:right w:val="single" w:sz="4" w:space="0" w:color="auto"/>
            </w:tcBorders>
            <w:shd w:val="clear" w:color="auto" w:fill="auto"/>
            <w:noWrap/>
            <w:vAlign w:val="bottom"/>
            <w:hideMark/>
          </w:tcPr>
          <w:p w14:paraId="76ADBEF5"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44</w:t>
            </w:r>
          </w:p>
        </w:tc>
        <w:tc>
          <w:tcPr>
            <w:tcW w:w="616" w:type="dxa"/>
            <w:tcBorders>
              <w:top w:val="nil"/>
              <w:left w:val="nil"/>
              <w:bottom w:val="single" w:sz="4" w:space="0" w:color="auto"/>
              <w:right w:val="single" w:sz="4" w:space="0" w:color="auto"/>
            </w:tcBorders>
            <w:shd w:val="clear" w:color="auto" w:fill="auto"/>
            <w:noWrap/>
            <w:vAlign w:val="bottom"/>
            <w:hideMark/>
          </w:tcPr>
          <w:p w14:paraId="0283BD49"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80</w:t>
            </w:r>
          </w:p>
        </w:tc>
        <w:tc>
          <w:tcPr>
            <w:tcW w:w="620" w:type="dxa"/>
            <w:tcBorders>
              <w:top w:val="nil"/>
              <w:left w:val="nil"/>
              <w:bottom w:val="single" w:sz="4" w:space="0" w:color="auto"/>
              <w:right w:val="single" w:sz="4" w:space="0" w:color="auto"/>
            </w:tcBorders>
            <w:shd w:val="clear" w:color="auto" w:fill="auto"/>
            <w:noWrap/>
            <w:vAlign w:val="bottom"/>
            <w:hideMark/>
          </w:tcPr>
          <w:p w14:paraId="13014BCD"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78</w:t>
            </w:r>
          </w:p>
        </w:tc>
        <w:tc>
          <w:tcPr>
            <w:tcW w:w="623" w:type="dxa"/>
            <w:tcBorders>
              <w:top w:val="nil"/>
              <w:left w:val="nil"/>
              <w:bottom w:val="single" w:sz="4" w:space="0" w:color="auto"/>
              <w:right w:val="single" w:sz="4" w:space="0" w:color="auto"/>
            </w:tcBorders>
            <w:shd w:val="clear" w:color="auto" w:fill="auto"/>
            <w:noWrap/>
            <w:vAlign w:val="bottom"/>
            <w:hideMark/>
          </w:tcPr>
          <w:p w14:paraId="33C5A662"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58</w:t>
            </w:r>
          </w:p>
        </w:tc>
        <w:tc>
          <w:tcPr>
            <w:tcW w:w="551" w:type="dxa"/>
            <w:tcBorders>
              <w:top w:val="nil"/>
              <w:left w:val="nil"/>
              <w:bottom w:val="single" w:sz="4" w:space="0" w:color="auto"/>
              <w:right w:val="single" w:sz="4" w:space="0" w:color="auto"/>
            </w:tcBorders>
            <w:shd w:val="clear" w:color="auto" w:fill="auto"/>
            <w:noWrap/>
            <w:vAlign w:val="bottom"/>
            <w:hideMark/>
          </w:tcPr>
          <w:p w14:paraId="408CBCD7"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w:t>
            </w:r>
          </w:p>
        </w:tc>
        <w:tc>
          <w:tcPr>
            <w:tcW w:w="567" w:type="dxa"/>
            <w:tcBorders>
              <w:top w:val="nil"/>
              <w:left w:val="nil"/>
              <w:bottom w:val="single" w:sz="4" w:space="0" w:color="auto"/>
              <w:right w:val="single" w:sz="4" w:space="0" w:color="auto"/>
            </w:tcBorders>
            <w:shd w:val="clear" w:color="auto" w:fill="auto"/>
            <w:noWrap/>
            <w:vAlign w:val="bottom"/>
            <w:hideMark/>
          </w:tcPr>
          <w:p w14:paraId="723569A1"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8</w:t>
            </w:r>
          </w:p>
        </w:tc>
        <w:tc>
          <w:tcPr>
            <w:tcW w:w="567" w:type="dxa"/>
            <w:tcBorders>
              <w:top w:val="nil"/>
              <w:left w:val="nil"/>
              <w:bottom w:val="single" w:sz="4" w:space="0" w:color="auto"/>
              <w:right w:val="single" w:sz="4" w:space="0" w:color="auto"/>
            </w:tcBorders>
            <w:shd w:val="clear" w:color="auto" w:fill="auto"/>
            <w:noWrap/>
            <w:vAlign w:val="bottom"/>
            <w:hideMark/>
          </w:tcPr>
          <w:p w14:paraId="06224A6A"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10</w:t>
            </w:r>
          </w:p>
        </w:tc>
        <w:tc>
          <w:tcPr>
            <w:tcW w:w="703" w:type="dxa"/>
            <w:tcBorders>
              <w:top w:val="nil"/>
              <w:left w:val="nil"/>
              <w:bottom w:val="single" w:sz="4" w:space="0" w:color="auto"/>
              <w:right w:val="single" w:sz="4" w:space="0" w:color="auto"/>
            </w:tcBorders>
            <w:shd w:val="clear" w:color="auto" w:fill="auto"/>
            <w:noWrap/>
            <w:vAlign w:val="bottom"/>
            <w:hideMark/>
          </w:tcPr>
          <w:p w14:paraId="6C8D80F9"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315</w:t>
            </w:r>
          </w:p>
        </w:tc>
        <w:tc>
          <w:tcPr>
            <w:tcW w:w="700" w:type="dxa"/>
            <w:tcBorders>
              <w:top w:val="nil"/>
              <w:left w:val="nil"/>
              <w:bottom w:val="single" w:sz="4" w:space="0" w:color="auto"/>
              <w:right w:val="single" w:sz="4" w:space="0" w:color="auto"/>
            </w:tcBorders>
            <w:shd w:val="clear" w:color="auto" w:fill="auto"/>
            <w:noWrap/>
            <w:vAlign w:val="bottom"/>
            <w:hideMark/>
          </w:tcPr>
          <w:p w14:paraId="0B99C0B4"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279</w:t>
            </w:r>
          </w:p>
        </w:tc>
        <w:tc>
          <w:tcPr>
            <w:tcW w:w="680" w:type="dxa"/>
            <w:tcBorders>
              <w:top w:val="nil"/>
              <w:left w:val="nil"/>
              <w:bottom w:val="single" w:sz="4" w:space="0" w:color="auto"/>
              <w:right w:val="single" w:sz="4" w:space="0" w:color="auto"/>
            </w:tcBorders>
            <w:shd w:val="clear" w:color="auto" w:fill="auto"/>
            <w:noWrap/>
            <w:vAlign w:val="bottom"/>
            <w:hideMark/>
          </w:tcPr>
          <w:p w14:paraId="248270C4"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242</w:t>
            </w:r>
          </w:p>
        </w:tc>
      </w:tr>
      <w:tr w:rsidR="00E335CE" w:rsidRPr="00B13B9A" w14:paraId="378F55F2" w14:textId="77777777" w:rsidTr="00332FF7">
        <w:trPr>
          <w:trHeight w:val="2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408B6F7E" w14:textId="77777777" w:rsidR="00E335CE" w:rsidRPr="00B13B9A" w:rsidRDefault="00E335CE" w:rsidP="00E335CE">
            <w:pPr>
              <w:spacing w:after="0" w:line="240" w:lineRule="auto"/>
              <w:jc w:val="center"/>
              <w:rPr>
                <w:rFonts w:asciiTheme="majorHAnsi" w:eastAsia="Times New Roman" w:hAnsiTheme="majorHAnsi" w:cstheme="majorHAnsi"/>
                <w:b/>
                <w:bCs/>
                <w:color w:val="000000"/>
                <w:sz w:val="16"/>
                <w:szCs w:val="16"/>
                <w:lang w:val="ro-MD"/>
              </w:rPr>
            </w:pPr>
            <w:r w:rsidRPr="00B13B9A">
              <w:rPr>
                <w:rFonts w:asciiTheme="majorHAnsi" w:eastAsia="Times New Roman" w:hAnsiTheme="majorHAnsi" w:cstheme="majorHAnsi"/>
                <w:b/>
                <w:bCs/>
                <w:color w:val="000000"/>
                <w:sz w:val="16"/>
                <w:szCs w:val="16"/>
                <w:lang w:val="ro-MD"/>
              </w:rPr>
              <w:t>apr.21</w:t>
            </w:r>
          </w:p>
        </w:tc>
        <w:tc>
          <w:tcPr>
            <w:tcW w:w="703" w:type="dxa"/>
            <w:tcBorders>
              <w:top w:val="nil"/>
              <w:left w:val="nil"/>
              <w:bottom w:val="single" w:sz="4" w:space="0" w:color="auto"/>
              <w:right w:val="single" w:sz="4" w:space="0" w:color="auto"/>
            </w:tcBorders>
            <w:shd w:val="clear" w:color="auto" w:fill="auto"/>
            <w:noWrap/>
            <w:vAlign w:val="bottom"/>
            <w:hideMark/>
          </w:tcPr>
          <w:p w14:paraId="4041167B"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40</w:t>
            </w:r>
          </w:p>
        </w:tc>
        <w:tc>
          <w:tcPr>
            <w:tcW w:w="640" w:type="dxa"/>
            <w:tcBorders>
              <w:top w:val="nil"/>
              <w:left w:val="nil"/>
              <w:bottom w:val="single" w:sz="4" w:space="0" w:color="auto"/>
              <w:right w:val="single" w:sz="4" w:space="0" w:color="auto"/>
            </w:tcBorders>
            <w:shd w:val="clear" w:color="auto" w:fill="auto"/>
            <w:noWrap/>
            <w:vAlign w:val="bottom"/>
            <w:hideMark/>
          </w:tcPr>
          <w:p w14:paraId="1C084121"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51</w:t>
            </w:r>
          </w:p>
        </w:tc>
        <w:tc>
          <w:tcPr>
            <w:tcW w:w="580" w:type="dxa"/>
            <w:tcBorders>
              <w:top w:val="nil"/>
              <w:left w:val="nil"/>
              <w:bottom w:val="single" w:sz="4" w:space="0" w:color="auto"/>
              <w:right w:val="single" w:sz="4" w:space="0" w:color="auto"/>
            </w:tcBorders>
            <w:shd w:val="clear" w:color="auto" w:fill="auto"/>
            <w:noWrap/>
            <w:vAlign w:val="bottom"/>
            <w:hideMark/>
          </w:tcPr>
          <w:p w14:paraId="03B75DAB"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26</w:t>
            </w:r>
          </w:p>
        </w:tc>
        <w:tc>
          <w:tcPr>
            <w:tcW w:w="703" w:type="dxa"/>
            <w:gridSpan w:val="2"/>
            <w:tcBorders>
              <w:top w:val="nil"/>
              <w:left w:val="nil"/>
              <w:bottom w:val="single" w:sz="4" w:space="0" w:color="auto"/>
              <w:right w:val="single" w:sz="4" w:space="0" w:color="auto"/>
            </w:tcBorders>
            <w:shd w:val="clear" w:color="auto" w:fill="auto"/>
            <w:noWrap/>
            <w:vAlign w:val="bottom"/>
            <w:hideMark/>
          </w:tcPr>
          <w:p w14:paraId="2C9111F5"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45</w:t>
            </w:r>
          </w:p>
        </w:tc>
        <w:tc>
          <w:tcPr>
            <w:tcW w:w="680" w:type="dxa"/>
            <w:tcBorders>
              <w:top w:val="nil"/>
              <w:left w:val="nil"/>
              <w:bottom w:val="single" w:sz="4" w:space="0" w:color="auto"/>
              <w:right w:val="single" w:sz="4" w:space="0" w:color="auto"/>
            </w:tcBorders>
            <w:shd w:val="clear" w:color="auto" w:fill="auto"/>
            <w:noWrap/>
            <w:vAlign w:val="bottom"/>
            <w:hideMark/>
          </w:tcPr>
          <w:p w14:paraId="546ABD9E"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34</w:t>
            </w:r>
          </w:p>
        </w:tc>
        <w:tc>
          <w:tcPr>
            <w:tcW w:w="534" w:type="dxa"/>
            <w:tcBorders>
              <w:top w:val="nil"/>
              <w:left w:val="nil"/>
              <w:bottom w:val="single" w:sz="4" w:space="0" w:color="auto"/>
              <w:right w:val="single" w:sz="4" w:space="0" w:color="auto"/>
            </w:tcBorders>
            <w:shd w:val="clear" w:color="auto" w:fill="auto"/>
            <w:noWrap/>
            <w:vAlign w:val="bottom"/>
            <w:hideMark/>
          </w:tcPr>
          <w:p w14:paraId="1DF93988"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35</w:t>
            </w:r>
          </w:p>
        </w:tc>
        <w:tc>
          <w:tcPr>
            <w:tcW w:w="703" w:type="dxa"/>
            <w:gridSpan w:val="2"/>
            <w:tcBorders>
              <w:top w:val="nil"/>
              <w:left w:val="nil"/>
              <w:bottom w:val="single" w:sz="4" w:space="0" w:color="auto"/>
              <w:right w:val="single" w:sz="4" w:space="0" w:color="auto"/>
            </w:tcBorders>
            <w:shd w:val="clear" w:color="auto" w:fill="auto"/>
            <w:noWrap/>
            <w:vAlign w:val="bottom"/>
            <w:hideMark/>
          </w:tcPr>
          <w:p w14:paraId="7D20D5CB"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65</w:t>
            </w:r>
          </w:p>
        </w:tc>
        <w:tc>
          <w:tcPr>
            <w:tcW w:w="629" w:type="dxa"/>
            <w:tcBorders>
              <w:top w:val="nil"/>
              <w:left w:val="nil"/>
              <w:bottom w:val="single" w:sz="4" w:space="0" w:color="auto"/>
              <w:right w:val="single" w:sz="4" w:space="0" w:color="auto"/>
            </w:tcBorders>
            <w:shd w:val="clear" w:color="auto" w:fill="auto"/>
            <w:noWrap/>
            <w:vAlign w:val="bottom"/>
            <w:hideMark/>
          </w:tcPr>
          <w:p w14:paraId="6FB6C035"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45</w:t>
            </w:r>
          </w:p>
        </w:tc>
        <w:tc>
          <w:tcPr>
            <w:tcW w:w="567" w:type="dxa"/>
            <w:tcBorders>
              <w:top w:val="nil"/>
              <w:left w:val="nil"/>
              <w:bottom w:val="single" w:sz="4" w:space="0" w:color="auto"/>
              <w:right w:val="single" w:sz="4" w:space="0" w:color="auto"/>
            </w:tcBorders>
            <w:shd w:val="clear" w:color="auto" w:fill="auto"/>
            <w:noWrap/>
            <w:vAlign w:val="bottom"/>
            <w:hideMark/>
          </w:tcPr>
          <w:p w14:paraId="50F8AE02"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26</w:t>
            </w:r>
          </w:p>
        </w:tc>
        <w:tc>
          <w:tcPr>
            <w:tcW w:w="703" w:type="dxa"/>
            <w:tcBorders>
              <w:top w:val="nil"/>
              <w:left w:val="nil"/>
              <w:bottom w:val="single" w:sz="4" w:space="0" w:color="auto"/>
              <w:right w:val="single" w:sz="4" w:space="0" w:color="auto"/>
            </w:tcBorders>
            <w:shd w:val="clear" w:color="auto" w:fill="auto"/>
            <w:noWrap/>
            <w:vAlign w:val="bottom"/>
            <w:hideMark/>
          </w:tcPr>
          <w:p w14:paraId="6F386D32"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85</w:t>
            </w:r>
          </w:p>
        </w:tc>
        <w:tc>
          <w:tcPr>
            <w:tcW w:w="609" w:type="dxa"/>
            <w:tcBorders>
              <w:top w:val="nil"/>
              <w:left w:val="nil"/>
              <w:bottom w:val="single" w:sz="4" w:space="0" w:color="auto"/>
              <w:right w:val="single" w:sz="4" w:space="0" w:color="auto"/>
            </w:tcBorders>
            <w:shd w:val="clear" w:color="auto" w:fill="auto"/>
            <w:noWrap/>
            <w:vAlign w:val="bottom"/>
            <w:hideMark/>
          </w:tcPr>
          <w:p w14:paraId="62C21BA3"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44</w:t>
            </w:r>
          </w:p>
        </w:tc>
        <w:tc>
          <w:tcPr>
            <w:tcW w:w="531" w:type="dxa"/>
            <w:tcBorders>
              <w:top w:val="nil"/>
              <w:left w:val="nil"/>
              <w:bottom w:val="single" w:sz="4" w:space="0" w:color="auto"/>
              <w:right w:val="single" w:sz="4" w:space="0" w:color="auto"/>
            </w:tcBorders>
            <w:shd w:val="clear" w:color="auto" w:fill="auto"/>
            <w:noWrap/>
            <w:vAlign w:val="bottom"/>
            <w:hideMark/>
          </w:tcPr>
          <w:p w14:paraId="4BAB1B73"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42</w:t>
            </w:r>
          </w:p>
        </w:tc>
        <w:tc>
          <w:tcPr>
            <w:tcW w:w="616" w:type="dxa"/>
            <w:tcBorders>
              <w:top w:val="nil"/>
              <w:left w:val="nil"/>
              <w:bottom w:val="single" w:sz="4" w:space="0" w:color="auto"/>
              <w:right w:val="single" w:sz="4" w:space="0" w:color="auto"/>
            </w:tcBorders>
            <w:shd w:val="clear" w:color="auto" w:fill="auto"/>
            <w:noWrap/>
            <w:vAlign w:val="bottom"/>
            <w:hideMark/>
          </w:tcPr>
          <w:p w14:paraId="7E48DF71"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80</w:t>
            </w:r>
          </w:p>
        </w:tc>
        <w:tc>
          <w:tcPr>
            <w:tcW w:w="620" w:type="dxa"/>
            <w:tcBorders>
              <w:top w:val="nil"/>
              <w:left w:val="nil"/>
              <w:bottom w:val="single" w:sz="4" w:space="0" w:color="auto"/>
              <w:right w:val="single" w:sz="4" w:space="0" w:color="auto"/>
            </w:tcBorders>
            <w:shd w:val="clear" w:color="auto" w:fill="auto"/>
            <w:noWrap/>
            <w:vAlign w:val="bottom"/>
            <w:hideMark/>
          </w:tcPr>
          <w:p w14:paraId="4CB0FBFE"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58</w:t>
            </w:r>
          </w:p>
        </w:tc>
        <w:tc>
          <w:tcPr>
            <w:tcW w:w="623" w:type="dxa"/>
            <w:tcBorders>
              <w:top w:val="nil"/>
              <w:left w:val="nil"/>
              <w:bottom w:val="single" w:sz="4" w:space="0" w:color="auto"/>
              <w:right w:val="single" w:sz="4" w:space="0" w:color="auto"/>
            </w:tcBorders>
            <w:shd w:val="clear" w:color="auto" w:fill="auto"/>
            <w:noWrap/>
            <w:vAlign w:val="bottom"/>
            <w:hideMark/>
          </w:tcPr>
          <w:p w14:paraId="3CC0288C"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53</w:t>
            </w:r>
          </w:p>
        </w:tc>
        <w:tc>
          <w:tcPr>
            <w:tcW w:w="551" w:type="dxa"/>
            <w:tcBorders>
              <w:top w:val="nil"/>
              <w:left w:val="nil"/>
              <w:bottom w:val="single" w:sz="4" w:space="0" w:color="auto"/>
              <w:right w:val="single" w:sz="4" w:space="0" w:color="auto"/>
            </w:tcBorders>
            <w:shd w:val="clear" w:color="auto" w:fill="auto"/>
            <w:noWrap/>
            <w:vAlign w:val="bottom"/>
            <w:hideMark/>
          </w:tcPr>
          <w:p w14:paraId="32E06491"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w:t>
            </w:r>
          </w:p>
        </w:tc>
        <w:tc>
          <w:tcPr>
            <w:tcW w:w="567" w:type="dxa"/>
            <w:tcBorders>
              <w:top w:val="nil"/>
              <w:left w:val="nil"/>
              <w:bottom w:val="single" w:sz="4" w:space="0" w:color="auto"/>
              <w:right w:val="single" w:sz="4" w:space="0" w:color="auto"/>
            </w:tcBorders>
            <w:shd w:val="clear" w:color="auto" w:fill="auto"/>
            <w:noWrap/>
            <w:vAlign w:val="bottom"/>
            <w:hideMark/>
          </w:tcPr>
          <w:p w14:paraId="657EE31E"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10</w:t>
            </w:r>
          </w:p>
        </w:tc>
        <w:tc>
          <w:tcPr>
            <w:tcW w:w="567" w:type="dxa"/>
            <w:tcBorders>
              <w:top w:val="nil"/>
              <w:left w:val="nil"/>
              <w:bottom w:val="single" w:sz="4" w:space="0" w:color="auto"/>
              <w:right w:val="single" w:sz="4" w:space="0" w:color="auto"/>
            </w:tcBorders>
            <w:shd w:val="clear" w:color="auto" w:fill="auto"/>
            <w:noWrap/>
            <w:vAlign w:val="bottom"/>
            <w:hideMark/>
          </w:tcPr>
          <w:p w14:paraId="4FDBEAF0"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7</w:t>
            </w:r>
          </w:p>
        </w:tc>
        <w:tc>
          <w:tcPr>
            <w:tcW w:w="703" w:type="dxa"/>
            <w:tcBorders>
              <w:top w:val="nil"/>
              <w:left w:val="nil"/>
              <w:bottom w:val="single" w:sz="4" w:space="0" w:color="auto"/>
              <w:right w:val="single" w:sz="4" w:space="0" w:color="auto"/>
            </w:tcBorders>
            <w:shd w:val="clear" w:color="auto" w:fill="auto"/>
            <w:noWrap/>
            <w:vAlign w:val="bottom"/>
            <w:hideMark/>
          </w:tcPr>
          <w:p w14:paraId="42D0C863"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315</w:t>
            </w:r>
          </w:p>
        </w:tc>
        <w:tc>
          <w:tcPr>
            <w:tcW w:w="700" w:type="dxa"/>
            <w:tcBorders>
              <w:top w:val="nil"/>
              <w:left w:val="nil"/>
              <w:bottom w:val="single" w:sz="4" w:space="0" w:color="auto"/>
              <w:right w:val="single" w:sz="4" w:space="0" w:color="auto"/>
            </w:tcBorders>
            <w:shd w:val="clear" w:color="auto" w:fill="auto"/>
            <w:noWrap/>
            <w:vAlign w:val="bottom"/>
            <w:hideMark/>
          </w:tcPr>
          <w:p w14:paraId="5EA45794"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242</w:t>
            </w:r>
          </w:p>
        </w:tc>
        <w:tc>
          <w:tcPr>
            <w:tcW w:w="680" w:type="dxa"/>
            <w:tcBorders>
              <w:top w:val="nil"/>
              <w:left w:val="nil"/>
              <w:bottom w:val="single" w:sz="4" w:space="0" w:color="auto"/>
              <w:right w:val="single" w:sz="4" w:space="0" w:color="auto"/>
            </w:tcBorders>
            <w:shd w:val="clear" w:color="auto" w:fill="auto"/>
            <w:noWrap/>
            <w:vAlign w:val="bottom"/>
            <w:hideMark/>
          </w:tcPr>
          <w:p w14:paraId="61C0ABE5"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189</w:t>
            </w:r>
          </w:p>
        </w:tc>
      </w:tr>
      <w:tr w:rsidR="00E335CE" w:rsidRPr="00B13B9A" w14:paraId="2EC6C6F5" w14:textId="77777777" w:rsidTr="00332FF7">
        <w:trPr>
          <w:trHeight w:val="2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10E0F205" w14:textId="77777777" w:rsidR="00E335CE" w:rsidRPr="00B13B9A" w:rsidRDefault="00E335CE" w:rsidP="00E335CE">
            <w:pPr>
              <w:spacing w:after="0" w:line="240" w:lineRule="auto"/>
              <w:jc w:val="center"/>
              <w:rPr>
                <w:rFonts w:asciiTheme="majorHAnsi" w:eastAsia="Times New Roman" w:hAnsiTheme="majorHAnsi" w:cstheme="majorHAnsi"/>
                <w:b/>
                <w:bCs/>
                <w:color w:val="000000"/>
                <w:sz w:val="16"/>
                <w:szCs w:val="16"/>
                <w:lang w:val="ro-MD"/>
              </w:rPr>
            </w:pPr>
            <w:r w:rsidRPr="00B13B9A">
              <w:rPr>
                <w:rFonts w:asciiTheme="majorHAnsi" w:eastAsia="Times New Roman" w:hAnsiTheme="majorHAnsi" w:cstheme="majorHAnsi"/>
                <w:b/>
                <w:bCs/>
                <w:color w:val="000000"/>
                <w:sz w:val="16"/>
                <w:szCs w:val="16"/>
                <w:lang w:val="ro-MD"/>
              </w:rPr>
              <w:t>mai.21</w:t>
            </w:r>
          </w:p>
        </w:tc>
        <w:tc>
          <w:tcPr>
            <w:tcW w:w="703" w:type="dxa"/>
            <w:tcBorders>
              <w:top w:val="nil"/>
              <w:left w:val="nil"/>
              <w:bottom w:val="single" w:sz="4" w:space="0" w:color="auto"/>
              <w:right w:val="single" w:sz="4" w:space="0" w:color="auto"/>
            </w:tcBorders>
            <w:shd w:val="clear" w:color="auto" w:fill="auto"/>
            <w:noWrap/>
            <w:vAlign w:val="bottom"/>
            <w:hideMark/>
          </w:tcPr>
          <w:p w14:paraId="20B159C6"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40</w:t>
            </w:r>
          </w:p>
        </w:tc>
        <w:tc>
          <w:tcPr>
            <w:tcW w:w="640" w:type="dxa"/>
            <w:tcBorders>
              <w:top w:val="nil"/>
              <w:left w:val="nil"/>
              <w:bottom w:val="single" w:sz="4" w:space="0" w:color="auto"/>
              <w:right w:val="single" w:sz="4" w:space="0" w:color="auto"/>
            </w:tcBorders>
            <w:shd w:val="clear" w:color="auto" w:fill="auto"/>
            <w:noWrap/>
            <w:vAlign w:val="bottom"/>
            <w:hideMark/>
          </w:tcPr>
          <w:p w14:paraId="4ECDBDFF"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26</w:t>
            </w:r>
          </w:p>
        </w:tc>
        <w:tc>
          <w:tcPr>
            <w:tcW w:w="580" w:type="dxa"/>
            <w:tcBorders>
              <w:top w:val="nil"/>
              <w:left w:val="nil"/>
              <w:bottom w:val="single" w:sz="4" w:space="0" w:color="auto"/>
              <w:right w:val="single" w:sz="4" w:space="0" w:color="auto"/>
            </w:tcBorders>
            <w:shd w:val="clear" w:color="auto" w:fill="auto"/>
            <w:noWrap/>
            <w:vAlign w:val="bottom"/>
            <w:hideMark/>
          </w:tcPr>
          <w:p w14:paraId="45FEBAE6"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21</w:t>
            </w:r>
          </w:p>
        </w:tc>
        <w:tc>
          <w:tcPr>
            <w:tcW w:w="703" w:type="dxa"/>
            <w:gridSpan w:val="2"/>
            <w:tcBorders>
              <w:top w:val="nil"/>
              <w:left w:val="nil"/>
              <w:bottom w:val="single" w:sz="4" w:space="0" w:color="auto"/>
              <w:right w:val="single" w:sz="4" w:space="0" w:color="auto"/>
            </w:tcBorders>
            <w:shd w:val="clear" w:color="auto" w:fill="auto"/>
            <w:noWrap/>
            <w:vAlign w:val="bottom"/>
            <w:hideMark/>
          </w:tcPr>
          <w:p w14:paraId="5854EC89"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45</w:t>
            </w:r>
          </w:p>
        </w:tc>
        <w:tc>
          <w:tcPr>
            <w:tcW w:w="680" w:type="dxa"/>
            <w:tcBorders>
              <w:top w:val="nil"/>
              <w:left w:val="nil"/>
              <w:bottom w:val="single" w:sz="4" w:space="0" w:color="auto"/>
              <w:right w:val="single" w:sz="4" w:space="0" w:color="auto"/>
            </w:tcBorders>
            <w:shd w:val="clear" w:color="auto" w:fill="auto"/>
            <w:noWrap/>
            <w:vAlign w:val="bottom"/>
            <w:hideMark/>
          </w:tcPr>
          <w:p w14:paraId="4D031B96"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35</w:t>
            </w:r>
          </w:p>
        </w:tc>
        <w:tc>
          <w:tcPr>
            <w:tcW w:w="534" w:type="dxa"/>
            <w:tcBorders>
              <w:top w:val="nil"/>
              <w:left w:val="nil"/>
              <w:bottom w:val="single" w:sz="4" w:space="0" w:color="auto"/>
              <w:right w:val="single" w:sz="4" w:space="0" w:color="auto"/>
            </w:tcBorders>
            <w:shd w:val="clear" w:color="auto" w:fill="auto"/>
            <w:noWrap/>
            <w:vAlign w:val="bottom"/>
            <w:hideMark/>
          </w:tcPr>
          <w:p w14:paraId="0B461ED7"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44</w:t>
            </w:r>
          </w:p>
        </w:tc>
        <w:tc>
          <w:tcPr>
            <w:tcW w:w="703" w:type="dxa"/>
            <w:gridSpan w:val="2"/>
            <w:tcBorders>
              <w:top w:val="nil"/>
              <w:left w:val="nil"/>
              <w:bottom w:val="single" w:sz="4" w:space="0" w:color="auto"/>
              <w:right w:val="single" w:sz="4" w:space="0" w:color="auto"/>
            </w:tcBorders>
            <w:shd w:val="clear" w:color="auto" w:fill="auto"/>
            <w:noWrap/>
            <w:vAlign w:val="bottom"/>
            <w:hideMark/>
          </w:tcPr>
          <w:p w14:paraId="1C19CD50"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65</w:t>
            </w:r>
          </w:p>
        </w:tc>
        <w:tc>
          <w:tcPr>
            <w:tcW w:w="629" w:type="dxa"/>
            <w:tcBorders>
              <w:top w:val="nil"/>
              <w:left w:val="nil"/>
              <w:bottom w:val="single" w:sz="4" w:space="0" w:color="auto"/>
              <w:right w:val="single" w:sz="4" w:space="0" w:color="auto"/>
            </w:tcBorders>
            <w:shd w:val="clear" w:color="auto" w:fill="auto"/>
            <w:noWrap/>
            <w:vAlign w:val="bottom"/>
            <w:hideMark/>
          </w:tcPr>
          <w:p w14:paraId="24E63A2D"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26</w:t>
            </w:r>
          </w:p>
        </w:tc>
        <w:tc>
          <w:tcPr>
            <w:tcW w:w="567" w:type="dxa"/>
            <w:tcBorders>
              <w:top w:val="nil"/>
              <w:left w:val="nil"/>
              <w:bottom w:val="single" w:sz="4" w:space="0" w:color="auto"/>
              <w:right w:val="single" w:sz="4" w:space="0" w:color="auto"/>
            </w:tcBorders>
            <w:shd w:val="clear" w:color="auto" w:fill="auto"/>
            <w:noWrap/>
            <w:vAlign w:val="bottom"/>
            <w:hideMark/>
          </w:tcPr>
          <w:p w14:paraId="2F528818"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48</w:t>
            </w:r>
          </w:p>
        </w:tc>
        <w:tc>
          <w:tcPr>
            <w:tcW w:w="703" w:type="dxa"/>
            <w:tcBorders>
              <w:top w:val="nil"/>
              <w:left w:val="nil"/>
              <w:bottom w:val="single" w:sz="4" w:space="0" w:color="auto"/>
              <w:right w:val="single" w:sz="4" w:space="0" w:color="auto"/>
            </w:tcBorders>
            <w:shd w:val="clear" w:color="auto" w:fill="auto"/>
            <w:noWrap/>
            <w:vAlign w:val="bottom"/>
            <w:hideMark/>
          </w:tcPr>
          <w:p w14:paraId="0C3BDFF5"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85</w:t>
            </w:r>
          </w:p>
        </w:tc>
        <w:tc>
          <w:tcPr>
            <w:tcW w:w="609" w:type="dxa"/>
            <w:tcBorders>
              <w:top w:val="nil"/>
              <w:left w:val="nil"/>
              <w:bottom w:val="single" w:sz="4" w:space="0" w:color="auto"/>
              <w:right w:val="single" w:sz="4" w:space="0" w:color="auto"/>
            </w:tcBorders>
            <w:shd w:val="clear" w:color="auto" w:fill="auto"/>
            <w:noWrap/>
            <w:vAlign w:val="bottom"/>
            <w:hideMark/>
          </w:tcPr>
          <w:p w14:paraId="700B684F"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42</w:t>
            </w:r>
          </w:p>
        </w:tc>
        <w:tc>
          <w:tcPr>
            <w:tcW w:w="531" w:type="dxa"/>
            <w:tcBorders>
              <w:top w:val="nil"/>
              <w:left w:val="nil"/>
              <w:bottom w:val="single" w:sz="4" w:space="0" w:color="auto"/>
              <w:right w:val="single" w:sz="4" w:space="0" w:color="auto"/>
            </w:tcBorders>
            <w:shd w:val="clear" w:color="auto" w:fill="auto"/>
            <w:noWrap/>
            <w:vAlign w:val="bottom"/>
            <w:hideMark/>
          </w:tcPr>
          <w:p w14:paraId="00AD8248"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38</w:t>
            </w:r>
          </w:p>
        </w:tc>
        <w:tc>
          <w:tcPr>
            <w:tcW w:w="616" w:type="dxa"/>
            <w:tcBorders>
              <w:top w:val="nil"/>
              <w:left w:val="nil"/>
              <w:bottom w:val="single" w:sz="4" w:space="0" w:color="auto"/>
              <w:right w:val="single" w:sz="4" w:space="0" w:color="auto"/>
            </w:tcBorders>
            <w:shd w:val="clear" w:color="auto" w:fill="auto"/>
            <w:noWrap/>
            <w:vAlign w:val="bottom"/>
            <w:hideMark/>
          </w:tcPr>
          <w:p w14:paraId="1B6BC712"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80</w:t>
            </w:r>
          </w:p>
        </w:tc>
        <w:tc>
          <w:tcPr>
            <w:tcW w:w="620" w:type="dxa"/>
            <w:tcBorders>
              <w:top w:val="nil"/>
              <w:left w:val="nil"/>
              <w:bottom w:val="single" w:sz="4" w:space="0" w:color="auto"/>
              <w:right w:val="single" w:sz="4" w:space="0" w:color="auto"/>
            </w:tcBorders>
            <w:shd w:val="clear" w:color="auto" w:fill="auto"/>
            <w:noWrap/>
            <w:vAlign w:val="bottom"/>
            <w:hideMark/>
          </w:tcPr>
          <w:p w14:paraId="10C0B8E3"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53</w:t>
            </w:r>
          </w:p>
        </w:tc>
        <w:tc>
          <w:tcPr>
            <w:tcW w:w="623" w:type="dxa"/>
            <w:tcBorders>
              <w:top w:val="nil"/>
              <w:left w:val="nil"/>
              <w:bottom w:val="single" w:sz="4" w:space="0" w:color="auto"/>
              <w:right w:val="single" w:sz="4" w:space="0" w:color="auto"/>
            </w:tcBorders>
            <w:shd w:val="clear" w:color="auto" w:fill="auto"/>
            <w:noWrap/>
            <w:vAlign w:val="bottom"/>
            <w:hideMark/>
          </w:tcPr>
          <w:p w14:paraId="4C81960C"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43</w:t>
            </w:r>
          </w:p>
        </w:tc>
        <w:tc>
          <w:tcPr>
            <w:tcW w:w="551" w:type="dxa"/>
            <w:tcBorders>
              <w:top w:val="nil"/>
              <w:left w:val="nil"/>
              <w:bottom w:val="single" w:sz="4" w:space="0" w:color="auto"/>
              <w:right w:val="single" w:sz="4" w:space="0" w:color="auto"/>
            </w:tcBorders>
            <w:shd w:val="clear" w:color="auto" w:fill="auto"/>
            <w:noWrap/>
            <w:vAlign w:val="bottom"/>
            <w:hideMark/>
          </w:tcPr>
          <w:p w14:paraId="226627AF"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w:t>
            </w:r>
          </w:p>
        </w:tc>
        <w:tc>
          <w:tcPr>
            <w:tcW w:w="567" w:type="dxa"/>
            <w:tcBorders>
              <w:top w:val="nil"/>
              <w:left w:val="nil"/>
              <w:bottom w:val="single" w:sz="4" w:space="0" w:color="auto"/>
              <w:right w:val="single" w:sz="4" w:space="0" w:color="auto"/>
            </w:tcBorders>
            <w:shd w:val="clear" w:color="auto" w:fill="auto"/>
            <w:noWrap/>
            <w:vAlign w:val="bottom"/>
            <w:hideMark/>
          </w:tcPr>
          <w:p w14:paraId="440D3426"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7</w:t>
            </w:r>
          </w:p>
        </w:tc>
        <w:tc>
          <w:tcPr>
            <w:tcW w:w="567" w:type="dxa"/>
            <w:tcBorders>
              <w:top w:val="nil"/>
              <w:left w:val="nil"/>
              <w:bottom w:val="single" w:sz="4" w:space="0" w:color="auto"/>
              <w:right w:val="single" w:sz="4" w:space="0" w:color="auto"/>
            </w:tcBorders>
            <w:shd w:val="clear" w:color="auto" w:fill="auto"/>
            <w:noWrap/>
            <w:vAlign w:val="bottom"/>
            <w:hideMark/>
          </w:tcPr>
          <w:p w14:paraId="49966BE6"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w:t>
            </w:r>
          </w:p>
        </w:tc>
        <w:tc>
          <w:tcPr>
            <w:tcW w:w="703" w:type="dxa"/>
            <w:tcBorders>
              <w:top w:val="nil"/>
              <w:left w:val="nil"/>
              <w:bottom w:val="single" w:sz="4" w:space="0" w:color="auto"/>
              <w:right w:val="single" w:sz="4" w:space="0" w:color="auto"/>
            </w:tcBorders>
            <w:shd w:val="clear" w:color="auto" w:fill="auto"/>
            <w:noWrap/>
            <w:vAlign w:val="bottom"/>
            <w:hideMark/>
          </w:tcPr>
          <w:p w14:paraId="2AB62515"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315</w:t>
            </w:r>
          </w:p>
        </w:tc>
        <w:tc>
          <w:tcPr>
            <w:tcW w:w="700" w:type="dxa"/>
            <w:tcBorders>
              <w:top w:val="nil"/>
              <w:left w:val="nil"/>
              <w:bottom w:val="single" w:sz="4" w:space="0" w:color="auto"/>
              <w:right w:val="single" w:sz="4" w:space="0" w:color="auto"/>
            </w:tcBorders>
            <w:shd w:val="clear" w:color="auto" w:fill="auto"/>
            <w:noWrap/>
            <w:vAlign w:val="bottom"/>
            <w:hideMark/>
          </w:tcPr>
          <w:p w14:paraId="28B957E5"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189</w:t>
            </w:r>
          </w:p>
        </w:tc>
        <w:tc>
          <w:tcPr>
            <w:tcW w:w="680" w:type="dxa"/>
            <w:tcBorders>
              <w:top w:val="nil"/>
              <w:left w:val="nil"/>
              <w:bottom w:val="single" w:sz="4" w:space="0" w:color="auto"/>
              <w:right w:val="single" w:sz="4" w:space="0" w:color="auto"/>
            </w:tcBorders>
            <w:shd w:val="clear" w:color="auto" w:fill="auto"/>
            <w:noWrap/>
            <w:vAlign w:val="bottom"/>
            <w:hideMark/>
          </w:tcPr>
          <w:p w14:paraId="696DA7AF"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198</w:t>
            </w:r>
          </w:p>
        </w:tc>
      </w:tr>
      <w:tr w:rsidR="00E335CE" w:rsidRPr="00B13B9A" w14:paraId="2B5C582A" w14:textId="77777777" w:rsidTr="00332FF7">
        <w:trPr>
          <w:trHeight w:val="2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1ACB6B70" w14:textId="77777777" w:rsidR="00E335CE" w:rsidRPr="00B13B9A" w:rsidRDefault="00E335CE" w:rsidP="00E335CE">
            <w:pPr>
              <w:spacing w:after="0" w:line="240" w:lineRule="auto"/>
              <w:jc w:val="center"/>
              <w:rPr>
                <w:rFonts w:asciiTheme="majorHAnsi" w:eastAsia="Times New Roman" w:hAnsiTheme="majorHAnsi" w:cstheme="majorHAnsi"/>
                <w:b/>
                <w:bCs/>
                <w:color w:val="000000"/>
                <w:sz w:val="16"/>
                <w:szCs w:val="16"/>
                <w:lang w:val="ro-MD"/>
              </w:rPr>
            </w:pPr>
            <w:r w:rsidRPr="00B13B9A">
              <w:rPr>
                <w:rFonts w:asciiTheme="majorHAnsi" w:eastAsia="Times New Roman" w:hAnsiTheme="majorHAnsi" w:cstheme="majorHAnsi"/>
                <w:b/>
                <w:bCs/>
                <w:color w:val="000000"/>
                <w:sz w:val="16"/>
                <w:szCs w:val="16"/>
                <w:lang w:val="ro-MD"/>
              </w:rPr>
              <w:t>iun.21</w:t>
            </w:r>
          </w:p>
        </w:tc>
        <w:tc>
          <w:tcPr>
            <w:tcW w:w="703" w:type="dxa"/>
            <w:tcBorders>
              <w:top w:val="nil"/>
              <w:left w:val="nil"/>
              <w:bottom w:val="single" w:sz="4" w:space="0" w:color="auto"/>
              <w:right w:val="single" w:sz="4" w:space="0" w:color="auto"/>
            </w:tcBorders>
            <w:shd w:val="clear" w:color="auto" w:fill="auto"/>
            <w:noWrap/>
            <w:vAlign w:val="bottom"/>
            <w:hideMark/>
          </w:tcPr>
          <w:p w14:paraId="08E577A4"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40</w:t>
            </w:r>
          </w:p>
        </w:tc>
        <w:tc>
          <w:tcPr>
            <w:tcW w:w="640" w:type="dxa"/>
            <w:tcBorders>
              <w:top w:val="nil"/>
              <w:left w:val="nil"/>
              <w:bottom w:val="single" w:sz="4" w:space="0" w:color="auto"/>
              <w:right w:val="single" w:sz="4" w:space="0" w:color="auto"/>
            </w:tcBorders>
            <w:shd w:val="clear" w:color="auto" w:fill="auto"/>
            <w:noWrap/>
            <w:vAlign w:val="bottom"/>
            <w:hideMark/>
          </w:tcPr>
          <w:p w14:paraId="662B7AC9"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21</w:t>
            </w:r>
          </w:p>
        </w:tc>
        <w:tc>
          <w:tcPr>
            <w:tcW w:w="580" w:type="dxa"/>
            <w:tcBorders>
              <w:top w:val="nil"/>
              <w:left w:val="nil"/>
              <w:bottom w:val="single" w:sz="4" w:space="0" w:color="auto"/>
              <w:right w:val="single" w:sz="4" w:space="0" w:color="auto"/>
            </w:tcBorders>
            <w:shd w:val="clear" w:color="auto" w:fill="auto"/>
            <w:noWrap/>
            <w:vAlign w:val="bottom"/>
            <w:hideMark/>
          </w:tcPr>
          <w:p w14:paraId="2D12514E"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18</w:t>
            </w:r>
          </w:p>
        </w:tc>
        <w:tc>
          <w:tcPr>
            <w:tcW w:w="703" w:type="dxa"/>
            <w:gridSpan w:val="2"/>
            <w:tcBorders>
              <w:top w:val="nil"/>
              <w:left w:val="nil"/>
              <w:bottom w:val="single" w:sz="4" w:space="0" w:color="auto"/>
              <w:right w:val="single" w:sz="4" w:space="0" w:color="auto"/>
            </w:tcBorders>
            <w:shd w:val="clear" w:color="auto" w:fill="auto"/>
            <w:noWrap/>
            <w:vAlign w:val="bottom"/>
            <w:hideMark/>
          </w:tcPr>
          <w:p w14:paraId="32C5E079"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45</w:t>
            </w:r>
          </w:p>
        </w:tc>
        <w:tc>
          <w:tcPr>
            <w:tcW w:w="680" w:type="dxa"/>
            <w:tcBorders>
              <w:top w:val="nil"/>
              <w:left w:val="nil"/>
              <w:bottom w:val="single" w:sz="4" w:space="0" w:color="auto"/>
              <w:right w:val="single" w:sz="4" w:space="0" w:color="auto"/>
            </w:tcBorders>
            <w:shd w:val="clear" w:color="auto" w:fill="auto"/>
            <w:noWrap/>
            <w:vAlign w:val="bottom"/>
            <w:hideMark/>
          </w:tcPr>
          <w:p w14:paraId="6C415234"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44</w:t>
            </w:r>
          </w:p>
        </w:tc>
        <w:tc>
          <w:tcPr>
            <w:tcW w:w="534" w:type="dxa"/>
            <w:tcBorders>
              <w:top w:val="nil"/>
              <w:left w:val="nil"/>
              <w:bottom w:val="single" w:sz="4" w:space="0" w:color="auto"/>
              <w:right w:val="single" w:sz="4" w:space="0" w:color="auto"/>
            </w:tcBorders>
            <w:shd w:val="clear" w:color="auto" w:fill="auto"/>
            <w:noWrap/>
            <w:vAlign w:val="bottom"/>
            <w:hideMark/>
          </w:tcPr>
          <w:p w14:paraId="20FB8356"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34</w:t>
            </w:r>
          </w:p>
        </w:tc>
        <w:tc>
          <w:tcPr>
            <w:tcW w:w="703" w:type="dxa"/>
            <w:gridSpan w:val="2"/>
            <w:tcBorders>
              <w:top w:val="nil"/>
              <w:left w:val="nil"/>
              <w:bottom w:val="single" w:sz="4" w:space="0" w:color="auto"/>
              <w:right w:val="single" w:sz="4" w:space="0" w:color="auto"/>
            </w:tcBorders>
            <w:shd w:val="clear" w:color="auto" w:fill="auto"/>
            <w:noWrap/>
            <w:vAlign w:val="bottom"/>
            <w:hideMark/>
          </w:tcPr>
          <w:p w14:paraId="6BEA4A30"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65</w:t>
            </w:r>
          </w:p>
        </w:tc>
        <w:tc>
          <w:tcPr>
            <w:tcW w:w="629" w:type="dxa"/>
            <w:tcBorders>
              <w:top w:val="nil"/>
              <w:left w:val="nil"/>
              <w:bottom w:val="single" w:sz="4" w:space="0" w:color="auto"/>
              <w:right w:val="single" w:sz="4" w:space="0" w:color="auto"/>
            </w:tcBorders>
            <w:shd w:val="clear" w:color="auto" w:fill="auto"/>
            <w:noWrap/>
            <w:vAlign w:val="bottom"/>
            <w:hideMark/>
          </w:tcPr>
          <w:p w14:paraId="162D0C60"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48</w:t>
            </w:r>
          </w:p>
        </w:tc>
        <w:tc>
          <w:tcPr>
            <w:tcW w:w="567" w:type="dxa"/>
            <w:tcBorders>
              <w:top w:val="nil"/>
              <w:left w:val="nil"/>
              <w:bottom w:val="single" w:sz="4" w:space="0" w:color="auto"/>
              <w:right w:val="single" w:sz="4" w:space="0" w:color="auto"/>
            </w:tcBorders>
            <w:shd w:val="clear" w:color="auto" w:fill="auto"/>
            <w:noWrap/>
            <w:vAlign w:val="bottom"/>
            <w:hideMark/>
          </w:tcPr>
          <w:p w14:paraId="594078F1"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45</w:t>
            </w:r>
          </w:p>
        </w:tc>
        <w:tc>
          <w:tcPr>
            <w:tcW w:w="703" w:type="dxa"/>
            <w:tcBorders>
              <w:top w:val="nil"/>
              <w:left w:val="nil"/>
              <w:bottom w:val="single" w:sz="4" w:space="0" w:color="auto"/>
              <w:right w:val="single" w:sz="4" w:space="0" w:color="auto"/>
            </w:tcBorders>
            <w:shd w:val="clear" w:color="auto" w:fill="auto"/>
            <w:noWrap/>
            <w:vAlign w:val="bottom"/>
            <w:hideMark/>
          </w:tcPr>
          <w:p w14:paraId="196CACFD"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85</w:t>
            </w:r>
          </w:p>
        </w:tc>
        <w:tc>
          <w:tcPr>
            <w:tcW w:w="609" w:type="dxa"/>
            <w:tcBorders>
              <w:top w:val="nil"/>
              <w:left w:val="nil"/>
              <w:bottom w:val="single" w:sz="4" w:space="0" w:color="auto"/>
              <w:right w:val="single" w:sz="4" w:space="0" w:color="auto"/>
            </w:tcBorders>
            <w:shd w:val="clear" w:color="auto" w:fill="auto"/>
            <w:noWrap/>
            <w:vAlign w:val="bottom"/>
            <w:hideMark/>
          </w:tcPr>
          <w:p w14:paraId="79352DEA"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38</w:t>
            </w:r>
          </w:p>
        </w:tc>
        <w:tc>
          <w:tcPr>
            <w:tcW w:w="531" w:type="dxa"/>
            <w:tcBorders>
              <w:top w:val="nil"/>
              <w:left w:val="nil"/>
              <w:bottom w:val="single" w:sz="4" w:space="0" w:color="auto"/>
              <w:right w:val="single" w:sz="4" w:space="0" w:color="auto"/>
            </w:tcBorders>
            <w:shd w:val="clear" w:color="auto" w:fill="auto"/>
            <w:noWrap/>
            <w:vAlign w:val="bottom"/>
            <w:hideMark/>
          </w:tcPr>
          <w:p w14:paraId="082F5935"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46</w:t>
            </w:r>
          </w:p>
        </w:tc>
        <w:tc>
          <w:tcPr>
            <w:tcW w:w="616" w:type="dxa"/>
            <w:tcBorders>
              <w:top w:val="nil"/>
              <w:left w:val="nil"/>
              <w:bottom w:val="single" w:sz="4" w:space="0" w:color="auto"/>
              <w:right w:val="single" w:sz="4" w:space="0" w:color="auto"/>
            </w:tcBorders>
            <w:shd w:val="clear" w:color="auto" w:fill="auto"/>
            <w:noWrap/>
            <w:vAlign w:val="bottom"/>
            <w:hideMark/>
          </w:tcPr>
          <w:p w14:paraId="1B7DE8A6"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80</w:t>
            </w:r>
          </w:p>
        </w:tc>
        <w:tc>
          <w:tcPr>
            <w:tcW w:w="620" w:type="dxa"/>
            <w:tcBorders>
              <w:top w:val="nil"/>
              <w:left w:val="nil"/>
              <w:bottom w:val="single" w:sz="4" w:space="0" w:color="auto"/>
              <w:right w:val="single" w:sz="4" w:space="0" w:color="auto"/>
            </w:tcBorders>
            <w:shd w:val="clear" w:color="auto" w:fill="auto"/>
            <w:noWrap/>
            <w:vAlign w:val="bottom"/>
            <w:hideMark/>
          </w:tcPr>
          <w:p w14:paraId="4852EA17"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43</w:t>
            </w:r>
          </w:p>
        </w:tc>
        <w:tc>
          <w:tcPr>
            <w:tcW w:w="623" w:type="dxa"/>
            <w:tcBorders>
              <w:top w:val="nil"/>
              <w:left w:val="nil"/>
              <w:bottom w:val="single" w:sz="4" w:space="0" w:color="auto"/>
              <w:right w:val="single" w:sz="4" w:space="0" w:color="auto"/>
            </w:tcBorders>
            <w:shd w:val="clear" w:color="auto" w:fill="auto"/>
            <w:noWrap/>
            <w:vAlign w:val="bottom"/>
            <w:hideMark/>
          </w:tcPr>
          <w:p w14:paraId="2FEB60A1"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25</w:t>
            </w:r>
          </w:p>
        </w:tc>
        <w:tc>
          <w:tcPr>
            <w:tcW w:w="551" w:type="dxa"/>
            <w:tcBorders>
              <w:top w:val="nil"/>
              <w:left w:val="nil"/>
              <w:bottom w:val="single" w:sz="4" w:space="0" w:color="auto"/>
              <w:right w:val="single" w:sz="4" w:space="0" w:color="auto"/>
            </w:tcBorders>
            <w:shd w:val="clear" w:color="auto" w:fill="auto"/>
            <w:noWrap/>
            <w:vAlign w:val="bottom"/>
            <w:hideMark/>
          </w:tcPr>
          <w:p w14:paraId="73E6C605"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w:t>
            </w:r>
          </w:p>
        </w:tc>
        <w:tc>
          <w:tcPr>
            <w:tcW w:w="567" w:type="dxa"/>
            <w:tcBorders>
              <w:top w:val="nil"/>
              <w:left w:val="nil"/>
              <w:bottom w:val="single" w:sz="4" w:space="0" w:color="auto"/>
              <w:right w:val="single" w:sz="4" w:space="0" w:color="auto"/>
            </w:tcBorders>
            <w:shd w:val="clear" w:color="auto" w:fill="auto"/>
            <w:noWrap/>
            <w:vAlign w:val="bottom"/>
            <w:hideMark/>
          </w:tcPr>
          <w:p w14:paraId="77479D3B"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w:t>
            </w:r>
          </w:p>
        </w:tc>
        <w:tc>
          <w:tcPr>
            <w:tcW w:w="567" w:type="dxa"/>
            <w:tcBorders>
              <w:top w:val="nil"/>
              <w:left w:val="nil"/>
              <w:bottom w:val="single" w:sz="4" w:space="0" w:color="auto"/>
              <w:right w:val="single" w:sz="4" w:space="0" w:color="auto"/>
            </w:tcBorders>
            <w:shd w:val="clear" w:color="auto" w:fill="auto"/>
            <w:noWrap/>
            <w:vAlign w:val="bottom"/>
            <w:hideMark/>
          </w:tcPr>
          <w:p w14:paraId="1167E489"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w:t>
            </w:r>
          </w:p>
        </w:tc>
        <w:tc>
          <w:tcPr>
            <w:tcW w:w="703" w:type="dxa"/>
            <w:tcBorders>
              <w:top w:val="nil"/>
              <w:left w:val="nil"/>
              <w:bottom w:val="single" w:sz="4" w:space="0" w:color="auto"/>
              <w:right w:val="single" w:sz="4" w:space="0" w:color="auto"/>
            </w:tcBorders>
            <w:shd w:val="clear" w:color="auto" w:fill="auto"/>
            <w:noWrap/>
            <w:vAlign w:val="bottom"/>
            <w:hideMark/>
          </w:tcPr>
          <w:p w14:paraId="59B7183C"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315</w:t>
            </w:r>
          </w:p>
        </w:tc>
        <w:tc>
          <w:tcPr>
            <w:tcW w:w="700" w:type="dxa"/>
            <w:tcBorders>
              <w:top w:val="nil"/>
              <w:left w:val="nil"/>
              <w:bottom w:val="single" w:sz="4" w:space="0" w:color="auto"/>
              <w:right w:val="single" w:sz="4" w:space="0" w:color="auto"/>
            </w:tcBorders>
            <w:shd w:val="clear" w:color="auto" w:fill="auto"/>
            <w:noWrap/>
            <w:vAlign w:val="bottom"/>
            <w:hideMark/>
          </w:tcPr>
          <w:p w14:paraId="6029A60A"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198</w:t>
            </w:r>
          </w:p>
        </w:tc>
        <w:tc>
          <w:tcPr>
            <w:tcW w:w="680" w:type="dxa"/>
            <w:tcBorders>
              <w:top w:val="nil"/>
              <w:left w:val="nil"/>
              <w:bottom w:val="single" w:sz="4" w:space="0" w:color="auto"/>
              <w:right w:val="single" w:sz="4" w:space="0" w:color="auto"/>
            </w:tcBorders>
            <w:shd w:val="clear" w:color="auto" w:fill="auto"/>
            <w:noWrap/>
            <w:vAlign w:val="bottom"/>
            <w:hideMark/>
          </w:tcPr>
          <w:p w14:paraId="38D3AB38"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172</w:t>
            </w:r>
          </w:p>
        </w:tc>
      </w:tr>
      <w:tr w:rsidR="00E335CE" w:rsidRPr="00B13B9A" w14:paraId="4C10F941" w14:textId="77777777" w:rsidTr="00332FF7">
        <w:trPr>
          <w:trHeight w:val="2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10AF0E6A" w14:textId="77777777" w:rsidR="00E335CE" w:rsidRPr="00B13B9A" w:rsidRDefault="00E335CE" w:rsidP="00E335CE">
            <w:pPr>
              <w:spacing w:after="0" w:line="240" w:lineRule="auto"/>
              <w:jc w:val="center"/>
              <w:rPr>
                <w:rFonts w:asciiTheme="majorHAnsi" w:eastAsia="Times New Roman" w:hAnsiTheme="majorHAnsi" w:cstheme="majorHAnsi"/>
                <w:b/>
                <w:bCs/>
                <w:color w:val="000000"/>
                <w:sz w:val="16"/>
                <w:szCs w:val="16"/>
                <w:lang w:val="ro-MD"/>
              </w:rPr>
            </w:pPr>
            <w:r w:rsidRPr="00B13B9A">
              <w:rPr>
                <w:rFonts w:asciiTheme="majorHAnsi" w:eastAsia="Times New Roman" w:hAnsiTheme="majorHAnsi" w:cstheme="majorHAnsi"/>
                <w:b/>
                <w:bCs/>
                <w:color w:val="000000"/>
                <w:sz w:val="16"/>
                <w:szCs w:val="16"/>
                <w:lang w:val="ro-MD"/>
              </w:rPr>
              <w:t>iul.21</w:t>
            </w:r>
          </w:p>
        </w:tc>
        <w:tc>
          <w:tcPr>
            <w:tcW w:w="703" w:type="dxa"/>
            <w:tcBorders>
              <w:top w:val="nil"/>
              <w:left w:val="nil"/>
              <w:bottom w:val="single" w:sz="4" w:space="0" w:color="auto"/>
              <w:right w:val="single" w:sz="4" w:space="0" w:color="auto"/>
            </w:tcBorders>
            <w:shd w:val="clear" w:color="auto" w:fill="auto"/>
            <w:noWrap/>
            <w:vAlign w:val="bottom"/>
            <w:hideMark/>
          </w:tcPr>
          <w:p w14:paraId="26C8B31B"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40</w:t>
            </w:r>
          </w:p>
        </w:tc>
        <w:tc>
          <w:tcPr>
            <w:tcW w:w="640" w:type="dxa"/>
            <w:tcBorders>
              <w:top w:val="nil"/>
              <w:left w:val="nil"/>
              <w:bottom w:val="single" w:sz="4" w:space="0" w:color="auto"/>
              <w:right w:val="single" w:sz="4" w:space="0" w:color="auto"/>
            </w:tcBorders>
            <w:shd w:val="clear" w:color="auto" w:fill="auto"/>
            <w:noWrap/>
            <w:vAlign w:val="bottom"/>
            <w:hideMark/>
          </w:tcPr>
          <w:p w14:paraId="7C8BC7EE"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18</w:t>
            </w:r>
          </w:p>
        </w:tc>
        <w:tc>
          <w:tcPr>
            <w:tcW w:w="580" w:type="dxa"/>
            <w:tcBorders>
              <w:top w:val="nil"/>
              <w:left w:val="nil"/>
              <w:bottom w:val="single" w:sz="4" w:space="0" w:color="auto"/>
              <w:right w:val="single" w:sz="4" w:space="0" w:color="auto"/>
            </w:tcBorders>
            <w:shd w:val="clear" w:color="auto" w:fill="auto"/>
            <w:noWrap/>
            <w:vAlign w:val="bottom"/>
            <w:hideMark/>
          </w:tcPr>
          <w:p w14:paraId="1981ED59"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27</w:t>
            </w:r>
          </w:p>
        </w:tc>
        <w:tc>
          <w:tcPr>
            <w:tcW w:w="703" w:type="dxa"/>
            <w:gridSpan w:val="2"/>
            <w:tcBorders>
              <w:top w:val="nil"/>
              <w:left w:val="nil"/>
              <w:bottom w:val="single" w:sz="4" w:space="0" w:color="auto"/>
              <w:right w:val="single" w:sz="4" w:space="0" w:color="auto"/>
            </w:tcBorders>
            <w:shd w:val="clear" w:color="auto" w:fill="auto"/>
            <w:noWrap/>
            <w:vAlign w:val="bottom"/>
            <w:hideMark/>
          </w:tcPr>
          <w:p w14:paraId="287B3AC9"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45</w:t>
            </w:r>
          </w:p>
        </w:tc>
        <w:tc>
          <w:tcPr>
            <w:tcW w:w="680" w:type="dxa"/>
            <w:tcBorders>
              <w:top w:val="nil"/>
              <w:left w:val="nil"/>
              <w:bottom w:val="single" w:sz="4" w:space="0" w:color="auto"/>
              <w:right w:val="single" w:sz="4" w:space="0" w:color="auto"/>
            </w:tcBorders>
            <w:shd w:val="clear" w:color="auto" w:fill="auto"/>
            <w:noWrap/>
            <w:vAlign w:val="bottom"/>
            <w:hideMark/>
          </w:tcPr>
          <w:p w14:paraId="1A8B077D"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34</w:t>
            </w:r>
          </w:p>
        </w:tc>
        <w:tc>
          <w:tcPr>
            <w:tcW w:w="534" w:type="dxa"/>
            <w:tcBorders>
              <w:top w:val="nil"/>
              <w:left w:val="nil"/>
              <w:bottom w:val="single" w:sz="4" w:space="0" w:color="auto"/>
              <w:right w:val="single" w:sz="4" w:space="0" w:color="auto"/>
            </w:tcBorders>
            <w:shd w:val="clear" w:color="auto" w:fill="auto"/>
            <w:noWrap/>
            <w:vAlign w:val="bottom"/>
            <w:hideMark/>
          </w:tcPr>
          <w:p w14:paraId="62AB1169"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41</w:t>
            </w:r>
          </w:p>
        </w:tc>
        <w:tc>
          <w:tcPr>
            <w:tcW w:w="703" w:type="dxa"/>
            <w:gridSpan w:val="2"/>
            <w:tcBorders>
              <w:top w:val="nil"/>
              <w:left w:val="nil"/>
              <w:bottom w:val="single" w:sz="4" w:space="0" w:color="auto"/>
              <w:right w:val="single" w:sz="4" w:space="0" w:color="auto"/>
            </w:tcBorders>
            <w:shd w:val="clear" w:color="auto" w:fill="auto"/>
            <w:noWrap/>
            <w:vAlign w:val="bottom"/>
            <w:hideMark/>
          </w:tcPr>
          <w:p w14:paraId="57C7E287"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65</w:t>
            </w:r>
          </w:p>
        </w:tc>
        <w:tc>
          <w:tcPr>
            <w:tcW w:w="629" w:type="dxa"/>
            <w:tcBorders>
              <w:top w:val="nil"/>
              <w:left w:val="nil"/>
              <w:bottom w:val="single" w:sz="4" w:space="0" w:color="auto"/>
              <w:right w:val="single" w:sz="4" w:space="0" w:color="auto"/>
            </w:tcBorders>
            <w:shd w:val="clear" w:color="auto" w:fill="auto"/>
            <w:noWrap/>
            <w:vAlign w:val="bottom"/>
            <w:hideMark/>
          </w:tcPr>
          <w:p w14:paraId="2A4A38C6"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45</w:t>
            </w:r>
          </w:p>
        </w:tc>
        <w:tc>
          <w:tcPr>
            <w:tcW w:w="567" w:type="dxa"/>
            <w:tcBorders>
              <w:top w:val="nil"/>
              <w:left w:val="nil"/>
              <w:bottom w:val="single" w:sz="4" w:space="0" w:color="auto"/>
              <w:right w:val="single" w:sz="4" w:space="0" w:color="auto"/>
            </w:tcBorders>
            <w:shd w:val="clear" w:color="auto" w:fill="auto"/>
            <w:noWrap/>
            <w:vAlign w:val="bottom"/>
            <w:hideMark/>
          </w:tcPr>
          <w:p w14:paraId="7C70D4B3"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41</w:t>
            </w:r>
          </w:p>
        </w:tc>
        <w:tc>
          <w:tcPr>
            <w:tcW w:w="703" w:type="dxa"/>
            <w:tcBorders>
              <w:top w:val="nil"/>
              <w:left w:val="nil"/>
              <w:bottom w:val="single" w:sz="4" w:space="0" w:color="auto"/>
              <w:right w:val="single" w:sz="4" w:space="0" w:color="auto"/>
            </w:tcBorders>
            <w:shd w:val="clear" w:color="auto" w:fill="auto"/>
            <w:noWrap/>
            <w:vAlign w:val="bottom"/>
            <w:hideMark/>
          </w:tcPr>
          <w:p w14:paraId="0F9CCFE4"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85</w:t>
            </w:r>
          </w:p>
        </w:tc>
        <w:tc>
          <w:tcPr>
            <w:tcW w:w="609" w:type="dxa"/>
            <w:tcBorders>
              <w:top w:val="nil"/>
              <w:left w:val="nil"/>
              <w:bottom w:val="single" w:sz="4" w:space="0" w:color="auto"/>
              <w:right w:val="single" w:sz="4" w:space="0" w:color="auto"/>
            </w:tcBorders>
            <w:shd w:val="clear" w:color="auto" w:fill="auto"/>
            <w:noWrap/>
            <w:vAlign w:val="bottom"/>
            <w:hideMark/>
          </w:tcPr>
          <w:p w14:paraId="0DE010DC"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46</w:t>
            </w:r>
          </w:p>
        </w:tc>
        <w:tc>
          <w:tcPr>
            <w:tcW w:w="531" w:type="dxa"/>
            <w:tcBorders>
              <w:top w:val="nil"/>
              <w:left w:val="nil"/>
              <w:bottom w:val="single" w:sz="4" w:space="0" w:color="auto"/>
              <w:right w:val="single" w:sz="4" w:space="0" w:color="auto"/>
            </w:tcBorders>
            <w:shd w:val="clear" w:color="auto" w:fill="auto"/>
            <w:noWrap/>
            <w:vAlign w:val="bottom"/>
            <w:hideMark/>
          </w:tcPr>
          <w:p w14:paraId="67F36FC8"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68</w:t>
            </w:r>
          </w:p>
        </w:tc>
        <w:tc>
          <w:tcPr>
            <w:tcW w:w="616" w:type="dxa"/>
            <w:tcBorders>
              <w:top w:val="nil"/>
              <w:left w:val="nil"/>
              <w:bottom w:val="single" w:sz="4" w:space="0" w:color="auto"/>
              <w:right w:val="single" w:sz="4" w:space="0" w:color="auto"/>
            </w:tcBorders>
            <w:shd w:val="clear" w:color="auto" w:fill="auto"/>
            <w:noWrap/>
            <w:vAlign w:val="bottom"/>
            <w:hideMark/>
          </w:tcPr>
          <w:p w14:paraId="01143DC7"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80</w:t>
            </w:r>
          </w:p>
        </w:tc>
        <w:tc>
          <w:tcPr>
            <w:tcW w:w="620" w:type="dxa"/>
            <w:tcBorders>
              <w:top w:val="nil"/>
              <w:left w:val="nil"/>
              <w:bottom w:val="single" w:sz="4" w:space="0" w:color="auto"/>
              <w:right w:val="single" w:sz="4" w:space="0" w:color="auto"/>
            </w:tcBorders>
            <w:shd w:val="clear" w:color="auto" w:fill="auto"/>
            <w:noWrap/>
            <w:vAlign w:val="bottom"/>
            <w:hideMark/>
          </w:tcPr>
          <w:p w14:paraId="0092A0E9"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25</w:t>
            </w:r>
          </w:p>
        </w:tc>
        <w:tc>
          <w:tcPr>
            <w:tcW w:w="623" w:type="dxa"/>
            <w:tcBorders>
              <w:top w:val="nil"/>
              <w:left w:val="nil"/>
              <w:bottom w:val="single" w:sz="4" w:space="0" w:color="auto"/>
              <w:right w:val="single" w:sz="4" w:space="0" w:color="auto"/>
            </w:tcBorders>
            <w:shd w:val="clear" w:color="auto" w:fill="auto"/>
            <w:noWrap/>
            <w:vAlign w:val="bottom"/>
            <w:hideMark/>
          </w:tcPr>
          <w:p w14:paraId="1433C52B"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13</w:t>
            </w:r>
          </w:p>
        </w:tc>
        <w:tc>
          <w:tcPr>
            <w:tcW w:w="551" w:type="dxa"/>
            <w:tcBorders>
              <w:top w:val="nil"/>
              <w:left w:val="nil"/>
              <w:bottom w:val="single" w:sz="4" w:space="0" w:color="auto"/>
              <w:right w:val="single" w:sz="4" w:space="0" w:color="auto"/>
            </w:tcBorders>
            <w:shd w:val="clear" w:color="auto" w:fill="auto"/>
            <w:noWrap/>
            <w:vAlign w:val="bottom"/>
            <w:hideMark/>
          </w:tcPr>
          <w:p w14:paraId="211FBC47"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w:t>
            </w:r>
          </w:p>
        </w:tc>
        <w:tc>
          <w:tcPr>
            <w:tcW w:w="567" w:type="dxa"/>
            <w:tcBorders>
              <w:top w:val="nil"/>
              <w:left w:val="nil"/>
              <w:bottom w:val="single" w:sz="4" w:space="0" w:color="auto"/>
              <w:right w:val="single" w:sz="4" w:space="0" w:color="auto"/>
            </w:tcBorders>
            <w:shd w:val="clear" w:color="auto" w:fill="auto"/>
            <w:noWrap/>
            <w:vAlign w:val="bottom"/>
            <w:hideMark/>
          </w:tcPr>
          <w:p w14:paraId="5986BD15"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w:t>
            </w:r>
          </w:p>
        </w:tc>
        <w:tc>
          <w:tcPr>
            <w:tcW w:w="567" w:type="dxa"/>
            <w:tcBorders>
              <w:top w:val="nil"/>
              <w:left w:val="nil"/>
              <w:bottom w:val="single" w:sz="4" w:space="0" w:color="auto"/>
              <w:right w:val="single" w:sz="4" w:space="0" w:color="auto"/>
            </w:tcBorders>
            <w:shd w:val="clear" w:color="auto" w:fill="auto"/>
            <w:noWrap/>
            <w:vAlign w:val="bottom"/>
            <w:hideMark/>
          </w:tcPr>
          <w:p w14:paraId="2110A330"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w:t>
            </w:r>
          </w:p>
        </w:tc>
        <w:tc>
          <w:tcPr>
            <w:tcW w:w="703" w:type="dxa"/>
            <w:tcBorders>
              <w:top w:val="nil"/>
              <w:left w:val="nil"/>
              <w:bottom w:val="single" w:sz="4" w:space="0" w:color="auto"/>
              <w:right w:val="single" w:sz="4" w:space="0" w:color="auto"/>
            </w:tcBorders>
            <w:shd w:val="clear" w:color="auto" w:fill="auto"/>
            <w:noWrap/>
            <w:vAlign w:val="bottom"/>
            <w:hideMark/>
          </w:tcPr>
          <w:p w14:paraId="16512E6C"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315</w:t>
            </w:r>
          </w:p>
        </w:tc>
        <w:tc>
          <w:tcPr>
            <w:tcW w:w="700" w:type="dxa"/>
            <w:tcBorders>
              <w:top w:val="nil"/>
              <w:left w:val="nil"/>
              <w:bottom w:val="single" w:sz="4" w:space="0" w:color="auto"/>
              <w:right w:val="single" w:sz="4" w:space="0" w:color="auto"/>
            </w:tcBorders>
            <w:shd w:val="clear" w:color="auto" w:fill="auto"/>
            <w:noWrap/>
            <w:vAlign w:val="bottom"/>
            <w:hideMark/>
          </w:tcPr>
          <w:p w14:paraId="436EB1BC"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172</w:t>
            </w:r>
          </w:p>
        </w:tc>
        <w:tc>
          <w:tcPr>
            <w:tcW w:w="680" w:type="dxa"/>
            <w:tcBorders>
              <w:top w:val="nil"/>
              <w:left w:val="nil"/>
              <w:bottom w:val="single" w:sz="4" w:space="0" w:color="auto"/>
              <w:right w:val="single" w:sz="4" w:space="0" w:color="auto"/>
            </w:tcBorders>
            <w:shd w:val="clear" w:color="auto" w:fill="auto"/>
            <w:noWrap/>
            <w:vAlign w:val="bottom"/>
            <w:hideMark/>
          </w:tcPr>
          <w:p w14:paraId="08A56499"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193</w:t>
            </w:r>
          </w:p>
        </w:tc>
      </w:tr>
      <w:tr w:rsidR="00E335CE" w:rsidRPr="00B13B9A" w14:paraId="412AC1C0" w14:textId="77777777" w:rsidTr="00332FF7">
        <w:trPr>
          <w:trHeight w:val="2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42370AE1" w14:textId="77777777" w:rsidR="00E335CE" w:rsidRPr="00B13B9A" w:rsidRDefault="00E335CE" w:rsidP="00E335CE">
            <w:pPr>
              <w:spacing w:after="0" w:line="240" w:lineRule="auto"/>
              <w:jc w:val="center"/>
              <w:rPr>
                <w:rFonts w:asciiTheme="majorHAnsi" w:eastAsia="Times New Roman" w:hAnsiTheme="majorHAnsi" w:cstheme="majorHAnsi"/>
                <w:b/>
                <w:bCs/>
                <w:color w:val="000000"/>
                <w:sz w:val="16"/>
                <w:szCs w:val="16"/>
                <w:lang w:val="ro-MD"/>
              </w:rPr>
            </w:pPr>
            <w:r w:rsidRPr="00B13B9A">
              <w:rPr>
                <w:rFonts w:asciiTheme="majorHAnsi" w:eastAsia="Times New Roman" w:hAnsiTheme="majorHAnsi" w:cstheme="majorHAnsi"/>
                <w:b/>
                <w:bCs/>
                <w:color w:val="000000"/>
                <w:sz w:val="16"/>
                <w:szCs w:val="16"/>
                <w:lang w:val="ro-MD"/>
              </w:rPr>
              <w:t>aug.21</w:t>
            </w:r>
          </w:p>
        </w:tc>
        <w:tc>
          <w:tcPr>
            <w:tcW w:w="703" w:type="dxa"/>
            <w:tcBorders>
              <w:top w:val="nil"/>
              <w:left w:val="nil"/>
              <w:bottom w:val="single" w:sz="4" w:space="0" w:color="auto"/>
              <w:right w:val="single" w:sz="4" w:space="0" w:color="auto"/>
            </w:tcBorders>
            <w:shd w:val="clear" w:color="auto" w:fill="auto"/>
            <w:noWrap/>
            <w:vAlign w:val="bottom"/>
            <w:hideMark/>
          </w:tcPr>
          <w:p w14:paraId="54A93287"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40</w:t>
            </w:r>
          </w:p>
        </w:tc>
        <w:tc>
          <w:tcPr>
            <w:tcW w:w="640" w:type="dxa"/>
            <w:tcBorders>
              <w:top w:val="nil"/>
              <w:left w:val="nil"/>
              <w:bottom w:val="single" w:sz="4" w:space="0" w:color="auto"/>
              <w:right w:val="single" w:sz="4" w:space="0" w:color="auto"/>
            </w:tcBorders>
            <w:shd w:val="clear" w:color="auto" w:fill="auto"/>
            <w:noWrap/>
            <w:vAlign w:val="bottom"/>
            <w:hideMark/>
          </w:tcPr>
          <w:p w14:paraId="7A04483F"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27</w:t>
            </w:r>
          </w:p>
        </w:tc>
        <w:tc>
          <w:tcPr>
            <w:tcW w:w="580" w:type="dxa"/>
            <w:tcBorders>
              <w:top w:val="nil"/>
              <w:left w:val="nil"/>
              <w:bottom w:val="single" w:sz="4" w:space="0" w:color="auto"/>
              <w:right w:val="single" w:sz="4" w:space="0" w:color="auto"/>
            </w:tcBorders>
            <w:shd w:val="clear" w:color="auto" w:fill="auto"/>
            <w:noWrap/>
            <w:vAlign w:val="bottom"/>
            <w:hideMark/>
          </w:tcPr>
          <w:p w14:paraId="1154859C"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12</w:t>
            </w:r>
          </w:p>
        </w:tc>
        <w:tc>
          <w:tcPr>
            <w:tcW w:w="703" w:type="dxa"/>
            <w:gridSpan w:val="2"/>
            <w:tcBorders>
              <w:top w:val="nil"/>
              <w:left w:val="nil"/>
              <w:bottom w:val="single" w:sz="4" w:space="0" w:color="auto"/>
              <w:right w:val="single" w:sz="4" w:space="0" w:color="auto"/>
            </w:tcBorders>
            <w:shd w:val="clear" w:color="auto" w:fill="auto"/>
            <w:noWrap/>
            <w:vAlign w:val="bottom"/>
            <w:hideMark/>
          </w:tcPr>
          <w:p w14:paraId="72967AB9"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45</w:t>
            </w:r>
          </w:p>
        </w:tc>
        <w:tc>
          <w:tcPr>
            <w:tcW w:w="680" w:type="dxa"/>
            <w:tcBorders>
              <w:top w:val="nil"/>
              <w:left w:val="nil"/>
              <w:bottom w:val="single" w:sz="4" w:space="0" w:color="auto"/>
              <w:right w:val="single" w:sz="4" w:space="0" w:color="auto"/>
            </w:tcBorders>
            <w:shd w:val="clear" w:color="auto" w:fill="auto"/>
            <w:noWrap/>
            <w:vAlign w:val="bottom"/>
            <w:hideMark/>
          </w:tcPr>
          <w:p w14:paraId="11EF0F3C"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41</w:t>
            </w:r>
          </w:p>
        </w:tc>
        <w:tc>
          <w:tcPr>
            <w:tcW w:w="534" w:type="dxa"/>
            <w:tcBorders>
              <w:top w:val="nil"/>
              <w:left w:val="nil"/>
              <w:bottom w:val="single" w:sz="4" w:space="0" w:color="auto"/>
              <w:right w:val="single" w:sz="4" w:space="0" w:color="auto"/>
            </w:tcBorders>
            <w:shd w:val="clear" w:color="auto" w:fill="auto"/>
            <w:noWrap/>
            <w:vAlign w:val="bottom"/>
            <w:hideMark/>
          </w:tcPr>
          <w:p w14:paraId="1B282660"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40</w:t>
            </w:r>
          </w:p>
        </w:tc>
        <w:tc>
          <w:tcPr>
            <w:tcW w:w="703" w:type="dxa"/>
            <w:gridSpan w:val="2"/>
            <w:tcBorders>
              <w:top w:val="nil"/>
              <w:left w:val="nil"/>
              <w:bottom w:val="single" w:sz="4" w:space="0" w:color="auto"/>
              <w:right w:val="single" w:sz="4" w:space="0" w:color="auto"/>
            </w:tcBorders>
            <w:shd w:val="clear" w:color="auto" w:fill="auto"/>
            <w:noWrap/>
            <w:vAlign w:val="bottom"/>
            <w:hideMark/>
          </w:tcPr>
          <w:p w14:paraId="6E54DF7A"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65</w:t>
            </w:r>
          </w:p>
        </w:tc>
        <w:tc>
          <w:tcPr>
            <w:tcW w:w="629" w:type="dxa"/>
            <w:tcBorders>
              <w:top w:val="nil"/>
              <w:left w:val="nil"/>
              <w:bottom w:val="single" w:sz="4" w:space="0" w:color="auto"/>
              <w:right w:val="single" w:sz="4" w:space="0" w:color="auto"/>
            </w:tcBorders>
            <w:shd w:val="clear" w:color="auto" w:fill="auto"/>
            <w:noWrap/>
            <w:vAlign w:val="bottom"/>
            <w:hideMark/>
          </w:tcPr>
          <w:p w14:paraId="490E4AC6"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41</w:t>
            </w:r>
          </w:p>
        </w:tc>
        <w:tc>
          <w:tcPr>
            <w:tcW w:w="567" w:type="dxa"/>
            <w:tcBorders>
              <w:top w:val="nil"/>
              <w:left w:val="nil"/>
              <w:bottom w:val="single" w:sz="4" w:space="0" w:color="auto"/>
              <w:right w:val="single" w:sz="4" w:space="0" w:color="auto"/>
            </w:tcBorders>
            <w:shd w:val="clear" w:color="auto" w:fill="auto"/>
            <w:noWrap/>
            <w:vAlign w:val="bottom"/>
            <w:hideMark/>
          </w:tcPr>
          <w:p w14:paraId="445766B8"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59</w:t>
            </w:r>
          </w:p>
        </w:tc>
        <w:tc>
          <w:tcPr>
            <w:tcW w:w="703" w:type="dxa"/>
            <w:tcBorders>
              <w:top w:val="nil"/>
              <w:left w:val="nil"/>
              <w:bottom w:val="single" w:sz="4" w:space="0" w:color="auto"/>
              <w:right w:val="single" w:sz="4" w:space="0" w:color="auto"/>
            </w:tcBorders>
            <w:shd w:val="clear" w:color="auto" w:fill="auto"/>
            <w:noWrap/>
            <w:vAlign w:val="bottom"/>
            <w:hideMark/>
          </w:tcPr>
          <w:p w14:paraId="680C840C"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85</w:t>
            </w:r>
          </w:p>
        </w:tc>
        <w:tc>
          <w:tcPr>
            <w:tcW w:w="609" w:type="dxa"/>
            <w:tcBorders>
              <w:top w:val="nil"/>
              <w:left w:val="nil"/>
              <w:bottom w:val="single" w:sz="4" w:space="0" w:color="auto"/>
              <w:right w:val="single" w:sz="4" w:space="0" w:color="auto"/>
            </w:tcBorders>
            <w:shd w:val="clear" w:color="auto" w:fill="auto"/>
            <w:noWrap/>
            <w:vAlign w:val="bottom"/>
            <w:hideMark/>
          </w:tcPr>
          <w:p w14:paraId="4332AD15"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68</w:t>
            </w:r>
          </w:p>
        </w:tc>
        <w:tc>
          <w:tcPr>
            <w:tcW w:w="531" w:type="dxa"/>
            <w:tcBorders>
              <w:top w:val="nil"/>
              <w:left w:val="nil"/>
              <w:bottom w:val="single" w:sz="4" w:space="0" w:color="auto"/>
              <w:right w:val="single" w:sz="4" w:space="0" w:color="auto"/>
            </w:tcBorders>
            <w:shd w:val="clear" w:color="auto" w:fill="auto"/>
            <w:noWrap/>
            <w:vAlign w:val="bottom"/>
            <w:hideMark/>
          </w:tcPr>
          <w:p w14:paraId="0A26C79D"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66</w:t>
            </w:r>
          </w:p>
        </w:tc>
        <w:tc>
          <w:tcPr>
            <w:tcW w:w="616" w:type="dxa"/>
            <w:tcBorders>
              <w:top w:val="nil"/>
              <w:left w:val="nil"/>
              <w:bottom w:val="single" w:sz="4" w:space="0" w:color="auto"/>
              <w:right w:val="single" w:sz="4" w:space="0" w:color="auto"/>
            </w:tcBorders>
            <w:shd w:val="clear" w:color="auto" w:fill="auto"/>
            <w:noWrap/>
            <w:vAlign w:val="bottom"/>
            <w:hideMark/>
          </w:tcPr>
          <w:p w14:paraId="0CC4825E"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80</w:t>
            </w:r>
          </w:p>
        </w:tc>
        <w:tc>
          <w:tcPr>
            <w:tcW w:w="620" w:type="dxa"/>
            <w:tcBorders>
              <w:top w:val="nil"/>
              <w:left w:val="nil"/>
              <w:bottom w:val="single" w:sz="4" w:space="0" w:color="auto"/>
              <w:right w:val="single" w:sz="4" w:space="0" w:color="auto"/>
            </w:tcBorders>
            <w:shd w:val="clear" w:color="auto" w:fill="auto"/>
            <w:noWrap/>
            <w:vAlign w:val="bottom"/>
            <w:hideMark/>
          </w:tcPr>
          <w:p w14:paraId="69CA09B1"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13</w:t>
            </w:r>
          </w:p>
        </w:tc>
        <w:tc>
          <w:tcPr>
            <w:tcW w:w="623" w:type="dxa"/>
            <w:tcBorders>
              <w:top w:val="nil"/>
              <w:left w:val="nil"/>
              <w:bottom w:val="single" w:sz="4" w:space="0" w:color="auto"/>
              <w:right w:val="single" w:sz="4" w:space="0" w:color="auto"/>
            </w:tcBorders>
            <w:shd w:val="clear" w:color="auto" w:fill="auto"/>
            <w:noWrap/>
            <w:vAlign w:val="bottom"/>
            <w:hideMark/>
          </w:tcPr>
          <w:p w14:paraId="06E2B853"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38</w:t>
            </w:r>
          </w:p>
        </w:tc>
        <w:tc>
          <w:tcPr>
            <w:tcW w:w="551" w:type="dxa"/>
            <w:tcBorders>
              <w:top w:val="nil"/>
              <w:left w:val="nil"/>
              <w:bottom w:val="single" w:sz="4" w:space="0" w:color="auto"/>
              <w:right w:val="single" w:sz="4" w:space="0" w:color="auto"/>
            </w:tcBorders>
            <w:shd w:val="clear" w:color="auto" w:fill="auto"/>
            <w:noWrap/>
            <w:vAlign w:val="bottom"/>
            <w:hideMark/>
          </w:tcPr>
          <w:p w14:paraId="42C606A5"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w:t>
            </w:r>
          </w:p>
        </w:tc>
        <w:tc>
          <w:tcPr>
            <w:tcW w:w="567" w:type="dxa"/>
            <w:tcBorders>
              <w:top w:val="nil"/>
              <w:left w:val="nil"/>
              <w:bottom w:val="single" w:sz="4" w:space="0" w:color="auto"/>
              <w:right w:val="single" w:sz="4" w:space="0" w:color="auto"/>
            </w:tcBorders>
            <w:shd w:val="clear" w:color="auto" w:fill="auto"/>
            <w:noWrap/>
            <w:vAlign w:val="bottom"/>
            <w:hideMark/>
          </w:tcPr>
          <w:p w14:paraId="41F9AE26"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w:t>
            </w:r>
          </w:p>
        </w:tc>
        <w:tc>
          <w:tcPr>
            <w:tcW w:w="567" w:type="dxa"/>
            <w:tcBorders>
              <w:top w:val="nil"/>
              <w:left w:val="nil"/>
              <w:bottom w:val="single" w:sz="4" w:space="0" w:color="auto"/>
              <w:right w:val="single" w:sz="4" w:space="0" w:color="auto"/>
            </w:tcBorders>
            <w:shd w:val="clear" w:color="auto" w:fill="auto"/>
            <w:noWrap/>
            <w:vAlign w:val="bottom"/>
            <w:hideMark/>
          </w:tcPr>
          <w:p w14:paraId="229AC937"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5</w:t>
            </w:r>
          </w:p>
        </w:tc>
        <w:tc>
          <w:tcPr>
            <w:tcW w:w="703" w:type="dxa"/>
            <w:tcBorders>
              <w:top w:val="nil"/>
              <w:left w:val="nil"/>
              <w:bottom w:val="single" w:sz="4" w:space="0" w:color="auto"/>
              <w:right w:val="single" w:sz="4" w:space="0" w:color="auto"/>
            </w:tcBorders>
            <w:shd w:val="clear" w:color="auto" w:fill="auto"/>
            <w:noWrap/>
            <w:vAlign w:val="bottom"/>
            <w:hideMark/>
          </w:tcPr>
          <w:p w14:paraId="2725FB8E"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315</w:t>
            </w:r>
          </w:p>
        </w:tc>
        <w:tc>
          <w:tcPr>
            <w:tcW w:w="700" w:type="dxa"/>
            <w:tcBorders>
              <w:top w:val="nil"/>
              <w:left w:val="nil"/>
              <w:bottom w:val="single" w:sz="4" w:space="0" w:color="auto"/>
              <w:right w:val="single" w:sz="4" w:space="0" w:color="auto"/>
            </w:tcBorders>
            <w:shd w:val="clear" w:color="auto" w:fill="auto"/>
            <w:noWrap/>
            <w:vAlign w:val="bottom"/>
            <w:hideMark/>
          </w:tcPr>
          <w:p w14:paraId="77302F61"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193</w:t>
            </w:r>
          </w:p>
        </w:tc>
        <w:tc>
          <w:tcPr>
            <w:tcW w:w="680" w:type="dxa"/>
            <w:tcBorders>
              <w:top w:val="nil"/>
              <w:left w:val="nil"/>
              <w:bottom w:val="single" w:sz="4" w:space="0" w:color="auto"/>
              <w:right w:val="single" w:sz="4" w:space="0" w:color="auto"/>
            </w:tcBorders>
            <w:shd w:val="clear" w:color="auto" w:fill="auto"/>
            <w:noWrap/>
            <w:vAlign w:val="bottom"/>
            <w:hideMark/>
          </w:tcPr>
          <w:p w14:paraId="0E96904E"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220</w:t>
            </w:r>
          </w:p>
        </w:tc>
      </w:tr>
      <w:tr w:rsidR="00E335CE" w:rsidRPr="00B13B9A" w14:paraId="3185AD24" w14:textId="77777777" w:rsidTr="00332FF7">
        <w:trPr>
          <w:trHeight w:val="2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2057AC2F" w14:textId="77777777" w:rsidR="00E335CE" w:rsidRPr="00B13B9A" w:rsidRDefault="00E335CE" w:rsidP="00E335CE">
            <w:pPr>
              <w:spacing w:after="0" w:line="240" w:lineRule="auto"/>
              <w:jc w:val="center"/>
              <w:rPr>
                <w:rFonts w:asciiTheme="majorHAnsi" w:eastAsia="Times New Roman" w:hAnsiTheme="majorHAnsi" w:cstheme="majorHAnsi"/>
                <w:b/>
                <w:bCs/>
                <w:color w:val="000000"/>
                <w:sz w:val="16"/>
                <w:szCs w:val="16"/>
                <w:lang w:val="ro-MD"/>
              </w:rPr>
            </w:pPr>
            <w:r w:rsidRPr="00B13B9A">
              <w:rPr>
                <w:rFonts w:asciiTheme="majorHAnsi" w:eastAsia="Times New Roman" w:hAnsiTheme="majorHAnsi" w:cstheme="majorHAnsi"/>
                <w:b/>
                <w:bCs/>
                <w:color w:val="000000"/>
                <w:sz w:val="16"/>
                <w:szCs w:val="16"/>
                <w:lang w:val="ro-MD"/>
              </w:rPr>
              <w:t>sept.21</w:t>
            </w:r>
          </w:p>
        </w:tc>
        <w:tc>
          <w:tcPr>
            <w:tcW w:w="703" w:type="dxa"/>
            <w:tcBorders>
              <w:top w:val="nil"/>
              <w:left w:val="nil"/>
              <w:bottom w:val="single" w:sz="4" w:space="0" w:color="auto"/>
              <w:right w:val="single" w:sz="4" w:space="0" w:color="auto"/>
            </w:tcBorders>
            <w:shd w:val="clear" w:color="auto" w:fill="auto"/>
            <w:noWrap/>
            <w:vAlign w:val="bottom"/>
            <w:hideMark/>
          </w:tcPr>
          <w:p w14:paraId="5E753AD9"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40</w:t>
            </w:r>
          </w:p>
        </w:tc>
        <w:tc>
          <w:tcPr>
            <w:tcW w:w="640" w:type="dxa"/>
            <w:tcBorders>
              <w:top w:val="nil"/>
              <w:left w:val="nil"/>
              <w:bottom w:val="single" w:sz="4" w:space="0" w:color="auto"/>
              <w:right w:val="single" w:sz="4" w:space="0" w:color="auto"/>
            </w:tcBorders>
            <w:shd w:val="clear" w:color="auto" w:fill="auto"/>
            <w:noWrap/>
            <w:vAlign w:val="bottom"/>
            <w:hideMark/>
          </w:tcPr>
          <w:p w14:paraId="525F8460"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12</w:t>
            </w:r>
          </w:p>
        </w:tc>
        <w:tc>
          <w:tcPr>
            <w:tcW w:w="580" w:type="dxa"/>
            <w:tcBorders>
              <w:top w:val="nil"/>
              <w:left w:val="nil"/>
              <w:bottom w:val="single" w:sz="4" w:space="0" w:color="auto"/>
              <w:right w:val="single" w:sz="4" w:space="0" w:color="auto"/>
            </w:tcBorders>
            <w:shd w:val="clear" w:color="auto" w:fill="auto"/>
            <w:noWrap/>
            <w:vAlign w:val="bottom"/>
            <w:hideMark/>
          </w:tcPr>
          <w:p w14:paraId="35664625"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64</w:t>
            </w:r>
          </w:p>
        </w:tc>
        <w:tc>
          <w:tcPr>
            <w:tcW w:w="703" w:type="dxa"/>
            <w:gridSpan w:val="2"/>
            <w:tcBorders>
              <w:top w:val="nil"/>
              <w:left w:val="nil"/>
              <w:bottom w:val="single" w:sz="4" w:space="0" w:color="auto"/>
              <w:right w:val="single" w:sz="4" w:space="0" w:color="auto"/>
            </w:tcBorders>
            <w:shd w:val="clear" w:color="auto" w:fill="auto"/>
            <w:noWrap/>
            <w:vAlign w:val="bottom"/>
            <w:hideMark/>
          </w:tcPr>
          <w:p w14:paraId="2F9DC92B"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45</w:t>
            </w:r>
          </w:p>
        </w:tc>
        <w:tc>
          <w:tcPr>
            <w:tcW w:w="680" w:type="dxa"/>
            <w:tcBorders>
              <w:top w:val="nil"/>
              <w:left w:val="nil"/>
              <w:bottom w:val="single" w:sz="4" w:space="0" w:color="auto"/>
              <w:right w:val="single" w:sz="4" w:space="0" w:color="auto"/>
            </w:tcBorders>
            <w:shd w:val="clear" w:color="auto" w:fill="auto"/>
            <w:noWrap/>
            <w:vAlign w:val="bottom"/>
            <w:hideMark/>
          </w:tcPr>
          <w:p w14:paraId="533B3449"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40</w:t>
            </w:r>
          </w:p>
        </w:tc>
        <w:tc>
          <w:tcPr>
            <w:tcW w:w="534" w:type="dxa"/>
            <w:tcBorders>
              <w:top w:val="nil"/>
              <w:left w:val="nil"/>
              <w:bottom w:val="single" w:sz="4" w:space="0" w:color="auto"/>
              <w:right w:val="single" w:sz="4" w:space="0" w:color="auto"/>
            </w:tcBorders>
            <w:shd w:val="clear" w:color="auto" w:fill="auto"/>
            <w:noWrap/>
            <w:vAlign w:val="bottom"/>
            <w:hideMark/>
          </w:tcPr>
          <w:p w14:paraId="2151C12B"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37</w:t>
            </w:r>
          </w:p>
        </w:tc>
        <w:tc>
          <w:tcPr>
            <w:tcW w:w="703" w:type="dxa"/>
            <w:gridSpan w:val="2"/>
            <w:tcBorders>
              <w:top w:val="nil"/>
              <w:left w:val="nil"/>
              <w:bottom w:val="single" w:sz="4" w:space="0" w:color="auto"/>
              <w:right w:val="single" w:sz="4" w:space="0" w:color="auto"/>
            </w:tcBorders>
            <w:shd w:val="clear" w:color="auto" w:fill="auto"/>
            <w:noWrap/>
            <w:vAlign w:val="bottom"/>
            <w:hideMark/>
          </w:tcPr>
          <w:p w14:paraId="586C50A2"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65</w:t>
            </w:r>
          </w:p>
        </w:tc>
        <w:tc>
          <w:tcPr>
            <w:tcW w:w="629" w:type="dxa"/>
            <w:tcBorders>
              <w:top w:val="nil"/>
              <w:left w:val="nil"/>
              <w:bottom w:val="single" w:sz="4" w:space="0" w:color="auto"/>
              <w:right w:val="single" w:sz="4" w:space="0" w:color="auto"/>
            </w:tcBorders>
            <w:shd w:val="clear" w:color="auto" w:fill="auto"/>
            <w:noWrap/>
            <w:vAlign w:val="bottom"/>
            <w:hideMark/>
          </w:tcPr>
          <w:p w14:paraId="4E5E31AA"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59</w:t>
            </w:r>
          </w:p>
        </w:tc>
        <w:tc>
          <w:tcPr>
            <w:tcW w:w="567" w:type="dxa"/>
            <w:tcBorders>
              <w:top w:val="nil"/>
              <w:left w:val="nil"/>
              <w:bottom w:val="single" w:sz="4" w:space="0" w:color="auto"/>
              <w:right w:val="single" w:sz="4" w:space="0" w:color="auto"/>
            </w:tcBorders>
            <w:shd w:val="clear" w:color="auto" w:fill="auto"/>
            <w:noWrap/>
            <w:vAlign w:val="bottom"/>
            <w:hideMark/>
          </w:tcPr>
          <w:p w14:paraId="0EA4264B"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58</w:t>
            </w:r>
          </w:p>
        </w:tc>
        <w:tc>
          <w:tcPr>
            <w:tcW w:w="703" w:type="dxa"/>
            <w:tcBorders>
              <w:top w:val="nil"/>
              <w:left w:val="nil"/>
              <w:bottom w:val="single" w:sz="4" w:space="0" w:color="auto"/>
              <w:right w:val="single" w:sz="4" w:space="0" w:color="auto"/>
            </w:tcBorders>
            <w:shd w:val="clear" w:color="auto" w:fill="auto"/>
            <w:noWrap/>
            <w:vAlign w:val="bottom"/>
            <w:hideMark/>
          </w:tcPr>
          <w:p w14:paraId="4A5DD56D"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85</w:t>
            </w:r>
          </w:p>
        </w:tc>
        <w:tc>
          <w:tcPr>
            <w:tcW w:w="609" w:type="dxa"/>
            <w:tcBorders>
              <w:top w:val="nil"/>
              <w:left w:val="nil"/>
              <w:bottom w:val="single" w:sz="4" w:space="0" w:color="auto"/>
              <w:right w:val="single" w:sz="4" w:space="0" w:color="auto"/>
            </w:tcBorders>
            <w:shd w:val="clear" w:color="auto" w:fill="auto"/>
            <w:noWrap/>
            <w:vAlign w:val="bottom"/>
            <w:hideMark/>
          </w:tcPr>
          <w:p w14:paraId="0CD189B2"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66</w:t>
            </w:r>
          </w:p>
        </w:tc>
        <w:tc>
          <w:tcPr>
            <w:tcW w:w="531" w:type="dxa"/>
            <w:tcBorders>
              <w:top w:val="nil"/>
              <w:left w:val="nil"/>
              <w:bottom w:val="single" w:sz="4" w:space="0" w:color="auto"/>
              <w:right w:val="single" w:sz="4" w:space="0" w:color="auto"/>
            </w:tcBorders>
            <w:shd w:val="clear" w:color="auto" w:fill="auto"/>
            <w:noWrap/>
            <w:vAlign w:val="bottom"/>
            <w:hideMark/>
          </w:tcPr>
          <w:p w14:paraId="5D9C35FF"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58</w:t>
            </w:r>
          </w:p>
        </w:tc>
        <w:tc>
          <w:tcPr>
            <w:tcW w:w="616" w:type="dxa"/>
            <w:tcBorders>
              <w:top w:val="nil"/>
              <w:left w:val="nil"/>
              <w:bottom w:val="single" w:sz="4" w:space="0" w:color="auto"/>
              <w:right w:val="single" w:sz="4" w:space="0" w:color="auto"/>
            </w:tcBorders>
            <w:shd w:val="clear" w:color="auto" w:fill="auto"/>
            <w:noWrap/>
            <w:vAlign w:val="bottom"/>
            <w:hideMark/>
          </w:tcPr>
          <w:p w14:paraId="4CD06AA7"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80</w:t>
            </w:r>
          </w:p>
        </w:tc>
        <w:tc>
          <w:tcPr>
            <w:tcW w:w="620" w:type="dxa"/>
            <w:tcBorders>
              <w:top w:val="nil"/>
              <w:left w:val="nil"/>
              <w:bottom w:val="single" w:sz="4" w:space="0" w:color="auto"/>
              <w:right w:val="single" w:sz="4" w:space="0" w:color="auto"/>
            </w:tcBorders>
            <w:shd w:val="clear" w:color="auto" w:fill="auto"/>
            <w:noWrap/>
            <w:vAlign w:val="bottom"/>
            <w:hideMark/>
          </w:tcPr>
          <w:p w14:paraId="72985B89"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38</w:t>
            </w:r>
          </w:p>
        </w:tc>
        <w:tc>
          <w:tcPr>
            <w:tcW w:w="623" w:type="dxa"/>
            <w:tcBorders>
              <w:top w:val="nil"/>
              <w:left w:val="nil"/>
              <w:bottom w:val="single" w:sz="4" w:space="0" w:color="auto"/>
              <w:right w:val="single" w:sz="4" w:space="0" w:color="auto"/>
            </w:tcBorders>
            <w:shd w:val="clear" w:color="auto" w:fill="auto"/>
            <w:noWrap/>
            <w:vAlign w:val="bottom"/>
            <w:hideMark/>
          </w:tcPr>
          <w:p w14:paraId="59FC92ED"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64</w:t>
            </w:r>
          </w:p>
        </w:tc>
        <w:tc>
          <w:tcPr>
            <w:tcW w:w="551" w:type="dxa"/>
            <w:tcBorders>
              <w:top w:val="nil"/>
              <w:left w:val="nil"/>
              <w:bottom w:val="single" w:sz="4" w:space="0" w:color="auto"/>
              <w:right w:val="single" w:sz="4" w:space="0" w:color="auto"/>
            </w:tcBorders>
            <w:shd w:val="clear" w:color="auto" w:fill="auto"/>
            <w:noWrap/>
            <w:vAlign w:val="bottom"/>
            <w:hideMark/>
          </w:tcPr>
          <w:p w14:paraId="499D6730"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w:t>
            </w:r>
          </w:p>
        </w:tc>
        <w:tc>
          <w:tcPr>
            <w:tcW w:w="567" w:type="dxa"/>
            <w:tcBorders>
              <w:top w:val="nil"/>
              <w:left w:val="nil"/>
              <w:bottom w:val="single" w:sz="4" w:space="0" w:color="auto"/>
              <w:right w:val="single" w:sz="4" w:space="0" w:color="auto"/>
            </w:tcBorders>
            <w:shd w:val="clear" w:color="auto" w:fill="auto"/>
            <w:noWrap/>
            <w:vAlign w:val="bottom"/>
            <w:hideMark/>
          </w:tcPr>
          <w:p w14:paraId="368C7527"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5</w:t>
            </w:r>
          </w:p>
        </w:tc>
        <w:tc>
          <w:tcPr>
            <w:tcW w:w="567" w:type="dxa"/>
            <w:tcBorders>
              <w:top w:val="nil"/>
              <w:left w:val="nil"/>
              <w:bottom w:val="single" w:sz="4" w:space="0" w:color="auto"/>
              <w:right w:val="single" w:sz="4" w:space="0" w:color="auto"/>
            </w:tcBorders>
            <w:shd w:val="clear" w:color="auto" w:fill="auto"/>
            <w:noWrap/>
            <w:vAlign w:val="bottom"/>
            <w:hideMark/>
          </w:tcPr>
          <w:p w14:paraId="45773568"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8</w:t>
            </w:r>
          </w:p>
        </w:tc>
        <w:tc>
          <w:tcPr>
            <w:tcW w:w="703" w:type="dxa"/>
            <w:tcBorders>
              <w:top w:val="nil"/>
              <w:left w:val="nil"/>
              <w:bottom w:val="single" w:sz="4" w:space="0" w:color="auto"/>
              <w:right w:val="single" w:sz="4" w:space="0" w:color="auto"/>
            </w:tcBorders>
            <w:shd w:val="clear" w:color="auto" w:fill="auto"/>
            <w:noWrap/>
            <w:vAlign w:val="bottom"/>
            <w:hideMark/>
          </w:tcPr>
          <w:p w14:paraId="0948A143"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315</w:t>
            </w:r>
          </w:p>
        </w:tc>
        <w:tc>
          <w:tcPr>
            <w:tcW w:w="700" w:type="dxa"/>
            <w:tcBorders>
              <w:top w:val="nil"/>
              <w:left w:val="nil"/>
              <w:bottom w:val="single" w:sz="4" w:space="0" w:color="auto"/>
              <w:right w:val="single" w:sz="4" w:space="0" w:color="auto"/>
            </w:tcBorders>
            <w:shd w:val="clear" w:color="auto" w:fill="auto"/>
            <w:noWrap/>
            <w:vAlign w:val="bottom"/>
            <w:hideMark/>
          </w:tcPr>
          <w:p w14:paraId="425F4FF2"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220</w:t>
            </w:r>
          </w:p>
        </w:tc>
        <w:tc>
          <w:tcPr>
            <w:tcW w:w="680" w:type="dxa"/>
            <w:tcBorders>
              <w:top w:val="nil"/>
              <w:left w:val="nil"/>
              <w:bottom w:val="single" w:sz="4" w:space="0" w:color="auto"/>
              <w:right w:val="single" w:sz="4" w:space="0" w:color="auto"/>
            </w:tcBorders>
            <w:shd w:val="clear" w:color="auto" w:fill="auto"/>
            <w:noWrap/>
            <w:vAlign w:val="bottom"/>
            <w:hideMark/>
          </w:tcPr>
          <w:p w14:paraId="5D8AD120"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289</w:t>
            </w:r>
          </w:p>
        </w:tc>
      </w:tr>
      <w:tr w:rsidR="00E335CE" w:rsidRPr="00B13B9A" w14:paraId="7CC008EE" w14:textId="77777777" w:rsidTr="00332FF7">
        <w:trPr>
          <w:trHeight w:val="2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705002DC" w14:textId="77777777" w:rsidR="00E335CE" w:rsidRPr="00B13B9A" w:rsidRDefault="00E335CE" w:rsidP="00E335CE">
            <w:pPr>
              <w:spacing w:after="0" w:line="240" w:lineRule="auto"/>
              <w:jc w:val="center"/>
              <w:rPr>
                <w:rFonts w:asciiTheme="majorHAnsi" w:eastAsia="Times New Roman" w:hAnsiTheme="majorHAnsi" w:cstheme="majorHAnsi"/>
                <w:b/>
                <w:bCs/>
                <w:color w:val="000000"/>
                <w:sz w:val="16"/>
                <w:szCs w:val="16"/>
                <w:lang w:val="ro-MD"/>
              </w:rPr>
            </w:pPr>
            <w:r w:rsidRPr="00B13B9A">
              <w:rPr>
                <w:rFonts w:asciiTheme="majorHAnsi" w:eastAsia="Times New Roman" w:hAnsiTheme="majorHAnsi" w:cstheme="majorHAnsi"/>
                <w:b/>
                <w:bCs/>
                <w:color w:val="000000"/>
                <w:sz w:val="16"/>
                <w:szCs w:val="16"/>
                <w:lang w:val="ro-MD"/>
              </w:rPr>
              <w:t>oct.21</w:t>
            </w:r>
          </w:p>
        </w:tc>
        <w:tc>
          <w:tcPr>
            <w:tcW w:w="703" w:type="dxa"/>
            <w:tcBorders>
              <w:top w:val="nil"/>
              <w:left w:val="nil"/>
              <w:bottom w:val="single" w:sz="4" w:space="0" w:color="auto"/>
              <w:right w:val="single" w:sz="4" w:space="0" w:color="auto"/>
            </w:tcBorders>
            <w:shd w:val="clear" w:color="auto" w:fill="auto"/>
            <w:noWrap/>
            <w:vAlign w:val="bottom"/>
            <w:hideMark/>
          </w:tcPr>
          <w:p w14:paraId="488AA862"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40</w:t>
            </w:r>
          </w:p>
        </w:tc>
        <w:tc>
          <w:tcPr>
            <w:tcW w:w="640" w:type="dxa"/>
            <w:tcBorders>
              <w:top w:val="nil"/>
              <w:left w:val="nil"/>
              <w:bottom w:val="single" w:sz="4" w:space="0" w:color="auto"/>
              <w:right w:val="single" w:sz="4" w:space="0" w:color="auto"/>
            </w:tcBorders>
            <w:shd w:val="clear" w:color="auto" w:fill="auto"/>
            <w:noWrap/>
            <w:vAlign w:val="bottom"/>
            <w:hideMark/>
          </w:tcPr>
          <w:p w14:paraId="0A6A9830"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64</w:t>
            </w:r>
          </w:p>
        </w:tc>
        <w:tc>
          <w:tcPr>
            <w:tcW w:w="580" w:type="dxa"/>
            <w:tcBorders>
              <w:top w:val="nil"/>
              <w:left w:val="nil"/>
              <w:bottom w:val="single" w:sz="4" w:space="0" w:color="auto"/>
              <w:right w:val="single" w:sz="4" w:space="0" w:color="auto"/>
            </w:tcBorders>
            <w:shd w:val="clear" w:color="auto" w:fill="auto"/>
            <w:noWrap/>
            <w:vAlign w:val="bottom"/>
            <w:hideMark/>
          </w:tcPr>
          <w:p w14:paraId="365D2216"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57</w:t>
            </w:r>
          </w:p>
        </w:tc>
        <w:tc>
          <w:tcPr>
            <w:tcW w:w="703" w:type="dxa"/>
            <w:gridSpan w:val="2"/>
            <w:tcBorders>
              <w:top w:val="nil"/>
              <w:left w:val="nil"/>
              <w:bottom w:val="single" w:sz="4" w:space="0" w:color="auto"/>
              <w:right w:val="single" w:sz="4" w:space="0" w:color="auto"/>
            </w:tcBorders>
            <w:shd w:val="clear" w:color="auto" w:fill="auto"/>
            <w:noWrap/>
            <w:vAlign w:val="bottom"/>
            <w:hideMark/>
          </w:tcPr>
          <w:p w14:paraId="2DF165C2"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45</w:t>
            </w:r>
          </w:p>
        </w:tc>
        <w:tc>
          <w:tcPr>
            <w:tcW w:w="680" w:type="dxa"/>
            <w:tcBorders>
              <w:top w:val="nil"/>
              <w:left w:val="nil"/>
              <w:bottom w:val="single" w:sz="4" w:space="0" w:color="auto"/>
              <w:right w:val="single" w:sz="4" w:space="0" w:color="auto"/>
            </w:tcBorders>
            <w:shd w:val="clear" w:color="auto" w:fill="auto"/>
            <w:noWrap/>
            <w:vAlign w:val="bottom"/>
            <w:hideMark/>
          </w:tcPr>
          <w:p w14:paraId="20D98D0F"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37</w:t>
            </w:r>
          </w:p>
        </w:tc>
        <w:tc>
          <w:tcPr>
            <w:tcW w:w="534" w:type="dxa"/>
            <w:tcBorders>
              <w:top w:val="nil"/>
              <w:left w:val="nil"/>
              <w:bottom w:val="single" w:sz="4" w:space="0" w:color="auto"/>
              <w:right w:val="single" w:sz="4" w:space="0" w:color="auto"/>
            </w:tcBorders>
            <w:shd w:val="clear" w:color="auto" w:fill="auto"/>
            <w:noWrap/>
            <w:vAlign w:val="bottom"/>
            <w:hideMark/>
          </w:tcPr>
          <w:p w14:paraId="55053A29"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37</w:t>
            </w:r>
          </w:p>
        </w:tc>
        <w:tc>
          <w:tcPr>
            <w:tcW w:w="703" w:type="dxa"/>
            <w:gridSpan w:val="2"/>
            <w:tcBorders>
              <w:top w:val="nil"/>
              <w:left w:val="nil"/>
              <w:bottom w:val="single" w:sz="4" w:space="0" w:color="auto"/>
              <w:right w:val="single" w:sz="4" w:space="0" w:color="auto"/>
            </w:tcBorders>
            <w:shd w:val="clear" w:color="auto" w:fill="auto"/>
            <w:noWrap/>
            <w:vAlign w:val="bottom"/>
            <w:hideMark/>
          </w:tcPr>
          <w:p w14:paraId="44951C33"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65</w:t>
            </w:r>
          </w:p>
        </w:tc>
        <w:tc>
          <w:tcPr>
            <w:tcW w:w="629" w:type="dxa"/>
            <w:tcBorders>
              <w:top w:val="nil"/>
              <w:left w:val="nil"/>
              <w:bottom w:val="single" w:sz="4" w:space="0" w:color="auto"/>
              <w:right w:val="single" w:sz="4" w:space="0" w:color="auto"/>
            </w:tcBorders>
            <w:shd w:val="clear" w:color="auto" w:fill="auto"/>
            <w:noWrap/>
            <w:vAlign w:val="bottom"/>
            <w:hideMark/>
          </w:tcPr>
          <w:p w14:paraId="27679A2F"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58</w:t>
            </w:r>
          </w:p>
        </w:tc>
        <w:tc>
          <w:tcPr>
            <w:tcW w:w="567" w:type="dxa"/>
            <w:tcBorders>
              <w:top w:val="nil"/>
              <w:left w:val="nil"/>
              <w:bottom w:val="single" w:sz="4" w:space="0" w:color="auto"/>
              <w:right w:val="single" w:sz="4" w:space="0" w:color="auto"/>
            </w:tcBorders>
            <w:shd w:val="clear" w:color="auto" w:fill="auto"/>
            <w:noWrap/>
            <w:vAlign w:val="bottom"/>
            <w:hideMark/>
          </w:tcPr>
          <w:p w14:paraId="4C92C5C1"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46</w:t>
            </w:r>
          </w:p>
        </w:tc>
        <w:tc>
          <w:tcPr>
            <w:tcW w:w="703" w:type="dxa"/>
            <w:tcBorders>
              <w:top w:val="nil"/>
              <w:left w:val="nil"/>
              <w:bottom w:val="single" w:sz="4" w:space="0" w:color="auto"/>
              <w:right w:val="single" w:sz="4" w:space="0" w:color="auto"/>
            </w:tcBorders>
            <w:shd w:val="clear" w:color="auto" w:fill="auto"/>
            <w:noWrap/>
            <w:vAlign w:val="bottom"/>
            <w:hideMark/>
          </w:tcPr>
          <w:p w14:paraId="35B95E4C"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85</w:t>
            </w:r>
          </w:p>
        </w:tc>
        <w:tc>
          <w:tcPr>
            <w:tcW w:w="609" w:type="dxa"/>
            <w:tcBorders>
              <w:top w:val="nil"/>
              <w:left w:val="nil"/>
              <w:bottom w:val="single" w:sz="4" w:space="0" w:color="auto"/>
              <w:right w:val="single" w:sz="4" w:space="0" w:color="auto"/>
            </w:tcBorders>
            <w:shd w:val="clear" w:color="auto" w:fill="auto"/>
            <w:noWrap/>
            <w:vAlign w:val="bottom"/>
            <w:hideMark/>
          </w:tcPr>
          <w:p w14:paraId="236353A4"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58</w:t>
            </w:r>
          </w:p>
        </w:tc>
        <w:tc>
          <w:tcPr>
            <w:tcW w:w="531" w:type="dxa"/>
            <w:tcBorders>
              <w:top w:val="nil"/>
              <w:left w:val="nil"/>
              <w:bottom w:val="single" w:sz="4" w:space="0" w:color="auto"/>
              <w:right w:val="single" w:sz="4" w:space="0" w:color="auto"/>
            </w:tcBorders>
            <w:shd w:val="clear" w:color="auto" w:fill="auto"/>
            <w:noWrap/>
            <w:vAlign w:val="bottom"/>
            <w:hideMark/>
          </w:tcPr>
          <w:p w14:paraId="348C7FBD"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61</w:t>
            </w:r>
          </w:p>
        </w:tc>
        <w:tc>
          <w:tcPr>
            <w:tcW w:w="616" w:type="dxa"/>
            <w:tcBorders>
              <w:top w:val="nil"/>
              <w:left w:val="nil"/>
              <w:bottom w:val="single" w:sz="4" w:space="0" w:color="auto"/>
              <w:right w:val="single" w:sz="4" w:space="0" w:color="auto"/>
            </w:tcBorders>
            <w:shd w:val="clear" w:color="auto" w:fill="auto"/>
            <w:noWrap/>
            <w:vAlign w:val="bottom"/>
            <w:hideMark/>
          </w:tcPr>
          <w:p w14:paraId="0D0D423E"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80</w:t>
            </w:r>
          </w:p>
        </w:tc>
        <w:tc>
          <w:tcPr>
            <w:tcW w:w="620" w:type="dxa"/>
            <w:tcBorders>
              <w:top w:val="nil"/>
              <w:left w:val="nil"/>
              <w:bottom w:val="single" w:sz="4" w:space="0" w:color="auto"/>
              <w:right w:val="single" w:sz="4" w:space="0" w:color="auto"/>
            </w:tcBorders>
            <w:shd w:val="clear" w:color="auto" w:fill="auto"/>
            <w:noWrap/>
            <w:vAlign w:val="bottom"/>
            <w:hideMark/>
          </w:tcPr>
          <w:p w14:paraId="50B2EA10"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64</w:t>
            </w:r>
          </w:p>
        </w:tc>
        <w:tc>
          <w:tcPr>
            <w:tcW w:w="623" w:type="dxa"/>
            <w:tcBorders>
              <w:top w:val="nil"/>
              <w:left w:val="nil"/>
              <w:bottom w:val="single" w:sz="4" w:space="0" w:color="auto"/>
              <w:right w:val="single" w:sz="4" w:space="0" w:color="auto"/>
            </w:tcBorders>
            <w:shd w:val="clear" w:color="auto" w:fill="auto"/>
            <w:noWrap/>
            <w:vAlign w:val="bottom"/>
            <w:hideMark/>
          </w:tcPr>
          <w:p w14:paraId="7ACA41B9"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56</w:t>
            </w:r>
          </w:p>
        </w:tc>
        <w:tc>
          <w:tcPr>
            <w:tcW w:w="551" w:type="dxa"/>
            <w:tcBorders>
              <w:top w:val="nil"/>
              <w:left w:val="nil"/>
              <w:bottom w:val="single" w:sz="4" w:space="0" w:color="auto"/>
              <w:right w:val="single" w:sz="4" w:space="0" w:color="auto"/>
            </w:tcBorders>
            <w:shd w:val="clear" w:color="auto" w:fill="auto"/>
            <w:noWrap/>
            <w:vAlign w:val="bottom"/>
            <w:hideMark/>
          </w:tcPr>
          <w:p w14:paraId="3C485536"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w:t>
            </w:r>
          </w:p>
        </w:tc>
        <w:tc>
          <w:tcPr>
            <w:tcW w:w="567" w:type="dxa"/>
            <w:tcBorders>
              <w:top w:val="nil"/>
              <w:left w:val="nil"/>
              <w:bottom w:val="single" w:sz="4" w:space="0" w:color="auto"/>
              <w:right w:val="single" w:sz="4" w:space="0" w:color="auto"/>
            </w:tcBorders>
            <w:shd w:val="clear" w:color="auto" w:fill="auto"/>
            <w:noWrap/>
            <w:vAlign w:val="bottom"/>
            <w:hideMark/>
          </w:tcPr>
          <w:p w14:paraId="3DF9CDF6"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8</w:t>
            </w:r>
          </w:p>
        </w:tc>
        <w:tc>
          <w:tcPr>
            <w:tcW w:w="567" w:type="dxa"/>
            <w:tcBorders>
              <w:top w:val="nil"/>
              <w:left w:val="nil"/>
              <w:bottom w:val="single" w:sz="4" w:space="0" w:color="auto"/>
              <w:right w:val="single" w:sz="4" w:space="0" w:color="auto"/>
            </w:tcBorders>
            <w:shd w:val="clear" w:color="auto" w:fill="auto"/>
            <w:noWrap/>
            <w:vAlign w:val="bottom"/>
            <w:hideMark/>
          </w:tcPr>
          <w:p w14:paraId="335F2BF0"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10</w:t>
            </w:r>
          </w:p>
        </w:tc>
        <w:tc>
          <w:tcPr>
            <w:tcW w:w="703" w:type="dxa"/>
            <w:tcBorders>
              <w:top w:val="nil"/>
              <w:left w:val="nil"/>
              <w:bottom w:val="single" w:sz="4" w:space="0" w:color="auto"/>
              <w:right w:val="single" w:sz="4" w:space="0" w:color="auto"/>
            </w:tcBorders>
            <w:shd w:val="clear" w:color="auto" w:fill="auto"/>
            <w:noWrap/>
            <w:vAlign w:val="bottom"/>
            <w:hideMark/>
          </w:tcPr>
          <w:p w14:paraId="65255A4C"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315</w:t>
            </w:r>
          </w:p>
        </w:tc>
        <w:tc>
          <w:tcPr>
            <w:tcW w:w="700" w:type="dxa"/>
            <w:tcBorders>
              <w:top w:val="nil"/>
              <w:left w:val="nil"/>
              <w:bottom w:val="single" w:sz="4" w:space="0" w:color="auto"/>
              <w:right w:val="single" w:sz="4" w:space="0" w:color="auto"/>
            </w:tcBorders>
            <w:shd w:val="clear" w:color="auto" w:fill="auto"/>
            <w:noWrap/>
            <w:vAlign w:val="bottom"/>
            <w:hideMark/>
          </w:tcPr>
          <w:p w14:paraId="6505F3B8"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289</w:t>
            </w:r>
          </w:p>
        </w:tc>
        <w:tc>
          <w:tcPr>
            <w:tcW w:w="680" w:type="dxa"/>
            <w:tcBorders>
              <w:top w:val="nil"/>
              <w:left w:val="nil"/>
              <w:bottom w:val="single" w:sz="4" w:space="0" w:color="auto"/>
              <w:right w:val="single" w:sz="4" w:space="0" w:color="auto"/>
            </w:tcBorders>
            <w:shd w:val="clear" w:color="auto" w:fill="auto"/>
            <w:noWrap/>
            <w:vAlign w:val="bottom"/>
            <w:hideMark/>
          </w:tcPr>
          <w:p w14:paraId="3063B914"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267</w:t>
            </w:r>
          </w:p>
        </w:tc>
      </w:tr>
      <w:tr w:rsidR="00E335CE" w:rsidRPr="00B13B9A" w14:paraId="5677A076" w14:textId="77777777" w:rsidTr="00332FF7">
        <w:trPr>
          <w:trHeight w:val="2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6E239C67" w14:textId="77777777" w:rsidR="00E335CE" w:rsidRPr="00B13B9A" w:rsidRDefault="00E335CE" w:rsidP="00E335CE">
            <w:pPr>
              <w:spacing w:after="0" w:line="240" w:lineRule="auto"/>
              <w:jc w:val="center"/>
              <w:rPr>
                <w:rFonts w:asciiTheme="majorHAnsi" w:eastAsia="Times New Roman" w:hAnsiTheme="majorHAnsi" w:cstheme="majorHAnsi"/>
                <w:b/>
                <w:bCs/>
                <w:color w:val="000000"/>
                <w:sz w:val="16"/>
                <w:szCs w:val="16"/>
                <w:lang w:val="ro-MD"/>
              </w:rPr>
            </w:pPr>
            <w:r w:rsidRPr="00B13B9A">
              <w:rPr>
                <w:rFonts w:asciiTheme="majorHAnsi" w:eastAsia="Times New Roman" w:hAnsiTheme="majorHAnsi" w:cstheme="majorHAnsi"/>
                <w:b/>
                <w:bCs/>
                <w:color w:val="000000"/>
                <w:sz w:val="16"/>
                <w:szCs w:val="16"/>
                <w:lang w:val="ro-MD"/>
              </w:rPr>
              <w:t>nov.21</w:t>
            </w:r>
          </w:p>
        </w:tc>
        <w:tc>
          <w:tcPr>
            <w:tcW w:w="703" w:type="dxa"/>
            <w:tcBorders>
              <w:top w:val="nil"/>
              <w:left w:val="nil"/>
              <w:bottom w:val="single" w:sz="4" w:space="0" w:color="auto"/>
              <w:right w:val="single" w:sz="4" w:space="0" w:color="auto"/>
            </w:tcBorders>
            <w:shd w:val="clear" w:color="auto" w:fill="auto"/>
            <w:noWrap/>
            <w:vAlign w:val="bottom"/>
            <w:hideMark/>
          </w:tcPr>
          <w:p w14:paraId="673404B1"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40</w:t>
            </w:r>
          </w:p>
        </w:tc>
        <w:tc>
          <w:tcPr>
            <w:tcW w:w="640" w:type="dxa"/>
            <w:tcBorders>
              <w:top w:val="nil"/>
              <w:left w:val="nil"/>
              <w:bottom w:val="single" w:sz="4" w:space="0" w:color="auto"/>
              <w:right w:val="single" w:sz="4" w:space="0" w:color="auto"/>
            </w:tcBorders>
            <w:shd w:val="clear" w:color="auto" w:fill="auto"/>
            <w:noWrap/>
            <w:vAlign w:val="bottom"/>
            <w:hideMark/>
          </w:tcPr>
          <w:p w14:paraId="51A4DC15"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57</w:t>
            </w:r>
          </w:p>
        </w:tc>
        <w:tc>
          <w:tcPr>
            <w:tcW w:w="580" w:type="dxa"/>
            <w:tcBorders>
              <w:top w:val="nil"/>
              <w:left w:val="nil"/>
              <w:bottom w:val="single" w:sz="4" w:space="0" w:color="auto"/>
              <w:right w:val="single" w:sz="4" w:space="0" w:color="auto"/>
            </w:tcBorders>
            <w:shd w:val="clear" w:color="auto" w:fill="auto"/>
            <w:noWrap/>
            <w:vAlign w:val="bottom"/>
            <w:hideMark/>
          </w:tcPr>
          <w:p w14:paraId="3C9BED0B"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43</w:t>
            </w:r>
          </w:p>
        </w:tc>
        <w:tc>
          <w:tcPr>
            <w:tcW w:w="703" w:type="dxa"/>
            <w:gridSpan w:val="2"/>
            <w:tcBorders>
              <w:top w:val="nil"/>
              <w:left w:val="nil"/>
              <w:bottom w:val="single" w:sz="4" w:space="0" w:color="auto"/>
              <w:right w:val="single" w:sz="4" w:space="0" w:color="auto"/>
            </w:tcBorders>
            <w:shd w:val="clear" w:color="auto" w:fill="auto"/>
            <w:noWrap/>
            <w:vAlign w:val="bottom"/>
            <w:hideMark/>
          </w:tcPr>
          <w:p w14:paraId="44E1898D"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45</w:t>
            </w:r>
          </w:p>
        </w:tc>
        <w:tc>
          <w:tcPr>
            <w:tcW w:w="680" w:type="dxa"/>
            <w:tcBorders>
              <w:top w:val="nil"/>
              <w:left w:val="nil"/>
              <w:bottom w:val="single" w:sz="4" w:space="0" w:color="auto"/>
              <w:right w:val="single" w:sz="4" w:space="0" w:color="auto"/>
            </w:tcBorders>
            <w:shd w:val="clear" w:color="auto" w:fill="auto"/>
            <w:noWrap/>
            <w:vAlign w:val="bottom"/>
            <w:hideMark/>
          </w:tcPr>
          <w:p w14:paraId="1B66B5CD"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37</w:t>
            </w:r>
          </w:p>
        </w:tc>
        <w:tc>
          <w:tcPr>
            <w:tcW w:w="534" w:type="dxa"/>
            <w:tcBorders>
              <w:top w:val="nil"/>
              <w:left w:val="nil"/>
              <w:bottom w:val="single" w:sz="4" w:space="0" w:color="auto"/>
              <w:right w:val="single" w:sz="4" w:space="0" w:color="auto"/>
            </w:tcBorders>
            <w:shd w:val="clear" w:color="auto" w:fill="auto"/>
            <w:noWrap/>
            <w:vAlign w:val="bottom"/>
            <w:hideMark/>
          </w:tcPr>
          <w:p w14:paraId="4E592934"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25</w:t>
            </w:r>
          </w:p>
        </w:tc>
        <w:tc>
          <w:tcPr>
            <w:tcW w:w="703" w:type="dxa"/>
            <w:gridSpan w:val="2"/>
            <w:tcBorders>
              <w:top w:val="nil"/>
              <w:left w:val="nil"/>
              <w:bottom w:val="single" w:sz="4" w:space="0" w:color="auto"/>
              <w:right w:val="single" w:sz="4" w:space="0" w:color="auto"/>
            </w:tcBorders>
            <w:shd w:val="clear" w:color="auto" w:fill="auto"/>
            <w:noWrap/>
            <w:vAlign w:val="bottom"/>
            <w:hideMark/>
          </w:tcPr>
          <w:p w14:paraId="4D8E7E6A"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65</w:t>
            </w:r>
          </w:p>
        </w:tc>
        <w:tc>
          <w:tcPr>
            <w:tcW w:w="629" w:type="dxa"/>
            <w:tcBorders>
              <w:top w:val="nil"/>
              <w:left w:val="nil"/>
              <w:bottom w:val="single" w:sz="4" w:space="0" w:color="auto"/>
              <w:right w:val="single" w:sz="4" w:space="0" w:color="auto"/>
            </w:tcBorders>
            <w:shd w:val="clear" w:color="auto" w:fill="auto"/>
            <w:noWrap/>
            <w:vAlign w:val="bottom"/>
            <w:hideMark/>
          </w:tcPr>
          <w:p w14:paraId="6E949022"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46</w:t>
            </w:r>
          </w:p>
        </w:tc>
        <w:tc>
          <w:tcPr>
            <w:tcW w:w="567" w:type="dxa"/>
            <w:tcBorders>
              <w:top w:val="nil"/>
              <w:left w:val="nil"/>
              <w:bottom w:val="single" w:sz="4" w:space="0" w:color="auto"/>
              <w:right w:val="single" w:sz="4" w:space="0" w:color="auto"/>
            </w:tcBorders>
            <w:shd w:val="clear" w:color="auto" w:fill="auto"/>
            <w:noWrap/>
            <w:vAlign w:val="bottom"/>
            <w:hideMark/>
          </w:tcPr>
          <w:p w14:paraId="546A4A35"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51</w:t>
            </w:r>
          </w:p>
        </w:tc>
        <w:tc>
          <w:tcPr>
            <w:tcW w:w="703" w:type="dxa"/>
            <w:tcBorders>
              <w:top w:val="nil"/>
              <w:left w:val="nil"/>
              <w:bottom w:val="single" w:sz="4" w:space="0" w:color="auto"/>
              <w:right w:val="single" w:sz="4" w:space="0" w:color="auto"/>
            </w:tcBorders>
            <w:shd w:val="clear" w:color="auto" w:fill="auto"/>
            <w:noWrap/>
            <w:vAlign w:val="bottom"/>
            <w:hideMark/>
          </w:tcPr>
          <w:p w14:paraId="0CADB5CA"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85</w:t>
            </w:r>
          </w:p>
        </w:tc>
        <w:tc>
          <w:tcPr>
            <w:tcW w:w="609" w:type="dxa"/>
            <w:tcBorders>
              <w:top w:val="nil"/>
              <w:left w:val="nil"/>
              <w:bottom w:val="single" w:sz="4" w:space="0" w:color="auto"/>
              <w:right w:val="single" w:sz="4" w:space="0" w:color="auto"/>
            </w:tcBorders>
            <w:shd w:val="clear" w:color="auto" w:fill="auto"/>
            <w:noWrap/>
            <w:vAlign w:val="bottom"/>
            <w:hideMark/>
          </w:tcPr>
          <w:p w14:paraId="7F23B463"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62</w:t>
            </w:r>
          </w:p>
        </w:tc>
        <w:tc>
          <w:tcPr>
            <w:tcW w:w="531" w:type="dxa"/>
            <w:tcBorders>
              <w:top w:val="nil"/>
              <w:left w:val="nil"/>
              <w:bottom w:val="single" w:sz="4" w:space="0" w:color="auto"/>
              <w:right w:val="single" w:sz="4" w:space="0" w:color="auto"/>
            </w:tcBorders>
            <w:shd w:val="clear" w:color="auto" w:fill="auto"/>
            <w:noWrap/>
            <w:vAlign w:val="bottom"/>
            <w:hideMark/>
          </w:tcPr>
          <w:p w14:paraId="17CC280A"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65</w:t>
            </w:r>
          </w:p>
        </w:tc>
        <w:tc>
          <w:tcPr>
            <w:tcW w:w="616" w:type="dxa"/>
            <w:tcBorders>
              <w:top w:val="nil"/>
              <w:left w:val="nil"/>
              <w:bottom w:val="single" w:sz="4" w:space="0" w:color="auto"/>
              <w:right w:val="single" w:sz="4" w:space="0" w:color="auto"/>
            </w:tcBorders>
            <w:shd w:val="clear" w:color="auto" w:fill="auto"/>
            <w:noWrap/>
            <w:vAlign w:val="bottom"/>
            <w:hideMark/>
          </w:tcPr>
          <w:p w14:paraId="0E28B4AB"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80</w:t>
            </w:r>
          </w:p>
        </w:tc>
        <w:tc>
          <w:tcPr>
            <w:tcW w:w="620" w:type="dxa"/>
            <w:tcBorders>
              <w:top w:val="nil"/>
              <w:left w:val="nil"/>
              <w:bottom w:val="single" w:sz="4" w:space="0" w:color="auto"/>
              <w:right w:val="single" w:sz="4" w:space="0" w:color="auto"/>
            </w:tcBorders>
            <w:shd w:val="clear" w:color="auto" w:fill="auto"/>
            <w:noWrap/>
            <w:vAlign w:val="bottom"/>
            <w:hideMark/>
          </w:tcPr>
          <w:p w14:paraId="4AA7BDF7"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56</w:t>
            </w:r>
          </w:p>
        </w:tc>
        <w:tc>
          <w:tcPr>
            <w:tcW w:w="623" w:type="dxa"/>
            <w:tcBorders>
              <w:top w:val="nil"/>
              <w:left w:val="nil"/>
              <w:bottom w:val="single" w:sz="4" w:space="0" w:color="auto"/>
              <w:right w:val="single" w:sz="4" w:space="0" w:color="auto"/>
            </w:tcBorders>
            <w:shd w:val="clear" w:color="auto" w:fill="auto"/>
            <w:noWrap/>
            <w:vAlign w:val="bottom"/>
            <w:hideMark/>
          </w:tcPr>
          <w:p w14:paraId="202F8F43"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65</w:t>
            </w:r>
          </w:p>
        </w:tc>
        <w:tc>
          <w:tcPr>
            <w:tcW w:w="551" w:type="dxa"/>
            <w:tcBorders>
              <w:top w:val="nil"/>
              <w:left w:val="nil"/>
              <w:bottom w:val="single" w:sz="4" w:space="0" w:color="auto"/>
              <w:right w:val="single" w:sz="4" w:space="0" w:color="auto"/>
            </w:tcBorders>
            <w:shd w:val="clear" w:color="auto" w:fill="auto"/>
            <w:noWrap/>
            <w:vAlign w:val="bottom"/>
            <w:hideMark/>
          </w:tcPr>
          <w:p w14:paraId="5B97D1B5"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w:t>
            </w:r>
          </w:p>
        </w:tc>
        <w:tc>
          <w:tcPr>
            <w:tcW w:w="567" w:type="dxa"/>
            <w:tcBorders>
              <w:top w:val="nil"/>
              <w:left w:val="nil"/>
              <w:bottom w:val="single" w:sz="4" w:space="0" w:color="auto"/>
              <w:right w:val="single" w:sz="4" w:space="0" w:color="auto"/>
            </w:tcBorders>
            <w:shd w:val="clear" w:color="auto" w:fill="auto"/>
            <w:noWrap/>
            <w:vAlign w:val="bottom"/>
            <w:hideMark/>
          </w:tcPr>
          <w:p w14:paraId="6A54FAD2"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10</w:t>
            </w:r>
          </w:p>
        </w:tc>
        <w:tc>
          <w:tcPr>
            <w:tcW w:w="567" w:type="dxa"/>
            <w:tcBorders>
              <w:top w:val="nil"/>
              <w:left w:val="nil"/>
              <w:bottom w:val="single" w:sz="4" w:space="0" w:color="auto"/>
              <w:right w:val="single" w:sz="4" w:space="0" w:color="auto"/>
            </w:tcBorders>
            <w:shd w:val="clear" w:color="auto" w:fill="auto"/>
            <w:noWrap/>
            <w:vAlign w:val="bottom"/>
            <w:hideMark/>
          </w:tcPr>
          <w:p w14:paraId="592743F9"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9</w:t>
            </w:r>
          </w:p>
        </w:tc>
        <w:tc>
          <w:tcPr>
            <w:tcW w:w="703" w:type="dxa"/>
            <w:tcBorders>
              <w:top w:val="nil"/>
              <w:left w:val="nil"/>
              <w:bottom w:val="single" w:sz="4" w:space="0" w:color="auto"/>
              <w:right w:val="single" w:sz="4" w:space="0" w:color="auto"/>
            </w:tcBorders>
            <w:shd w:val="clear" w:color="auto" w:fill="auto"/>
            <w:noWrap/>
            <w:vAlign w:val="bottom"/>
            <w:hideMark/>
          </w:tcPr>
          <w:p w14:paraId="526780B2"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315</w:t>
            </w:r>
          </w:p>
        </w:tc>
        <w:tc>
          <w:tcPr>
            <w:tcW w:w="700" w:type="dxa"/>
            <w:tcBorders>
              <w:top w:val="nil"/>
              <w:left w:val="nil"/>
              <w:bottom w:val="single" w:sz="4" w:space="0" w:color="auto"/>
              <w:right w:val="single" w:sz="4" w:space="0" w:color="auto"/>
            </w:tcBorders>
            <w:shd w:val="clear" w:color="auto" w:fill="auto"/>
            <w:noWrap/>
            <w:vAlign w:val="bottom"/>
            <w:hideMark/>
          </w:tcPr>
          <w:p w14:paraId="67C11350"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268</w:t>
            </w:r>
          </w:p>
        </w:tc>
        <w:tc>
          <w:tcPr>
            <w:tcW w:w="680" w:type="dxa"/>
            <w:tcBorders>
              <w:top w:val="nil"/>
              <w:left w:val="nil"/>
              <w:bottom w:val="single" w:sz="4" w:space="0" w:color="auto"/>
              <w:right w:val="single" w:sz="4" w:space="0" w:color="auto"/>
            </w:tcBorders>
            <w:shd w:val="clear" w:color="auto" w:fill="auto"/>
            <w:noWrap/>
            <w:vAlign w:val="bottom"/>
            <w:hideMark/>
          </w:tcPr>
          <w:p w14:paraId="750EDE6B"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258</w:t>
            </w:r>
          </w:p>
        </w:tc>
      </w:tr>
      <w:tr w:rsidR="00E335CE" w:rsidRPr="00B13B9A" w14:paraId="20FF224A" w14:textId="77777777" w:rsidTr="00332FF7">
        <w:trPr>
          <w:trHeight w:val="2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4653B6CB" w14:textId="77777777" w:rsidR="00E335CE" w:rsidRPr="00B13B9A" w:rsidRDefault="00E335CE" w:rsidP="00E335CE">
            <w:pPr>
              <w:spacing w:after="0" w:line="240" w:lineRule="auto"/>
              <w:jc w:val="center"/>
              <w:rPr>
                <w:rFonts w:asciiTheme="majorHAnsi" w:eastAsia="Times New Roman" w:hAnsiTheme="majorHAnsi" w:cstheme="majorHAnsi"/>
                <w:b/>
                <w:bCs/>
                <w:color w:val="000000"/>
                <w:sz w:val="16"/>
                <w:szCs w:val="16"/>
                <w:lang w:val="ro-MD"/>
              </w:rPr>
            </w:pPr>
            <w:r w:rsidRPr="00B13B9A">
              <w:rPr>
                <w:rFonts w:asciiTheme="majorHAnsi" w:eastAsia="Times New Roman" w:hAnsiTheme="majorHAnsi" w:cstheme="majorHAnsi"/>
                <w:b/>
                <w:bCs/>
                <w:color w:val="000000"/>
                <w:sz w:val="16"/>
                <w:szCs w:val="16"/>
                <w:lang w:val="ro-MD"/>
              </w:rPr>
              <w:t>dec.21</w:t>
            </w:r>
          </w:p>
        </w:tc>
        <w:tc>
          <w:tcPr>
            <w:tcW w:w="703" w:type="dxa"/>
            <w:tcBorders>
              <w:top w:val="nil"/>
              <w:left w:val="nil"/>
              <w:bottom w:val="single" w:sz="4" w:space="0" w:color="auto"/>
              <w:right w:val="single" w:sz="4" w:space="0" w:color="auto"/>
            </w:tcBorders>
            <w:shd w:val="clear" w:color="auto" w:fill="auto"/>
            <w:noWrap/>
            <w:vAlign w:val="bottom"/>
            <w:hideMark/>
          </w:tcPr>
          <w:p w14:paraId="1498611E"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40</w:t>
            </w:r>
          </w:p>
        </w:tc>
        <w:tc>
          <w:tcPr>
            <w:tcW w:w="640" w:type="dxa"/>
            <w:tcBorders>
              <w:top w:val="nil"/>
              <w:left w:val="nil"/>
              <w:bottom w:val="single" w:sz="4" w:space="0" w:color="auto"/>
              <w:right w:val="single" w:sz="4" w:space="0" w:color="auto"/>
            </w:tcBorders>
            <w:shd w:val="clear" w:color="auto" w:fill="auto"/>
            <w:noWrap/>
            <w:vAlign w:val="bottom"/>
            <w:hideMark/>
          </w:tcPr>
          <w:p w14:paraId="34D2676F"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43</w:t>
            </w:r>
          </w:p>
        </w:tc>
        <w:tc>
          <w:tcPr>
            <w:tcW w:w="580" w:type="dxa"/>
            <w:tcBorders>
              <w:top w:val="nil"/>
              <w:left w:val="nil"/>
              <w:bottom w:val="single" w:sz="4" w:space="0" w:color="auto"/>
              <w:right w:val="single" w:sz="4" w:space="0" w:color="auto"/>
            </w:tcBorders>
            <w:shd w:val="clear" w:color="auto" w:fill="auto"/>
            <w:noWrap/>
            <w:vAlign w:val="bottom"/>
            <w:hideMark/>
          </w:tcPr>
          <w:p w14:paraId="06D6D542"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15</w:t>
            </w:r>
          </w:p>
        </w:tc>
        <w:tc>
          <w:tcPr>
            <w:tcW w:w="703" w:type="dxa"/>
            <w:gridSpan w:val="2"/>
            <w:tcBorders>
              <w:top w:val="nil"/>
              <w:left w:val="nil"/>
              <w:bottom w:val="single" w:sz="4" w:space="0" w:color="auto"/>
              <w:right w:val="single" w:sz="4" w:space="0" w:color="auto"/>
            </w:tcBorders>
            <w:shd w:val="clear" w:color="auto" w:fill="auto"/>
            <w:noWrap/>
            <w:vAlign w:val="bottom"/>
            <w:hideMark/>
          </w:tcPr>
          <w:p w14:paraId="7AC006D6"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45</w:t>
            </w:r>
          </w:p>
        </w:tc>
        <w:tc>
          <w:tcPr>
            <w:tcW w:w="680" w:type="dxa"/>
            <w:tcBorders>
              <w:top w:val="nil"/>
              <w:left w:val="nil"/>
              <w:bottom w:val="single" w:sz="4" w:space="0" w:color="auto"/>
              <w:right w:val="single" w:sz="4" w:space="0" w:color="auto"/>
            </w:tcBorders>
            <w:shd w:val="clear" w:color="auto" w:fill="auto"/>
            <w:noWrap/>
            <w:vAlign w:val="bottom"/>
            <w:hideMark/>
          </w:tcPr>
          <w:p w14:paraId="33D332FC"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25</w:t>
            </w:r>
          </w:p>
        </w:tc>
        <w:tc>
          <w:tcPr>
            <w:tcW w:w="534" w:type="dxa"/>
            <w:tcBorders>
              <w:top w:val="nil"/>
              <w:left w:val="nil"/>
              <w:bottom w:val="single" w:sz="4" w:space="0" w:color="auto"/>
              <w:right w:val="single" w:sz="4" w:space="0" w:color="auto"/>
            </w:tcBorders>
            <w:shd w:val="clear" w:color="auto" w:fill="auto"/>
            <w:noWrap/>
            <w:vAlign w:val="bottom"/>
            <w:hideMark/>
          </w:tcPr>
          <w:p w14:paraId="4857AF1C"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34</w:t>
            </w:r>
          </w:p>
        </w:tc>
        <w:tc>
          <w:tcPr>
            <w:tcW w:w="703" w:type="dxa"/>
            <w:gridSpan w:val="2"/>
            <w:tcBorders>
              <w:top w:val="nil"/>
              <w:left w:val="nil"/>
              <w:bottom w:val="single" w:sz="4" w:space="0" w:color="auto"/>
              <w:right w:val="single" w:sz="4" w:space="0" w:color="auto"/>
            </w:tcBorders>
            <w:shd w:val="clear" w:color="auto" w:fill="auto"/>
            <w:noWrap/>
            <w:vAlign w:val="bottom"/>
            <w:hideMark/>
          </w:tcPr>
          <w:p w14:paraId="66E59C89"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65</w:t>
            </w:r>
          </w:p>
        </w:tc>
        <w:tc>
          <w:tcPr>
            <w:tcW w:w="629" w:type="dxa"/>
            <w:tcBorders>
              <w:top w:val="nil"/>
              <w:left w:val="nil"/>
              <w:bottom w:val="single" w:sz="4" w:space="0" w:color="auto"/>
              <w:right w:val="single" w:sz="4" w:space="0" w:color="auto"/>
            </w:tcBorders>
            <w:shd w:val="clear" w:color="auto" w:fill="auto"/>
            <w:noWrap/>
            <w:vAlign w:val="bottom"/>
            <w:hideMark/>
          </w:tcPr>
          <w:p w14:paraId="11B32C08"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51</w:t>
            </w:r>
          </w:p>
        </w:tc>
        <w:tc>
          <w:tcPr>
            <w:tcW w:w="567" w:type="dxa"/>
            <w:tcBorders>
              <w:top w:val="nil"/>
              <w:left w:val="nil"/>
              <w:bottom w:val="single" w:sz="4" w:space="0" w:color="auto"/>
              <w:right w:val="single" w:sz="4" w:space="0" w:color="auto"/>
            </w:tcBorders>
            <w:shd w:val="clear" w:color="auto" w:fill="auto"/>
            <w:noWrap/>
            <w:vAlign w:val="bottom"/>
            <w:hideMark/>
          </w:tcPr>
          <w:p w14:paraId="21ACF6D7"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64</w:t>
            </w:r>
          </w:p>
        </w:tc>
        <w:tc>
          <w:tcPr>
            <w:tcW w:w="703" w:type="dxa"/>
            <w:tcBorders>
              <w:top w:val="nil"/>
              <w:left w:val="nil"/>
              <w:bottom w:val="single" w:sz="4" w:space="0" w:color="auto"/>
              <w:right w:val="single" w:sz="4" w:space="0" w:color="auto"/>
            </w:tcBorders>
            <w:shd w:val="clear" w:color="auto" w:fill="auto"/>
            <w:noWrap/>
            <w:vAlign w:val="bottom"/>
            <w:hideMark/>
          </w:tcPr>
          <w:p w14:paraId="038657F9"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85</w:t>
            </w:r>
          </w:p>
        </w:tc>
        <w:tc>
          <w:tcPr>
            <w:tcW w:w="609" w:type="dxa"/>
            <w:tcBorders>
              <w:top w:val="nil"/>
              <w:left w:val="nil"/>
              <w:bottom w:val="single" w:sz="4" w:space="0" w:color="auto"/>
              <w:right w:val="single" w:sz="4" w:space="0" w:color="auto"/>
            </w:tcBorders>
            <w:shd w:val="clear" w:color="auto" w:fill="auto"/>
            <w:noWrap/>
            <w:vAlign w:val="bottom"/>
            <w:hideMark/>
          </w:tcPr>
          <w:p w14:paraId="53E991F8"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65</w:t>
            </w:r>
          </w:p>
        </w:tc>
        <w:tc>
          <w:tcPr>
            <w:tcW w:w="531" w:type="dxa"/>
            <w:tcBorders>
              <w:top w:val="nil"/>
              <w:left w:val="nil"/>
              <w:bottom w:val="single" w:sz="4" w:space="0" w:color="auto"/>
              <w:right w:val="single" w:sz="4" w:space="0" w:color="auto"/>
            </w:tcBorders>
            <w:shd w:val="clear" w:color="auto" w:fill="auto"/>
            <w:noWrap/>
            <w:vAlign w:val="bottom"/>
            <w:hideMark/>
          </w:tcPr>
          <w:p w14:paraId="4291BEDF"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53</w:t>
            </w:r>
          </w:p>
        </w:tc>
        <w:tc>
          <w:tcPr>
            <w:tcW w:w="616" w:type="dxa"/>
            <w:tcBorders>
              <w:top w:val="nil"/>
              <w:left w:val="nil"/>
              <w:bottom w:val="single" w:sz="4" w:space="0" w:color="auto"/>
              <w:right w:val="single" w:sz="4" w:space="0" w:color="auto"/>
            </w:tcBorders>
            <w:shd w:val="clear" w:color="auto" w:fill="auto"/>
            <w:noWrap/>
            <w:vAlign w:val="bottom"/>
            <w:hideMark/>
          </w:tcPr>
          <w:p w14:paraId="6C543A70"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80</w:t>
            </w:r>
          </w:p>
        </w:tc>
        <w:tc>
          <w:tcPr>
            <w:tcW w:w="620" w:type="dxa"/>
            <w:tcBorders>
              <w:top w:val="nil"/>
              <w:left w:val="nil"/>
              <w:bottom w:val="single" w:sz="4" w:space="0" w:color="auto"/>
              <w:right w:val="single" w:sz="4" w:space="0" w:color="auto"/>
            </w:tcBorders>
            <w:shd w:val="clear" w:color="auto" w:fill="auto"/>
            <w:noWrap/>
            <w:vAlign w:val="bottom"/>
            <w:hideMark/>
          </w:tcPr>
          <w:p w14:paraId="7652DB30"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65</w:t>
            </w:r>
          </w:p>
        </w:tc>
        <w:tc>
          <w:tcPr>
            <w:tcW w:w="623" w:type="dxa"/>
            <w:tcBorders>
              <w:top w:val="nil"/>
              <w:left w:val="nil"/>
              <w:bottom w:val="single" w:sz="4" w:space="0" w:color="auto"/>
              <w:right w:val="single" w:sz="4" w:space="0" w:color="auto"/>
            </w:tcBorders>
            <w:shd w:val="clear" w:color="auto" w:fill="auto"/>
            <w:noWrap/>
            <w:vAlign w:val="bottom"/>
            <w:hideMark/>
          </w:tcPr>
          <w:p w14:paraId="63AFAE0E"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61</w:t>
            </w:r>
          </w:p>
        </w:tc>
        <w:tc>
          <w:tcPr>
            <w:tcW w:w="551" w:type="dxa"/>
            <w:tcBorders>
              <w:top w:val="nil"/>
              <w:left w:val="nil"/>
              <w:bottom w:val="single" w:sz="4" w:space="0" w:color="auto"/>
              <w:right w:val="single" w:sz="4" w:space="0" w:color="auto"/>
            </w:tcBorders>
            <w:shd w:val="clear" w:color="auto" w:fill="auto"/>
            <w:noWrap/>
            <w:vAlign w:val="bottom"/>
            <w:hideMark/>
          </w:tcPr>
          <w:p w14:paraId="65B54565"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w:t>
            </w:r>
          </w:p>
        </w:tc>
        <w:tc>
          <w:tcPr>
            <w:tcW w:w="567" w:type="dxa"/>
            <w:tcBorders>
              <w:top w:val="nil"/>
              <w:left w:val="nil"/>
              <w:bottom w:val="single" w:sz="4" w:space="0" w:color="auto"/>
              <w:right w:val="single" w:sz="4" w:space="0" w:color="auto"/>
            </w:tcBorders>
            <w:shd w:val="clear" w:color="auto" w:fill="auto"/>
            <w:noWrap/>
            <w:vAlign w:val="bottom"/>
            <w:hideMark/>
          </w:tcPr>
          <w:p w14:paraId="76342C9F"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9</w:t>
            </w:r>
          </w:p>
        </w:tc>
        <w:tc>
          <w:tcPr>
            <w:tcW w:w="567" w:type="dxa"/>
            <w:tcBorders>
              <w:top w:val="nil"/>
              <w:left w:val="nil"/>
              <w:bottom w:val="single" w:sz="4" w:space="0" w:color="auto"/>
              <w:right w:val="single" w:sz="4" w:space="0" w:color="auto"/>
            </w:tcBorders>
            <w:shd w:val="clear" w:color="auto" w:fill="auto"/>
            <w:noWrap/>
            <w:vAlign w:val="bottom"/>
            <w:hideMark/>
          </w:tcPr>
          <w:p w14:paraId="4AA0D668"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5</w:t>
            </w:r>
          </w:p>
        </w:tc>
        <w:tc>
          <w:tcPr>
            <w:tcW w:w="703" w:type="dxa"/>
            <w:tcBorders>
              <w:top w:val="nil"/>
              <w:left w:val="nil"/>
              <w:bottom w:val="single" w:sz="4" w:space="0" w:color="auto"/>
              <w:right w:val="single" w:sz="4" w:space="0" w:color="auto"/>
            </w:tcBorders>
            <w:shd w:val="clear" w:color="auto" w:fill="auto"/>
            <w:noWrap/>
            <w:vAlign w:val="bottom"/>
            <w:hideMark/>
          </w:tcPr>
          <w:p w14:paraId="174E3D5C"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315</w:t>
            </w:r>
          </w:p>
        </w:tc>
        <w:tc>
          <w:tcPr>
            <w:tcW w:w="700" w:type="dxa"/>
            <w:tcBorders>
              <w:top w:val="nil"/>
              <w:left w:val="nil"/>
              <w:bottom w:val="single" w:sz="4" w:space="0" w:color="auto"/>
              <w:right w:val="single" w:sz="4" w:space="0" w:color="auto"/>
            </w:tcBorders>
            <w:shd w:val="clear" w:color="auto" w:fill="auto"/>
            <w:noWrap/>
            <w:vAlign w:val="bottom"/>
            <w:hideMark/>
          </w:tcPr>
          <w:p w14:paraId="2F94A347"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258</w:t>
            </w:r>
          </w:p>
        </w:tc>
        <w:tc>
          <w:tcPr>
            <w:tcW w:w="680" w:type="dxa"/>
            <w:tcBorders>
              <w:top w:val="nil"/>
              <w:left w:val="nil"/>
              <w:bottom w:val="single" w:sz="4" w:space="0" w:color="auto"/>
              <w:right w:val="single" w:sz="4" w:space="0" w:color="auto"/>
            </w:tcBorders>
            <w:shd w:val="clear" w:color="auto" w:fill="auto"/>
            <w:noWrap/>
            <w:vAlign w:val="bottom"/>
            <w:hideMark/>
          </w:tcPr>
          <w:p w14:paraId="74489EC0"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232</w:t>
            </w:r>
          </w:p>
        </w:tc>
      </w:tr>
      <w:tr w:rsidR="00E335CE" w:rsidRPr="00B13B9A" w14:paraId="66249FC7" w14:textId="77777777" w:rsidTr="00332FF7">
        <w:trPr>
          <w:trHeight w:val="2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76D33224" w14:textId="77777777" w:rsidR="00E335CE" w:rsidRPr="00B13B9A" w:rsidRDefault="00E335CE" w:rsidP="00E335CE">
            <w:pPr>
              <w:spacing w:after="0" w:line="240" w:lineRule="auto"/>
              <w:jc w:val="center"/>
              <w:rPr>
                <w:rFonts w:asciiTheme="majorHAnsi" w:eastAsia="Times New Roman" w:hAnsiTheme="majorHAnsi" w:cstheme="majorHAnsi"/>
                <w:b/>
                <w:bCs/>
                <w:color w:val="000000"/>
                <w:sz w:val="16"/>
                <w:szCs w:val="16"/>
                <w:lang w:val="ro-MD"/>
              </w:rPr>
            </w:pPr>
            <w:r w:rsidRPr="00B13B9A">
              <w:rPr>
                <w:rFonts w:asciiTheme="majorHAnsi" w:eastAsia="Times New Roman" w:hAnsiTheme="majorHAnsi" w:cstheme="majorHAnsi"/>
                <w:b/>
                <w:bCs/>
                <w:color w:val="000000"/>
                <w:sz w:val="16"/>
                <w:szCs w:val="16"/>
                <w:lang w:val="ro-MD"/>
              </w:rPr>
              <w:t>ian.22</w:t>
            </w:r>
          </w:p>
        </w:tc>
        <w:tc>
          <w:tcPr>
            <w:tcW w:w="703" w:type="dxa"/>
            <w:tcBorders>
              <w:top w:val="nil"/>
              <w:left w:val="nil"/>
              <w:bottom w:val="single" w:sz="4" w:space="0" w:color="auto"/>
              <w:right w:val="single" w:sz="4" w:space="0" w:color="auto"/>
            </w:tcBorders>
            <w:shd w:val="clear" w:color="auto" w:fill="auto"/>
            <w:noWrap/>
            <w:vAlign w:val="bottom"/>
            <w:hideMark/>
          </w:tcPr>
          <w:p w14:paraId="1F37974D"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40</w:t>
            </w:r>
          </w:p>
        </w:tc>
        <w:tc>
          <w:tcPr>
            <w:tcW w:w="640" w:type="dxa"/>
            <w:tcBorders>
              <w:top w:val="nil"/>
              <w:left w:val="nil"/>
              <w:bottom w:val="single" w:sz="4" w:space="0" w:color="auto"/>
              <w:right w:val="single" w:sz="4" w:space="0" w:color="auto"/>
            </w:tcBorders>
            <w:shd w:val="clear" w:color="auto" w:fill="auto"/>
            <w:noWrap/>
            <w:vAlign w:val="bottom"/>
            <w:hideMark/>
          </w:tcPr>
          <w:p w14:paraId="32B42124"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15</w:t>
            </w:r>
          </w:p>
        </w:tc>
        <w:tc>
          <w:tcPr>
            <w:tcW w:w="580" w:type="dxa"/>
            <w:tcBorders>
              <w:top w:val="nil"/>
              <w:left w:val="nil"/>
              <w:bottom w:val="single" w:sz="4" w:space="0" w:color="auto"/>
              <w:right w:val="single" w:sz="4" w:space="0" w:color="auto"/>
            </w:tcBorders>
            <w:shd w:val="clear" w:color="auto" w:fill="auto"/>
            <w:noWrap/>
            <w:vAlign w:val="bottom"/>
            <w:hideMark/>
          </w:tcPr>
          <w:p w14:paraId="43683673"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17</w:t>
            </w:r>
          </w:p>
        </w:tc>
        <w:tc>
          <w:tcPr>
            <w:tcW w:w="703" w:type="dxa"/>
            <w:gridSpan w:val="2"/>
            <w:tcBorders>
              <w:top w:val="nil"/>
              <w:left w:val="nil"/>
              <w:bottom w:val="single" w:sz="4" w:space="0" w:color="auto"/>
              <w:right w:val="single" w:sz="4" w:space="0" w:color="auto"/>
            </w:tcBorders>
            <w:shd w:val="clear" w:color="auto" w:fill="auto"/>
            <w:noWrap/>
            <w:vAlign w:val="bottom"/>
            <w:hideMark/>
          </w:tcPr>
          <w:p w14:paraId="0FFDA17D"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45</w:t>
            </w:r>
          </w:p>
        </w:tc>
        <w:tc>
          <w:tcPr>
            <w:tcW w:w="680" w:type="dxa"/>
            <w:tcBorders>
              <w:top w:val="nil"/>
              <w:left w:val="nil"/>
              <w:bottom w:val="single" w:sz="4" w:space="0" w:color="auto"/>
              <w:right w:val="single" w:sz="4" w:space="0" w:color="auto"/>
            </w:tcBorders>
            <w:shd w:val="clear" w:color="auto" w:fill="auto"/>
            <w:noWrap/>
            <w:vAlign w:val="bottom"/>
            <w:hideMark/>
          </w:tcPr>
          <w:p w14:paraId="1028E55F"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34</w:t>
            </w:r>
          </w:p>
        </w:tc>
        <w:tc>
          <w:tcPr>
            <w:tcW w:w="534" w:type="dxa"/>
            <w:tcBorders>
              <w:top w:val="nil"/>
              <w:left w:val="nil"/>
              <w:bottom w:val="single" w:sz="4" w:space="0" w:color="auto"/>
              <w:right w:val="single" w:sz="4" w:space="0" w:color="auto"/>
            </w:tcBorders>
            <w:shd w:val="clear" w:color="auto" w:fill="auto"/>
            <w:noWrap/>
            <w:vAlign w:val="bottom"/>
            <w:hideMark/>
          </w:tcPr>
          <w:p w14:paraId="0BF42064"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69</w:t>
            </w:r>
          </w:p>
        </w:tc>
        <w:tc>
          <w:tcPr>
            <w:tcW w:w="703" w:type="dxa"/>
            <w:gridSpan w:val="2"/>
            <w:tcBorders>
              <w:top w:val="nil"/>
              <w:left w:val="nil"/>
              <w:bottom w:val="single" w:sz="4" w:space="0" w:color="auto"/>
              <w:right w:val="single" w:sz="4" w:space="0" w:color="auto"/>
            </w:tcBorders>
            <w:shd w:val="clear" w:color="auto" w:fill="auto"/>
            <w:noWrap/>
            <w:vAlign w:val="bottom"/>
            <w:hideMark/>
          </w:tcPr>
          <w:p w14:paraId="2F8B5C9E"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65</w:t>
            </w:r>
          </w:p>
        </w:tc>
        <w:tc>
          <w:tcPr>
            <w:tcW w:w="629" w:type="dxa"/>
            <w:tcBorders>
              <w:top w:val="nil"/>
              <w:left w:val="nil"/>
              <w:bottom w:val="single" w:sz="4" w:space="0" w:color="auto"/>
              <w:right w:val="single" w:sz="4" w:space="0" w:color="auto"/>
            </w:tcBorders>
            <w:shd w:val="clear" w:color="auto" w:fill="auto"/>
            <w:noWrap/>
            <w:vAlign w:val="bottom"/>
            <w:hideMark/>
          </w:tcPr>
          <w:p w14:paraId="106CED65"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64</w:t>
            </w:r>
          </w:p>
        </w:tc>
        <w:tc>
          <w:tcPr>
            <w:tcW w:w="567" w:type="dxa"/>
            <w:tcBorders>
              <w:top w:val="nil"/>
              <w:left w:val="nil"/>
              <w:bottom w:val="single" w:sz="4" w:space="0" w:color="auto"/>
              <w:right w:val="single" w:sz="4" w:space="0" w:color="auto"/>
            </w:tcBorders>
            <w:shd w:val="clear" w:color="auto" w:fill="auto"/>
            <w:noWrap/>
            <w:vAlign w:val="bottom"/>
            <w:hideMark/>
          </w:tcPr>
          <w:p w14:paraId="3DDC06EB"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66</w:t>
            </w:r>
          </w:p>
        </w:tc>
        <w:tc>
          <w:tcPr>
            <w:tcW w:w="703" w:type="dxa"/>
            <w:tcBorders>
              <w:top w:val="nil"/>
              <w:left w:val="nil"/>
              <w:bottom w:val="single" w:sz="4" w:space="0" w:color="auto"/>
              <w:right w:val="single" w:sz="4" w:space="0" w:color="auto"/>
            </w:tcBorders>
            <w:shd w:val="clear" w:color="auto" w:fill="auto"/>
            <w:noWrap/>
            <w:vAlign w:val="bottom"/>
            <w:hideMark/>
          </w:tcPr>
          <w:p w14:paraId="3D024D4C"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85</w:t>
            </w:r>
          </w:p>
        </w:tc>
        <w:tc>
          <w:tcPr>
            <w:tcW w:w="609" w:type="dxa"/>
            <w:tcBorders>
              <w:top w:val="nil"/>
              <w:left w:val="nil"/>
              <w:bottom w:val="single" w:sz="4" w:space="0" w:color="auto"/>
              <w:right w:val="single" w:sz="4" w:space="0" w:color="auto"/>
            </w:tcBorders>
            <w:shd w:val="clear" w:color="auto" w:fill="auto"/>
            <w:noWrap/>
            <w:vAlign w:val="bottom"/>
            <w:hideMark/>
          </w:tcPr>
          <w:p w14:paraId="1C5C33FA"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53</w:t>
            </w:r>
          </w:p>
        </w:tc>
        <w:tc>
          <w:tcPr>
            <w:tcW w:w="531" w:type="dxa"/>
            <w:tcBorders>
              <w:top w:val="nil"/>
              <w:left w:val="nil"/>
              <w:bottom w:val="single" w:sz="4" w:space="0" w:color="auto"/>
              <w:right w:val="single" w:sz="4" w:space="0" w:color="auto"/>
            </w:tcBorders>
            <w:shd w:val="clear" w:color="auto" w:fill="auto"/>
            <w:noWrap/>
            <w:vAlign w:val="bottom"/>
            <w:hideMark/>
          </w:tcPr>
          <w:p w14:paraId="1842CFB8"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56</w:t>
            </w:r>
          </w:p>
        </w:tc>
        <w:tc>
          <w:tcPr>
            <w:tcW w:w="616" w:type="dxa"/>
            <w:tcBorders>
              <w:top w:val="nil"/>
              <w:left w:val="nil"/>
              <w:bottom w:val="single" w:sz="4" w:space="0" w:color="auto"/>
              <w:right w:val="single" w:sz="4" w:space="0" w:color="auto"/>
            </w:tcBorders>
            <w:shd w:val="clear" w:color="auto" w:fill="auto"/>
            <w:noWrap/>
            <w:vAlign w:val="bottom"/>
            <w:hideMark/>
          </w:tcPr>
          <w:p w14:paraId="56278DC6"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80</w:t>
            </w:r>
          </w:p>
        </w:tc>
        <w:tc>
          <w:tcPr>
            <w:tcW w:w="620" w:type="dxa"/>
            <w:tcBorders>
              <w:top w:val="nil"/>
              <w:left w:val="nil"/>
              <w:bottom w:val="single" w:sz="4" w:space="0" w:color="auto"/>
              <w:right w:val="single" w:sz="4" w:space="0" w:color="auto"/>
            </w:tcBorders>
            <w:shd w:val="clear" w:color="auto" w:fill="auto"/>
            <w:noWrap/>
            <w:vAlign w:val="bottom"/>
            <w:hideMark/>
          </w:tcPr>
          <w:p w14:paraId="4676CD28"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61</w:t>
            </w:r>
          </w:p>
        </w:tc>
        <w:tc>
          <w:tcPr>
            <w:tcW w:w="623" w:type="dxa"/>
            <w:tcBorders>
              <w:top w:val="nil"/>
              <w:left w:val="nil"/>
              <w:bottom w:val="single" w:sz="4" w:space="0" w:color="auto"/>
              <w:right w:val="single" w:sz="4" w:space="0" w:color="auto"/>
            </w:tcBorders>
            <w:shd w:val="clear" w:color="auto" w:fill="auto"/>
            <w:noWrap/>
            <w:vAlign w:val="bottom"/>
            <w:hideMark/>
          </w:tcPr>
          <w:p w14:paraId="56A94468"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52</w:t>
            </w:r>
          </w:p>
        </w:tc>
        <w:tc>
          <w:tcPr>
            <w:tcW w:w="551" w:type="dxa"/>
            <w:tcBorders>
              <w:top w:val="nil"/>
              <w:left w:val="nil"/>
              <w:bottom w:val="single" w:sz="4" w:space="0" w:color="auto"/>
              <w:right w:val="single" w:sz="4" w:space="0" w:color="auto"/>
            </w:tcBorders>
            <w:shd w:val="clear" w:color="auto" w:fill="auto"/>
            <w:noWrap/>
            <w:vAlign w:val="bottom"/>
            <w:hideMark/>
          </w:tcPr>
          <w:p w14:paraId="36B2318F"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w:t>
            </w:r>
          </w:p>
        </w:tc>
        <w:tc>
          <w:tcPr>
            <w:tcW w:w="567" w:type="dxa"/>
            <w:tcBorders>
              <w:top w:val="nil"/>
              <w:left w:val="nil"/>
              <w:bottom w:val="single" w:sz="4" w:space="0" w:color="auto"/>
              <w:right w:val="single" w:sz="4" w:space="0" w:color="auto"/>
            </w:tcBorders>
            <w:shd w:val="clear" w:color="auto" w:fill="auto"/>
            <w:noWrap/>
            <w:vAlign w:val="bottom"/>
            <w:hideMark/>
          </w:tcPr>
          <w:p w14:paraId="6D240460"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5</w:t>
            </w:r>
          </w:p>
        </w:tc>
        <w:tc>
          <w:tcPr>
            <w:tcW w:w="567" w:type="dxa"/>
            <w:tcBorders>
              <w:top w:val="nil"/>
              <w:left w:val="nil"/>
              <w:bottom w:val="single" w:sz="4" w:space="0" w:color="auto"/>
              <w:right w:val="single" w:sz="4" w:space="0" w:color="auto"/>
            </w:tcBorders>
            <w:shd w:val="clear" w:color="auto" w:fill="auto"/>
            <w:noWrap/>
            <w:vAlign w:val="bottom"/>
            <w:hideMark/>
          </w:tcPr>
          <w:p w14:paraId="19C8D761"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10</w:t>
            </w:r>
          </w:p>
        </w:tc>
        <w:tc>
          <w:tcPr>
            <w:tcW w:w="703" w:type="dxa"/>
            <w:tcBorders>
              <w:top w:val="nil"/>
              <w:left w:val="nil"/>
              <w:bottom w:val="single" w:sz="4" w:space="0" w:color="auto"/>
              <w:right w:val="single" w:sz="4" w:space="0" w:color="auto"/>
            </w:tcBorders>
            <w:shd w:val="clear" w:color="auto" w:fill="auto"/>
            <w:noWrap/>
            <w:vAlign w:val="bottom"/>
            <w:hideMark/>
          </w:tcPr>
          <w:p w14:paraId="48FB6B7F"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315</w:t>
            </w:r>
          </w:p>
        </w:tc>
        <w:tc>
          <w:tcPr>
            <w:tcW w:w="700" w:type="dxa"/>
            <w:tcBorders>
              <w:top w:val="nil"/>
              <w:left w:val="nil"/>
              <w:bottom w:val="single" w:sz="4" w:space="0" w:color="auto"/>
              <w:right w:val="single" w:sz="4" w:space="0" w:color="auto"/>
            </w:tcBorders>
            <w:shd w:val="clear" w:color="auto" w:fill="auto"/>
            <w:noWrap/>
            <w:vAlign w:val="bottom"/>
            <w:hideMark/>
          </w:tcPr>
          <w:p w14:paraId="7057B702"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232</w:t>
            </w:r>
          </w:p>
        </w:tc>
        <w:tc>
          <w:tcPr>
            <w:tcW w:w="680" w:type="dxa"/>
            <w:tcBorders>
              <w:top w:val="nil"/>
              <w:left w:val="nil"/>
              <w:bottom w:val="single" w:sz="4" w:space="0" w:color="auto"/>
              <w:right w:val="single" w:sz="4" w:space="0" w:color="auto"/>
            </w:tcBorders>
            <w:shd w:val="clear" w:color="auto" w:fill="auto"/>
            <w:noWrap/>
            <w:vAlign w:val="bottom"/>
            <w:hideMark/>
          </w:tcPr>
          <w:p w14:paraId="7014B9B1"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270</w:t>
            </w:r>
          </w:p>
        </w:tc>
      </w:tr>
      <w:tr w:rsidR="00E335CE" w:rsidRPr="00B13B9A" w14:paraId="7D64BBE3" w14:textId="77777777" w:rsidTr="00332FF7">
        <w:trPr>
          <w:trHeight w:val="2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26128576" w14:textId="77777777" w:rsidR="00E335CE" w:rsidRPr="00B13B9A" w:rsidRDefault="00E335CE" w:rsidP="00E335CE">
            <w:pPr>
              <w:spacing w:after="0" w:line="240" w:lineRule="auto"/>
              <w:jc w:val="center"/>
              <w:rPr>
                <w:rFonts w:asciiTheme="majorHAnsi" w:eastAsia="Times New Roman" w:hAnsiTheme="majorHAnsi" w:cstheme="majorHAnsi"/>
                <w:b/>
                <w:bCs/>
                <w:color w:val="000000"/>
                <w:sz w:val="16"/>
                <w:szCs w:val="16"/>
                <w:lang w:val="ro-MD"/>
              </w:rPr>
            </w:pPr>
            <w:r w:rsidRPr="00B13B9A">
              <w:rPr>
                <w:rFonts w:asciiTheme="majorHAnsi" w:eastAsia="Times New Roman" w:hAnsiTheme="majorHAnsi" w:cstheme="majorHAnsi"/>
                <w:b/>
                <w:bCs/>
                <w:color w:val="000000"/>
                <w:sz w:val="16"/>
                <w:szCs w:val="16"/>
                <w:lang w:val="ro-MD"/>
              </w:rPr>
              <w:t>feb.22</w:t>
            </w:r>
          </w:p>
        </w:tc>
        <w:tc>
          <w:tcPr>
            <w:tcW w:w="703" w:type="dxa"/>
            <w:tcBorders>
              <w:top w:val="nil"/>
              <w:left w:val="nil"/>
              <w:bottom w:val="single" w:sz="4" w:space="0" w:color="auto"/>
              <w:right w:val="single" w:sz="4" w:space="0" w:color="auto"/>
            </w:tcBorders>
            <w:shd w:val="clear" w:color="auto" w:fill="auto"/>
            <w:noWrap/>
            <w:vAlign w:val="bottom"/>
            <w:hideMark/>
          </w:tcPr>
          <w:p w14:paraId="2F96D67C"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40</w:t>
            </w:r>
          </w:p>
        </w:tc>
        <w:tc>
          <w:tcPr>
            <w:tcW w:w="640" w:type="dxa"/>
            <w:tcBorders>
              <w:top w:val="nil"/>
              <w:left w:val="nil"/>
              <w:bottom w:val="single" w:sz="4" w:space="0" w:color="auto"/>
              <w:right w:val="single" w:sz="4" w:space="0" w:color="auto"/>
            </w:tcBorders>
            <w:shd w:val="clear" w:color="auto" w:fill="auto"/>
            <w:noWrap/>
            <w:vAlign w:val="bottom"/>
            <w:hideMark/>
          </w:tcPr>
          <w:p w14:paraId="48AF2BFD"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17</w:t>
            </w:r>
          </w:p>
        </w:tc>
        <w:tc>
          <w:tcPr>
            <w:tcW w:w="580" w:type="dxa"/>
            <w:tcBorders>
              <w:top w:val="nil"/>
              <w:left w:val="nil"/>
              <w:bottom w:val="single" w:sz="4" w:space="0" w:color="auto"/>
              <w:right w:val="single" w:sz="4" w:space="0" w:color="auto"/>
            </w:tcBorders>
            <w:shd w:val="clear" w:color="auto" w:fill="auto"/>
            <w:noWrap/>
            <w:vAlign w:val="bottom"/>
            <w:hideMark/>
          </w:tcPr>
          <w:p w14:paraId="033753B1"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21</w:t>
            </w:r>
          </w:p>
        </w:tc>
        <w:tc>
          <w:tcPr>
            <w:tcW w:w="703" w:type="dxa"/>
            <w:gridSpan w:val="2"/>
            <w:tcBorders>
              <w:top w:val="nil"/>
              <w:left w:val="nil"/>
              <w:bottom w:val="single" w:sz="4" w:space="0" w:color="auto"/>
              <w:right w:val="single" w:sz="4" w:space="0" w:color="auto"/>
            </w:tcBorders>
            <w:shd w:val="clear" w:color="auto" w:fill="auto"/>
            <w:noWrap/>
            <w:vAlign w:val="bottom"/>
            <w:hideMark/>
          </w:tcPr>
          <w:p w14:paraId="7C926B6A"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45</w:t>
            </w:r>
          </w:p>
        </w:tc>
        <w:tc>
          <w:tcPr>
            <w:tcW w:w="680" w:type="dxa"/>
            <w:tcBorders>
              <w:top w:val="nil"/>
              <w:left w:val="nil"/>
              <w:bottom w:val="single" w:sz="4" w:space="0" w:color="auto"/>
              <w:right w:val="single" w:sz="4" w:space="0" w:color="auto"/>
            </w:tcBorders>
            <w:shd w:val="clear" w:color="auto" w:fill="auto"/>
            <w:noWrap/>
            <w:vAlign w:val="bottom"/>
            <w:hideMark/>
          </w:tcPr>
          <w:p w14:paraId="182FB19B"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69</w:t>
            </w:r>
          </w:p>
        </w:tc>
        <w:tc>
          <w:tcPr>
            <w:tcW w:w="534" w:type="dxa"/>
            <w:tcBorders>
              <w:top w:val="nil"/>
              <w:left w:val="nil"/>
              <w:bottom w:val="single" w:sz="4" w:space="0" w:color="auto"/>
              <w:right w:val="single" w:sz="4" w:space="0" w:color="auto"/>
            </w:tcBorders>
            <w:shd w:val="clear" w:color="auto" w:fill="auto"/>
            <w:noWrap/>
            <w:vAlign w:val="bottom"/>
            <w:hideMark/>
          </w:tcPr>
          <w:p w14:paraId="78BD47AB"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35</w:t>
            </w:r>
          </w:p>
        </w:tc>
        <w:tc>
          <w:tcPr>
            <w:tcW w:w="703" w:type="dxa"/>
            <w:gridSpan w:val="2"/>
            <w:tcBorders>
              <w:top w:val="nil"/>
              <w:left w:val="nil"/>
              <w:bottom w:val="single" w:sz="4" w:space="0" w:color="auto"/>
              <w:right w:val="single" w:sz="4" w:space="0" w:color="auto"/>
            </w:tcBorders>
            <w:shd w:val="clear" w:color="auto" w:fill="auto"/>
            <w:noWrap/>
            <w:vAlign w:val="bottom"/>
            <w:hideMark/>
          </w:tcPr>
          <w:p w14:paraId="10736C73"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65</w:t>
            </w:r>
          </w:p>
        </w:tc>
        <w:tc>
          <w:tcPr>
            <w:tcW w:w="629" w:type="dxa"/>
            <w:tcBorders>
              <w:top w:val="nil"/>
              <w:left w:val="nil"/>
              <w:bottom w:val="single" w:sz="4" w:space="0" w:color="auto"/>
              <w:right w:val="single" w:sz="4" w:space="0" w:color="auto"/>
            </w:tcBorders>
            <w:shd w:val="clear" w:color="auto" w:fill="auto"/>
            <w:noWrap/>
            <w:vAlign w:val="bottom"/>
            <w:hideMark/>
          </w:tcPr>
          <w:p w14:paraId="37143F09"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66</w:t>
            </w:r>
          </w:p>
        </w:tc>
        <w:tc>
          <w:tcPr>
            <w:tcW w:w="567" w:type="dxa"/>
            <w:tcBorders>
              <w:top w:val="nil"/>
              <w:left w:val="nil"/>
              <w:bottom w:val="single" w:sz="4" w:space="0" w:color="auto"/>
              <w:right w:val="single" w:sz="4" w:space="0" w:color="auto"/>
            </w:tcBorders>
            <w:shd w:val="clear" w:color="auto" w:fill="auto"/>
            <w:noWrap/>
            <w:vAlign w:val="bottom"/>
            <w:hideMark/>
          </w:tcPr>
          <w:p w14:paraId="1EC30C25"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65</w:t>
            </w:r>
          </w:p>
        </w:tc>
        <w:tc>
          <w:tcPr>
            <w:tcW w:w="703" w:type="dxa"/>
            <w:tcBorders>
              <w:top w:val="nil"/>
              <w:left w:val="nil"/>
              <w:bottom w:val="single" w:sz="4" w:space="0" w:color="auto"/>
              <w:right w:val="single" w:sz="4" w:space="0" w:color="auto"/>
            </w:tcBorders>
            <w:shd w:val="clear" w:color="auto" w:fill="auto"/>
            <w:noWrap/>
            <w:vAlign w:val="bottom"/>
            <w:hideMark/>
          </w:tcPr>
          <w:p w14:paraId="3BB5B30B"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85</w:t>
            </w:r>
          </w:p>
        </w:tc>
        <w:tc>
          <w:tcPr>
            <w:tcW w:w="609" w:type="dxa"/>
            <w:tcBorders>
              <w:top w:val="nil"/>
              <w:left w:val="nil"/>
              <w:bottom w:val="single" w:sz="4" w:space="0" w:color="auto"/>
              <w:right w:val="single" w:sz="4" w:space="0" w:color="auto"/>
            </w:tcBorders>
            <w:shd w:val="clear" w:color="auto" w:fill="auto"/>
            <w:noWrap/>
            <w:vAlign w:val="bottom"/>
            <w:hideMark/>
          </w:tcPr>
          <w:p w14:paraId="44A29166"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56</w:t>
            </w:r>
          </w:p>
        </w:tc>
        <w:tc>
          <w:tcPr>
            <w:tcW w:w="531" w:type="dxa"/>
            <w:tcBorders>
              <w:top w:val="nil"/>
              <w:left w:val="nil"/>
              <w:bottom w:val="single" w:sz="4" w:space="0" w:color="auto"/>
              <w:right w:val="single" w:sz="4" w:space="0" w:color="auto"/>
            </w:tcBorders>
            <w:shd w:val="clear" w:color="auto" w:fill="auto"/>
            <w:noWrap/>
            <w:vAlign w:val="bottom"/>
            <w:hideMark/>
          </w:tcPr>
          <w:p w14:paraId="2BB0DF2E"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50</w:t>
            </w:r>
          </w:p>
        </w:tc>
        <w:tc>
          <w:tcPr>
            <w:tcW w:w="616" w:type="dxa"/>
            <w:tcBorders>
              <w:top w:val="nil"/>
              <w:left w:val="nil"/>
              <w:bottom w:val="single" w:sz="4" w:space="0" w:color="auto"/>
              <w:right w:val="single" w:sz="4" w:space="0" w:color="auto"/>
            </w:tcBorders>
            <w:shd w:val="clear" w:color="auto" w:fill="auto"/>
            <w:noWrap/>
            <w:vAlign w:val="bottom"/>
            <w:hideMark/>
          </w:tcPr>
          <w:p w14:paraId="3B6EBB7B"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80</w:t>
            </w:r>
          </w:p>
        </w:tc>
        <w:tc>
          <w:tcPr>
            <w:tcW w:w="620" w:type="dxa"/>
            <w:tcBorders>
              <w:top w:val="nil"/>
              <w:left w:val="nil"/>
              <w:bottom w:val="single" w:sz="4" w:space="0" w:color="auto"/>
              <w:right w:val="single" w:sz="4" w:space="0" w:color="auto"/>
            </w:tcBorders>
            <w:shd w:val="clear" w:color="auto" w:fill="auto"/>
            <w:noWrap/>
            <w:vAlign w:val="bottom"/>
            <w:hideMark/>
          </w:tcPr>
          <w:p w14:paraId="221B3A5F"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52</w:t>
            </w:r>
          </w:p>
        </w:tc>
        <w:tc>
          <w:tcPr>
            <w:tcW w:w="623" w:type="dxa"/>
            <w:tcBorders>
              <w:top w:val="nil"/>
              <w:left w:val="nil"/>
              <w:bottom w:val="single" w:sz="4" w:space="0" w:color="auto"/>
              <w:right w:val="single" w:sz="4" w:space="0" w:color="auto"/>
            </w:tcBorders>
            <w:shd w:val="clear" w:color="auto" w:fill="auto"/>
            <w:noWrap/>
            <w:vAlign w:val="bottom"/>
            <w:hideMark/>
          </w:tcPr>
          <w:p w14:paraId="099B1C71"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49</w:t>
            </w:r>
          </w:p>
        </w:tc>
        <w:tc>
          <w:tcPr>
            <w:tcW w:w="551" w:type="dxa"/>
            <w:tcBorders>
              <w:top w:val="nil"/>
              <w:left w:val="nil"/>
              <w:bottom w:val="single" w:sz="4" w:space="0" w:color="auto"/>
              <w:right w:val="single" w:sz="4" w:space="0" w:color="auto"/>
            </w:tcBorders>
            <w:shd w:val="clear" w:color="auto" w:fill="auto"/>
            <w:noWrap/>
            <w:vAlign w:val="bottom"/>
            <w:hideMark/>
          </w:tcPr>
          <w:p w14:paraId="1E9ECAEF"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w:t>
            </w:r>
          </w:p>
        </w:tc>
        <w:tc>
          <w:tcPr>
            <w:tcW w:w="567" w:type="dxa"/>
            <w:tcBorders>
              <w:top w:val="nil"/>
              <w:left w:val="nil"/>
              <w:bottom w:val="single" w:sz="4" w:space="0" w:color="auto"/>
              <w:right w:val="single" w:sz="4" w:space="0" w:color="auto"/>
            </w:tcBorders>
            <w:shd w:val="clear" w:color="auto" w:fill="auto"/>
            <w:noWrap/>
            <w:vAlign w:val="bottom"/>
            <w:hideMark/>
          </w:tcPr>
          <w:p w14:paraId="4CDBE8EC"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10</w:t>
            </w:r>
          </w:p>
        </w:tc>
        <w:tc>
          <w:tcPr>
            <w:tcW w:w="567" w:type="dxa"/>
            <w:tcBorders>
              <w:top w:val="nil"/>
              <w:left w:val="nil"/>
              <w:bottom w:val="single" w:sz="4" w:space="0" w:color="auto"/>
              <w:right w:val="single" w:sz="4" w:space="0" w:color="auto"/>
            </w:tcBorders>
            <w:shd w:val="clear" w:color="auto" w:fill="auto"/>
            <w:noWrap/>
            <w:vAlign w:val="bottom"/>
            <w:hideMark/>
          </w:tcPr>
          <w:p w14:paraId="2B83851F"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w:t>
            </w:r>
          </w:p>
        </w:tc>
        <w:tc>
          <w:tcPr>
            <w:tcW w:w="703" w:type="dxa"/>
            <w:tcBorders>
              <w:top w:val="nil"/>
              <w:left w:val="nil"/>
              <w:bottom w:val="single" w:sz="4" w:space="0" w:color="auto"/>
              <w:right w:val="single" w:sz="4" w:space="0" w:color="auto"/>
            </w:tcBorders>
            <w:shd w:val="clear" w:color="auto" w:fill="auto"/>
            <w:noWrap/>
            <w:vAlign w:val="bottom"/>
            <w:hideMark/>
          </w:tcPr>
          <w:p w14:paraId="6F96B280"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315</w:t>
            </w:r>
          </w:p>
        </w:tc>
        <w:tc>
          <w:tcPr>
            <w:tcW w:w="700" w:type="dxa"/>
            <w:tcBorders>
              <w:top w:val="nil"/>
              <w:left w:val="nil"/>
              <w:bottom w:val="single" w:sz="4" w:space="0" w:color="auto"/>
              <w:right w:val="single" w:sz="4" w:space="0" w:color="auto"/>
            </w:tcBorders>
            <w:shd w:val="clear" w:color="auto" w:fill="auto"/>
            <w:noWrap/>
            <w:vAlign w:val="bottom"/>
            <w:hideMark/>
          </w:tcPr>
          <w:p w14:paraId="034ADA34"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270</w:t>
            </w:r>
          </w:p>
        </w:tc>
        <w:tc>
          <w:tcPr>
            <w:tcW w:w="680" w:type="dxa"/>
            <w:tcBorders>
              <w:top w:val="nil"/>
              <w:left w:val="nil"/>
              <w:bottom w:val="single" w:sz="4" w:space="0" w:color="auto"/>
              <w:right w:val="single" w:sz="4" w:space="0" w:color="auto"/>
            </w:tcBorders>
            <w:shd w:val="clear" w:color="auto" w:fill="auto"/>
            <w:noWrap/>
            <w:vAlign w:val="bottom"/>
            <w:hideMark/>
          </w:tcPr>
          <w:p w14:paraId="69A1C08C"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223</w:t>
            </w:r>
          </w:p>
        </w:tc>
      </w:tr>
      <w:tr w:rsidR="00E335CE" w:rsidRPr="00B13B9A" w14:paraId="0A6968D9" w14:textId="77777777" w:rsidTr="00332FF7">
        <w:trPr>
          <w:trHeight w:val="2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1C88DC11" w14:textId="77777777" w:rsidR="00E335CE" w:rsidRPr="00B13B9A" w:rsidRDefault="00E335CE" w:rsidP="00E335CE">
            <w:pPr>
              <w:spacing w:after="0" w:line="240" w:lineRule="auto"/>
              <w:jc w:val="center"/>
              <w:rPr>
                <w:rFonts w:asciiTheme="majorHAnsi" w:eastAsia="Times New Roman" w:hAnsiTheme="majorHAnsi" w:cstheme="majorHAnsi"/>
                <w:b/>
                <w:bCs/>
                <w:color w:val="000000"/>
                <w:sz w:val="16"/>
                <w:szCs w:val="16"/>
                <w:lang w:val="ro-MD"/>
              </w:rPr>
            </w:pPr>
            <w:r w:rsidRPr="00B13B9A">
              <w:rPr>
                <w:rFonts w:asciiTheme="majorHAnsi" w:eastAsia="Times New Roman" w:hAnsiTheme="majorHAnsi" w:cstheme="majorHAnsi"/>
                <w:b/>
                <w:bCs/>
                <w:color w:val="000000"/>
                <w:sz w:val="16"/>
                <w:szCs w:val="16"/>
                <w:lang w:val="ro-MD"/>
              </w:rPr>
              <w:t>mar.22</w:t>
            </w:r>
          </w:p>
        </w:tc>
        <w:tc>
          <w:tcPr>
            <w:tcW w:w="703" w:type="dxa"/>
            <w:tcBorders>
              <w:top w:val="nil"/>
              <w:left w:val="nil"/>
              <w:bottom w:val="single" w:sz="4" w:space="0" w:color="auto"/>
              <w:right w:val="single" w:sz="4" w:space="0" w:color="auto"/>
            </w:tcBorders>
            <w:shd w:val="clear" w:color="auto" w:fill="auto"/>
            <w:noWrap/>
            <w:vAlign w:val="bottom"/>
            <w:hideMark/>
          </w:tcPr>
          <w:p w14:paraId="496F4188"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40</w:t>
            </w:r>
          </w:p>
        </w:tc>
        <w:tc>
          <w:tcPr>
            <w:tcW w:w="640" w:type="dxa"/>
            <w:tcBorders>
              <w:top w:val="nil"/>
              <w:left w:val="nil"/>
              <w:bottom w:val="single" w:sz="4" w:space="0" w:color="auto"/>
              <w:right w:val="single" w:sz="4" w:space="0" w:color="auto"/>
            </w:tcBorders>
            <w:shd w:val="clear" w:color="auto" w:fill="auto"/>
            <w:noWrap/>
            <w:vAlign w:val="bottom"/>
            <w:hideMark/>
          </w:tcPr>
          <w:p w14:paraId="4C31D194"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21</w:t>
            </w:r>
          </w:p>
        </w:tc>
        <w:tc>
          <w:tcPr>
            <w:tcW w:w="580" w:type="dxa"/>
            <w:tcBorders>
              <w:top w:val="nil"/>
              <w:left w:val="nil"/>
              <w:bottom w:val="single" w:sz="4" w:space="0" w:color="auto"/>
              <w:right w:val="single" w:sz="4" w:space="0" w:color="auto"/>
            </w:tcBorders>
            <w:shd w:val="clear" w:color="auto" w:fill="auto"/>
            <w:noWrap/>
            <w:vAlign w:val="bottom"/>
            <w:hideMark/>
          </w:tcPr>
          <w:p w14:paraId="2E41E612"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32</w:t>
            </w:r>
          </w:p>
        </w:tc>
        <w:tc>
          <w:tcPr>
            <w:tcW w:w="703" w:type="dxa"/>
            <w:gridSpan w:val="2"/>
            <w:tcBorders>
              <w:top w:val="nil"/>
              <w:left w:val="nil"/>
              <w:bottom w:val="single" w:sz="4" w:space="0" w:color="auto"/>
              <w:right w:val="single" w:sz="4" w:space="0" w:color="auto"/>
            </w:tcBorders>
            <w:shd w:val="clear" w:color="auto" w:fill="auto"/>
            <w:noWrap/>
            <w:vAlign w:val="bottom"/>
            <w:hideMark/>
          </w:tcPr>
          <w:p w14:paraId="31240912"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45</w:t>
            </w:r>
          </w:p>
        </w:tc>
        <w:tc>
          <w:tcPr>
            <w:tcW w:w="680" w:type="dxa"/>
            <w:tcBorders>
              <w:top w:val="nil"/>
              <w:left w:val="nil"/>
              <w:bottom w:val="single" w:sz="4" w:space="0" w:color="auto"/>
              <w:right w:val="single" w:sz="4" w:space="0" w:color="auto"/>
            </w:tcBorders>
            <w:shd w:val="clear" w:color="auto" w:fill="auto"/>
            <w:noWrap/>
            <w:vAlign w:val="bottom"/>
            <w:hideMark/>
          </w:tcPr>
          <w:p w14:paraId="4E7CCAC9"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35</w:t>
            </w:r>
          </w:p>
        </w:tc>
        <w:tc>
          <w:tcPr>
            <w:tcW w:w="534" w:type="dxa"/>
            <w:tcBorders>
              <w:top w:val="nil"/>
              <w:left w:val="nil"/>
              <w:bottom w:val="single" w:sz="4" w:space="0" w:color="auto"/>
              <w:right w:val="single" w:sz="4" w:space="0" w:color="auto"/>
            </w:tcBorders>
            <w:shd w:val="clear" w:color="auto" w:fill="auto"/>
            <w:noWrap/>
            <w:vAlign w:val="bottom"/>
            <w:hideMark/>
          </w:tcPr>
          <w:p w14:paraId="247C534B"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41</w:t>
            </w:r>
          </w:p>
        </w:tc>
        <w:tc>
          <w:tcPr>
            <w:tcW w:w="703" w:type="dxa"/>
            <w:gridSpan w:val="2"/>
            <w:tcBorders>
              <w:top w:val="nil"/>
              <w:left w:val="nil"/>
              <w:bottom w:val="single" w:sz="4" w:space="0" w:color="auto"/>
              <w:right w:val="single" w:sz="4" w:space="0" w:color="auto"/>
            </w:tcBorders>
            <w:shd w:val="clear" w:color="auto" w:fill="auto"/>
            <w:noWrap/>
            <w:vAlign w:val="bottom"/>
            <w:hideMark/>
          </w:tcPr>
          <w:p w14:paraId="509428A8"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65</w:t>
            </w:r>
          </w:p>
        </w:tc>
        <w:tc>
          <w:tcPr>
            <w:tcW w:w="629" w:type="dxa"/>
            <w:tcBorders>
              <w:top w:val="nil"/>
              <w:left w:val="nil"/>
              <w:bottom w:val="single" w:sz="4" w:space="0" w:color="auto"/>
              <w:right w:val="single" w:sz="4" w:space="0" w:color="auto"/>
            </w:tcBorders>
            <w:shd w:val="clear" w:color="auto" w:fill="auto"/>
            <w:noWrap/>
            <w:vAlign w:val="bottom"/>
            <w:hideMark/>
          </w:tcPr>
          <w:p w14:paraId="5EE888A6"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65</w:t>
            </w:r>
          </w:p>
        </w:tc>
        <w:tc>
          <w:tcPr>
            <w:tcW w:w="567" w:type="dxa"/>
            <w:tcBorders>
              <w:top w:val="nil"/>
              <w:left w:val="nil"/>
              <w:bottom w:val="single" w:sz="4" w:space="0" w:color="auto"/>
              <w:right w:val="single" w:sz="4" w:space="0" w:color="auto"/>
            </w:tcBorders>
            <w:shd w:val="clear" w:color="auto" w:fill="auto"/>
            <w:noWrap/>
            <w:vAlign w:val="bottom"/>
            <w:hideMark/>
          </w:tcPr>
          <w:p w14:paraId="19CF3D6C"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64</w:t>
            </w:r>
          </w:p>
        </w:tc>
        <w:tc>
          <w:tcPr>
            <w:tcW w:w="703" w:type="dxa"/>
            <w:tcBorders>
              <w:top w:val="nil"/>
              <w:left w:val="nil"/>
              <w:bottom w:val="single" w:sz="4" w:space="0" w:color="auto"/>
              <w:right w:val="single" w:sz="4" w:space="0" w:color="auto"/>
            </w:tcBorders>
            <w:shd w:val="clear" w:color="auto" w:fill="auto"/>
            <w:noWrap/>
            <w:vAlign w:val="bottom"/>
            <w:hideMark/>
          </w:tcPr>
          <w:p w14:paraId="3E74080A"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85</w:t>
            </w:r>
          </w:p>
        </w:tc>
        <w:tc>
          <w:tcPr>
            <w:tcW w:w="609" w:type="dxa"/>
            <w:tcBorders>
              <w:top w:val="nil"/>
              <w:left w:val="nil"/>
              <w:bottom w:val="single" w:sz="4" w:space="0" w:color="auto"/>
              <w:right w:val="single" w:sz="4" w:space="0" w:color="auto"/>
            </w:tcBorders>
            <w:shd w:val="clear" w:color="auto" w:fill="auto"/>
            <w:noWrap/>
            <w:vAlign w:val="bottom"/>
            <w:hideMark/>
          </w:tcPr>
          <w:p w14:paraId="04653D21"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50</w:t>
            </w:r>
          </w:p>
        </w:tc>
        <w:tc>
          <w:tcPr>
            <w:tcW w:w="531" w:type="dxa"/>
            <w:tcBorders>
              <w:top w:val="nil"/>
              <w:left w:val="nil"/>
              <w:bottom w:val="single" w:sz="4" w:space="0" w:color="auto"/>
              <w:right w:val="single" w:sz="4" w:space="0" w:color="auto"/>
            </w:tcBorders>
            <w:shd w:val="clear" w:color="auto" w:fill="auto"/>
            <w:noWrap/>
            <w:vAlign w:val="bottom"/>
            <w:hideMark/>
          </w:tcPr>
          <w:p w14:paraId="3AE6D821"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61</w:t>
            </w:r>
          </w:p>
        </w:tc>
        <w:tc>
          <w:tcPr>
            <w:tcW w:w="616" w:type="dxa"/>
            <w:tcBorders>
              <w:top w:val="nil"/>
              <w:left w:val="nil"/>
              <w:bottom w:val="single" w:sz="4" w:space="0" w:color="auto"/>
              <w:right w:val="single" w:sz="4" w:space="0" w:color="auto"/>
            </w:tcBorders>
            <w:shd w:val="clear" w:color="auto" w:fill="auto"/>
            <w:noWrap/>
            <w:vAlign w:val="bottom"/>
            <w:hideMark/>
          </w:tcPr>
          <w:p w14:paraId="44FE4C38"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80</w:t>
            </w:r>
          </w:p>
        </w:tc>
        <w:tc>
          <w:tcPr>
            <w:tcW w:w="620" w:type="dxa"/>
            <w:tcBorders>
              <w:top w:val="nil"/>
              <w:left w:val="nil"/>
              <w:bottom w:val="single" w:sz="4" w:space="0" w:color="auto"/>
              <w:right w:val="single" w:sz="4" w:space="0" w:color="auto"/>
            </w:tcBorders>
            <w:shd w:val="clear" w:color="auto" w:fill="auto"/>
            <w:noWrap/>
            <w:vAlign w:val="bottom"/>
            <w:hideMark/>
          </w:tcPr>
          <w:p w14:paraId="6ABEDF33"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49</w:t>
            </w:r>
          </w:p>
        </w:tc>
        <w:tc>
          <w:tcPr>
            <w:tcW w:w="623" w:type="dxa"/>
            <w:tcBorders>
              <w:top w:val="nil"/>
              <w:left w:val="nil"/>
              <w:bottom w:val="single" w:sz="4" w:space="0" w:color="auto"/>
              <w:right w:val="single" w:sz="4" w:space="0" w:color="auto"/>
            </w:tcBorders>
            <w:shd w:val="clear" w:color="auto" w:fill="auto"/>
            <w:noWrap/>
            <w:vAlign w:val="bottom"/>
            <w:hideMark/>
          </w:tcPr>
          <w:p w14:paraId="3785A615"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19</w:t>
            </w:r>
          </w:p>
        </w:tc>
        <w:tc>
          <w:tcPr>
            <w:tcW w:w="551" w:type="dxa"/>
            <w:tcBorders>
              <w:top w:val="nil"/>
              <w:left w:val="nil"/>
              <w:bottom w:val="single" w:sz="4" w:space="0" w:color="auto"/>
              <w:right w:val="single" w:sz="4" w:space="0" w:color="auto"/>
            </w:tcBorders>
            <w:shd w:val="clear" w:color="auto" w:fill="auto"/>
            <w:noWrap/>
            <w:vAlign w:val="bottom"/>
            <w:hideMark/>
          </w:tcPr>
          <w:p w14:paraId="1D414574"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w:t>
            </w:r>
          </w:p>
        </w:tc>
        <w:tc>
          <w:tcPr>
            <w:tcW w:w="567" w:type="dxa"/>
            <w:tcBorders>
              <w:top w:val="nil"/>
              <w:left w:val="nil"/>
              <w:bottom w:val="single" w:sz="4" w:space="0" w:color="auto"/>
              <w:right w:val="single" w:sz="4" w:space="0" w:color="auto"/>
            </w:tcBorders>
            <w:shd w:val="clear" w:color="auto" w:fill="auto"/>
            <w:noWrap/>
            <w:vAlign w:val="bottom"/>
            <w:hideMark/>
          </w:tcPr>
          <w:p w14:paraId="6C12341A"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w:t>
            </w:r>
          </w:p>
        </w:tc>
        <w:tc>
          <w:tcPr>
            <w:tcW w:w="567" w:type="dxa"/>
            <w:tcBorders>
              <w:top w:val="nil"/>
              <w:left w:val="nil"/>
              <w:bottom w:val="single" w:sz="4" w:space="0" w:color="auto"/>
              <w:right w:val="single" w:sz="4" w:space="0" w:color="auto"/>
            </w:tcBorders>
            <w:shd w:val="clear" w:color="auto" w:fill="auto"/>
            <w:noWrap/>
            <w:vAlign w:val="bottom"/>
            <w:hideMark/>
          </w:tcPr>
          <w:p w14:paraId="1165B5CB"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w:t>
            </w:r>
          </w:p>
        </w:tc>
        <w:tc>
          <w:tcPr>
            <w:tcW w:w="703" w:type="dxa"/>
            <w:tcBorders>
              <w:top w:val="nil"/>
              <w:left w:val="nil"/>
              <w:bottom w:val="single" w:sz="4" w:space="0" w:color="auto"/>
              <w:right w:val="single" w:sz="4" w:space="0" w:color="auto"/>
            </w:tcBorders>
            <w:shd w:val="clear" w:color="auto" w:fill="auto"/>
            <w:noWrap/>
            <w:vAlign w:val="bottom"/>
            <w:hideMark/>
          </w:tcPr>
          <w:p w14:paraId="05FBF967"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315</w:t>
            </w:r>
          </w:p>
        </w:tc>
        <w:tc>
          <w:tcPr>
            <w:tcW w:w="700" w:type="dxa"/>
            <w:tcBorders>
              <w:top w:val="nil"/>
              <w:left w:val="nil"/>
              <w:bottom w:val="single" w:sz="4" w:space="0" w:color="auto"/>
              <w:right w:val="single" w:sz="4" w:space="0" w:color="auto"/>
            </w:tcBorders>
            <w:shd w:val="clear" w:color="auto" w:fill="auto"/>
            <w:noWrap/>
            <w:vAlign w:val="bottom"/>
            <w:hideMark/>
          </w:tcPr>
          <w:p w14:paraId="2E9B90ED"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223</w:t>
            </w:r>
          </w:p>
        </w:tc>
        <w:tc>
          <w:tcPr>
            <w:tcW w:w="680" w:type="dxa"/>
            <w:tcBorders>
              <w:top w:val="nil"/>
              <w:left w:val="nil"/>
              <w:bottom w:val="single" w:sz="4" w:space="0" w:color="auto"/>
              <w:right w:val="single" w:sz="4" w:space="0" w:color="auto"/>
            </w:tcBorders>
            <w:shd w:val="clear" w:color="auto" w:fill="auto"/>
            <w:noWrap/>
            <w:vAlign w:val="bottom"/>
            <w:hideMark/>
          </w:tcPr>
          <w:p w14:paraId="2113A9E5"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221</w:t>
            </w:r>
          </w:p>
        </w:tc>
      </w:tr>
      <w:tr w:rsidR="00E335CE" w:rsidRPr="00B13B9A" w14:paraId="5F5ED0C9" w14:textId="77777777" w:rsidTr="00332FF7">
        <w:trPr>
          <w:trHeight w:val="2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08E7F838" w14:textId="77777777" w:rsidR="00E335CE" w:rsidRPr="00B13B9A" w:rsidRDefault="00E335CE" w:rsidP="00E335CE">
            <w:pPr>
              <w:spacing w:after="0" w:line="240" w:lineRule="auto"/>
              <w:jc w:val="center"/>
              <w:rPr>
                <w:rFonts w:asciiTheme="majorHAnsi" w:eastAsia="Times New Roman" w:hAnsiTheme="majorHAnsi" w:cstheme="majorHAnsi"/>
                <w:b/>
                <w:bCs/>
                <w:color w:val="000000"/>
                <w:sz w:val="16"/>
                <w:szCs w:val="16"/>
                <w:lang w:val="ro-MD"/>
              </w:rPr>
            </w:pPr>
            <w:r w:rsidRPr="00B13B9A">
              <w:rPr>
                <w:rFonts w:asciiTheme="majorHAnsi" w:eastAsia="Times New Roman" w:hAnsiTheme="majorHAnsi" w:cstheme="majorHAnsi"/>
                <w:b/>
                <w:bCs/>
                <w:color w:val="000000"/>
                <w:sz w:val="16"/>
                <w:szCs w:val="16"/>
                <w:lang w:val="ro-MD"/>
              </w:rPr>
              <w:t>apr.22</w:t>
            </w:r>
          </w:p>
        </w:tc>
        <w:tc>
          <w:tcPr>
            <w:tcW w:w="703" w:type="dxa"/>
            <w:tcBorders>
              <w:top w:val="nil"/>
              <w:left w:val="nil"/>
              <w:bottom w:val="single" w:sz="4" w:space="0" w:color="auto"/>
              <w:right w:val="single" w:sz="4" w:space="0" w:color="auto"/>
            </w:tcBorders>
            <w:shd w:val="clear" w:color="auto" w:fill="auto"/>
            <w:noWrap/>
            <w:vAlign w:val="bottom"/>
            <w:hideMark/>
          </w:tcPr>
          <w:p w14:paraId="462A3657"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40</w:t>
            </w:r>
          </w:p>
        </w:tc>
        <w:tc>
          <w:tcPr>
            <w:tcW w:w="640" w:type="dxa"/>
            <w:tcBorders>
              <w:top w:val="nil"/>
              <w:left w:val="nil"/>
              <w:bottom w:val="single" w:sz="4" w:space="0" w:color="auto"/>
              <w:right w:val="single" w:sz="4" w:space="0" w:color="auto"/>
            </w:tcBorders>
            <w:shd w:val="clear" w:color="auto" w:fill="auto"/>
            <w:noWrap/>
            <w:vAlign w:val="bottom"/>
            <w:hideMark/>
          </w:tcPr>
          <w:p w14:paraId="5C7371B5"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32</w:t>
            </w:r>
          </w:p>
        </w:tc>
        <w:tc>
          <w:tcPr>
            <w:tcW w:w="580" w:type="dxa"/>
            <w:tcBorders>
              <w:top w:val="nil"/>
              <w:left w:val="nil"/>
              <w:bottom w:val="single" w:sz="4" w:space="0" w:color="auto"/>
              <w:right w:val="single" w:sz="4" w:space="0" w:color="auto"/>
            </w:tcBorders>
            <w:shd w:val="clear" w:color="auto" w:fill="auto"/>
            <w:noWrap/>
            <w:vAlign w:val="bottom"/>
            <w:hideMark/>
          </w:tcPr>
          <w:p w14:paraId="53DE1F3E"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26</w:t>
            </w:r>
          </w:p>
        </w:tc>
        <w:tc>
          <w:tcPr>
            <w:tcW w:w="703" w:type="dxa"/>
            <w:gridSpan w:val="2"/>
            <w:tcBorders>
              <w:top w:val="nil"/>
              <w:left w:val="nil"/>
              <w:bottom w:val="single" w:sz="4" w:space="0" w:color="auto"/>
              <w:right w:val="single" w:sz="4" w:space="0" w:color="auto"/>
            </w:tcBorders>
            <w:shd w:val="clear" w:color="auto" w:fill="auto"/>
            <w:noWrap/>
            <w:vAlign w:val="bottom"/>
            <w:hideMark/>
          </w:tcPr>
          <w:p w14:paraId="0B617C59"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45</w:t>
            </w:r>
          </w:p>
        </w:tc>
        <w:tc>
          <w:tcPr>
            <w:tcW w:w="680" w:type="dxa"/>
            <w:tcBorders>
              <w:top w:val="nil"/>
              <w:left w:val="nil"/>
              <w:bottom w:val="single" w:sz="4" w:space="0" w:color="auto"/>
              <w:right w:val="single" w:sz="4" w:space="0" w:color="auto"/>
            </w:tcBorders>
            <w:shd w:val="clear" w:color="auto" w:fill="auto"/>
            <w:noWrap/>
            <w:vAlign w:val="bottom"/>
            <w:hideMark/>
          </w:tcPr>
          <w:p w14:paraId="35EC083F"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41</w:t>
            </w:r>
          </w:p>
        </w:tc>
        <w:tc>
          <w:tcPr>
            <w:tcW w:w="534" w:type="dxa"/>
            <w:tcBorders>
              <w:top w:val="nil"/>
              <w:left w:val="nil"/>
              <w:bottom w:val="single" w:sz="4" w:space="0" w:color="auto"/>
              <w:right w:val="single" w:sz="4" w:space="0" w:color="auto"/>
            </w:tcBorders>
            <w:shd w:val="clear" w:color="auto" w:fill="auto"/>
            <w:noWrap/>
            <w:vAlign w:val="bottom"/>
            <w:hideMark/>
          </w:tcPr>
          <w:p w14:paraId="3B052F48"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41</w:t>
            </w:r>
          </w:p>
        </w:tc>
        <w:tc>
          <w:tcPr>
            <w:tcW w:w="703" w:type="dxa"/>
            <w:gridSpan w:val="2"/>
            <w:tcBorders>
              <w:top w:val="nil"/>
              <w:left w:val="nil"/>
              <w:bottom w:val="single" w:sz="4" w:space="0" w:color="auto"/>
              <w:right w:val="single" w:sz="4" w:space="0" w:color="auto"/>
            </w:tcBorders>
            <w:shd w:val="clear" w:color="auto" w:fill="auto"/>
            <w:noWrap/>
            <w:vAlign w:val="bottom"/>
            <w:hideMark/>
          </w:tcPr>
          <w:p w14:paraId="50F3A131"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65</w:t>
            </w:r>
          </w:p>
        </w:tc>
        <w:tc>
          <w:tcPr>
            <w:tcW w:w="629" w:type="dxa"/>
            <w:tcBorders>
              <w:top w:val="nil"/>
              <w:left w:val="nil"/>
              <w:bottom w:val="single" w:sz="4" w:space="0" w:color="auto"/>
              <w:right w:val="single" w:sz="4" w:space="0" w:color="auto"/>
            </w:tcBorders>
            <w:shd w:val="clear" w:color="auto" w:fill="auto"/>
            <w:noWrap/>
            <w:vAlign w:val="bottom"/>
            <w:hideMark/>
          </w:tcPr>
          <w:p w14:paraId="2D7BABF2"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64</w:t>
            </w:r>
          </w:p>
        </w:tc>
        <w:tc>
          <w:tcPr>
            <w:tcW w:w="567" w:type="dxa"/>
            <w:tcBorders>
              <w:top w:val="nil"/>
              <w:left w:val="nil"/>
              <w:bottom w:val="single" w:sz="4" w:space="0" w:color="auto"/>
              <w:right w:val="single" w:sz="4" w:space="0" w:color="auto"/>
            </w:tcBorders>
            <w:shd w:val="clear" w:color="auto" w:fill="auto"/>
            <w:noWrap/>
            <w:vAlign w:val="bottom"/>
            <w:hideMark/>
          </w:tcPr>
          <w:p w14:paraId="7C801FE7"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68</w:t>
            </w:r>
          </w:p>
        </w:tc>
        <w:tc>
          <w:tcPr>
            <w:tcW w:w="703" w:type="dxa"/>
            <w:tcBorders>
              <w:top w:val="nil"/>
              <w:left w:val="nil"/>
              <w:bottom w:val="single" w:sz="4" w:space="0" w:color="auto"/>
              <w:right w:val="single" w:sz="4" w:space="0" w:color="auto"/>
            </w:tcBorders>
            <w:shd w:val="clear" w:color="auto" w:fill="auto"/>
            <w:noWrap/>
            <w:vAlign w:val="bottom"/>
            <w:hideMark/>
          </w:tcPr>
          <w:p w14:paraId="5A54DB93"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85</w:t>
            </w:r>
          </w:p>
        </w:tc>
        <w:tc>
          <w:tcPr>
            <w:tcW w:w="609" w:type="dxa"/>
            <w:tcBorders>
              <w:top w:val="nil"/>
              <w:left w:val="nil"/>
              <w:bottom w:val="single" w:sz="4" w:space="0" w:color="auto"/>
              <w:right w:val="single" w:sz="4" w:space="0" w:color="auto"/>
            </w:tcBorders>
            <w:shd w:val="clear" w:color="auto" w:fill="auto"/>
            <w:noWrap/>
            <w:vAlign w:val="bottom"/>
            <w:hideMark/>
          </w:tcPr>
          <w:p w14:paraId="04787D95"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61</w:t>
            </w:r>
          </w:p>
        </w:tc>
        <w:tc>
          <w:tcPr>
            <w:tcW w:w="531" w:type="dxa"/>
            <w:tcBorders>
              <w:top w:val="nil"/>
              <w:left w:val="nil"/>
              <w:bottom w:val="single" w:sz="4" w:space="0" w:color="auto"/>
              <w:right w:val="single" w:sz="4" w:space="0" w:color="auto"/>
            </w:tcBorders>
            <w:shd w:val="clear" w:color="auto" w:fill="auto"/>
            <w:noWrap/>
            <w:vAlign w:val="bottom"/>
            <w:hideMark/>
          </w:tcPr>
          <w:p w14:paraId="1D76752D"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77</w:t>
            </w:r>
          </w:p>
        </w:tc>
        <w:tc>
          <w:tcPr>
            <w:tcW w:w="616" w:type="dxa"/>
            <w:tcBorders>
              <w:top w:val="nil"/>
              <w:left w:val="nil"/>
              <w:bottom w:val="single" w:sz="4" w:space="0" w:color="auto"/>
              <w:right w:val="single" w:sz="4" w:space="0" w:color="auto"/>
            </w:tcBorders>
            <w:shd w:val="clear" w:color="auto" w:fill="auto"/>
            <w:noWrap/>
            <w:vAlign w:val="bottom"/>
            <w:hideMark/>
          </w:tcPr>
          <w:p w14:paraId="647A1417"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80</w:t>
            </w:r>
          </w:p>
        </w:tc>
        <w:tc>
          <w:tcPr>
            <w:tcW w:w="620" w:type="dxa"/>
            <w:tcBorders>
              <w:top w:val="nil"/>
              <w:left w:val="nil"/>
              <w:bottom w:val="single" w:sz="4" w:space="0" w:color="auto"/>
              <w:right w:val="single" w:sz="4" w:space="0" w:color="auto"/>
            </w:tcBorders>
            <w:shd w:val="clear" w:color="auto" w:fill="auto"/>
            <w:noWrap/>
            <w:vAlign w:val="bottom"/>
            <w:hideMark/>
          </w:tcPr>
          <w:p w14:paraId="3A61A0E7"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19</w:t>
            </w:r>
          </w:p>
        </w:tc>
        <w:tc>
          <w:tcPr>
            <w:tcW w:w="623" w:type="dxa"/>
            <w:tcBorders>
              <w:top w:val="nil"/>
              <w:left w:val="nil"/>
              <w:bottom w:val="single" w:sz="4" w:space="0" w:color="auto"/>
              <w:right w:val="single" w:sz="4" w:space="0" w:color="auto"/>
            </w:tcBorders>
            <w:shd w:val="clear" w:color="auto" w:fill="auto"/>
            <w:noWrap/>
            <w:vAlign w:val="bottom"/>
            <w:hideMark/>
          </w:tcPr>
          <w:p w14:paraId="4E66A2FF"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19</w:t>
            </w:r>
          </w:p>
        </w:tc>
        <w:tc>
          <w:tcPr>
            <w:tcW w:w="551" w:type="dxa"/>
            <w:tcBorders>
              <w:top w:val="nil"/>
              <w:left w:val="nil"/>
              <w:bottom w:val="single" w:sz="4" w:space="0" w:color="auto"/>
              <w:right w:val="single" w:sz="4" w:space="0" w:color="auto"/>
            </w:tcBorders>
            <w:shd w:val="clear" w:color="auto" w:fill="auto"/>
            <w:noWrap/>
            <w:vAlign w:val="bottom"/>
            <w:hideMark/>
          </w:tcPr>
          <w:p w14:paraId="5287EBC0"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w:t>
            </w:r>
          </w:p>
        </w:tc>
        <w:tc>
          <w:tcPr>
            <w:tcW w:w="567" w:type="dxa"/>
            <w:tcBorders>
              <w:top w:val="nil"/>
              <w:left w:val="nil"/>
              <w:bottom w:val="single" w:sz="4" w:space="0" w:color="auto"/>
              <w:right w:val="single" w:sz="4" w:space="0" w:color="auto"/>
            </w:tcBorders>
            <w:shd w:val="clear" w:color="auto" w:fill="auto"/>
            <w:noWrap/>
            <w:vAlign w:val="bottom"/>
            <w:hideMark/>
          </w:tcPr>
          <w:p w14:paraId="436BF9CB"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w:t>
            </w:r>
          </w:p>
        </w:tc>
        <w:tc>
          <w:tcPr>
            <w:tcW w:w="567" w:type="dxa"/>
            <w:tcBorders>
              <w:top w:val="nil"/>
              <w:left w:val="nil"/>
              <w:bottom w:val="single" w:sz="4" w:space="0" w:color="auto"/>
              <w:right w:val="single" w:sz="4" w:space="0" w:color="auto"/>
            </w:tcBorders>
            <w:shd w:val="clear" w:color="auto" w:fill="auto"/>
            <w:noWrap/>
            <w:vAlign w:val="bottom"/>
            <w:hideMark/>
          </w:tcPr>
          <w:p w14:paraId="205AC0CE"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w:t>
            </w:r>
          </w:p>
        </w:tc>
        <w:tc>
          <w:tcPr>
            <w:tcW w:w="703" w:type="dxa"/>
            <w:tcBorders>
              <w:top w:val="nil"/>
              <w:left w:val="nil"/>
              <w:bottom w:val="single" w:sz="4" w:space="0" w:color="auto"/>
              <w:right w:val="single" w:sz="4" w:space="0" w:color="auto"/>
            </w:tcBorders>
            <w:shd w:val="clear" w:color="auto" w:fill="auto"/>
            <w:noWrap/>
            <w:vAlign w:val="bottom"/>
            <w:hideMark/>
          </w:tcPr>
          <w:p w14:paraId="54A3736E"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315</w:t>
            </w:r>
          </w:p>
        </w:tc>
        <w:tc>
          <w:tcPr>
            <w:tcW w:w="700" w:type="dxa"/>
            <w:tcBorders>
              <w:top w:val="nil"/>
              <w:left w:val="nil"/>
              <w:bottom w:val="single" w:sz="4" w:space="0" w:color="auto"/>
              <w:right w:val="single" w:sz="4" w:space="0" w:color="auto"/>
            </w:tcBorders>
            <w:shd w:val="clear" w:color="auto" w:fill="auto"/>
            <w:noWrap/>
            <w:vAlign w:val="bottom"/>
            <w:hideMark/>
          </w:tcPr>
          <w:p w14:paraId="1D901F93"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221</w:t>
            </w:r>
          </w:p>
        </w:tc>
        <w:tc>
          <w:tcPr>
            <w:tcW w:w="680" w:type="dxa"/>
            <w:tcBorders>
              <w:top w:val="nil"/>
              <w:left w:val="nil"/>
              <w:bottom w:val="single" w:sz="4" w:space="0" w:color="auto"/>
              <w:right w:val="single" w:sz="4" w:space="0" w:color="auto"/>
            </w:tcBorders>
            <w:shd w:val="clear" w:color="auto" w:fill="auto"/>
            <w:noWrap/>
            <w:vAlign w:val="bottom"/>
            <w:hideMark/>
          </w:tcPr>
          <w:p w14:paraId="3D18115C"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237</w:t>
            </w:r>
          </w:p>
        </w:tc>
      </w:tr>
      <w:tr w:rsidR="00E335CE" w:rsidRPr="00B13B9A" w14:paraId="7758E915" w14:textId="77777777" w:rsidTr="00332FF7">
        <w:trPr>
          <w:trHeight w:val="2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537C8B1B" w14:textId="77777777" w:rsidR="00E335CE" w:rsidRPr="00B13B9A" w:rsidRDefault="00E335CE" w:rsidP="00E335CE">
            <w:pPr>
              <w:spacing w:after="0" w:line="240" w:lineRule="auto"/>
              <w:jc w:val="center"/>
              <w:rPr>
                <w:rFonts w:asciiTheme="majorHAnsi" w:eastAsia="Times New Roman" w:hAnsiTheme="majorHAnsi" w:cstheme="majorHAnsi"/>
                <w:b/>
                <w:bCs/>
                <w:color w:val="000000"/>
                <w:sz w:val="16"/>
                <w:szCs w:val="16"/>
                <w:lang w:val="ro-MD"/>
              </w:rPr>
            </w:pPr>
            <w:r w:rsidRPr="00B13B9A">
              <w:rPr>
                <w:rFonts w:asciiTheme="majorHAnsi" w:eastAsia="Times New Roman" w:hAnsiTheme="majorHAnsi" w:cstheme="majorHAnsi"/>
                <w:b/>
                <w:bCs/>
                <w:color w:val="000000"/>
                <w:sz w:val="16"/>
                <w:szCs w:val="16"/>
                <w:lang w:val="ro-MD"/>
              </w:rPr>
              <w:t>mai.22</w:t>
            </w:r>
          </w:p>
        </w:tc>
        <w:tc>
          <w:tcPr>
            <w:tcW w:w="703" w:type="dxa"/>
            <w:tcBorders>
              <w:top w:val="nil"/>
              <w:left w:val="nil"/>
              <w:bottom w:val="single" w:sz="4" w:space="0" w:color="auto"/>
              <w:right w:val="single" w:sz="4" w:space="0" w:color="auto"/>
            </w:tcBorders>
            <w:shd w:val="clear" w:color="auto" w:fill="auto"/>
            <w:noWrap/>
            <w:vAlign w:val="bottom"/>
            <w:hideMark/>
          </w:tcPr>
          <w:p w14:paraId="6BF16DB6"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40</w:t>
            </w:r>
          </w:p>
        </w:tc>
        <w:tc>
          <w:tcPr>
            <w:tcW w:w="640" w:type="dxa"/>
            <w:tcBorders>
              <w:top w:val="nil"/>
              <w:left w:val="nil"/>
              <w:bottom w:val="single" w:sz="4" w:space="0" w:color="auto"/>
              <w:right w:val="single" w:sz="4" w:space="0" w:color="auto"/>
            </w:tcBorders>
            <w:shd w:val="clear" w:color="auto" w:fill="auto"/>
            <w:noWrap/>
            <w:vAlign w:val="bottom"/>
            <w:hideMark/>
          </w:tcPr>
          <w:p w14:paraId="280AD654"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26</w:t>
            </w:r>
          </w:p>
        </w:tc>
        <w:tc>
          <w:tcPr>
            <w:tcW w:w="580" w:type="dxa"/>
            <w:tcBorders>
              <w:top w:val="nil"/>
              <w:left w:val="nil"/>
              <w:bottom w:val="single" w:sz="4" w:space="0" w:color="auto"/>
              <w:right w:val="single" w:sz="4" w:space="0" w:color="auto"/>
            </w:tcBorders>
            <w:shd w:val="clear" w:color="auto" w:fill="auto"/>
            <w:noWrap/>
            <w:vAlign w:val="bottom"/>
            <w:hideMark/>
          </w:tcPr>
          <w:p w14:paraId="42CD2E0E"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32</w:t>
            </w:r>
          </w:p>
        </w:tc>
        <w:tc>
          <w:tcPr>
            <w:tcW w:w="703" w:type="dxa"/>
            <w:gridSpan w:val="2"/>
            <w:tcBorders>
              <w:top w:val="nil"/>
              <w:left w:val="nil"/>
              <w:bottom w:val="single" w:sz="4" w:space="0" w:color="auto"/>
              <w:right w:val="single" w:sz="4" w:space="0" w:color="auto"/>
            </w:tcBorders>
            <w:shd w:val="clear" w:color="auto" w:fill="auto"/>
            <w:noWrap/>
            <w:vAlign w:val="bottom"/>
            <w:hideMark/>
          </w:tcPr>
          <w:p w14:paraId="546CAB3F"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45</w:t>
            </w:r>
          </w:p>
        </w:tc>
        <w:tc>
          <w:tcPr>
            <w:tcW w:w="680" w:type="dxa"/>
            <w:tcBorders>
              <w:top w:val="nil"/>
              <w:left w:val="nil"/>
              <w:bottom w:val="single" w:sz="4" w:space="0" w:color="auto"/>
              <w:right w:val="single" w:sz="4" w:space="0" w:color="auto"/>
            </w:tcBorders>
            <w:shd w:val="clear" w:color="auto" w:fill="auto"/>
            <w:noWrap/>
            <w:vAlign w:val="bottom"/>
            <w:hideMark/>
          </w:tcPr>
          <w:p w14:paraId="67F279C2"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41</w:t>
            </w:r>
          </w:p>
        </w:tc>
        <w:tc>
          <w:tcPr>
            <w:tcW w:w="534" w:type="dxa"/>
            <w:tcBorders>
              <w:top w:val="nil"/>
              <w:left w:val="nil"/>
              <w:bottom w:val="single" w:sz="4" w:space="0" w:color="auto"/>
              <w:right w:val="single" w:sz="4" w:space="0" w:color="auto"/>
            </w:tcBorders>
            <w:shd w:val="clear" w:color="auto" w:fill="auto"/>
            <w:noWrap/>
            <w:vAlign w:val="bottom"/>
            <w:hideMark/>
          </w:tcPr>
          <w:p w14:paraId="5C35FA91"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37</w:t>
            </w:r>
          </w:p>
        </w:tc>
        <w:tc>
          <w:tcPr>
            <w:tcW w:w="703" w:type="dxa"/>
            <w:gridSpan w:val="2"/>
            <w:tcBorders>
              <w:top w:val="nil"/>
              <w:left w:val="nil"/>
              <w:bottom w:val="single" w:sz="4" w:space="0" w:color="auto"/>
              <w:right w:val="single" w:sz="4" w:space="0" w:color="auto"/>
            </w:tcBorders>
            <w:shd w:val="clear" w:color="auto" w:fill="auto"/>
            <w:noWrap/>
            <w:vAlign w:val="bottom"/>
            <w:hideMark/>
          </w:tcPr>
          <w:p w14:paraId="1DDA6684"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65</w:t>
            </w:r>
          </w:p>
        </w:tc>
        <w:tc>
          <w:tcPr>
            <w:tcW w:w="629" w:type="dxa"/>
            <w:tcBorders>
              <w:top w:val="nil"/>
              <w:left w:val="nil"/>
              <w:bottom w:val="single" w:sz="4" w:space="0" w:color="auto"/>
              <w:right w:val="single" w:sz="4" w:space="0" w:color="auto"/>
            </w:tcBorders>
            <w:shd w:val="clear" w:color="auto" w:fill="auto"/>
            <w:noWrap/>
            <w:vAlign w:val="bottom"/>
            <w:hideMark/>
          </w:tcPr>
          <w:p w14:paraId="5E9BA7A0"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68</w:t>
            </w:r>
          </w:p>
        </w:tc>
        <w:tc>
          <w:tcPr>
            <w:tcW w:w="567" w:type="dxa"/>
            <w:tcBorders>
              <w:top w:val="nil"/>
              <w:left w:val="nil"/>
              <w:bottom w:val="single" w:sz="4" w:space="0" w:color="auto"/>
              <w:right w:val="single" w:sz="4" w:space="0" w:color="auto"/>
            </w:tcBorders>
            <w:shd w:val="clear" w:color="auto" w:fill="auto"/>
            <w:noWrap/>
            <w:vAlign w:val="bottom"/>
            <w:hideMark/>
          </w:tcPr>
          <w:p w14:paraId="147A7E84"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71</w:t>
            </w:r>
          </w:p>
        </w:tc>
        <w:tc>
          <w:tcPr>
            <w:tcW w:w="703" w:type="dxa"/>
            <w:tcBorders>
              <w:top w:val="nil"/>
              <w:left w:val="nil"/>
              <w:bottom w:val="single" w:sz="4" w:space="0" w:color="auto"/>
              <w:right w:val="single" w:sz="4" w:space="0" w:color="auto"/>
            </w:tcBorders>
            <w:shd w:val="clear" w:color="auto" w:fill="auto"/>
            <w:noWrap/>
            <w:vAlign w:val="bottom"/>
            <w:hideMark/>
          </w:tcPr>
          <w:p w14:paraId="3A545C2E"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85</w:t>
            </w:r>
          </w:p>
        </w:tc>
        <w:tc>
          <w:tcPr>
            <w:tcW w:w="609" w:type="dxa"/>
            <w:tcBorders>
              <w:top w:val="nil"/>
              <w:left w:val="nil"/>
              <w:bottom w:val="single" w:sz="4" w:space="0" w:color="auto"/>
              <w:right w:val="single" w:sz="4" w:space="0" w:color="auto"/>
            </w:tcBorders>
            <w:shd w:val="clear" w:color="auto" w:fill="auto"/>
            <w:noWrap/>
            <w:vAlign w:val="bottom"/>
            <w:hideMark/>
          </w:tcPr>
          <w:p w14:paraId="51611C76"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77</w:t>
            </w:r>
          </w:p>
        </w:tc>
        <w:tc>
          <w:tcPr>
            <w:tcW w:w="531" w:type="dxa"/>
            <w:tcBorders>
              <w:top w:val="nil"/>
              <w:left w:val="nil"/>
              <w:bottom w:val="single" w:sz="4" w:space="0" w:color="auto"/>
              <w:right w:val="single" w:sz="4" w:space="0" w:color="auto"/>
            </w:tcBorders>
            <w:shd w:val="clear" w:color="auto" w:fill="auto"/>
            <w:noWrap/>
            <w:vAlign w:val="bottom"/>
            <w:hideMark/>
          </w:tcPr>
          <w:p w14:paraId="158DCD36"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81</w:t>
            </w:r>
          </w:p>
        </w:tc>
        <w:tc>
          <w:tcPr>
            <w:tcW w:w="616" w:type="dxa"/>
            <w:tcBorders>
              <w:top w:val="nil"/>
              <w:left w:val="nil"/>
              <w:bottom w:val="single" w:sz="4" w:space="0" w:color="auto"/>
              <w:right w:val="single" w:sz="4" w:space="0" w:color="auto"/>
            </w:tcBorders>
            <w:shd w:val="clear" w:color="auto" w:fill="auto"/>
            <w:noWrap/>
            <w:vAlign w:val="bottom"/>
            <w:hideMark/>
          </w:tcPr>
          <w:p w14:paraId="7C064B22"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80</w:t>
            </w:r>
          </w:p>
        </w:tc>
        <w:tc>
          <w:tcPr>
            <w:tcW w:w="620" w:type="dxa"/>
            <w:tcBorders>
              <w:top w:val="nil"/>
              <w:left w:val="nil"/>
              <w:bottom w:val="single" w:sz="4" w:space="0" w:color="auto"/>
              <w:right w:val="single" w:sz="4" w:space="0" w:color="auto"/>
            </w:tcBorders>
            <w:shd w:val="clear" w:color="auto" w:fill="auto"/>
            <w:noWrap/>
            <w:vAlign w:val="bottom"/>
            <w:hideMark/>
          </w:tcPr>
          <w:p w14:paraId="187D523D"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19</w:t>
            </w:r>
          </w:p>
        </w:tc>
        <w:tc>
          <w:tcPr>
            <w:tcW w:w="623" w:type="dxa"/>
            <w:tcBorders>
              <w:top w:val="nil"/>
              <w:left w:val="nil"/>
              <w:bottom w:val="single" w:sz="4" w:space="0" w:color="auto"/>
              <w:right w:val="single" w:sz="4" w:space="0" w:color="auto"/>
            </w:tcBorders>
            <w:shd w:val="clear" w:color="auto" w:fill="auto"/>
            <w:noWrap/>
            <w:vAlign w:val="bottom"/>
            <w:hideMark/>
          </w:tcPr>
          <w:p w14:paraId="1AC89D71"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11</w:t>
            </w:r>
          </w:p>
        </w:tc>
        <w:tc>
          <w:tcPr>
            <w:tcW w:w="551" w:type="dxa"/>
            <w:tcBorders>
              <w:top w:val="nil"/>
              <w:left w:val="nil"/>
              <w:bottom w:val="single" w:sz="4" w:space="0" w:color="auto"/>
              <w:right w:val="single" w:sz="4" w:space="0" w:color="auto"/>
            </w:tcBorders>
            <w:shd w:val="clear" w:color="auto" w:fill="auto"/>
            <w:noWrap/>
            <w:vAlign w:val="bottom"/>
            <w:hideMark/>
          </w:tcPr>
          <w:p w14:paraId="1D4CC322"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w:t>
            </w:r>
          </w:p>
        </w:tc>
        <w:tc>
          <w:tcPr>
            <w:tcW w:w="567" w:type="dxa"/>
            <w:tcBorders>
              <w:top w:val="nil"/>
              <w:left w:val="nil"/>
              <w:bottom w:val="single" w:sz="4" w:space="0" w:color="auto"/>
              <w:right w:val="single" w:sz="4" w:space="0" w:color="auto"/>
            </w:tcBorders>
            <w:shd w:val="clear" w:color="auto" w:fill="auto"/>
            <w:noWrap/>
            <w:vAlign w:val="bottom"/>
            <w:hideMark/>
          </w:tcPr>
          <w:p w14:paraId="24E6A2FB"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w:t>
            </w:r>
          </w:p>
        </w:tc>
        <w:tc>
          <w:tcPr>
            <w:tcW w:w="567" w:type="dxa"/>
            <w:tcBorders>
              <w:top w:val="nil"/>
              <w:left w:val="nil"/>
              <w:bottom w:val="single" w:sz="4" w:space="0" w:color="auto"/>
              <w:right w:val="single" w:sz="4" w:space="0" w:color="auto"/>
            </w:tcBorders>
            <w:shd w:val="clear" w:color="auto" w:fill="auto"/>
            <w:noWrap/>
            <w:vAlign w:val="bottom"/>
            <w:hideMark/>
          </w:tcPr>
          <w:p w14:paraId="3F07306E"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w:t>
            </w:r>
          </w:p>
        </w:tc>
        <w:tc>
          <w:tcPr>
            <w:tcW w:w="703" w:type="dxa"/>
            <w:tcBorders>
              <w:top w:val="nil"/>
              <w:left w:val="nil"/>
              <w:bottom w:val="single" w:sz="4" w:space="0" w:color="auto"/>
              <w:right w:val="single" w:sz="4" w:space="0" w:color="auto"/>
            </w:tcBorders>
            <w:shd w:val="clear" w:color="auto" w:fill="auto"/>
            <w:noWrap/>
            <w:vAlign w:val="bottom"/>
            <w:hideMark/>
          </w:tcPr>
          <w:p w14:paraId="11D9BD1D"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315</w:t>
            </w:r>
          </w:p>
        </w:tc>
        <w:tc>
          <w:tcPr>
            <w:tcW w:w="700" w:type="dxa"/>
            <w:tcBorders>
              <w:top w:val="nil"/>
              <w:left w:val="nil"/>
              <w:bottom w:val="single" w:sz="4" w:space="0" w:color="auto"/>
              <w:right w:val="single" w:sz="4" w:space="0" w:color="auto"/>
            </w:tcBorders>
            <w:shd w:val="clear" w:color="auto" w:fill="auto"/>
            <w:noWrap/>
            <w:vAlign w:val="bottom"/>
            <w:hideMark/>
          </w:tcPr>
          <w:p w14:paraId="6938AA25"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237</w:t>
            </w:r>
          </w:p>
        </w:tc>
        <w:tc>
          <w:tcPr>
            <w:tcW w:w="680" w:type="dxa"/>
            <w:tcBorders>
              <w:top w:val="nil"/>
              <w:left w:val="nil"/>
              <w:bottom w:val="single" w:sz="4" w:space="0" w:color="auto"/>
              <w:right w:val="single" w:sz="4" w:space="0" w:color="auto"/>
            </w:tcBorders>
            <w:shd w:val="clear" w:color="auto" w:fill="auto"/>
            <w:noWrap/>
            <w:vAlign w:val="bottom"/>
            <w:hideMark/>
          </w:tcPr>
          <w:p w14:paraId="3DE43884"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235</w:t>
            </w:r>
          </w:p>
        </w:tc>
      </w:tr>
      <w:tr w:rsidR="00E335CE" w:rsidRPr="00B13B9A" w14:paraId="6325BF55" w14:textId="77777777" w:rsidTr="00332FF7">
        <w:trPr>
          <w:trHeight w:val="2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28F2AF42" w14:textId="77777777" w:rsidR="00E335CE" w:rsidRPr="00B13B9A" w:rsidRDefault="00E335CE" w:rsidP="00E335CE">
            <w:pPr>
              <w:spacing w:after="0" w:line="240" w:lineRule="auto"/>
              <w:jc w:val="center"/>
              <w:rPr>
                <w:rFonts w:asciiTheme="majorHAnsi" w:eastAsia="Times New Roman" w:hAnsiTheme="majorHAnsi" w:cstheme="majorHAnsi"/>
                <w:b/>
                <w:bCs/>
                <w:color w:val="000000"/>
                <w:sz w:val="16"/>
                <w:szCs w:val="16"/>
                <w:lang w:val="ro-MD"/>
              </w:rPr>
            </w:pPr>
            <w:r w:rsidRPr="00B13B9A">
              <w:rPr>
                <w:rFonts w:asciiTheme="majorHAnsi" w:eastAsia="Times New Roman" w:hAnsiTheme="majorHAnsi" w:cstheme="majorHAnsi"/>
                <w:b/>
                <w:bCs/>
                <w:color w:val="000000"/>
                <w:sz w:val="16"/>
                <w:szCs w:val="16"/>
                <w:lang w:val="ro-MD"/>
              </w:rPr>
              <w:t>iun.22</w:t>
            </w:r>
          </w:p>
        </w:tc>
        <w:tc>
          <w:tcPr>
            <w:tcW w:w="703" w:type="dxa"/>
            <w:tcBorders>
              <w:top w:val="nil"/>
              <w:left w:val="nil"/>
              <w:bottom w:val="single" w:sz="4" w:space="0" w:color="auto"/>
              <w:right w:val="single" w:sz="4" w:space="0" w:color="auto"/>
            </w:tcBorders>
            <w:shd w:val="clear" w:color="auto" w:fill="auto"/>
            <w:noWrap/>
            <w:vAlign w:val="bottom"/>
            <w:hideMark/>
          </w:tcPr>
          <w:p w14:paraId="013A4EB9"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40</w:t>
            </w:r>
          </w:p>
        </w:tc>
        <w:tc>
          <w:tcPr>
            <w:tcW w:w="640" w:type="dxa"/>
            <w:tcBorders>
              <w:top w:val="nil"/>
              <w:left w:val="nil"/>
              <w:bottom w:val="single" w:sz="4" w:space="0" w:color="auto"/>
              <w:right w:val="single" w:sz="4" w:space="0" w:color="auto"/>
            </w:tcBorders>
            <w:shd w:val="clear" w:color="auto" w:fill="auto"/>
            <w:noWrap/>
            <w:vAlign w:val="bottom"/>
            <w:hideMark/>
          </w:tcPr>
          <w:p w14:paraId="34EAB738"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32</w:t>
            </w:r>
          </w:p>
        </w:tc>
        <w:tc>
          <w:tcPr>
            <w:tcW w:w="580" w:type="dxa"/>
            <w:tcBorders>
              <w:top w:val="nil"/>
              <w:left w:val="nil"/>
              <w:bottom w:val="single" w:sz="4" w:space="0" w:color="auto"/>
              <w:right w:val="single" w:sz="4" w:space="0" w:color="auto"/>
            </w:tcBorders>
            <w:shd w:val="clear" w:color="auto" w:fill="auto"/>
            <w:noWrap/>
            <w:vAlign w:val="bottom"/>
            <w:hideMark/>
          </w:tcPr>
          <w:p w14:paraId="2B83B909"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30</w:t>
            </w:r>
          </w:p>
        </w:tc>
        <w:tc>
          <w:tcPr>
            <w:tcW w:w="703" w:type="dxa"/>
            <w:gridSpan w:val="2"/>
            <w:tcBorders>
              <w:top w:val="nil"/>
              <w:left w:val="nil"/>
              <w:bottom w:val="single" w:sz="4" w:space="0" w:color="auto"/>
              <w:right w:val="single" w:sz="4" w:space="0" w:color="auto"/>
            </w:tcBorders>
            <w:shd w:val="clear" w:color="auto" w:fill="auto"/>
            <w:noWrap/>
            <w:vAlign w:val="bottom"/>
            <w:hideMark/>
          </w:tcPr>
          <w:p w14:paraId="775E5D81"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45</w:t>
            </w:r>
          </w:p>
        </w:tc>
        <w:tc>
          <w:tcPr>
            <w:tcW w:w="680" w:type="dxa"/>
            <w:tcBorders>
              <w:top w:val="nil"/>
              <w:left w:val="nil"/>
              <w:bottom w:val="single" w:sz="4" w:space="0" w:color="auto"/>
              <w:right w:val="single" w:sz="4" w:space="0" w:color="auto"/>
            </w:tcBorders>
            <w:shd w:val="clear" w:color="auto" w:fill="auto"/>
            <w:noWrap/>
            <w:vAlign w:val="bottom"/>
            <w:hideMark/>
          </w:tcPr>
          <w:p w14:paraId="7A360E24"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37</w:t>
            </w:r>
          </w:p>
        </w:tc>
        <w:tc>
          <w:tcPr>
            <w:tcW w:w="534" w:type="dxa"/>
            <w:tcBorders>
              <w:top w:val="nil"/>
              <w:left w:val="nil"/>
              <w:bottom w:val="single" w:sz="4" w:space="0" w:color="auto"/>
              <w:right w:val="single" w:sz="4" w:space="0" w:color="auto"/>
            </w:tcBorders>
            <w:shd w:val="clear" w:color="auto" w:fill="auto"/>
            <w:noWrap/>
            <w:vAlign w:val="bottom"/>
            <w:hideMark/>
          </w:tcPr>
          <w:p w14:paraId="06C96F72"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39</w:t>
            </w:r>
          </w:p>
        </w:tc>
        <w:tc>
          <w:tcPr>
            <w:tcW w:w="703" w:type="dxa"/>
            <w:gridSpan w:val="2"/>
            <w:tcBorders>
              <w:top w:val="nil"/>
              <w:left w:val="nil"/>
              <w:bottom w:val="single" w:sz="4" w:space="0" w:color="auto"/>
              <w:right w:val="single" w:sz="4" w:space="0" w:color="auto"/>
            </w:tcBorders>
            <w:shd w:val="clear" w:color="auto" w:fill="auto"/>
            <w:noWrap/>
            <w:vAlign w:val="bottom"/>
            <w:hideMark/>
          </w:tcPr>
          <w:p w14:paraId="78C51F55"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65</w:t>
            </w:r>
          </w:p>
        </w:tc>
        <w:tc>
          <w:tcPr>
            <w:tcW w:w="629" w:type="dxa"/>
            <w:tcBorders>
              <w:top w:val="nil"/>
              <w:left w:val="nil"/>
              <w:bottom w:val="single" w:sz="4" w:space="0" w:color="auto"/>
              <w:right w:val="single" w:sz="4" w:space="0" w:color="auto"/>
            </w:tcBorders>
            <w:shd w:val="clear" w:color="auto" w:fill="auto"/>
            <w:noWrap/>
            <w:vAlign w:val="bottom"/>
            <w:hideMark/>
          </w:tcPr>
          <w:p w14:paraId="3D50058D"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71</w:t>
            </w:r>
          </w:p>
        </w:tc>
        <w:tc>
          <w:tcPr>
            <w:tcW w:w="567" w:type="dxa"/>
            <w:tcBorders>
              <w:top w:val="nil"/>
              <w:left w:val="nil"/>
              <w:bottom w:val="single" w:sz="4" w:space="0" w:color="auto"/>
              <w:right w:val="single" w:sz="4" w:space="0" w:color="auto"/>
            </w:tcBorders>
            <w:shd w:val="clear" w:color="auto" w:fill="auto"/>
            <w:noWrap/>
            <w:vAlign w:val="bottom"/>
            <w:hideMark/>
          </w:tcPr>
          <w:p w14:paraId="41F1CDDC"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61</w:t>
            </w:r>
          </w:p>
        </w:tc>
        <w:tc>
          <w:tcPr>
            <w:tcW w:w="703" w:type="dxa"/>
            <w:tcBorders>
              <w:top w:val="nil"/>
              <w:left w:val="nil"/>
              <w:bottom w:val="single" w:sz="4" w:space="0" w:color="auto"/>
              <w:right w:val="single" w:sz="4" w:space="0" w:color="auto"/>
            </w:tcBorders>
            <w:shd w:val="clear" w:color="auto" w:fill="auto"/>
            <w:noWrap/>
            <w:vAlign w:val="bottom"/>
            <w:hideMark/>
          </w:tcPr>
          <w:p w14:paraId="74735061"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85</w:t>
            </w:r>
          </w:p>
        </w:tc>
        <w:tc>
          <w:tcPr>
            <w:tcW w:w="609" w:type="dxa"/>
            <w:tcBorders>
              <w:top w:val="nil"/>
              <w:left w:val="nil"/>
              <w:bottom w:val="single" w:sz="4" w:space="0" w:color="auto"/>
              <w:right w:val="single" w:sz="4" w:space="0" w:color="auto"/>
            </w:tcBorders>
            <w:shd w:val="clear" w:color="auto" w:fill="auto"/>
            <w:noWrap/>
            <w:vAlign w:val="bottom"/>
            <w:hideMark/>
          </w:tcPr>
          <w:p w14:paraId="06DF82D1"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81</w:t>
            </w:r>
          </w:p>
        </w:tc>
        <w:tc>
          <w:tcPr>
            <w:tcW w:w="531" w:type="dxa"/>
            <w:tcBorders>
              <w:top w:val="nil"/>
              <w:left w:val="nil"/>
              <w:bottom w:val="single" w:sz="4" w:space="0" w:color="auto"/>
              <w:right w:val="single" w:sz="4" w:space="0" w:color="auto"/>
            </w:tcBorders>
            <w:shd w:val="clear" w:color="auto" w:fill="auto"/>
            <w:noWrap/>
            <w:vAlign w:val="bottom"/>
            <w:hideMark/>
          </w:tcPr>
          <w:p w14:paraId="47AA3CDB"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76</w:t>
            </w:r>
          </w:p>
        </w:tc>
        <w:tc>
          <w:tcPr>
            <w:tcW w:w="616" w:type="dxa"/>
            <w:tcBorders>
              <w:top w:val="nil"/>
              <w:left w:val="nil"/>
              <w:bottom w:val="single" w:sz="4" w:space="0" w:color="auto"/>
              <w:right w:val="single" w:sz="4" w:space="0" w:color="auto"/>
            </w:tcBorders>
            <w:shd w:val="clear" w:color="auto" w:fill="auto"/>
            <w:noWrap/>
            <w:vAlign w:val="bottom"/>
            <w:hideMark/>
          </w:tcPr>
          <w:p w14:paraId="68ED687C"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80</w:t>
            </w:r>
          </w:p>
        </w:tc>
        <w:tc>
          <w:tcPr>
            <w:tcW w:w="620" w:type="dxa"/>
            <w:tcBorders>
              <w:top w:val="nil"/>
              <w:left w:val="nil"/>
              <w:bottom w:val="single" w:sz="4" w:space="0" w:color="auto"/>
              <w:right w:val="single" w:sz="4" w:space="0" w:color="auto"/>
            </w:tcBorders>
            <w:shd w:val="clear" w:color="auto" w:fill="auto"/>
            <w:noWrap/>
            <w:vAlign w:val="bottom"/>
            <w:hideMark/>
          </w:tcPr>
          <w:p w14:paraId="76CE4F76"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11</w:t>
            </w:r>
          </w:p>
        </w:tc>
        <w:tc>
          <w:tcPr>
            <w:tcW w:w="623" w:type="dxa"/>
            <w:tcBorders>
              <w:top w:val="nil"/>
              <w:left w:val="nil"/>
              <w:bottom w:val="single" w:sz="4" w:space="0" w:color="auto"/>
              <w:right w:val="single" w:sz="4" w:space="0" w:color="auto"/>
            </w:tcBorders>
            <w:shd w:val="clear" w:color="auto" w:fill="auto"/>
            <w:noWrap/>
            <w:vAlign w:val="bottom"/>
            <w:hideMark/>
          </w:tcPr>
          <w:p w14:paraId="63CB49B7"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28</w:t>
            </w:r>
          </w:p>
        </w:tc>
        <w:tc>
          <w:tcPr>
            <w:tcW w:w="551" w:type="dxa"/>
            <w:tcBorders>
              <w:top w:val="nil"/>
              <w:left w:val="nil"/>
              <w:bottom w:val="single" w:sz="4" w:space="0" w:color="auto"/>
              <w:right w:val="single" w:sz="4" w:space="0" w:color="auto"/>
            </w:tcBorders>
            <w:shd w:val="clear" w:color="auto" w:fill="auto"/>
            <w:noWrap/>
            <w:vAlign w:val="bottom"/>
            <w:hideMark/>
          </w:tcPr>
          <w:p w14:paraId="08D7E865"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w:t>
            </w:r>
          </w:p>
        </w:tc>
        <w:tc>
          <w:tcPr>
            <w:tcW w:w="567" w:type="dxa"/>
            <w:tcBorders>
              <w:top w:val="nil"/>
              <w:left w:val="nil"/>
              <w:bottom w:val="single" w:sz="4" w:space="0" w:color="auto"/>
              <w:right w:val="single" w:sz="4" w:space="0" w:color="auto"/>
            </w:tcBorders>
            <w:shd w:val="clear" w:color="auto" w:fill="auto"/>
            <w:noWrap/>
            <w:vAlign w:val="bottom"/>
            <w:hideMark/>
          </w:tcPr>
          <w:p w14:paraId="5DFB2848"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w:t>
            </w:r>
          </w:p>
        </w:tc>
        <w:tc>
          <w:tcPr>
            <w:tcW w:w="567" w:type="dxa"/>
            <w:tcBorders>
              <w:top w:val="nil"/>
              <w:left w:val="nil"/>
              <w:bottom w:val="single" w:sz="4" w:space="0" w:color="auto"/>
              <w:right w:val="single" w:sz="4" w:space="0" w:color="auto"/>
            </w:tcBorders>
            <w:shd w:val="clear" w:color="auto" w:fill="auto"/>
            <w:noWrap/>
            <w:vAlign w:val="bottom"/>
            <w:hideMark/>
          </w:tcPr>
          <w:p w14:paraId="074537D6"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w:t>
            </w:r>
          </w:p>
        </w:tc>
        <w:tc>
          <w:tcPr>
            <w:tcW w:w="703" w:type="dxa"/>
            <w:tcBorders>
              <w:top w:val="nil"/>
              <w:left w:val="nil"/>
              <w:bottom w:val="single" w:sz="4" w:space="0" w:color="auto"/>
              <w:right w:val="single" w:sz="4" w:space="0" w:color="auto"/>
            </w:tcBorders>
            <w:shd w:val="clear" w:color="auto" w:fill="auto"/>
            <w:noWrap/>
            <w:vAlign w:val="bottom"/>
            <w:hideMark/>
          </w:tcPr>
          <w:p w14:paraId="057BD2E1"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315</w:t>
            </w:r>
          </w:p>
        </w:tc>
        <w:tc>
          <w:tcPr>
            <w:tcW w:w="700" w:type="dxa"/>
            <w:tcBorders>
              <w:top w:val="nil"/>
              <w:left w:val="nil"/>
              <w:bottom w:val="single" w:sz="4" w:space="0" w:color="auto"/>
              <w:right w:val="single" w:sz="4" w:space="0" w:color="auto"/>
            </w:tcBorders>
            <w:shd w:val="clear" w:color="auto" w:fill="auto"/>
            <w:noWrap/>
            <w:vAlign w:val="bottom"/>
            <w:hideMark/>
          </w:tcPr>
          <w:p w14:paraId="7A55B5CF"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235</w:t>
            </w:r>
          </w:p>
        </w:tc>
        <w:tc>
          <w:tcPr>
            <w:tcW w:w="680" w:type="dxa"/>
            <w:tcBorders>
              <w:top w:val="nil"/>
              <w:left w:val="nil"/>
              <w:bottom w:val="single" w:sz="4" w:space="0" w:color="auto"/>
              <w:right w:val="single" w:sz="4" w:space="0" w:color="auto"/>
            </w:tcBorders>
            <w:shd w:val="clear" w:color="auto" w:fill="auto"/>
            <w:noWrap/>
            <w:vAlign w:val="bottom"/>
            <w:hideMark/>
          </w:tcPr>
          <w:p w14:paraId="452CCF9E"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240</w:t>
            </w:r>
          </w:p>
        </w:tc>
      </w:tr>
      <w:tr w:rsidR="00E335CE" w:rsidRPr="00B13B9A" w14:paraId="2B049666" w14:textId="77777777" w:rsidTr="00332FF7">
        <w:trPr>
          <w:trHeight w:val="2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3A29FF0A" w14:textId="77777777" w:rsidR="00E335CE" w:rsidRPr="00B13B9A" w:rsidRDefault="00E335CE" w:rsidP="00E335CE">
            <w:pPr>
              <w:spacing w:after="0" w:line="240" w:lineRule="auto"/>
              <w:jc w:val="center"/>
              <w:rPr>
                <w:rFonts w:asciiTheme="majorHAnsi" w:eastAsia="Times New Roman" w:hAnsiTheme="majorHAnsi" w:cstheme="majorHAnsi"/>
                <w:b/>
                <w:bCs/>
                <w:color w:val="000000"/>
                <w:sz w:val="16"/>
                <w:szCs w:val="16"/>
                <w:lang w:val="ro-MD"/>
              </w:rPr>
            </w:pPr>
            <w:r w:rsidRPr="00B13B9A">
              <w:rPr>
                <w:rFonts w:asciiTheme="majorHAnsi" w:eastAsia="Times New Roman" w:hAnsiTheme="majorHAnsi" w:cstheme="majorHAnsi"/>
                <w:b/>
                <w:bCs/>
                <w:color w:val="000000"/>
                <w:sz w:val="16"/>
                <w:szCs w:val="16"/>
                <w:lang w:val="ro-MD"/>
              </w:rPr>
              <w:t>iul.22</w:t>
            </w:r>
          </w:p>
        </w:tc>
        <w:tc>
          <w:tcPr>
            <w:tcW w:w="703" w:type="dxa"/>
            <w:tcBorders>
              <w:top w:val="nil"/>
              <w:left w:val="nil"/>
              <w:bottom w:val="single" w:sz="4" w:space="0" w:color="auto"/>
              <w:right w:val="single" w:sz="4" w:space="0" w:color="auto"/>
            </w:tcBorders>
            <w:shd w:val="clear" w:color="auto" w:fill="auto"/>
            <w:noWrap/>
            <w:vAlign w:val="bottom"/>
            <w:hideMark/>
          </w:tcPr>
          <w:p w14:paraId="7829F055"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40</w:t>
            </w:r>
          </w:p>
        </w:tc>
        <w:tc>
          <w:tcPr>
            <w:tcW w:w="640" w:type="dxa"/>
            <w:tcBorders>
              <w:top w:val="nil"/>
              <w:left w:val="nil"/>
              <w:bottom w:val="single" w:sz="4" w:space="0" w:color="auto"/>
              <w:right w:val="single" w:sz="4" w:space="0" w:color="auto"/>
            </w:tcBorders>
            <w:shd w:val="clear" w:color="auto" w:fill="auto"/>
            <w:noWrap/>
            <w:vAlign w:val="bottom"/>
            <w:hideMark/>
          </w:tcPr>
          <w:p w14:paraId="7BF5D494"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30</w:t>
            </w:r>
          </w:p>
        </w:tc>
        <w:tc>
          <w:tcPr>
            <w:tcW w:w="580" w:type="dxa"/>
            <w:tcBorders>
              <w:top w:val="nil"/>
              <w:left w:val="nil"/>
              <w:bottom w:val="single" w:sz="4" w:space="0" w:color="auto"/>
              <w:right w:val="single" w:sz="4" w:space="0" w:color="auto"/>
            </w:tcBorders>
            <w:shd w:val="clear" w:color="auto" w:fill="auto"/>
            <w:noWrap/>
            <w:vAlign w:val="bottom"/>
            <w:hideMark/>
          </w:tcPr>
          <w:p w14:paraId="20E91A98"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28</w:t>
            </w:r>
          </w:p>
        </w:tc>
        <w:tc>
          <w:tcPr>
            <w:tcW w:w="703" w:type="dxa"/>
            <w:gridSpan w:val="2"/>
            <w:tcBorders>
              <w:top w:val="nil"/>
              <w:left w:val="nil"/>
              <w:bottom w:val="single" w:sz="4" w:space="0" w:color="auto"/>
              <w:right w:val="single" w:sz="4" w:space="0" w:color="auto"/>
            </w:tcBorders>
            <w:shd w:val="clear" w:color="auto" w:fill="auto"/>
            <w:noWrap/>
            <w:vAlign w:val="bottom"/>
            <w:hideMark/>
          </w:tcPr>
          <w:p w14:paraId="29ADF131"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45</w:t>
            </w:r>
          </w:p>
        </w:tc>
        <w:tc>
          <w:tcPr>
            <w:tcW w:w="680" w:type="dxa"/>
            <w:tcBorders>
              <w:top w:val="nil"/>
              <w:left w:val="nil"/>
              <w:bottom w:val="single" w:sz="4" w:space="0" w:color="auto"/>
              <w:right w:val="single" w:sz="4" w:space="0" w:color="auto"/>
            </w:tcBorders>
            <w:shd w:val="clear" w:color="auto" w:fill="auto"/>
            <w:noWrap/>
            <w:vAlign w:val="bottom"/>
            <w:hideMark/>
          </w:tcPr>
          <w:p w14:paraId="110AB294"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39</w:t>
            </w:r>
          </w:p>
        </w:tc>
        <w:tc>
          <w:tcPr>
            <w:tcW w:w="534" w:type="dxa"/>
            <w:tcBorders>
              <w:top w:val="nil"/>
              <w:left w:val="nil"/>
              <w:bottom w:val="single" w:sz="4" w:space="0" w:color="auto"/>
              <w:right w:val="single" w:sz="4" w:space="0" w:color="auto"/>
            </w:tcBorders>
            <w:shd w:val="clear" w:color="auto" w:fill="auto"/>
            <w:noWrap/>
            <w:vAlign w:val="bottom"/>
            <w:hideMark/>
          </w:tcPr>
          <w:p w14:paraId="6271A012"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35</w:t>
            </w:r>
          </w:p>
        </w:tc>
        <w:tc>
          <w:tcPr>
            <w:tcW w:w="703" w:type="dxa"/>
            <w:gridSpan w:val="2"/>
            <w:tcBorders>
              <w:top w:val="nil"/>
              <w:left w:val="nil"/>
              <w:bottom w:val="single" w:sz="4" w:space="0" w:color="auto"/>
              <w:right w:val="single" w:sz="4" w:space="0" w:color="auto"/>
            </w:tcBorders>
            <w:shd w:val="clear" w:color="auto" w:fill="auto"/>
            <w:noWrap/>
            <w:vAlign w:val="bottom"/>
            <w:hideMark/>
          </w:tcPr>
          <w:p w14:paraId="3C16B73E"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65</w:t>
            </w:r>
          </w:p>
        </w:tc>
        <w:tc>
          <w:tcPr>
            <w:tcW w:w="629" w:type="dxa"/>
            <w:tcBorders>
              <w:top w:val="nil"/>
              <w:left w:val="nil"/>
              <w:bottom w:val="single" w:sz="4" w:space="0" w:color="auto"/>
              <w:right w:val="single" w:sz="4" w:space="0" w:color="auto"/>
            </w:tcBorders>
            <w:shd w:val="clear" w:color="auto" w:fill="auto"/>
            <w:noWrap/>
            <w:vAlign w:val="bottom"/>
            <w:hideMark/>
          </w:tcPr>
          <w:p w14:paraId="4E80A428"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61</w:t>
            </w:r>
          </w:p>
        </w:tc>
        <w:tc>
          <w:tcPr>
            <w:tcW w:w="567" w:type="dxa"/>
            <w:tcBorders>
              <w:top w:val="nil"/>
              <w:left w:val="nil"/>
              <w:bottom w:val="single" w:sz="4" w:space="0" w:color="auto"/>
              <w:right w:val="single" w:sz="4" w:space="0" w:color="auto"/>
            </w:tcBorders>
            <w:shd w:val="clear" w:color="auto" w:fill="auto"/>
            <w:noWrap/>
            <w:vAlign w:val="bottom"/>
            <w:hideMark/>
          </w:tcPr>
          <w:p w14:paraId="38267C2E"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50</w:t>
            </w:r>
          </w:p>
        </w:tc>
        <w:tc>
          <w:tcPr>
            <w:tcW w:w="703" w:type="dxa"/>
            <w:tcBorders>
              <w:top w:val="nil"/>
              <w:left w:val="nil"/>
              <w:bottom w:val="single" w:sz="4" w:space="0" w:color="auto"/>
              <w:right w:val="single" w:sz="4" w:space="0" w:color="auto"/>
            </w:tcBorders>
            <w:shd w:val="clear" w:color="auto" w:fill="auto"/>
            <w:noWrap/>
            <w:vAlign w:val="bottom"/>
            <w:hideMark/>
          </w:tcPr>
          <w:p w14:paraId="3776CEE6"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85</w:t>
            </w:r>
          </w:p>
        </w:tc>
        <w:tc>
          <w:tcPr>
            <w:tcW w:w="609" w:type="dxa"/>
            <w:tcBorders>
              <w:top w:val="nil"/>
              <w:left w:val="nil"/>
              <w:bottom w:val="single" w:sz="4" w:space="0" w:color="auto"/>
              <w:right w:val="single" w:sz="4" w:space="0" w:color="auto"/>
            </w:tcBorders>
            <w:shd w:val="clear" w:color="auto" w:fill="auto"/>
            <w:noWrap/>
            <w:vAlign w:val="bottom"/>
            <w:hideMark/>
          </w:tcPr>
          <w:p w14:paraId="63EC0D64"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76</w:t>
            </w:r>
          </w:p>
        </w:tc>
        <w:tc>
          <w:tcPr>
            <w:tcW w:w="531" w:type="dxa"/>
            <w:tcBorders>
              <w:top w:val="nil"/>
              <w:left w:val="nil"/>
              <w:bottom w:val="single" w:sz="4" w:space="0" w:color="auto"/>
              <w:right w:val="single" w:sz="4" w:space="0" w:color="auto"/>
            </w:tcBorders>
            <w:shd w:val="clear" w:color="auto" w:fill="auto"/>
            <w:noWrap/>
            <w:vAlign w:val="bottom"/>
            <w:hideMark/>
          </w:tcPr>
          <w:p w14:paraId="71CAAC3D"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70</w:t>
            </w:r>
          </w:p>
        </w:tc>
        <w:tc>
          <w:tcPr>
            <w:tcW w:w="616" w:type="dxa"/>
            <w:tcBorders>
              <w:top w:val="nil"/>
              <w:left w:val="nil"/>
              <w:bottom w:val="single" w:sz="4" w:space="0" w:color="auto"/>
              <w:right w:val="single" w:sz="4" w:space="0" w:color="auto"/>
            </w:tcBorders>
            <w:shd w:val="clear" w:color="auto" w:fill="auto"/>
            <w:noWrap/>
            <w:vAlign w:val="bottom"/>
            <w:hideMark/>
          </w:tcPr>
          <w:p w14:paraId="073E841E"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80</w:t>
            </w:r>
          </w:p>
        </w:tc>
        <w:tc>
          <w:tcPr>
            <w:tcW w:w="620" w:type="dxa"/>
            <w:tcBorders>
              <w:top w:val="nil"/>
              <w:left w:val="nil"/>
              <w:bottom w:val="single" w:sz="4" w:space="0" w:color="auto"/>
              <w:right w:val="single" w:sz="4" w:space="0" w:color="auto"/>
            </w:tcBorders>
            <w:shd w:val="clear" w:color="auto" w:fill="auto"/>
            <w:noWrap/>
            <w:vAlign w:val="bottom"/>
            <w:hideMark/>
          </w:tcPr>
          <w:p w14:paraId="045F325E"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28</w:t>
            </w:r>
          </w:p>
        </w:tc>
        <w:tc>
          <w:tcPr>
            <w:tcW w:w="623" w:type="dxa"/>
            <w:tcBorders>
              <w:top w:val="nil"/>
              <w:left w:val="nil"/>
              <w:bottom w:val="single" w:sz="4" w:space="0" w:color="auto"/>
              <w:right w:val="single" w:sz="4" w:space="0" w:color="auto"/>
            </w:tcBorders>
            <w:shd w:val="clear" w:color="auto" w:fill="auto"/>
            <w:noWrap/>
            <w:vAlign w:val="bottom"/>
            <w:hideMark/>
          </w:tcPr>
          <w:p w14:paraId="531BEDDB"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42</w:t>
            </w:r>
          </w:p>
        </w:tc>
        <w:tc>
          <w:tcPr>
            <w:tcW w:w="551" w:type="dxa"/>
            <w:tcBorders>
              <w:top w:val="nil"/>
              <w:left w:val="nil"/>
              <w:bottom w:val="single" w:sz="4" w:space="0" w:color="auto"/>
              <w:right w:val="single" w:sz="4" w:space="0" w:color="auto"/>
            </w:tcBorders>
            <w:shd w:val="clear" w:color="auto" w:fill="auto"/>
            <w:noWrap/>
            <w:vAlign w:val="bottom"/>
            <w:hideMark/>
          </w:tcPr>
          <w:p w14:paraId="7180BCC1"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w:t>
            </w:r>
          </w:p>
        </w:tc>
        <w:tc>
          <w:tcPr>
            <w:tcW w:w="567" w:type="dxa"/>
            <w:tcBorders>
              <w:top w:val="nil"/>
              <w:left w:val="nil"/>
              <w:bottom w:val="single" w:sz="4" w:space="0" w:color="auto"/>
              <w:right w:val="single" w:sz="4" w:space="0" w:color="auto"/>
            </w:tcBorders>
            <w:shd w:val="clear" w:color="auto" w:fill="auto"/>
            <w:noWrap/>
            <w:vAlign w:val="bottom"/>
            <w:hideMark/>
          </w:tcPr>
          <w:p w14:paraId="72D61BEA"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w:t>
            </w:r>
          </w:p>
        </w:tc>
        <w:tc>
          <w:tcPr>
            <w:tcW w:w="567" w:type="dxa"/>
            <w:tcBorders>
              <w:top w:val="nil"/>
              <w:left w:val="nil"/>
              <w:bottom w:val="single" w:sz="4" w:space="0" w:color="auto"/>
              <w:right w:val="single" w:sz="4" w:space="0" w:color="auto"/>
            </w:tcBorders>
            <w:shd w:val="clear" w:color="auto" w:fill="auto"/>
            <w:noWrap/>
            <w:vAlign w:val="bottom"/>
            <w:hideMark/>
          </w:tcPr>
          <w:p w14:paraId="1AF9DE1D"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5</w:t>
            </w:r>
          </w:p>
        </w:tc>
        <w:tc>
          <w:tcPr>
            <w:tcW w:w="703" w:type="dxa"/>
            <w:tcBorders>
              <w:top w:val="nil"/>
              <w:left w:val="nil"/>
              <w:bottom w:val="single" w:sz="4" w:space="0" w:color="auto"/>
              <w:right w:val="single" w:sz="4" w:space="0" w:color="auto"/>
            </w:tcBorders>
            <w:shd w:val="clear" w:color="auto" w:fill="auto"/>
            <w:noWrap/>
            <w:vAlign w:val="bottom"/>
            <w:hideMark/>
          </w:tcPr>
          <w:p w14:paraId="7ECACCFB"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315</w:t>
            </w:r>
          </w:p>
        </w:tc>
        <w:tc>
          <w:tcPr>
            <w:tcW w:w="700" w:type="dxa"/>
            <w:tcBorders>
              <w:top w:val="nil"/>
              <w:left w:val="nil"/>
              <w:bottom w:val="single" w:sz="4" w:space="0" w:color="auto"/>
              <w:right w:val="single" w:sz="4" w:space="0" w:color="auto"/>
            </w:tcBorders>
            <w:shd w:val="clear" w:color="auto" w:fill="auto"/>
            <w:noWrap/>
            <w:vAlign w:val="bottom"/>
            <w:hideMark/>
          </w:tcPr>
          <w:p w14:paraId="4526C034"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240</w:t>
            </w:r>
          </w:p>
        </w:tc>
        <w:tc>
          <w:tcPr>
            <w:tcW w:w="680" w:type="dxa"/>
            <w:tcBorders>
              <w:top w:val="nil"/>
              <w:left w:val="nil"/>
              <w:bottom w:val="single" w:sz="4" w:space="0" w:color="auto"/>
              <w:right w:val="single" w:sz="4" w:space="0" w:color="auto"/>
            </w:tcBorders>
            <w:shd w:val="clear" w:color="auto" w:fill="auto"/>
            <w:noWrap/>
            <w:vAlign w:val="bottom"/>
            <w:hideMark/>
          </w:tcPr>
          <w:p w14:paraId="7AA87104"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230</w:t>
            </w:r>
          </w:p>
        </w:tc>
      </w:tr>
      <w:tr w:rsidR="00E335CE" w:rsidRPr="00B13B9A" w14:paraId="4FC6F989" w14:textId="77777777" w:rsidTr="00332FF7">
        <w:trPr>
          <w:trHeight w:val="2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6A0A88EA" w14:textId="77777777" w:rsidR="00E335CE" w:rsidRPr="00B13B9A" w:rsidRDefault="00E335CE" w:rsidP="00E335CE">
            <w:pPr>
              <w:spacing w:after="0" w:line="240" w:lineRule="auto"/>
              <w:jc w:val="center"/>
              <w:rPr>
                <w:rFonts w:asciiTheme="majorHAnsi" w:eastAsia="Times New Roman" w:hAnsiTheme="majorHAnsi" w:cstheme="majorHAnsi"/>
                <w:b/>
                <w:bCs/>
                <w:color w:val="000000"/>
                <w:sz w:val="16"/>
                <w:szCs w:val="16"/>
                <w:lang w:val="ro-MD"/>
              </w:rPr>
            </w:pPr>
            <w:r w:rsidRPr="00B13B9A">
              <w:rPr>
                <w:rFonts w:asciiTheme="majorHAnsi" w:eastAsia="Times New Roman" w:hAnsiTheme="majorHAnsi" w:cstheme="majorHAnsi"/>
                <w:b/>
                <w:bCs/>
                <w:color w:val="000000"/>
                <w:sz w:val="16"/>
                <w:szCs w:val="16"/>
                <w:lang w:val="ro-MD"/>
              </w:rPr>
              <w:t>aug.22</w:t>
            </w:r>
          </w:p>
        </w:tc>
        <w:tc>
          <w:tcPr>
            <w:tcW w:w="703" w:type="dxa"/>
            <w:tcBorders>
              <w:top w:val="nil"/>
              <w:left w:val="nil"/>
              <w:bottom w:val="single" w:sz="4" w:space="0" w:color="auto"/>
              <w:right w:val="single" w:sz="4" w:space="0" w:color="auto"/>
            </w:tcBorders>
            <w:shd w:val="clear" w:color="auto" w:fill="auto"/>
            <w:noWrap/>
            <w:vAlign w:val="bottom"/>
            <w:hideMark/>
          </w:tcPr>
          <w:p w14:paraId="31336C40"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40</w:t>
            </w:r>
          </w:p>
        </w:tc>
        <w:tc>
          <w:tcPr>
            <w:tcW w:w="640" w:type="dxa"/>
            <w:tcBorders>
              <w:top w:val="nil"/>
              <w:left w:val="nil"/>
              <w:bottom w:val="single" w:sz="4" w:space="0" w:color="auto"/>
              <w:right w:val="single" w:sz="4" w:space="0" w:color="auto"/>
            </w:tcBorders>
            <w:shd w:val="clear" w:color="auto" w:fill="auto"/>
            <w:noWrap/>
            <w:vAlign w:val="bottom"/>
            <w:hideMark/>
          </w:tcPr>
          <w:p w14:paraId="1CCC94AA"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28</w:t>
            </w:r>
          </w:p>
        </w:tc>
        <w:tc>
          <w:tcPr>
            <w:tcW w:w="580" w:type="dxa"/>
            <w:tcBorders>
              <w:top w:val="nil"/>
              <w:left w:val="nil"/>
              <w:bottom w:val="single" w:sz="4" w:space="0" w:color="auto"/>
              <w:right w:val="single" w:sz="4" w:space="0" w:color="auto"/>
            </w:tcBorders>
            <w:shd w:val="clear" w:color="auto" w:fill="auto"/>
            <w:noWrap/>
            <w:vAlign w:val="bottom"/>
            <w:hideMark/>
          </w:tcPr>
          <w:p w14:paraId="6F70072F"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19</w:t>
            </w:r>
          </w:p>
        </w:tc>
        <w:tc>
          <w:tcPr>
            <w:tcW w:w="703" w:type="dxa"/>
            <w:gridSpan w:val="2"/>
            <w:tcBorders>
              <w:top w:val="nil"/>
              <w:left w:val="nil"/>
              <w:bottom w:val="single" w:sz="4" w:space="0" w:color="auto"/>
              <w:right w:val="single" w:sz="4" w:space="0" w:color="auto"/>
            </w:tcBorders>
            <w:shd w:val="clear" w:color="auto" w:fill="auto"/>
            <w:noWrap/>
            <w:vAlign w:val="bottom"/>
            <w:hideMark/>
          </w:tcPr>
          <w:p w14:paraId="37D09694"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45</w:t>
            </w:r>
          </w:p>
        </w:tc>
        <w:tc>
          <w:tcPr>
            <w:tcW w:w="680" w:type="dxa"/>
            <w:tcBorders>
              <w:top w:val="nil"/>
              <w:left w:val="nil"/>
              <w:bottom w:val="single" w:sz="4" w:space="0" w:color="auto"/>
              <w:right w:val="single" w:sz="4" w:space="0" w:color="auto"/>
            </w:tcBorders>
            <w:shd w:val="clear" w:color="auto" w:fill="auto"/>
            <w:noWrap/>
            <w:vAlign w:val="bottom"/>
            <w:hideMark/>
          </w:tcPr>
          <w:p w14:paraId="582D7305"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35</w:t>
            </w:r>
          </w:p>
        </w:tc>
        <w:tc>
          <w:tcPr>
            <w:tcW w:w="534" w:type="dxa"/>
            <w:tcBorders>
              <w:top w:val="nil"/>
              <w:left w:val="nil"/>
              <w:bottom w:val="single" w:sz="4" w:space="0" w:color="auto"/>
              <w:right w:val="single" w:sz="4" w:space="0" w:color="auto"/>
            </w:tcBorders>
            <w:shd w:val="clear" w:color="auto" w:fill="auto"/>
            <w:noWrap/>
            <w:vAlign w:val="bottom"/>
            <w:hideMark/>
          </w:tcPr>
          <w:p w14:paraId="62A27D0D"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37</w:t>
            </w:r>
          </w:p>
        </w:tc>
        <w:tc>
          <w:tcPr>
            <w:tcW w:w="703" w:type="dxa"/>
            <w:gridSpan w:val="2"/>
            <w:tcBorders>
              <w:top w:val="nil"/>
              <w:left w:val="nil"/>
              <w:bottom w:val="single" w:sz="4" w:space="0" w:color="auto"/>
              <w:right w:val="single" w:sz="4" w:space="0" w:color="auto"/>
            </w:tcBorders>
            <w:shd w:val="clear" w:color="auto" w:fill="auto"/>
            <w:noWrap/>
            <w:vAlign w:val="bottom"/>
            <w:hideMark/>
          </w:tcPr>
          <w:p w14:paraId="0EA44DB1"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65</w:t>
            </w:r>
          </w:p>
        </w:tc>
        <w:tc>
          <w:tcPr>
            <w:tcW w:w="629" w:type="dxa"/>
            <w:tcBorders>
              <w:top w:val="nil"/>
              <w:left w:val="nil"/>
              <w:bottom w:val="single" w:sz="4" w:space="0" w:color="auto"/>
              <w:right w:val="single" w:sz="4" w:space="0" w:color="auto"/>
            </w:tcBorders>
            <w:shd w:val="clear" w:color="auto" w:fill="auto"/>
            <w:noWrap/>
            <w:vAlign w:val="bottom"/>
            <w:hideMark/>
          </w:tcPr>
          <w:p w14:paraId="50453D57"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50</w:t>
            </w:r>
          </w:p>
        </w:tc>
        <w:tc>
          <w:tcPr>
            <w:tcW w:w="567" w:type="dxa"/>
            <w:tcBorders>
              <w:top w:val="nil"/>
              <w:left w:val="nil"/>
              <w:bottom w:val="single" w:sz="4" w:space="0" w:color="auto"/>
              <w:right w:val="single" w:sz="4" w:space="0" w:color="auto"/>
            </w:tcBorders>
            <w:shd w:val="clear" w:color="auto" w:fill="auto"/>
            <w:noWrap/>
            <w:vAlign w:val="bottom"/>
            <w:hideMark/>
          </w:tcPr>
          <w:p w14:paraId="0B4F1BBC"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64</w:t>
            </w:r>
          </w:p>
        </w:tc>
        <w:tc>
          <w:tcPr>
            <w:tcW w:w="703" w:type="dxa"/>
            <w:tcBorders>
              <w:top w:val="nil"/>
              <w:left w:val="nil"/>
              <w:bottom w:val="single" w:sz="4" w:space="0" w:color="auto"/>
              <w:right w:val="single" w:sz="4" w:space="0" w:color="auto"/>
            </w:tcBorders>
            <w:shd w:val="clear" w:color="auto" w:fill="auto"/>
            <w:noWrap/>
            <w:vAlign w:val="bottom"/>
            <w:hideMark/>
          </w:tcPr>
          <w:p w14:paraId="74E7A8B3"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85</w:t>
            </w:r>
          </w:p>
        </w:tc>
        <w:tc>
          <w:tcPr>
            <w:tcW w:w="609" w:type="dxa"/>
            <w:tcBorders>
              <w:top w:val="nil"/>
              <w:left w:val="nil"/>
              <w:bottom w:val="single" w:sz="4" w:space="0" w:color="auto"/>
              <w:right w:val="single" w:sz="4" w:space="0" w:color="auto"/>
            </w:tcBorders>
            <w:shd w:val="clear" w:color="auto" w:fill="auto"/>
            <w:noWrap/>
            <w:vAlign w:val="bottom"/>
            <w:hideMark/>
          </w:tcPr>
          <w:p w14:paraId="763FDE13"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70</w:t>
            </w:r>
          </w:p>
        </w:tc>
        <w:tc>
          <w:tcPr>
            <w:tcW w:w="531" w:type="dxa"/>
            <w:tcBorders>
              <w:top w:val="nil"/>
              <w:left w:val="nil"/>
              <w:bottom w:val="single" w:sz="4" w:space="0" w:color="auto"/>
              <w:right w:val="single" w:sz="4" w:space="0" w:color="auto"/>
            </w:tcBorders>
            <w:shd w:val="clear" w:color="auto" w:fill="auto"/>
            <w:noWrap/>
            <w:vAlign w:val="bottom"/>
            <w:hideMark/>
          </w:tcPr>
          <w:p w14:paraId="0B377345"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73</w:t>
            </w:r>
          </w:p>
        </w:tc>
        <w:tc>
          <w:tcPr>
            <w:tcW w:w="616" w:type="dxa"/>
            <w:tcBorders>
              <w:top w:val="nil"/>
              <w:left w:val="nil"/>
              <w:bottom w:val="single" w:sz="4" w:space="0" w:color="auto"/>
              <w:right w:val="single" w:sz="4" w:space="0" w:color="auto"/>
            </w:tcBorders>
            <w:shd w:val="clear" w:color="auto" w:fill="auto"/>
            <w:noWrap/>
            <w:vAlign w:val="bottom"/>
            <w:hideMark/>
          </w:tcPr>
          <w:p w14:paraId="694DD4FD"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80</w:t>
            </w:r>
          </w:p>
        </w:tc>
        <w:tc>
          <w:tcPr>
            <w:tcW w:w="620" w:type="dxa"/>
            <w:tcBorders>
              <w:top w:val="nil"/>
              <w:left w:val="nil"/>
              <w:bottom w:val="single" w:sz="4" w:space="0" w:color="auto"/>
              <w:right w:val="single" w:sz="4" w:space="0" w:color="auto"/>
            </w:tcBorders>
            <w:shd w:val="clear" w:color="auto" w:fill="auto"/>
            <w:noWrap/>
            <w:vAlign w:val="bottom"/>
            <w:hideMark/>
          </w:tcPr>
          <w:p w14:paraId="69F0CD37"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42</w:t>
            </w:r>
          </w:p>
        </w:tc>
        <w:tc>
          <w:tcPr>
            <w:tcW w:w="623" w:type="dxa"/>
            <w:tcBorders>
              <w:top w:val="nil"/>
              <w:left w:val="nil"/>
              <w:bottom w:val="single" w:sz="4" w:space="0" w:color="auto"/>
              <w:right w:val="single" w:sz="4" w:space="0" w:color="auto"/>
            </w:tcBorders>
            <w:shd w:val="clear" w:color="auto" w:fill="auto"/>
            <w:noWrap/>
            <w:vAlign w:val="bottom"/>
            <w:hideMark/>
          </w:tcPr>
          <w:p w14:paraId="55FDB8FB"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38</w:t>
            </w:r>
          </w:p>
        </w:tc>
        <w:tc>
          <w:tcPr>
            <w:tcW w:w="551" w:type="dxa"/>
            <w:tcBorders>
              <w:top w:val="nil"/>
              <w:left w:val="nil"/>
              <w:bottom w:val="single" w:sz="4" w:space="0" w:color="auto"/>
              <w:right w:val="single" w:sz="4" w:space="0" w:color="auto"/>
            </w:tcBorders>
            <w:shd w:val="clear" w:color="auto" w:fill="auto"/>
            <w:noWrap/>
            <w:vAlign w:val="bottom"/>
            <w:hideMark/>
          </w:tcPr>
          <w:p w14:paraId="01AE54A5"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w:t>
            </w:r>
          </w:p>
        </w:tc>
        <w:tc>
          <w:tcPr>
            <w:tcW w:w="567" w:type="dxa"/>
            <w:tcBorders>
              <w:top w:val="nil"/>
              <w:left w:val="nil"/>
              <w:bottom w:val="single" w:sz="4" w:space="0" w:color="auto"/>
              <w:right w:val="single" w:sz="4" w:space="0" w:color="auto"/>
            </w:tcBorders>
            <w:shd w:val="clear" w:color="auto" w:fill="auto"/>
            <w:noWrap/>
            <w:vAlign w:val="bottom"/>
            <w:hideMark/>
          </w:tcPr>
          <w:p w14:paraId="17F20128"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5</w:t>
            </w:r>
          </w:p>
        </w:tc>
        <w:tc>
          <w:tcPr>
            <w:tcW w:w="567" w:type="dxa"/>
            <w:tcBorders>
              <w:top w:val="nil"/>
              <w:left w:val="nil"/>
              <w:bottom w:val="single" w:sz="4" w:space="0" w:color="auto"/>
              <w:right w:val="single" w:sz="4" w:space="0" w:color="auto"/>
            </w:tcBorders>
            <w:shd w:val="clear" w:color="auto" w:fill="auto"/>
            <w:noWrap/>
            <w:vAlign w:val="bottom"/>
            <w:hideMark/>
          </w:tcPr>
          <w:p w14:paraId="3A230C63"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1</w:t>
            </w:r>
          </w:p>
        </w:tc>
        <w:tc>
          <w:tcPr>
            <w:tcW w:w="703" w:type="dxa"/>
            <w:tcBorders>
              <w:top w:val="nil"/>
              <w:left w:val="nil"/>
              <w:bottom w:val="single" w:sz="4" w:space="0" w:color="auto"/>
              <w:right w:val="single" w:sz="4" w:space="0" w:color="auto"/>
            </w:tcBorders>
            <w:shd w:val="clear" w:color="auto" w:fill="auto"/>
            <w:noWrap/>
            <w:vAlign w:val="bottom"/>
            <w:hideMark/>
          </w:tcPr>
          <w:p w14:paraId="6D9F0CED"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315</w:t>
            </w:r>
          </w:p>
        </w:tc>
        <w:tc>
          <w:tcPr>
            <w:tcW w:w="700" w:type="dxa"/>
            <w:tcBorders>
              <w:top w:val="nil"/>
              <w:left w:val="nil"/>
              <w:bottom w:val="single" w:sz="4" w:space="0" w:color="auto"/>
              <w:right w:val="single" w:sz="4" w:space="0" w:color="auto"/>
            </w:tcBorders>
            <w:shd w:val="clear" w:color="auto" w:fill="auto"/>
            <w:noWrap/>
            <w:vAlign w:val="bottom"/>
            <w:hideMark/>
          </w:tcPr>
          <w:p w14:paraId="09BFCD92"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230</w:t>
            </w:r>
          </w:p>
        </w:tc>
        <w:tc>
          <w:tcPr>
            <w:tcW w:w="680" w:type="dxa"/>
            <w:tcBorders>
              <w:top w:val="nil"/>
              <w:left w:val="nil"/>
              <w:bottom w:val="single" w:sz="4" w:space="0" w:color="auto"/>
              <w:right w:val="single" w:sz="4" w:space="0" w:color="auto"/>
            </w:tcBorders>
            <w:shd w:val="clear" w:color="auto" w:fill="auto"/>
            <w:noWrap/>
            <w:vAlign w:val="bottom"/>
            <w:hideMark/>
          </w:tcPr>
          <w:p w14:paraId="1E3E1C0E"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232</w:t>
            </w:r>
          </w:p>
        </w:tc>
      </w:tr>
      <w:tr w:rsidR="00E335CE" w:rsidRPr="00B13B9A" w14:paraId="137B34C7" w14:textId="77777777" w:rsidTr="00332FF7">
        <w:trPr>
          <w:trHeight w:val="2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1F5FDC4E" w14:textId="77777777" w:rsidR="00E335CE" w:rsidRPr="00B13B9A" w:rsidRDefault="00E335CE" w:rsidP="00E335CE">
            <w:pPr>
              <w:spacing w:after="0" w:line="240" w:lineRule="auto"/>
              <w:jc w:val="center"/>
              <w:rPr>
                <w:rFonts w:asciiTheme="majorHAnsi" w:eastAsia="Times New Roman" w:hAnsiTheme="majorHAnsi" w:cstheme="majorHAnsi"/>
                <w:b/>
                <w:bCs/>
                <w:color w:val="000000"/>
                <w:sz w:val="16"/>
                <w:szCs w:val="16"/>
                <w:lang w:val="ro-MD"/>
              </w:rPr>
            </w:pPr>
            <w:r w:rsidRPr="00B13B9A">
              <w:rPr>
                <w:rFonts w:asciiTheme="majorHAnsi" w:eastAsia="Times New Roman" w:hAnsiTheme="majorHAnsi" w:cstheme="majorHAnsi"/>
                <w:b/>
                <w:bCs/>
                <w:color w:val="000000"/>
                <w:sz w:val="16"/>
                <w:szCs w:val="16"/>
                <w:lang w:val="ro-MD"/>
              </w:rPr>
              <w:t>sept.22</w:t>
            </w:r>
          </w:p>
        </w:tc>
        <w:tc>
          <w:tcPr>
            <w:tcW w:w="703" w:type="dxa"/>
            <w:tcBorders>
              <w:top w:val="nil"/>
              <w:left w:val="nil"/>
              <w:bottom w:val="single" w:sz="4" w:space="0" w:color="auto"/>
              <w:right w:val="single" w:sz="4" w:space="0" w:color="auto"/>
            </w:tcBorders>
            <w:shd w:val="clear" w:color="auto" w:fill="auto"/>
            <w:noWrap/>
            <w:vAlign w:val="bottom"/>
            <w:hideMark/>
          </w:tcPr>
          <w:p w14:paraId="3B936684"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40</w:t>
            </w:r>
          </w:p>
        </w:tc>
        <w:tc>
          <w:tcPr>
            <w:tcW w:w="640" w:type="dxa"/>
            <w:tcBorders>
              <w:top w:val="nil"/>
              <w:left w:val="nil"/>
              <w:bottom w:val="single" w:sz="4" w:space="0" w:color="auto"/>
              <w:right w:val="single" w:sz="4" w:space="0" w:color="auto"/>
            </w:tcBorders>
            <w:shd w:val="clear" w:color="auto" w:fill="auto"/>
            <w:noWrap/>
            <w:vAlign w:val="bottom"/>
            <w:hideMark/>
          </w:tcPr>
          <w:p w14:paraId="20D0A90D"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19</w:t>
            </w:r>
          </w:p>
        </w:tc>
        <w:tc>
          <w:tcPr>
            <w:tcW w:w="580" w:type="dxa"/>
            <w:tcBorders>
              <w:top w:val="nil"/>
              <w:left w:val="nil"/>
              <w:bottom w:val="single" w:sz="4" w:space="0" w:color="auto"/>
              <w:right w:val="single" w:sz="4" w:space="0" w:color="auto"/>
            </w:tcBorders>
            <w:shd w:val="clear" w:color="auto" w:fill="auto"/>
            <w:noWrap/>
            <w:vAlign w:val="bottom"/>
            <w:hideMark/>
          </w:tcPr>
          <w:p w14:paraId="7FF21C0E"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30</w:t>
            </w:r>
          </w:p>
        </w:tc>
        <w:tc>
          <w:tcPr>
            <w:tcW w:w="703" w:type="dxa"/>
            <w:gridSpan w:val="2"/>
            <w:tcBorders>
              <w:top w:val="nil"/>
              <w:left w:val="nil"/>
              <w:bottom w:val="single" w:sz="4" w:space="0" w:color="auto"/>
              <w:right w:val="single" w:sz="4" w:space="0" w:color="auto"/>
            </w:tcBorders>
            <w:shd w:val="clear" w:color="auto" w:fill="auto"/>
            <w:noWrap/>
            <w:vAlign w:val="bottom"/>
            <w:hideMark/>
          </w:tcPr>
          <w:p w14:paraId="062B381B"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45</w:t>
            </w:r>
          </w:p>
        </w:tc>
        <w:tc>
          <w:tcPr>
            <w:tcW w:w="680" w:type="dxa"/>
            <w:tcBorders>
              <w:top w:val="nil"/>
              <w:left w:val="nil"/>
              <w:bottom w:val="single" w:sz="4" w:space="0" w:color="auto"/>
              <w:right w:val="single" w:sz="4" w:space="0" w:color="auto"/>
            </w:tcBorders>
            <w:shd w:val="clear" w:color="auto" w:fill="auto"/>
            <w:noWrap/>
            <w:vAlign w:val="bottom"/>
            <w:hideMark/>
          </w:tcPr>
          <w:p w14:paraId="43141064"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37</w:t>
            </w:r>
          </w:p>
        </w:tc>
        <w:tc>
          <w:tcPr>
            <w:tcW w:w="534" w:type="dxa"/>
            <w:tcBorders>
              <w:top w:val="nil"/>
              <w:left w:val="nil"/>
              <w:bottom w:val="single" w:sz="4" w:space="0" w:color="auto"/>
              <w:right w:val="single" w:sz="4" w:space="0" w:color="auto"/>
            </w:tcBorders>
            <w:shd w:val="clear" w:color="auto" w:fill="auto"/>
            <w:noWrap/>
            <w:vAlign w:val="bottom"/>
            <w:hideMark/>
          </w:tcPr>
          <w:p w14:paraId="73C5A916"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34</w:t>
            </w:r>
          </w:p>
        </w:tc>
        <w:tc>
          <w:tcPr>
            <w:tcW w:w="703" w:type="dxa"/>
            <w:gridSpan w:val="2"/>
            <w:tcBorders>
              <w:top w:val="nil"/>
              <w:left w:val="nil"/>
              <w:bottom w:val="single" w:sz="4" w:space="0" w:color="auto"/>
              <w:right w:val="single" w:sz="4" w:space="0" w:color="auto"/>
            </w:tcBorders>
            <w:shd w:val="clear" w:color="auto" w:fill="auto"/>
            <w:noWrap/>
            <w:vAlign w:val="bottom"/>
            <w:hideMark/>
          </w:tcPr>
          <w:p w14:paraId="00F4AC41"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65</w:t>
            </w:r>
          </w:p>
        </w:tc>
        <w:tc>
          <w:tcPr>
            <w:tcW w:w="629" w:type="dxa"/>
            <w:tcBorders>
              <w:top w:val="nil"/>
              <w:left w:val="nil"/>
              <w:bottom w:val="single" w:sz="4" w:space="0" w:color="auto"/>
              <w:right w:val="single" w:sz="4" w:space="0" w:color="auto"/>
            </w:tcBorders>
            <w:shd w:val="clear" w:color="auto" w:fill="auto"/>
            <w:noWrap/>
            <w:vAlign w:val="bottom"/>
            <w:hideMark/>
          </w:tcPr>
          <w:p w14:paraId="4580E572"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64</w:t>
            </w:r>
          </w:p>
        </w:tc>
        <w:tc>
          <w:tcPr>
            <w:tcW w:w="567" w:type="dxa"/>
            <w:tcBorders>
              <w:top w:val="nil"/>
              <w:left w:val="nil"/>
              <w:bottom w:val="single" w:sz="4" w:space="0" w:color="auto"/>
              <w:right w:val="single" w:sz="4" w:space="0" w:color="auto"/>
            </w:tcBorders>
            <w:shd w:val="clear" w:color="auto" w:fill="auto"/>
            <w:noWrap/>
            <w:vAlign w:val="bottom"/>
            <w:hideMark/>
          </w:tcPr>
          <w:p w14:paraId="7CEF2A37"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60</w:t>
            </w:r>
          </w:p>
        </w:tc>
        <w:tc>
          <w:tcPr>
            <w:tcW w:w="703" w:type="dxa"/>
            <w:tcBorders>
              <w:top w:val="nil"/>
              <w:left w:val="nil"/>
              <w:bottom w:val="single" w:sz="4" w:space="0" w:color="auto"/>
              <w:right w:val="single" w:sz="4" w:space="0" w:color="auto"/>
            </w:tcBorders>
            <w:shd w:val="clear" w:color="auto" w:fill="auto"/>
            <w:noWrap/>
            <w:vAlign w:val="bottom"/>
            <w:hideMark/>
          </w:tcPr>
          <w:p w14:paraId="7E33898C"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85</w:t>
            </w:r>
          </w:p>
        </w:tc>
        <w:tc>
          <w:tcPr>
            <w:tcW w:w="609" w:type="dxa"/>
            <w:tcBorders>
              <w:top w:val="nil"/>
              <w:left w:val="nil"/>
              <w:bottom w:val="single" w:sz="4" w:space="0" w:color="auto"/>
              <w:right w:val="single" w:sz="4" w:space="0" w:color="auto"/>
            </w:tcBorders>
            <w:shd w:val="clear" w:color="auto" w:fill="auto"/>
            <w:noWrap/>
            <w:vAlign w:val="bottom"/>
            <w:hideMark/>
          </w:tcPr>
          <w:p w14:paraId="1A30AC95"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73</w:t>
            </w:r>
          </w:p>
        </w:tc>
        <w:tc>
          <w:tcPr>
            <w:tcW w:w="531" w:type="dxa"/>
            <w:tcBorders>
              <w:top w:val="nil"/>
              <w:left w:val="nil"/>
              <w:bottom w:val="single" w:sz="4" w:space="0" w:color="auto"/>
              <w:right w:val="single" w:sz="4" w:space="0" w:color="auto"/>
            </w:tcBorders>
            <w:shd w:val="clear" w:color="auto" w:fill="auto"/>
            <w:noWrap/>
            <w:vAlign w:val="bottom"/>
            <w:hideMark/>
          </w:tcPr>
          <w:p w14:paraId="5859992F"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70</w:t>
            </w:r>
          </w:p>
        </w:tc>
        <w:tc>
          <w:tcPr>
            <w:tcW w:w="616" w:type="dxa"/>
            <w:tcBorders>
              <w:top w:val="nil"/>
              <w:left w:val="nil"/>
              <w:bottom w:val="single" w:sz="4" w:space="0" w:color="auto"/>
              <w:right w:val="single" w:sz="4" w:space="0" w:color="auto"/>
            </w:tcBorders>
            <w:shd w:val="clear" w:color="auto" w:fill="auto"/>
            <w:noWrap/>
            <w:vAlign w:val="bottom"/>
            <w:hideMark/>
          </w:tcPr>
          <w:p w14:paraId="00567DBD"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80</w:t>
            </w:r>
          </w:p>
        </w:tc>
        <w:tc>
          <w:tcPr>
            <w:tcW w:w="620" w:type="dxa"/>
            <w:tcBorders>
              <w:top w:val="nil"/>
              <w:left w:val="nil"/>
              <w:bottom w:val="single" w:sz="4" w:space="0" w:color="auto"/>
              <w:right w:val="single" w:sz="4" w:space="0" w:color="auto"/>
            </w:tcBorders>
            <w:shd w:val="clear" w:color="auto" w:fill="auto"/>
            <w:noWrap/>
            <w:vAlign w:val="bottom"/>
            <w:hideMark/>
          </w:tcPr>
          <w:p w14:paraId="11227116"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38</w:t>
            </w:r>
          </w:p>
        </w:tc>
        <w:tc>
          <w:tcPr>
            <w:tcW w:w="623" w:type="dxa"/>
            <w:tcBorders>
              <w:top w:val="nil"/>
              <w:left w:val="nil"/>
              <w:bottom w:val="single" w:sz="4" w:space="0" w:color="auto"/>
              <w:right w:val="single" w:sz="4" w:space="0" w:color="auto"/>
            </w:tcBorders>
            <w:shd w:val="clear" w:color="auto" w:fill="auto"/>
            <w:noWrap/>
            <w:vAlign w:val="bottom"/>
            <w:hideMark/>
          </w:tcPr>
          <w:p w14:paraId="71592006"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26</w:t>
            </w:r>
          </w:p>
        </w:tc>
        <w:tc>
          <w:tcPr>
            <w:tcW w:w="551" w:type="dxa"/>
            <w:tcBorders>
              <w:top w:val="nil"/>
              <w:left w:val="nil"/>
              <w:bottom w:val="single" w:sz="4" w:space="0" w:color="auto"/>
              <w:right w:val="single" w:sz="4" w:space="0" w:color="auto"/>
            </w:tcBorders>
            <w:shd w:val="clear" w:color="auto" w:fill="auto"/>
            <w:noWrap/>
            <w:vAlign w:val="bottom"/>
            <w:hideMark/>
          </w:tcPr>
          <w:p w14:paraId="032E75E2"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w:t>
            </w:r>
          </w:p>
        </w:tc>
        <w:tc>
          <w:tcPr>
            <w:tcW w:w="567" w:type="dxa"/>
            <w:tcBorders>
              <w:top w:val="nil"/>
              <w:left w:val="nil"/>
              <w:bottom w:val="single" w:sz="4" w:space="0" w:color="auto"/>
              <w:right w:val="single" w:sz="4" w:space="0" w:color="auto"/>
            </w:tcBorders>
            <w:shd w:val="clear" w:color="auto" w:fill="auto"/>
            <w:noWrap/>
            <w:vAlign w:val="bottom"/>
            <w:hideMark/>
          </w:tcPr>
          <w:p w14:paraId="286D13C7"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1</w:t>
            </w:r>
          </w:p>
        </w:tc>
        <w:tc>
          <w:tcPr>
            <w:tcW w:w="567" w:type="dxa"/>
            <w:tcBorders>
              <w:top w:val="nil"/>
              <w:left w:val="nil"/>
              <w:bottom w:val="single" w:sz="4" w:space="0" w:color="auto"/>
              <w:right w:val="single" w:sz="4" w:space="0" w:color="auto"/>
            </w:tcBorders>
            <w:shd w:val="clear" w:color="auto" w:fill="auto"/>
            <w:noWrap/>
            <w:vAlign w:val="bottom"/>
            <w:hideMark/>
          </w:tcPr>
          <w:p w14:paraId="7B9C875E"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w:t>
            </w:r>
          </w:p>
        </w:tc>
        <w:tc>
          <w:tcPr>
            <w:tcW w:w="703" w:type="dxa"/>
            <w:tcBorders>
              <w:top w:val="nil"/>
              <w:left w:val="nil"/>
              <w:bottom w:val="single" w:sz="4" w:space="0" w:color="auto"/>
              <w:right w:val="single" w:sz="4" w:space="0" w:color="auto"/>
            </w:tcBorders>
            <w:shd w:val="clear" w:color="auto" w:fill="auto"/>
            <w:noWrap/>
            <w:vAlign w:val="bottom"/>
            <w:hideMark/>
          </w:tcPr>
          <w:p w14:paraId="3F021C55"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315</w:t>
            </w:r>
          </w:p>
        </w:tc>
        <w:tc>
          <w:tcPr>
            <w:tcW w:w="700" w:type="dxa"/>
            <w:tcBorders>
              <w:top w:val="nil"/>
              <w:left w:val="nil"/>
              <w:bottom w:val="single" w:sz="4" w:space="0" w:color="auto"/>
              <w:right w:val="single" w:sz="4" w:space="0" w:color="auto"/>
            </w:tcBorders>
            <w:shd w:val="clear" w:color="auto" w:fill="auto"/>
            <w:noWrap/>
            <w:vAlign w:val="bottom"/>
            <w:hideMark/>
          </w:tcPr>
          <w:p w14:paraId="4F05B408"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232</w:t>
            </w:r>
          </w:p>
        </w:tc>
        <w:tc>
          <w:tcPr>
            <w:tcW w:w="680" w:type="dxa"/>
            <w:tcBorders>
              <w:top w:val="nil"/>
              <w:left w:val="nil"/>
              <w:bottom w:val="single" w:sz="4" w:space="0" w:color="auto"/>
              <w:right w:val="single" w:sz="4" w:space="0" w:color="auto"/>
            </w:tcBorders>
            <w:shd w:val="clear" w:color="auto" w:fill="auto"/>
            <w:noWrap/>
            <w:vAlign w:val="bottom"/>
            <w:hideMark/>
          </w:tcPr>
          <w:p w14:paraId="28D877DD"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224</w:t>
            </w:r>
          </w:p>
        </w:tc>
      </w:tr>
      <w:tr w:rsidR="00E335CE" w:rsidRPr="00B13B9A" w14:paraId="60B54EFF" w14:textId="77777777" w:rsidTr="00332FF7">
        <w:trPr>
          <w:trHeight w:val="2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78A46173" w14:textId="77777777" w:rsidR="00E335CE" w:rsidRPr="00B13B9A" w:rsidRDefault="00E335CE" w:rsidP="00E335CE">
            <w:pPr>
              <w:spacing w:after="0" w:line="240" w:lineRule="auto"/>
              <w:jc w:val="center"/>
              <w:rPr>
                <w:rFonts w:asciiTheme="majorHAnsi" w:eastAsia="Times New Roman" w:hAnsiTheme="majorHAnsi" w:cstheme="majorHAnsi"/>
                <w:b/>
                <w:bCs/>
                <w:color w:val="000000"/>
                <w:sz w:val="16"/>
                <w:szCs w:val="16"/>
                <w:lang w:val="ro-MD"/>
              </w:rPr>
            </w:pPr>
            <w:r w:rsidRPr="00B13B9A">
              <w:rPr>
                <w:rFonts w:asciiTheme="majorHAnsi" w:eastAsia="Times New Roman" w:hAnsiTheme="majorHAnsi" w:cstheme="majorHAnsi"/>
                <w:b/>
                <w:bCs/>
                <w:color w:val="000000"/>
                <w:sz w:val="16"/>
                <w:szCs w:val="16"/>
                <w:lang w:val="ro-MD"/>
              </w:rPr>
              <w:t>oct.22</w:t>
            </w:r>
          </w:p>
        </w:tc>
        <w:tc>
          <w:tcPr>
            <w:tcW w:w="703" w:type="dxa"/>
            <w:tcBorders>
              <w:top w:val="nil"/>
              <w:left w:val="nil"/>
              <w:bottom w:val="single" w:sz="4" w:space="0" w:color="auto"/>
              <w:right w:val="single" w:sz="4" w:space="0" w:color="auto"/>
            </w:tcBorders>
            <w:shd w:val="clear" w:color="auto" w:fill="auto"/>
            <w:noWrap/>
            <w:vAlign w:val="bottom"/>
            <w:hideMark/>
          </w:tcPr>
          <w:p w14:paraId="553B6A98"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40</w:t>
            </w:r>
          </w:p>
        </w:tc>
        <w:tc>
          <w:tcPr>
            <w:tcW w:w="640" w:type="dxa"/>
            <w:tcBorders>
              <w:top w:val="nil"/>
              <w:left w:val="nil"/>
              <w:bottom w:val="single" w:sz="4" w:space="0" w:color="auto"/>
              <w:right w:val="single" w:sz="4" w:space="0" w:color="auto"/>
            </w:tcBorders>
            <w:shd w:val="clear" w:color="auto" w:fill="auto"/>
            <w:noWrap/>
            <w:vAlign w:val="bottom"/>
            <w:hideMark/>
          </w:tcPr>
          <w:p w14:paraId="63751FC2"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30</w:t>
            </w:r>
          </w:p>
        </w:tc>
        <w:tc>
          <w:tcPr>
            <w:tcW w:w="580" w:type="dxa"/>
            <w:tcBorders>
              <w:top w:val="nil"/>
              <w:left w:val="nil"/>
              <w:bottom w:val="single" w:sz="4" w:space="0" w:color="auto"/>
              <w:right w:val="single" w:sz="4" w:space="0" w:color="auto"/>
            </w:tcBorders>
            <w:shd w:val="clear" w:color="auto" w:fill="auto"/>
            <w:noWrap/>
            <w:vAlign w:val="bottom"/>
            <w:hideMark/>
          </w:tcPr>
          <w:p w14:paraId="1F504DD0"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36</w:t>
            </w:r>
          </w:p>
        </w:tc>
        <w:tc>
          <w:tcPr>
            <w:tcW w:w="703" w:type="dxa"/>
            <w:gridSpan w:val="2"/>
            <w:tcBorders>
              <w:top w:val="nil"/>
              <w:left w:val="nil"/>
              <w:bottom w:val="single" w:sz="4" w:space="0" w:color="auto"/>
              <w:right w:val="single" w:sz="4" w:space="0" w:color="auto"/>
            </w:tcBorders>
            <w:shd w:val="clear" w:color="auto" w:fill="auto"/>
            <w:noWrap/>
            <w:vAlign w:val="bottom"/>
            <w:hideMark/>
          </w:tcPr>
          <w:p w14:paraId="66C5F376"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45</w:t>
            </w:r>
          </w:p>
        </w:tc>
        <w:tc>
          <w:tcPr>
            <w:tcW w:w="680" w:type="dxa"/>
            <w:tcBorders>
              <w:top w:val="nil"/>
              <w:left w:val="nil"/>
              <w:bottom w:val="single" w:sz="4" w:space="0" w:color="auto"/>
              <w:right w:val="single" w:sz="4" w:space="0" w:color="auto"/>
            </w:tcBorders>
            <w:shd w:val="clear" w:color="auto" w:fill="auto"/>
            <w:noWrap/>
            <w:vAlign w:val="bottom"/>
            <w:hideMark/>
          </w:tcPr>
          <w:p w14:paraId="5319D9F8"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34</w:t>
            </w:r>
          </w:p>
        </w:tc>
        <w:tc>
          <w:tcPr>
            <w:tcW w:w="534" w:type="dxa"/>
            <w:tcBorders>
              <w:top w:val="nil"/>
              <w:left w:val="nil"/>
              <w:bottom w:val="single" w:sz="4" w:space="0" w:color="auto"/>
              <w:right w:val="single" w:sz="4" w:space="0" w:color="auto"/>
            </w:tcBorders>
            <w:shd w:val="clear" w:color="auto" w:fill="auto"/>
            <w:noWrap/>
            <w:vAlign w:val="bottom"/>
            <w:hideMark/>
          </w:tcPr>
          <w:p w14:paraId="21CBF2B6"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37</w:t>
            </w:r>
          </w:p>
        </w:tc>
        <w:tc>
          <w:tcPr>
            <w:tcW w:w="703" w:type="dxa"/>
            <w:gridSpan w:val="2"/>
            <w:tcBorders>
              <w:top w:val="nil"/>
              <w:left w:val="nil"/>
              <w:bottom w:val="single" w:sz="4" w:space="0" w:color="auto"/>
              <w:right w:val="single" w:sz="4" w:space="0" w:color="auto"/>
            </w:tcBorders>
            <w:shd w:val="clear" w:color="auto" w:fill="auto"/>
            <w:noWrap/>
            <w:vAlign w:val="bottom"/>
            <w:hideMark/>
          </w:tcPr>
          <w:p w14:paraId="282AEE02"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65</w:t>
            </w:r>
          </w:p>
        </w:tc>
        <w:tc>
          <w:tcPr>
            <w:tcW w:w="629" w:type="dxa"/>
            <w:tcBorders>
              <w:top w:val="nil"/>
              <w:left w:val="nil"/>
              <w:bottom w:val="single" w:sz="4" w:space="0" w:color="auto"/>
              <w:right w:val="single" w:sz="4" w:space="0" w:color="auto"/>
            </w:tcBorders>
            <w:shd w:val="clear" w:color="auto" w:fill="auto"/>
            <w:noWrap/>
            <w:vAlign w:val="bottom"/>
            <w:hideMark/>
          </w:tcPr>
          <w:p w14:paraId="11F99DEB"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60</w:t>
            </w:r>
          </w:p>
        </w:tc>
        <w:tc>
          <w:tcPr>
            <w:tcW w:w="567" w:type="dxa"/>
            <w:tcBorders>
              <w:top w:val="nil"/>
              <w:left w:val="nil"/>
              <w:bottom w:val="single" w:sz="4" w:space="0" w:color="auto"/>
              <w:right w:val="single" w:sz="4" w:space="0" w:color="auto"/>
            </w:tcBorders>
            <w:shd w:val="clear" w:color="auto" w:fill="auto"/>
            <w:noWrap/>
            <w:vAlign w:val="bottom"/>
            <w:hideMark/>
          </w:tcPr>
          <w:p w14:paraId="302BF605"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61</w:t>
            </w:r>
          </w:p>
        </w:tc>
        <w:tc>
          <w:tcPr>
            <w:tcW w:w="703" w:type="dxa"/>
            <w:tcBorders>
              <w:top w:val="nil"/>
              <w:left w:val="nil"/>
              <w:bottom w:val="single" w:sz="4" w:space="0" w:color="auto"/>
              <w:right w:val="single" w:sz="4" w:space="0" w:color="auto"/>
            </w:tcBorders>
            <w:shd w:val="clear" w:color="auto" w:fill="auto"/>
            <w:noWrap/>
            <w:vAlign w:val="bottom"/>
            <w:hideMark/>
          </w:tcPr>
          <w:p w14:paraId="2189F9C1"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85</w:t>
            </w:r>
          </w:p>
        </w:tc>
        <w:tc>
          <w:tcPr>
            <w:tcW w:w="609" w:type="dxa"/>
            <w:tcBorders>
              <w:top w:val="nil"/>
              <w:left w:val="nil"/>
              <w:bottom w:val="single" w:sz="4" w:space="0" w:color="auto"/>
              <w:right w:val="single" w:sz="4" w:space="0" w:color="auto"/>
            </w:tcBorders>
            <w:shd w:val="clear" w:color="auto" w:fill="auto"/>
            <w:noWrap/>
            <w:vAlign w:val="bottom"/>
            <w:hideMark/>
          </w:tcPr>
          <w:p w14:paraId="453F3615"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70</w:t>
            </w:r>
          </w:p>
        </w:tc>
        <w:tc>
          <w:tcPr>
            <w:tcW w:w="531" w:type="dxa"/>
            <w:tcBorders>
              <w:top w:val="nil"/>
              <w:left w:val="nil"/>
              <w:bottom w:val="single" w:sz="4" w:space="0" w:color="auto"/>
              <w:right w:val="single" w:sz="4" w:space="0" w:color="auto"/>
            </w:tcBorders>
            <w:shd w:val="clear" w:color="auto" w:fill="auto"/>
            <w:noWrap/>
            <w:vAlign w:val="bottom"/>
            <w:hideMark/>
          </w:tcPr>
          <w:p w14:paraId="250A9CB8"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67</w:t>
            </w:r>
          </w:p>
        </w:tc>
        <w:tc>
          <w:tcPr>
            <w:tcW w:w="616" w:type="dxa"/>
            <w:tcBorders>
              <w:top w:val="nil"/>
              <w:left w:val="nil"/>
              <w:bottom w:val="single" w:sz="4" w:space="0" w:color="auto"/>
              <w:right w:val="single" w:sz="4" w:space="0" w:color="auto"/>
            </w:tcBorders>
            <w:shd w:val="clear" w:color="auto" w:fill="auto"/>
            <w:noWrap/>
            <w:vAlign w:val="bottom"/>
            <w:hideMark/>
          </w:tcPr>
          <w:p w14:paraId="232B1790"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80</w:t>
            </w:r>
          </w:p>
        </w:tc>
        <w:tc>
          <w:tcPr>
            <w:tcW w:w="620" w:type="dxa"/>
            <w:tcBorders>
              <w:top w:val="nil"/>
              <w:left w:val="nil"/>
              <w:bottom w:val="single" w:sz="4" w:space="0" w:color="auto"/>
              <w:right w:val="single" w:sz="4" w:space="0" w:color="auto"/>
            </w:tcBorders>
            <w:shd w:val="clear" w:color="auto" w:fill="auto"/>
            <w:noWrap/>
            <w:vAlign w:val="bottom"/>
            <w:hideMark/>
          </w:tcPr>
          <w:p w14:paraId="4733A530"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26</w:t>
            </w:r>
          </w:p>
        </w:tc>
        <w:tc>
          <w:tcPr>
            <w:tcW w:w="623" w:type="dxa"/>
            <w:tcBorders>
              <w:top w:val="nil"/>
              <w:left w:val="nil"/>
              <w:bottom w:val="single" w:sz="4" w:space="0" w:color="auto"/>
              <w:right w:val="single" w:sz="4" w:space="0" w:color="auto"/>
            </w:tcBorders>
            <w:shd w:val="clear" w:color="auto" w:fill="auto"/>
            <w:noWrap/>
            <w:vAlign w:val="bottom"/>
            <w:hideMark/>
          </w:tcPr>
          <w:p w14:paraId="2354ECEB"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17</w:t>
            </w:r>
          </w:p>
        </w:tc>
        <w:tc>
          <w:tcPr>
            <w:tcW w:w="551" w:type="dxa"/>
            <w:tcBorders>
              <w:top w:val="nil"/>
              <w:left w:val="nil"/>
              <w:bottom w:val="single" w:sz="4" w:space="0" w:color="auto"/>
              <w:right w:val="single" w:sz="4" w:space="0" w:color="auto"/>
            </w:tcBorders>
            <w:shd w:val="clear" w:color="auto" w:fill="auto"/>
            <w:noWrap/>
            <w:vAlign w:val="bottom"/>
            <w:hideMark/>
          </w:tcPr>
          <w:p w14:paraId="0C11BBFB"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w:t>
            </w:r>
          </w:p>
        </w:tc>
        <w:tc>
          <w:tcPr>
            <w:tcW w:w="567" w:type="dxa"/>
            <w:tcBorders>
              <w:top w:val="nil"/>
              <w:left w:val="nil"/>
              <w:bottom w:val="single" w:sz="4" w:space="0" w:color="auto"/>
              <w:right w:val="single" w:sz="4" w:space="0" w:color="auto"/>
            </w:tcBorders>
            <w:shd w:val="clear" w:color="auto" w:fill="auto"/>
            <w:noWrap/>
            <w:vAlign w:val="bottom"/>
            <w:hideMark/>
          </w:tcPr>
          <w:p w14:paraId="1F654009"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w:t>
            </w:r>
          </w:p>
        </w:tc>
        <w:tc>
          <w:tcPr>
            <w:tcW w:w="567" w:type="dxa"/>
            <w:tcBorders>
              <w:top w:val="nil"/>
              <w:left w:val="nil"/>
              <w:bottom w:val="single" w:sz="4" w:space="0" w:color="auto"/>
              <w:right w:val="single" w:sz="4" w:space="0" w:color="auto"/>
            </w:tcBorders>
            <w:shd w:val="clear" w:color="auto" w:fill="auto"/>
            <w:noWrap/>
            <w:vAlign w:val="bottom"/>
            <w:hideMark/>
          </w:tcPr>
          <w:p w14:paraId="0A56676C"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w:t>
            </w:r>
          </w:p>
        </w:tc>
        <w:tc>
          <w:tcPr>
            <w:tcW w:w="703" w:type="dxa"/>
            <w:tcBorders>
              <w:top w:val="nil"/>
              <w:left w:val="nil"/>
              <w:bottom w:val="single" w:sz="4" w:space="0" w:color="auto"/>
              <w:right w:val="single" w:sz="4" w:space="0" w:color="auto"/>
            </w:tcBorders>
            <w:shd w:val="clear" w:color="auto" w:fill="auto"/>
            <w:noWrap/>
            <w:vAlign w:val="bottom"/>
            <w:hideMark/>
          </w:tcPr>
          <w:p w14:paraId="2FCA5F05"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315</w:t>
            </w:r>
          </w:p>
        </w:tc>
        <w:tc>
          <w:tcPr>
            <w:tcW w:w="700" w:type="dxa"/>
            <w:tcBorders>
              <w:top w:val="nil"/>
              <w:left w:val="nil"/>
              <w:bottom w:val="single" w:sz="4" w:space="0" w:color="auto"/>
              <w:right w:val="single" w:sz="4" w:space="0" w:color="auto"/>
            </w:tcBorders>
            <w:shd w:val="clear" w:color="auto" w:fill="auto"/>
            <w:noWrap/>
            <w:vAlign w:val="bottom"/>
            <w:hideMark/>
          </w:tcPr>
          <w:p w14:paraId="01AC12EB"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224</w:t>
            </w:r>
          </w:p>
        </w:tc>
        <w:tc>
          <w:tcPr>
            <w:tcW w:w="680" w:type="dxa"/>
            <w:tcBorders>
              <w:top w:val="nil"/>
              <w:left w:val="nil"/>
              <w:bottom w:val="single" w:sz="4" w:space="0" w:color="auto"/>
              <w:right w:val="single" w:sz="4" w:space="0" w:color="auto"/>
            </w:tcBorders>
            <w:shd w:val="clear" w:color="auto" w:fill="auto"/>
            <w:noWrap/>
            <w:vAlign w:val="bottom"/>
            <w:hideMark/>
          </w:tcPr>
          <w:p w14:paraId="415E7B84"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222</w:t>
            </w:r>
          </w:p>
        </w:tc>
      </w:tr>
      <w:tr w:rsidR="00E335CE" w:rsidRPr="00B13B9A" w14:paraId="3C039146" w14:textId="77777777" w:rsidTr="00332FF7">
        <w:trPr>
          <w:trHeight w:val="2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26A46787" w14:textId="77777777" w:rsidR="00E335CE" w:rsidRPr="00B13B9A" w:rsidRDefault="00E335CE" w:rsidP="00E335CE">
            <w:pPr>
              <w:spacing w:after="0" w:line="240" w:lineRule="auto"/>
              <w:jc w:val="center"/>
              <w:rPr>
                <w:rFonts w:asciiTheme="majorHAnsi" w:eastAsia="Times New Roman" w:hAnsiTheme="majorHAnsi" w:cstheme="majorHAnsi"/>
                <w:b/>
                <w:bCs/>
                <w:color w:val="000000"/>
                <w:sz w:val="16"/>
                <w:szCs w:val="16"/>
                <w:lang w:val="ro-MD"/>
              </w:rPr>
            </w:pPr>
            <w:r w:rsidRPr="00B13B9A">
              <w:rPr>
                <w:rFonts w:asciiTheme="majorHAnsi" w:eastAsia="Times New Roman" w:hAnsiTheme="majorHAnsi" w:cstheme="majorHAnsi"/>
                <w:b/>
                <w:bCs/>
                <w:color w:val="000000"/>
                <w:sz w:val="16"/>
                <w:szCs w:val="16"/>
                <w:lang w:val="ro-MD"/>
              </w:rPr>
              <w:t>nov.22</w:t>
            </w:r>
          </w:p>
        </w:tc>
        <w:tc>
          <w:tcPr>
            <w:tcW w:w="703" w:type="dxa"/>
            <w:tcBorders>
              <w:top w:val="nil"/>
              <w:left w:val="nil"/>
              <w:bottom w:val="single" w:sz="4" w:space="0" w:color="auto"/>
              <w:right w:val="single" w:sz="4" w:space="0" w:color="auto"/>
            </w:tcBorders>
            <w:shd w:val="clear" w:color="auto" w:fill="auto"/>
            <w:noWrap/>
            <w:vAlign w:val="bottom"/>
            <w:hideMark/>
          </w:tcPr>
          <w:p w14:paraId="0C24662F"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40</w:t>
            </w:r>
          </w:p>
        </w:tc>
        <w:tc>
          <w:tcPr>
            <w:tcW w:w="640" w:type="dxa"/>
            <w:tcBorders>
              <w:top w:val="nil"/>
              <w:left w:val="nil"/>
              <w:bottom w:val="single" w:sz="4" w:space="0" w:color="auto"/>
              <w:right w:val="single" w:sz="4" w:space="0" w:color="auto"/>
            </w:tcBorders>
            <w:shd w:val="clear" w:color="auto" w:fill="auto"/>
            <w:noWrap/>
            <w:vAlign w:val="bottom"/>
            <w:hideMark/>
          </w:tcPr>
          <w:p w14:paraId="6B70DF21"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36</w:t>
            </w:r>
          </w:p>
        </w:tc>
        <w:tc>
          <w:tcPr>
            <w:tcW w:w="580" w:type="dxa"/>
            <w:tcBorders>
              <w:top w:val="nil"/>
              <w:left w:val="nil"/>
              <w:bottom w:val="single" w:sz="4" w:space="0" w:color="auto"/>
              <w:right w:val="single" w:sz="4" w:space="0" w:color="auto"/>
            </w:tcBorders>
            <w:shd w:val="clear" w:color="auto" w:fill="auto"/>
            <w:noWrap/>
            <w:vAlign w:val="bottom"/>
            <w:hideMark/>
          </w:tcPr>
          <w:p w14:paraId="642CEED2"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38</w:t>
            </w:r>
          </w:p>
        </w:tc>
        <w:tc>
          <w:tcPr>
            <w:tcW w:w="703" w:type="dxa"/>
            <w:gridSpan w:val="2"/>
            <w:tcBorders>
              <w:top w:val="nil"/>
              <w:left w:val="nil"/>
              <w:bottom w:val="single" w:sz="4" w:space="0" w:color="auto"/>
              <w:right w:val="single" w:sz="4" w:space="0" w:color="auto"/>
            </w:tcBorders>
            <w:shd w:val="clear" w:color="auto" w:fill="auto"/>
            <w:noWrap/>
            <w:vAlign w:val="bottom"/>
            <w:hideMark/>
          </w:tcPr>
          <w:p w14:paraId="2AD2D59E"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45</w:t>
            </w:r>
          </w:p>
        </w:tc>
        <w:tc>
          <w:tcPr>
            <w:tcW w:w="680" w:type="dxa"/>
            <w:tcBorders>
              <w:top w:val="nil"/>
              <w:left w:val="nil"/>
              <w:bottom w:val="single" w:sz="4" w:space="0" w:color="auto"/>
              <w:right w:val="single" w:sz="4" w:space="0" w:color="auto"/>
            </w:tcBorders>
            <w:shd w:val="clear" w:color="auto" w:fill="auto"/>
            <w:noWrap/>
            <w:vAlign w:val="bottom"/>
            <w:hideMark/>
          </w:tcPr>
          <w:p w14:paraId="7559D461"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37</w:t>
            </w:r>
          </w:p>
        </w:tc>
        <w:tc>
          <w:tcPr>
            <w:tcW w:w="534" w:type="dxa"/>
            <w:tcBorders>
              <w:top w:val="nil"/>
              <w:left w:val="nil"/>
              <w:bottom w:val="single" w:sz="4" w:space="0" w:color="auto"/>
              <w:right w:val="single" w:sz="4" w:space="0" w:color="auto"/>
            </w:tcBorders>
            <w:shd w:val="clear" w:color="auto" w:fill="auto"/>
            <w:noWrap/>
            <w:vAlign w:val="bottom"/>
            <w:hideMark/>
          </w:tcPr>
          <w:p w14:paraId="1235801B"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27</w:t>
            </w:r>
          </w:p>
        </w:tc>
        <w:tc>
          <w:tcPr>
            <w:tcW w:w="703" w:type="dxa"/>
            <w:gridSpan w:val="2"/>
            <w:tcBorders>
              <w:top w:val="nil"/>
              <w:left w:val="nil"/>
              <w:bottom w:val="single" w:sz="4" w:space="0" w:color="auto"/>
              <w:right w:val="single" w:sz="4" w:space="0" w:color="auto"/>
            </w:tcBorders>
            <w:shd w:val="clear" w:color="auto" w:fill="auto"/>
            <w:noWrap/>
            <w:vAlign w:val="bottom"/>
            <w:hideMark/>
          </w:tcPr>
          <w:p w14:paraId="298050D2"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65</w:t>
            </w:r>
          </w:p>
        </w:tc>
        <w:tc>
          <w:tcPr>
            <w:tcW w:w="629" w:type="dxa"/>
            <w:tcBorders>
              <w:top w:val="nil"/>
              <w:left w:val="nil"/>
              <w:bottom w:val="single" w:sz="4" w:space="0" w:color="auto"/>
              <w:right w:val="single" w:sz="4" w:space="0" w:color="auto"/>
            </w:tcBorders>
            <w:shd w:val="clear" w:color="auto" w:fill="auto"/>
            <w:noWrap/>
            <w:vAlign w:val="bottom"/>
            <w:hideMark/>
          </w:tcPr>
          <w:p w14:paraId="3AA946EE"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61</w:t>
            </w:r>
          </w:p>
        </w:tc>
        <w:tc>
          <w:tcPr>
            <w:tcW w:w="567" w:type="dxa"/>
            <w:tcBorders>
              <w:top w:val="nil"/>
              <w:left w:val="nil"/>
              <w:bottom w:val="single" w:sz="4" w:space="0" w:color="auto"/>
              <w:right w:val="single" w:sz="4" w:space="0" w:color="auto"/>
            </w:tcBorders>
            <w:shd w:val="clear" w:color="auto" w:fill="auto"/>
            <w:noWrap/>
            <w:vAlign w:val="bottom"/>
            <w:hideMark/>
          </w:tcPr>
          <w:p w14:paraId="0B12EC9C"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63</w:t>
            </w:r>
          </w:p>
        </w:tc>
        <w:tc>
          <w:tcPr>
            <w:tcW w:w="703" w:type="dxa"/>
            <w:tcBorders>
              <w:top w:val="nil"/>
              <w:left w:val="nil"/>
              <w:bottom w:val="single" w:sz="4" w:space="0" w:color="auto"/>
              <w:right w:val="single" w:sz="4" w:space="0" w:color="auto"/>
            </w:tcBorders>
            <w:shd w:val="clear" w:color="auto" w:fill="auto"/>
            <w:noWrap/>
            <w:vAlign w:val="bottom"/>
            <w:hideMark/>
          </w:tcPr>
          <w:p w14:paraId="700BCF78"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85</w:t>
            </w:r>
          </w:p>
        </w:tc>
        <w:tc>
          <w:tcPr>
            <w:tcW w:w="609" w:type="dxa"/>
            <w:tcBorders>
              <w:top w:val="nil"/>
              <w:left w:val="nil"/>
              <w:bottom w:val="single" w:sz="4" w:space="0" w:color="auto"/>
              <w:right w:val="single" w:sz="4" w:space="0" w:color="auto"/>
            </w:tcBorders>
            <w:shd w:val="clear" w:color="auto" w:fill="auto"/>
            <w:noWrap/>
            <w:vAlign w:val="bottom"/>
            <w:hideMark/>
          </w:tcPr>
          <w:p w14:paraId="102334A5"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67</w:t>
            </w:r>
          </w:p>
        </w:tc>
        <w:tc>
          <w:tcPr>
            <w:tcW w:w="531" w:type="dxa"/>
            <w:tcBorders>
              <w:top w:val="nil"/>
              <w:left w:val="nil"/>
              <w:bottom w:val="single" w:sz="4" w:space="0" w:color="auto"/>
              <w:right w:val="single" w:sz="4" w:space="0" w:color="auto"/>
            </w:tcBorders>
            <w:shd w:val="clear" w:color="auto" w:fill="auto"/>
            <w:noWrap/>
            <w:vAlign w:val="bottom"/>
            <w:hideMark/>
          </w:tcPr>
          <w:p w14:paraId="31A74FC5"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67</w:t>
            </w:r>
          </w:p>
        </w:tc>
        <w:tc>
          <w:tcPr>
            <w:tcW w:w="616" w:type="dxa"/>
            <w:tcBorders>
              <w:top w:val="nil"/>
              <w:left w:val="nil"/>
              <w:bottom w:val="single" w:sz="4" w:space="0" w:color="auto"/>
              <w:right w:val="single" w:sz="4" w:space="0" w:color="auto"/>
            </w:tcBorders>
            <w:shd w:val="clear" w:color="auto" w:fill="auto"/>
            <w:noWrap/>
            <w:vAlign w:val="bottom"/>
            <w:hideMark/>
          </w:tcPr>
          <w:p w14:paraId="7AAC0A63"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80</w:t>
            </w:r>
          </w:p>
        </w:tc>
        <w:tc>
          <w:tcPr>
            <w:tcW w:w="620" w:type="dxa"/>
            <w:tcBorders>
              <w:top w:val="nil"/>
              <w:left w:val="nil"/>
              <w:bottom w:val="single" w:sz="4" w:space="0" w:color="auto"/>
              <w:right w:val="single" w:sz="4" w:space="0" w:color="auto"/>
            </w:tcBorders>
            <w:shd w:val="clear" w:color="auto" w:fill="auto"/>
            <w:noWrap/>
            <w:vAlign w:val="bottom"/>
            <w:hideMark/>
          </w:tcPr>
          <w:p w14:paraId="35175F4B"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17</w:t>
            </w:r>
          </w:p>
        </w:tc>
        <w:tc>
          <w:tcPr>
            <w:tcW w:w="623" w:type="dxa"/>
            <w:tcBorders>
              <w:top w:val="nil"/>
              <w:left w:val="nil"/>
              <w:bottom w:val="single" w:sz="4" w:space="0" w:color="auto"/>
              <w:right w:val="single" w:sz="4" w:space="0" w:color="auto"/>
            </w:tcBorders>
            <w:shd w:val="clear" w:color="auto" w:fill="auto"/>
            <w:noWrap/>
            <w:vAlign w:val="bottom"/>
            <w:hideMark/>
          </w:tcPr>
          <w:p w14:paraId="5CAF864D"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12</w:t>
            </w:r>
          </w:p>
        </w:tc>
        <w:tc>
          <w:tcPr>
            <w:tcW w:w="551" w:type="dxa"/>
            <w:tcBorders>
              <w:top w:val="nil"/>
              <w:left w:val="nil"/>
              <w:bottom w:val="single" w:sz="4" w:space="0" w:color="auto"/>
              <w:right w:val="single" w:sz="4" w:space="0" w:color="auto"/>
            </w:tcBorders>
            <w:shd w:val="clear" w:color="auto" w:fill="auto"/>
            <w:noWrap/>
            <w:vAlign w:val="bottom"/>
            <w:hideMark/>
          </w:tcPr>
          <w:p w14:paraId="54C031CE"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w:t>
            </w:r>
          </w:p>
        </w:tc>
        <w:tc>
          <w:tcPr>
            <w:tcW w:w="567" w:type="dxa"/>
            <w:tcBorders>
              <w:top w:val="nil"/>
              <w:left w:val="nil"/>
              <w:bottom w:val="single" w:sz="4" w:space="0" w:color="auto"/>
              <w:right w:val="single" w:sz="4" w:space="0" w:color="auto"/>
            </w:tcBorders>
            <w:shd w:val="clear" w:color="auto" w:fill="auto"/>
            <w:noWrap/>
            <w:vAlign w:val="bottom"/>
            <w:hideMark/>
          </w:tcPr>
          <w:p w14:paraId="6C439303"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w:t>
            </w:r>
          </w:p>
        </w:tc>
        <w:tc>
          <w:tcPr>
            <w:tcW w:w="567" w:type="dxa"/>
            <w:tcBorders>
              <w:top w:val="nil"/>
              <w:left w:val="nil"/>
              <w:bottom w:val="single" w:sz="4" w:space="0" w:color="auto"/>
              <w:right w:val="single" w:sz="4" w:space="0" w:color="auto"/>
            </w:tcBorders>
            <w:shd w:val="clear" w:color="auto" w:fill="auto"/>
            <w:noWrap/>
            <w:vAlign w:val="bottom"/>
            <w:hideMark/>
          </w:tcPr>
          <w:p w14:paraId="776BB87F"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w:t>
            </w:r>
          </w:p>
        </w:tc>
        <w:tc>
          <w:tcPr>
            <w:tcW w:w="703" w:type="dxa"/>
            <w:tcBorders>
              <w:top w:val="nil"/>
              <w:left w:val="nil"/>
              <w:bottom w:val="single" w:sz="4" w:space="0" w:color="auto"/>
              <w:right w:val="single" w:sz="4" w:space="0" w:color="auto"/>
            </w:tcBorders>
            <w:shd w:val="clear" w:color="auto" w:fill="auto"/>
            <w:noWrap/>
            <w:vAlign w:val="bottom"/>
            <w:hideMark/>
          </w:tcPr>
          <w:p w14:paraId="7A91DB3E"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315</w:t>
            </w:r>
          </w:p>
        </w:tc>
        <w:tc>
          <w:tcPr>
            <w:tcW w:w="700" w:type="dxa"/>
            <w:tcBorders>
              <w:top w:val="nil"/>
              <w:left w:val="nil"/>
              <w:bottom w:val="single" w:sz="4" w:space="0" w:color="auto"/>
              <w:right w:val="single" w:sz="4" w:space="0" w:color="auto"/>
            </w:tcBorders>
            <w:shd w:val="clear" w:color="auto" w:fill="auto"/>
            <w:noWrap/>
            <w:vAlign w:val="bottom"/>
            <w:hideMark/>
          </w:tcPr>
          <w:p w14:paraId="4894C425"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222</w:t>
            </w:r>
          </w:p>
        </w:tc>
        <w:tc>
          <w:tcPr>
            <w:tcW w:w="680" w:type="dxa"/>
            <w:tcBorders>
              <w:top w:val="nil"/>
              <w:left w:val="nil"/>
              <w:bottom w:val="single" w:sz="4" w:space="0" w:color="auto"/>
              <w:right w:val="single" w:sz="4" w:space="0" w:color="auto"/>
            </w:tcBorders>
            <w:shd w:val="clear" w:color="auto" w:fill="auto"/>
            <w:noWrap/>
            <w:vAlign w:val="bottom"/>
            <w:hideMark/>
          </w:tcPr>
          <w:p w14:paraId="0E35AB91"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213</w:t>
            </w:r>
          </w:p>
        </w:tc>
      </w:tr>
      <w:tr w:rsidR="00E335CE" w:rsidRPr="00B13B9A" w14:paraId="3FF709B8" w14:textId="77777777" w:rsidTr="00332FF7">
        <w:trPr>
          <w:trHeight w:val="2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6FE8FBB9" w14:textId="77777777" w:rsidR="00E335CE" w:rsidRPr="00B13B9A" w:rsidRDefault="00E335CE" w:rsidP="00E335CE">
            <w:pPr>
              <w:spacing w:after="0" w:line="240" w:lineRule="auto"/>
              <w:jc w:val="center"/>
              <w:rPr>
                <w:rFonts w:asciiTheme="majorHAnsi" w:eastAsia="Times New Roman" w:hAnsiTheme="majorHAnsi" w:cstheme="majorHAnsi"/>
                <w:b/>
                <w:bCs/>
                <w:color w:val="000000"/>
                <w:sz w:val="16"/>
                <w:szCs w:val="16"/>
                <w:lang w:val="ro-MD"/>
              </w:rPr>
            </w:pPr>
            <w:r w:rsidRPr="00B13B9A">
              <w:rPr>
                <w:rFonts w:asciiTheme="majorHAnsi" w:eastAsia="Times New Roman" w:hAnsiTheme="majorHAnsi" w:cstheme="majorHAnsi"/>
                <w:b/>
                <w:bCs/>
                <w:color w:val="000000"/>
                <w:sz w:val="16"/>
                <w:szCs w:val="16"/>
                <w:lang w:val="ro-MD"/>
              </w:rPr>
              <w:t>dec.22</w:t>
            </w:r>
          </w:p>
        </w:tc>
        <w:tc>
          <w:tcPr>
            <w:tcW w:w="703" w:type="dxa"/>
            <w:tcBorders>
              <w:top w:val="nil"/>
              <w:left w:val="nil"/>
              <w:bottom w:val="single" w:sz="4" w:space="0" w:color="auto"/>
              <w:right w:val="single" w:sz="4" w:space="0" w:color="auto"/>
            </w:tcBorders>
            <w:shd w:val="clear" w:color="auto" w:fill="auto"/>
            <w:noWrap/>
            <w:vAlign w:val="bottom"/>
            <w:hideMark/>
          </w:tcPr>
          <w:p w14:paraId="580DEB7B"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40</w:t>
            </w:r>
          </w:p>
        </w:tc>
        <w:tc>
          <w:tcPr>
            <w:tcW w:w="640" w:type="dxa"/>
            <w:tcBorders>
              <w:top w:val="nil"/>
              <w:left w:val="nil"/>
              <w:bottom w:val="single" w:sz="4" w:space="0" w:color="auto"/>
              <w:right w:val="single" w:sz="4" w:space="0" w:color="auto"/>
            </w:tcBorders>
            <w:shd w:val="clear" w:color="auto" w:fill="auto"/>
            <w:noWrap/>
            <w:vAlign w:val="bottom"/>
            <w:hideMark/>
          </w:tcPr>
          <w:p w14:paraId="290FB084"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38</w:t>
            </w:r>
          </w:p>
        </w:tc>
        <w:tc>
          <w:tcPr>
            <w:tcW w:w="580" w:type="dxa"/>
            <w:tcBorders>
              <w:top w:val="nil"/>
              <w:left w:val="nil"/>
              <w:bottom w:val="single" w:sz="4" w:space="0" w:color="auto"/>
              <w:right w:val="single" w:sz="4" w:space="0" w:color="auto"/>
            </w:tcBorders>
            <w:shd w:val="clear" w:color="auto" w:fill="auto"/>
            <w:noWrap/>
            <w:vAlign w:val="bottom"/>
            <w:hideMark/>
          </w:tcPr>
          <w:p w14:paraId="59F381D5"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34</w:t>
            </w:r>
          </w:p>
        </w:tc>
        <w:tc>
          <w:tcPr>
            <w:tcW w:w="703" w:type="dxa"/>
            <w:gridSpan w:val="2"/>
            <w:tcBorders>
              <w:top w:val="nil"/>
              <w:left w:val="nil"/>
              <w:bottom w:val="single" w:sz="4" w:space="0" w:color="auto"/>
              <w:right w:val="single" w:sz="4" w:space="0" w:color="auto"/>
            </w:tcBorders>
            <w:shd w:val="clear" w:color="auto" w:fill="auto"/>
            <w:noWrap/>
            <w:vAlign w:val="bottom"/>
            <w:hideMark/>
          </w:tcPr>
          <w:p w14:paraId="6DC8A5F6"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45</w:t>
            </w:r>
          </w:p>
        </w:tc>
        <w:tc>
          <w:tcPr>
            <w:tcW w:w="680" w:type="dxa"/>
            <w:tcBorders>
              <w:top w:val="nil"/>
              <w:left w:val="nil"/>
              <w:bottom w:val="single" w:sz="4" w:space="0" w:color="auto"/>
              <w:right w:val="single" w:sz="4" w:space="0" w:color="auto"/>
            </w:tcBorders>
            <w:shd w:val="clear" w:color="auto" w:fill="auto"/>
            <w:noWrap/>
            <w:vAlign w:val="bottom"/>
            <w:hideMark/>
          </w:tcPr>
          <w:p w14:paraId="4593C98D"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27</w:t>
            </w:r>
          </w:p>
        </w:tc>
        <w:tc>
          <w:tcPr>
            <w:tcW w:w="534" w:type="dxa"/>
            <w:tcBorders>
              <w:top w:val="nil"/>
              <w:left w:val="nil"/>
              <w:bottom w:val="single" w:sz="4" w:space="0" w:color="auto"/>
              <w:right w:val="single" w:sz="4" w:space="0" w:color="auto"/>
            </w:tcBorders>
            <w:shd w:val="clear" w:color="auto" w:fill="auto"/>
            <w:noWrap/>
            <w:vAlign w:val="bottom"/>
            <w:hideMark/>
          </w:tcPr>
          <w:p w14:paraId="51A7F160"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32</w:t>
            </w:r>
          </w:p>
        </w:tc>
        <w:tc>
          <w:tcPr>
            <w:tcW w:w="703" w:type="dxa"/>
            <w:gridSpan w:val="2"/>
            <w:tcBorders>
              <w:top w:val="nil"/>
              <w:left w:val="nil"/>
              <w:bottom w:val="single" w:sz="4" w:space="0" w:color="auto"/>
              <w:right w:val="single" w:sz="4" w:space="0" w:color="auto"/>
            </w:tcBorders>
            <w:shd w:val="clear" w:color="auto" w:fill="auto"/>
            <w:noWrap/>
            <w:vAlign w:val="bottom"/>
            <w:hideMark/>
          </w:tcPr>
          <w:p w14:paraId="32E3D0D5"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65</w:t>
            </w:r>
          </w:p>
        </w:tc>
        <w:tc>
          <w:tcPr>
            <w:tcW w:w="629" w:type="dxa"/>
            <w:tcBorders>
              <w:top w:val="nil"/>
              <w:left w:val="nil"/>
              <w:bottom w:val="single" w:sz="4" w:space="0" w:color="auto"/>
              <w:right w:val="single" w:sz="4" w:space="0" w:color="auto"/>
            </w:tcBorders>
            <w:shd w:val="clear" w:color="auto" w:fill="auto"/>
            <w:noWrap/>
            <w:vAlign w:val="bottom"/>
            <w:hideMark/>
          </w:tcPr>
          <w:p w14:paraId="68CF56DD"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63</w:t>
            </w:r>
          </w:p>
        </w:tc>
        <w:tc>
          <w:tcPr>
            <w:tcW w:w="567" w:type="dxa"/>
            <w:tcBorders>
              <w:top w:val="nil"/>
              <w:left w:val="nil"/>
              <w:bottom w:val="single" w:sz="4" w:space="0" w:color="auto"/>
              <w:right w:val="single" w:sz="4" w:space="0" w:color="auto"/>
            </w:tcBorders>
            <w:shd w:val="clear" w:color="auto" w:fill="auto"/>
            <w:noWrap/>
            <w:vAlign w:val="bottom"/>
            <w:hideMark/>
          </w:tcPr>
          <w:p w14:paraId="7544542B"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69</w:t>
            </w:r>
          </w:p>
        </w:tc>
        <w:tc>
          <w:tcPr>
            <w:tcW w:w="703" w:type="dxa"/>
            <w:tcBorders>
              <w:top w:val="nil"/>
              <w:left w:val="nil"/>
              <w:bottom w:val="single" w:sz="4" w:space="0" w:color="auto"/>
              <w:right w:val="single" w:sz="4" w:space="0" w:color="auto"/>
            </w:tcBorders>
            <w:shd w:val="clear" w:color="auto" w:fill="auto"/>
            <w:noWrap/>
            <w:vAlign w:val="bottom"/>
            <w:hideMark/>
          </w:tcPr>
          <w:p w14:paraId="595DE770"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85</w:t>
            </w:r>
          </w:p>
        </w:tc>
        <w:tc>
          <w:tcPr>
            <w:tcW w:w="609" w:type="dxa"/>
            <w:tcBorders>
              <w:top w:val="nil"/>
              <w:left w:val="nil"/>
              <w:bottom w:val="single" w:sz="4" w:space="0" w:color="auto"/>
              <w:right w:val="single" w:sz="4" w:space="0" w:color="auto"/>
            </w:tcBorders>
            <w:shd w:val="clear" w:color="auto" w:fill="auto"/>
            <w:noWrap/>
            <w:vAlign w:val="bottom"/>
            <w:hideMark/>
          </w:tcPr>
          <w:p w14:paraId="02848A3C"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67</w:t>
            </w:r>
          </w:p>
        </w:tc>
        <w:tc>
          <w:tcPr>
            <w:tcW w:w="531" w:type="dxa"/>
            <w:tcBorders>
              <w:top w:val="nil"/>
              <w:left w:val="nil"/>
              <w:bottom w:val="single" w:sz="4" w:space="0" w:color="auto"/>
              <w:right w:val="single" w:sz="4" w:space="0" w:color="auto"/>
            </w:tcBorders>
            <w:shd w:val="clear" w:color="auto" w:fill="auto"/>
            <w:noWrap/>
            <w:vAlign w:val="bottom"/>
            <w:hideMark/>
          </w:tcPr>
          <w:p w14:paraId="31B7CB68"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73</w:t>
            </w:r>
          </w:p>
        </w:tc>
        <w:tc>
          <w:tcPr>
            <w:tcW w:w="616" w:type="dxa"/>
            <w:tcBorders>
              <w:top w:val="nil"/>
              <w:left w:val="nil"/>
              <w:bottom w:val="single" w:sz="4" w:space="0" w:color="auto"/>
              <w:right w:val="single" w:sz="4" w:space="0" w:color="auto"/>
            </w:tcBorders>
            <w:shd w:val="clear" w:color="auto" w:fill="auto"/>
            <w:noWrap/>
            <w:vAlign w:val="bottom"/>
            <w:hideMark/>
          </w:tcPr>
          <w:p w14:paraId="730323AE"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80</w:t>
            </w:r>
          </w:p>
        </w:tc>
        <w:tc>
          <w:tcPr>
            <w:tcW w:w="620" w:type="dxa"/>
            <w:tcBorders>
              <w:top w:val="nil"/>
              <w:left w:val="nil"/>
              <w:bottom w:val="single" w:sz="4" w:space="0" w:color="auto"/>
              <w:right w:val="single" w:sz="4" w:space="0" w:color="auto"/>
            </w:tcBorders>
            <w:shd w:val="clear" w:color="auto" w:fill="auto"/>
            <w:noWrap/>
            <w:vAlign w:val="bottom"/>
            <w:hideMark/>
          </w:tcPr>
          <w:p w14:paraId="5A7CC551"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12</w:t>
            </w:r>
          </w:p>
        </w:tc>
        <w:tc>
          <w:tcPr>
            <w:tcW w:w="623" w:type="dxa"/>
            <w:tcBorders>
              <w:top w:val="nil"/>
              <w:left w:val="nil"/>
              <w:bottom w:val="single" w:sz="4" w:space="0" w:color="auto"/>
              <w:right w:val="single" w:sz="4" w:space="0" w:color="auto"/>
            </w:tcBorders>
            <w:shd w:val="clear" w:color="auto" w:fill="auto"/>
            <w:noWrap/>
            <w:vAlign w:val="bottom"/>
            <w:hideMark/>
          </w:tcPr>
          <w:p w14:paraId="7FAA9F0C"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17</w:t>
            </w:r>
          </w:p>
        </w:tc>
        <w:tc>
          <w:tcPr>
            <w:tcW w:w="551" w:type="dxa"/>
            <w:tcBorders>
              <w:top w:val="nil"/>
              <w:left w:val="nil"/>
              <w:bottom w:val="single" w:sz="4" w:space="0" w:color="auto"/>
              <w:right w:val="single" w:sz="4" w:space="0" w:color="auto"/>
            </w:tcBorders>
            <w:shd w:val="clear" w:color="auto" w:fill="auto"/>
            <w:noWrap/>
            <w:vAlign w:val="bottom"/>
            <w:hideMark/>
          </w:tcPr>
          <w:p w14:paraId="4FA47B68"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w:t>
            </w:r>
          </w:p>
        </w:tc>
        <w:tc>
          <w:tcPr>
            <w:tcW w:w="567" w:type="dxa"/>
            <w:tcBorders>
              <w:top w:val="nil"/>
              <w:left w:val="nil"/>
              <w:bottom w:val="single" w:sz="4" w:space="0" w:color="auto"/>
              <w:right w:val="single" w:sz="4" w:space="0" w:color="auto"/>
            </w:tcBorders>
            <w:shd w:val="clear" w:color="auto" w:fill="auto"/>
            <w:noWrap/>
            <w:vAlign w:val="bottom"/>
            <w:hideMark/>
          </w:tcPr>
          <w:p w14:paraId="741F1BEC"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w:t>
            </w:r>
          </w:p>
        </w:tc>
        <w:tc>
          <w:tcPr>
            <w:tcW w:w="567" w:type="dxa"/>
            <w:tcBorders>
              <w:top w:val="nil"/>
              <w:left w:val="nil"/>
              <w:bottom w:val="single" w:sz="4" w:space="0" w:color="auto"/>
              <w:right w:val="single" w:sz="4" w:space="0" w:color="auto"/>
            </w:tcBorders>
            <w:shd w:val="clear" w:color="auto" w:fill="auto"/>
            <w:noWrap/>
            <w:vAlign w:val="bottom"/>
            <w:hideMark/>
          </w:tcPr>
          <w:p w14:paraId="687F1016"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w:t>
            </w:r>
          </w:p>
        </w:tc>
        <w:tc>
          <w:tcPr>
            <w:tcW w:w="703" w:type="dxa"/>
            <w:tcBorders>
              <w:top w:val="nil"/>
              <w:left w:val="nil"/>
              <w:bottom w:val="single" w:sz="4" w:space="0" w:color="auto"/>
              <w:right w:val="single" w:sz="4" w:space="0" w:color="auto"/>
            </w:tcBorders>
            <w:shd w:val="clear" w:color="auto" w:fill="auto"/>
            <w:noWrap/>
            <w:vAlign w:val="bottom"/>
            <w:hideMark/>
          </w:tcPr>
          <w:p w14:paraId="6D9916CC"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315</w:t>
            </w:r>
          </w:p>
        </w:tc>
        <w:tc>
          <w:tcPr>
            <w:tcW w:w="700" w:type="dxa"/>
            <w:tcBorders>
              <w:top w:val="nil"/>
              <w:left w:val="nil"/>
              <w:bottom w:val="single" w:sz="4" w:space="0" w:color="auto"/>
              <w:right w:val="single" w:sz="4" w:space="0" w:color="auto"/>
            </w:tcBorders>
            <w:shd w:val="clear" w:color="auto" w:fill="auto"/>
            <w:noWrap/>
            <w:vAlign w:val="bottom"/>
            <w:hideMark/>
          </w:tcPr>
          <w:p w14:paraId="250C8526"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213</w:t>
            </w:r>
          </w:p>
        </w:tc>
        <w:tc>
          <w:tcPr>
            <w:tcW w:w="680" w:type="dxa"/>
            <w:tcBorders>
              <w:top w:val="nil"/>
              <w:left w:val="nil"/>
              <w:bottom w:val="single" w:sz="4" w:space="0" w:color="auto"/>
              <w:right w:val="single" w:sz="4" w:space="0" w:color="auto"/>
            </w:tcBorders>
            <w:shd w:val="clear" w:color="auto" w:fill="auto"/>
            <w:noWrap/>
            <w:vAlign w:val="bottom"/>
            <w:hideMark/>
          </w:tcPr>
          <w:p w14:paraId="6C5CD227"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232</w:t>
            </w:r>
          </w:p>
        </w:tc>
      </w:tr>
      <w:tr w:rsidR="00E335CE" w:rsidRPr="00B13B9A" w14:paraId="493369CB" w14:textId="77777777" w:rsidTr="00332FF7">
        <w:trPr>
          <w:trHeight w:val="2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033CB2E3" w14:textId="77777777" w:rsidR="00E335CE" w:rsidRPr="00B13B9A" w:rsidRDefault="00E335CE" w:rsidP="00E335CE">
            <w:pPr>
              <w:spacing w:after="0" w:line="240" w:lineRule="auto"/>
              <w:jc w:val="center"/>
              <w:rPr>
                <w:rFonts w:asciiTheme="majorHAnsi" w:eastAsia="Times New Roman" w:hAnsiTheme="majorHAnsi" w:cstheme="majorHAnsi"/>
                <w:b/>
                <w:bCs/>
                <w:color w:val="000000"/>
                <w:sz w:val="16"/>
                <w:szCs w:val="16"/>
                <w:lang w:val="ro-MD"/>
              </w:rPr>
            </w:pPr>
            <w:r w:rsidRPr="00B13B9A">
              <w:rPr>
                <w:rFonts w:asciiTheme="majorHAnsi" w:eastAsia="Times New Roman" w:hAnsiTheme="majorHAnsi" w:cstheme="majorHAnsi"/>
                <w:b/>
                <w:bCs/>
                <w:color w:val="000000"/>
                <w:sz w:val="16"/>
                <w:szCs w:val="16"/>
                <w:lang w:val="ro-MD"/>
              </w:rPr>
              <w:t>ian.23</w:t>
            </w:r>
          </w:p>
        </w:tc>
        <w:tc>
          <w:tcPr>
            <w:tcW w:w="703" w:type="dxa"/>
            <w:tcBorders>
              <w:top w:val="nil"/>
              <w:left w:val="nil"/>
              <w:bottom w:val="single" w:sz="4" w:space="0" w:color="auto"/>
              <w:right w:val="single" w:sz="4" w:space="0" w:color="auto"/>
            </w:tcBorders>
            <w:shd w:val="clear" w:color="auto" w:fill="auto"/>
            <w:noWrap/>
            <w:vAlign w:val="bottom"/>
            <w:hideMark/>
          </w:tcPr>
          <w:p w14:paraId="4AA7562D"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40</w:t>
            </w:r>
          </w:p>
        </w:tc>
        <w:tc>
          <w:tcPr>
            <w:tcW w:w="640" w:type="dxa"/>
            <w:tcBorders>
              <w:top w:val="nil"/>
              <w:left w:val="nil"/>
              <w:bottom w:val="single" w:sz="4" w:space="0" w:color="auto"/>
              <w:right w:val="single" w:sz="4" w:space="0" w:color="auto"/>
            </w:tcBorders>
            <w:shd w:val="clear" w:color="auto" w:fill="auto"/>
            <w:noWrap/>
            <w:vAlign w:val="bottom"/>
            <w:hideMark/>
          </w:tcPr>
          <w:p w14:paraId="10A1E088"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34</w:t>
            </w:r>
          </w:p>
        </w:tc>
        <w:tc>
          <w:tcPr>
            <w:tcW w:w="580" w:type="dxa"/>
            <w:tcBorders>
              <w:top w:val="nil"/>
              <w:left w:val="nil"/>
              <w:bottom w:val="single" w:sz="4" w:space="0" w:color="auto"/>
              <w:right w:val="single" w:sz="4" w:space="0" w:color="auto"/>
            </w:tcBorders>
            <w:shd w:val="clear" w:color="auto" w:fill="auto"/>
            <w:noWrap/>
            <w:vAlign w:val="bottom"/>
            <w:hideMark/>
          </w:tcPr>
          <w:p w14:paraId="2D2F8644"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36</w:t>
            </w:r>
          </w:p>
        </w:tc>
        <w:tc>
          <w:tcPr>
            <w:tcW w:w="703" w:type="dxa"/>
            <w:gridSpan w:val="2"/>
            <w:tcBorders>
              <w:top w:val="nil"/>
              <w:left w:val="nil"/>
              <w:bottom w:val="single" w:sz="4" w:space="0" w:color="auto"/>
              <w:right w:val="single" w:sz="4" w:space="0" w:color="auto"/>
            </w:tcBorders>
            <w:shd w:val="clear" w:color="auto" w:fill="auto"/>
            <w:noWrap/>
            <w:vAlign w:val="bottom"/>
            <w:hideMark/>
          </w:tcPr>
          <w:p w14:paraId="133EB5C6"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45</w:t>
            </w:r>
          </w:p>
        </w:tc>
        <w:tc>
          <w:tcPr>
            <w:tcW w:w="680" w:type="dxa"/>
            <w:tcBorders>
              <w:top w:val="nil"/>
              <w:left w:val="nil"/>
              <w:bottom w:val="single" w:sz="4" w:space="0" w:color="auto"/>
              <w:right w:val="single" w:sz="4" w:space="0" w:color="auto"/>
            </w:tcBorders>
            <w:shd w:val="clear" w:color="auto" w:fill="auto"/>
            <w:noWrap/>
            <w:vAlign w:val="bottom"/>
            <w:hideMark/>
          </w:tcPr>
          <w:p w14:paraId="67D022F3"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32</w:t>
            </w:r>
          </w:p>
        </w:tc>
        <w:tc>
          <w:tcPr>
            <w:tcW w:w="534" w:type="dxa"/>
            <w:tcBorders>
              <w:top w:val="nil"/>
              <w:left w:val="nil"/>
              <w:bottom w:val="single" w:sz="4" w:space="0" w:color="auto"/>
              <w:right w:val="single" w:sz="4" w:space="0" w:color="auto"/>
            </w:tcBorders>
            <w:shd w:val="clear" w:color="auto" w:fill="auto"/>
            <w:noWrap/>
            <w:vAlign w:val="bottom"/>
            <w:hideMark/>
          </w:tcPr>
          <w:p w14:paraId="36D9C30F"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36</w:t>
            </w:r>
          </w:p>
        </w:tc>
        <w:tc>
          <w:tcPr>
            <w:tcW w:w="703" w:type="dxa"/>
            <w:gridSpan w:val="2"/>
            <w:tcBorders>
              <w:top w:val="nil"/>
              <w:left w:val="nil"/>
              <w:bottom w:val="single" w:sz="4" w:space="0" w:color="auto"/>
              <w:right w:val="single" w:sz="4" w:space="0" w:color="auto"/>
            </w:tcBorders>
            <w:shd w:val="clear" w:color="auto" w:fill="auto"/>
            <w:noWrap/>
            <w:vAlign w:val="bottom"/>
            <w:hideMark/>
          </w:tcPr>
          <w:p w14:paraId="5B1CD6D0"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65</w:t>
            </w:r>
          </w:p>
        </w:tc>
        <w:tc>
          <w:tcPr>
            <w:tcW w:w="629" w:type="dxa"/>
            <w:tcBorders>
              <w:top w:val="nil"/>
              <w:left w:val="nil"/>
              <w:bottom w:val="single" w:sz="4" w:space="0" w:color="auto"/>
              <w:right w:val="single" w:sz="4" w:space="0" w:color="auto"/>
            </w:tcBorders>
            <w:shd w:val="clear" w:color="auto" w:fill="auto"/>
            <w:noWrap/>
            <w:vAlign w:val="bottom"/>
            <w:hideMark/>
          </w:tcPr>
          <w:p w14:paraId="7C69C486"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69</w:t>
            </w:r>
          </w:p>
        </w:tc>
        <w:tc>
          <w:tcPr>
            <w:tcW w:w="567" w:type="dxa"/>
            <w:tcBorders>
              <w:top w:val="nil"/>
              <w:left w:val="nil"/>
              <w:bottom w:val="single" w:sz="4" w:space="0" w:color="auto"/>
              <w:right w:val="single" w:sz="4" w:space="0" w:color="auto"/>
            </w:tcBorders>
            <w:shd w:val="clear" w:color="auto" w:fill="auto"/>
            <w:noWrap/>
            <w:vAlign w:val="bottom"/>
            <w:hideMark/>
          </w:tcPr>
          <w:p w14:paraId="00A53627"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69</w:t>
            </w:r>
          </w:p>
        </w:tc>
        <w:tc>
          <w:tcPr>
            <w:tcW w:w="703" w:type="dxa"/>
            <w:tcBorders>
              <w:top w:val="nil"/>
              <w:left w:val="nil"/>
              <w:bottom w:val="single" w:sz="4" w:space="0" w:color="auto"/>
              <w:right w:val="single" w:sz="4" w:space="0" w:color="auto"/>
            </w:tcBorders>
            <w:shd w:val="clear" w:color="auto" w:fill="auto"/>
            <w:noWrap/>
            <w:vAlign w:val="bottom"/>
            <w:hideMark/>
          </w:tcPr>
          <w:p w14:paraId="5D1B382E"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85</w:t>
            </w:r>
          </w:p>
        </w:tc>
        <w:tc>
          <w:tcPr>
            <w:tcW w:w="609" w:type="dxa"/>
            <w:tcBorders>
              <w:top w:val="nil"/>
              <w:left w:val="nil"/>
              <w:bottom w:val="single" w:sz="4" w:space="0" w:color="auto"/>
              <w:right w:val="single" w:sz="4" w:space="0" w:color="auto"/>
            </w:tcBorders>
            <w:shd w:val="clear" w:color="auto" w:fill="auto"/>
            <w:noWrap/>
            <w:vAlign w:val="bottom"/>
            <w:hideMark/>
          </w:tcPr>
          <w:p w14:paraId="78471786"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73</w:t>
            </w:r>
          </w:p>
        </w:tc>
        <w:tc>
          <w:tcPr>
            <w:tcW w:w="531" w:type="dxa"/>
            <w:tcBorders>
              <w:top w:val="nil"/>
              <w:left w:val="nil"/>
              <w:bottom w:val="single" w:sz="4" w:space="0" w:color="auto"/>
              <w:right w:val="single" w:sz="4" w:space="0" w:color="auto"/>
            </w:tcBorders>
            <w:shd w:val="clear" w:color="auto" w:fill="auto"/>
            <w:noWrap/>
            <w:vAlign w:val="bottom"/>
            <w:hideMark/>
          </w:tcPr>
          <w:p w14:paraId="5A5E5AAD"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78</w:t>
            </w:r>
          </w:p>
        </w:tc>
        <w:tc>
          <w:tcPr>
            <w:tcW w:w="616" w:type="dxa"/>
            <w:tcBorders>
              <w:top w:val="nil"/>
              <w:left w:val="nil"/>
              <w:bottom w:val="single" w:sz="4" w:space="0" w:color="auto"/>
              <w:right w:val="single" w:sz="4" w:space="0" w:color="auto"/>
            </w:tcBorders>
            <w:shd w:val="clear" w:color="auto" w:fill="auto"/>
            <w:noWrap/>
            <w:vAlign w:val="bottom"/>
            <w:hideMark/>
          </w:tcPr>
          <w:p w14:paraId="70C9875F"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80</w:t>
            </w:r>
          </w:p>
        </w:tc>
        <w:tc>
          <w:tcPr>
            <w:tcW w:w="620" w:type="dxa"/>
            <w:tcBorders>
              <w:top w:val="nil"/>
              <w:left w:val="nil"/>
              <w:bottom w:val="single" w:sz="4" w:space="0" w:color="auto"/>
              <w:right w:val="single" w:sz="4" w:space="0" w:color="auto"/>
            </w:tcBorders>
            <w:shd w:val="clear" w:color="auto" w:fill="auto"/>
            <w:noWrap/>
            <w:vAlign w:val="bottom"/>
            <w:hideMark/>
          </w:tcPr>
          <w:p w14:paraId="7E5B3042"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17</w:t>
            </w:r>
          </w:p>
        </w:tc>
        <w:tc>
          <w:tcPr>
            <w:tcW w:w="623" w:type="dxa"/>
            <w:tcBorders>
              <w:top w:val="nil"/>
              <w:left w:val="nil"/>
              <w:bottom w:val="single" w:sz="4" w:space="0" w:color="auto"/>
              <w:right w:val="single" w:sz="4" w:space="0" w:color="auto"/>
            </w:tcBorders>
            <w:shd w:val="clear" w:color="auto" w:fill="auto"/>
            <w:noWrap/>
            <w:vAlign w:val="bottom"/>
            <w:hideMark/>
          </w:tcPr>
          <w:p w14:paraId="0B5751C9"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34</w:t>
            </w:r>
          </w:p>
        </w:tc>
        <w:tc>
          <w:tcPr>
            <w:tcW w:w="551" w:type="dxa"/>
            <w:tcBorders>
              <w:top w:val="nil"/>
              <w:left w:val="nil"/>
              <w:bottom w:val="single" w:sz="4" w:space="0" w:color="auto"/>
              <w:right w:val="single" w:sz="4" w:space="0" w:color="auto"/>
            </w:tcBorders>
            <w:shd w:val="clear" w:color="auto" w:fill="auto"/>
            <w:noWrap/>
            <w:vAlign w:val="bottom"/>
            <w:hideMark/>
          </w:tcPr>
          <w:p w14:paraId="2FE93E99"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w:t>
            </w:r>
          </w:p>
        </w:tc>
        <w:tc>
          <w:tcPr>
            <w:tcW w:w="567" w:type="dxa"/>
            <w:tcBorders>
              <w:top w:val="nil"/>
              <w:left w:val="nil"/>
              <w:bottom w:val="single" w:sz="4" w:space="0" w:color="auto"/>
              <w:right w:val="single" w:sz="4" w:space="0" w:color="auto"/>
            </w:tcBorders>
            <w:shd w:val="clear" w:color="auto" w:fill="auto"/>
            <w:noWrap/>
            <w:vAlign w:val="bottom"/>
            <w:hideMark/>
          </w:tcPr>
          <w:p w14:paraId="22133E5D"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w:t>
            </w:r>
          </w:p>
        </w:tc>
        <w:tc>
          <w:tcPr>
            <w:tcW w:w="567" w:type="dxa"/>
            <w:tcBorders>
              <w:top w:val="nil"/>
              <w:left w:val="nil"/>
              <w:bottom w:val="single" w:sz="4" w:space="0" w:color="auto"/>
              <w:right w:val="single" w:sz="4" w:space="0" w:color="auto"/>
            </w:tcBorders>
            <w:shd w:val="clear" w:color="auto" w:fill="auto"/>
            <w:noWrap/>
            <w:vAlign w:val="bottom"/>
            <w:hideMark/>
          </w:tcPr>
          <w:p w14:paraId="574C33E6"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w:t>
            </w:r>
          </w:p>
        </w:tc>
        <w:tc>
          <w:tcPr>
            <w:tcW w:w="703" w:type="dxa"/>
            <w:tcBorders>
              <w:top w:val="nil"/>
              <w:left w:val="nil"/>
              <w:bottom w:val="single" w:sz="4" w:space="0" w:color="auto"/>
              <w:right w:val="single" w:sz="4" w:space="0" w:color="auto"/>
            </w:tcBorders>
            <w:shd w:val="clear" w:color="auto" w:fill="auto"/>
            <w:noWrap/>
            <w:vAlign w:val="bottom"/>
            <w:hideMark/>
          </w:tcPr>
          <w:p w14:paraId="216FEEA6"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315</w:t>
            </w:r>
          </w:p>
        </w:tc>
        <w:tc>
          <w:tcPr>
            <w:tcW w:w="700" w:type="dxa"/>
            <w:tcBorders>
              <w:top w:val="nil"/>
              <w:left w:val="nil"/>
              <w:bottom w:val="single" w:sz="4" w:space="0" w:color="auto"/>
              <w:right w:val="single" w:sz="4" w:space="0" w:color="auto"/>
            </w:tcBorders>
            <w:shd w:val="clear" w:color="auto" w:fill="auto"/>
            <w:noWrap/>
            <w:vAlign w:val="bottom"/>
            <w:hideMark/>
          </w:tcPr>
          <w:p w14:paraId="5E2325F4"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232</w:t>
            </w:r>
          </w:p>
        </w:tc>
        <w:tc>
          <w:tcPr>
            <w:tcW w:w="680" w:type="dxa"/>
            <w:tcBorders>
              <w:top w:val="nil"/>
              <w:left w:val="nil"/>
              <w:bottom w:val="single" w:sz="4" w:space="0" w:color="auto"/>
              <w:right w:val="single" w:sz="4" w:space="0" w:color="auto"/>
            </w:tcBorders>
            <w:shd w:val="clear" w:color="auto" w:fill="auto"/>
            <w:noWrap/>
            <w:vAlign w:val="bottom"/>
            <w:hideMark/>
          </w:tcPr>
          <w:p w14:paraId="0573DEB5"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256</w:t>
            </w:r>
          </w:p>
        </w:tc>
      </w:tr>
      <w:tr w:rsidR="00E335CE" w:rsidRPr="00B13B9A" w14:paraId="0D6D1604" w14:textId="77777777" w:rsidTr="00332FF7">
        <w:trPr>
          <w:trHeight w:val="2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546E78BF" w14:textId="77777777" w:rsidR="00E335CE" w:rsidRPr="00B13B9A" w:rsidRDefault="00E335CE" w:rsidP="00E335CE">
            <w:pPr>
              <w:spacing w:after="0" w:line="240" w:lineRule="auto"/>
              <w:jc w:val="center"/>
              <w:rPr>
                <w:rFonts w:asciiTheme="majorHAnsi" w:eastAsia="Times New Roman" w:hAnsiTheme="majorHAnsi" w:cstheme="majorHAnsi"/>
                <w:b/>
                <w:bCs/>
                <w:color w:val="000000"/>
                <w:sz w:val="16"/>
                <w:szCs w:val="16"/>
                <w:lang w:val="ro-MD"/>
              </w:rPr>
            </w:pPr>
            <w:r w:rsidRPr="00B13B9A">
              <w:rPr>
                <w:rFonts w:asciiTheme="majorHAnsi" w:eastAsia="Times New Roman" w:hAnsiTheme="majorHAnsi" w:cstheme="majorHAnsi"/>
                <w:b/>
                <w:bCs/>
                <w:color w:val="000000"/>
                <w:sz w:val="16"/>
                <w:szCs w:val="16"/>
                <w:lang w:val="ro-MD"/>
              </w:rPr>
              <w:t>feb.23</w:t>
            </w:r>
          </w:p>
        </w:tc>
        <w:tc>
          <w:tcPr>
            <w:tcW w:w="703" w:type="dxa"/>
            <w:tcBorders>
              <w:top w:val="nil"/>
              <w:left w:val="nil"/>
              <w:bottom w:val="single" w:sz="4" w:space="0" w:color="auto"/>
              <w:right w:val="single" w:sz="4" w:space="0" w:color="auto"/>
            </w:tcBorders>
            <w:shd w:val="clear" w:color="auto" w:fill="auto"/>
            <w:noWrap/>
            <w:vAlign w:val="bottom"/>
            <w:hideMark/>
          </w:tcPr>
          <w:p w14:paraId="2D1B15B9"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40</w:t>
            </w:r>
          </w:p>
        </w:tc>
        <w:tc>
          <w:tcPr>
            <w:tcW w:w="640" w:type="dxa"/>
            <w:tcBorders>
              <w:top w:val="nil"/>
              <w:left w:val="nil"/>
              <w:bottom w:val="single" w:sz="4" w:space="0" w:color="auto"/>
              <w:right w:val="single" w:sz="4" w:space="0" w:color="auto"/>
            </w:tcBorders>
            <w:shd w:val="clear" w:color="auto" w:fill="auto"/>
            <w:noWrap/>
            <w:vAlign w:val="bottom"/>
            <w:hideMark/>
          </w:tcPr>
          <w:p w14:paraId="031D27FD"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36</w:t>
            </w:r>
          </w:p>
        </w:tc>
        <w:tc>
          <w:tcPr>
            <w:tcW w:w="580" w:type="dxa"/>
            <w:tcBorders>
              <w:top w:val="nil"/>
              <w:left w:val="nil"/>
              <w:bottom w:val="single" w:sz="4" w:space="0" w:color="auto"/>
              <w:right w:val="single" w:sz="4" w:space="0" w:color="auto"/>
            </w:tcBorders>
            <w:shd w:val="clear" w:color="auto" w:fill="auto"/>
            <w:noWrap/>
            <w:vAlign w:val="bottom"/>
            <w:hideMark/>
          </w:tcPr>
          <w:p w14:paraId="1093B6DB"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32</w:t>
            </w:r>
          </w:p>
        </w:tc>
        <w:tc>
          <w:tcPr>
            <w:tcW w:w="703" w:type="dxa"/>
            <w:gridSpan w:val="2"/>
            <w:tcBorders>
              <w:top w:val="nil"/>
              <w:left w:val="nil"/>
              <w:bottom w:val="single" w:sz="4" w:space="0" w:color="auto"/>
              <w:right w:val="single" w:sz="4" w:space="0" w:color="auto"/>
            </w:tcBorders>
            <w:shd w:val="clear" w:color="auto" w:fill="auto"/>
            <w:noWrap/>
            <w:vAlign w:val="bottom"/>
            <w:hideMark/>
          </w:tcPr>
          <w:p w14:paraId="0DDAADE8"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45</w:t>
            </w:r>
          </w:p>
        </w:tc>
        <w:tc>
          <w:tcPr>
            <w:tcW w:w="680" w:type="dxa"/>
            <w:tcBorders>
              <w:top w:val="nil"/>
              <w:left w:val="nil"/>
              <w:bottom w:val="single" w:sz="4" w:space="0" w:color="auto"/>
              <w:right w:val="single" w:sz="4" w:space="0" w:color="auto"/>
            </w:tcBorders>
            <w:shd w:val="clear" w:color="auto" w:fill="auto"/>
            <w:noWrap/>
            <w:vAlign w:val="bottom"/>
            <w:hideMark/>
          </w:tcPr>
          <w:p w14:paraId="194E4632"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36</w:t>
            </w:r>
          </w:p>
        </w:tc>
        <w:tc>
          <w:tcPr>
            <w:tcW w:w="534" w:type="dxa"/>
            <w:tcBorders>
              <w:top w:val="nil"/>
              <w:left w:val="nil"/>
              <w:bottom w:val="single" w:sz="4" w:space="0" w:color="auto"/>
              <w:right w:val="single" w:sz="4" w:space="0" w:color="auto"/>
            </w:tcBorders>
            <w:shd w:val="clear" w:color="auto" w:fill="auto"/>
            <w:noWrap/>
            <w:vAlign w:val="bottom"/>
            <w:hideMark/>
          </w:tcPr>
          <w:p w14:paraId="6AE7A662"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40</w:t>
            </w:r>
          </w:p>
        </w:tc>
        <w:tc>
          <w:tcPr>
            <w:tcW w:w="703" w:type="dxa"/>
            <w:gridSpan w:val="2"/>
            <w:tcBorders>
              <w:top w:val="nil"/>
              <w:left w:val="nil"/>
              <w:bottom w:val="single" w:sz="4" w:space="0" w:color="auto"/>
              <w:right w:val="single" w:sz="4" w:space="0" w:color="auto"/>
            </w:tcBorders>
            <w:shd w:val="clear" w:color="auto" w:fill="auto"/>
            <w:noWrap/>
            <w:vAlign w:val="bottom"/>
            <w:hideMark/>
          </w:tcPr>
          <w:p w14:paraId="53E6DC9C"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65</w:t>
            </w:r>
          </w:p>
        </w:tc>
        <w:tc>
          <w:tcPr>
            <w:tcW w:w="629" w:type="dxa"/>
            <w:tcBorders>
              <w:top w:val="nil"/>
              <w:left w:val="nil"/>
              <w:bottom w:val="single" w:sz="4" w:space="0" w:color="auto"/>
              <w:right w:val="single" w:sz="4" w:space="0" w:color="auto"/>
            </w:tcBorders>
            <w:shd w:val="clear" w:color="auto" w:fill="auto"/>
            <w:noWrap/>
            <w:vAlign w:val="bottom"/>
            <w:hideMark/>
          </w:tcPr>
          <w:p w14:paraId="5AAA32CC"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69</w:t>
            </w:r>
          </w:p>
        </w:tc>
        <w:tc>
          <w:tcPr>
            <w:tcW w:w="567" w:type="dxa"/>
            <w:tcBorders>
              <w:top w:val="nil"/>
              <w:left w:val="nil"/>
              <w:bottom w:val="single" w:sz="4" w:space="0" w:color="auto"/>
              <w:right w:val="single" w:sz="4" w:space="0" w:color="auto"/>
            </w:tcBorders>
            <w:shd w:val="clear" w:color="auto" w:fill="auto"/>
            <w:noWrap/>
            <w:vAlign w:val="bottom"/>
            <w:hideMark/>
          </w:tcPr>
          <w:p w14:paraId="4E6BAC0D"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72</w:t>
            </w:r>
          </w:p>
        </w:tc>
        <w:tc>
          <w:tcPr>
            <w:tcW w:w="703" w:type="dxa"/>
            <w:tcBorders>
              <w:top w:val="nil"/>
              <w:left w:val="nil"/>
              <w:bottom w:val="single" w:sz="4" w:space="0" w:color="auto"/>
              <w:right w:val="single" w:sz="4" w:space="0" w:color="auto"/>
            </w:tcBorders>
            <w:shd w:val="clear" w:color="auto" w:fill="auto"/>
            <w:noWrap/>
            <w:vAlign w:val="bottom"/>
            <w:hideMark/>
          </w:tcPr>
          <w:p w14:paraId="13B456CD"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85</w:t>
            </w:r>
          </w:p>
        </w:tc>
        <w:tc>
          <w:tcPr>
            <w:tcW w:w="609" w:type="dxa"/>
            <w:tcBorders>
              <w:top w:val="nil"/>
              <w:left w:val="nil"/>
              <w:bottom w:val="single" w:sz="4" w:space="0" w:color="auto"/>
              <w:right w:val="single" w:sz="4" w:space="0" w:color="auto"/>
            </w:tcBorders>
            <w:shd w:val="clear" w:color="auto" w:fill="auto"/>
            <w:noWrap/>
            <w:vAlign w:val="bottom"/>
            <w:hideMark/>
          </w:tcPr>
          <w:p w14:paraId="0872B56B"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78</w:t>
            </w:r>
          </w:p>
        </w:tc>
        <w:tc>
          <w:tcPr>
            <w:tcW w:w="531" w:type="dxa"/>
            <w:tcBorders>
              <w:top w:val="nil"/>
              <w:left w:val="nil"/>
              <w:bottom w:val="single" w:sz="4" w:space="0" w:color="auto"/>
              <w:right w:val="single" w:sz="4" w:space="0" w:color="auto"/>
            </w:tcBorders>
            <w:shd w:val="clear" w:color="auto" w:fill="auto"/>
            <w:noWrap/>
            <w:vAlign w:val="bottom"/>
            <w:hideMark/>
          </w:tcPr>
          <w:p w14:paraId="33A66D2A"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74</w:t>
            </w:r>
          </w:p>
        </w:tc>
        <w:tc>
          <w:tcPr>
            <w:tcW w:w="616" w:type="dxa"/>
            <w:tcBorders>
              <w:top w:val="nil"/>
              <w:left w:val="nil"/>
              <w:bottom w:val="single" w:sz="4" w:space="0" w:color="auto"/>
              <w:right w:val="single" w:sz="4" w:space="0" w:color="auto"/>
            </w:tcBorders>
            <w:shd w:val="clear" w:color="auto" w:fill="auto"/>
            <w:noWrap/>
            <w:vAlign w:val="bottom"/>
            <w:hideMark/>
          </w:tcPr>
          <w:p w14:paraId="12B6ACF1"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80</w:t>
            </w:r>
          </w:p>
        </w:tc>
        <w:tc>
          <w:tcPr>
            <w:tcW w:w="620" w:type="dxa"/>
            <w:tcBorders>
              <w:top w:val="nil"/>
              <w:left w:val="nil"/>
              <w:bottom w:val="single" w:sz="4" w:space="0" w:color="auto"/>
              <w:right w:val="single" w:sz="4" w:space="0" w:color="auto"/>
            </w:tcBorders>
            <w:shd w:val="clear" w:color="auto" w:fill="auto"/>
            <w:noWrap/>
            <w:vAlign w:val="bottom"/>
            <w:hideMark/>
          </w:tcPr>
          <w:p w14:paraId="05155460"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34</w:t>
            </w:r>
          </w:p>
        </w:tc>
        <w:tc>
          <w:tcPr>
            <w:tcW w:w="623" w:type="dxa"/>
            <w:tcBorders>
              <w:top w:val="nil"/>
              <w:left w:val="nil"/>
              <w:bottom w:val="single" w:sz="4" w:space="0" w:color="auto"/>
              <w:right w:val="single" w:sz="4" w:space="0" w:color="auto"/>
            </w:tcBorders>
            <w:shd w:val="clear" w:color="auto" w:fill="auto"/>
            <w:noWrap/>
            <w:vAlign w:val="bottom"/>
            <w:hideMark/>
          </w:tcPr>
          <w:p w14:paraId="1E528A8B"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56</w:t>
            </w:r>
          </w:p>
        </w:tc>
        <w:tc>
          <w:tcPr>
            <w:tcW w:w="551" w:type="dxa"/>
            <w:tcBorders>
              <w:top w:val="nil"/>
              <w:left w:val="nil"/>
              <w:bottom w:val="single" w:sz="4" w:space="0" w:color="auto"/>
              <w:right w:val="single" w:sz="4" w:space="0" w:color="auto"/>
            </w:tcBorders>
            <w:shd w:val="clear" w:color="auto" w:fill="auto"/>
            <w:noWrap/>
            <w:vAlign w:val="bottom"/>
            <w:hideMark/>
          </w:tcPr>
          <w:p w14:paraId="5F99BBA7"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w:t>
            </w:r>
          </w:p>
        </w:tc>
        <w:tc>
          <w:tcPr>
            <w:tcW w:w="567" w:type="dxa"/>
            <w:tcBorders>
              <w:top w:val="nil"/>
              <w:left w:val="nil"/>
              <w:bottom w:val="single" w:sz="4" w:space="0" w:color="auto"/>
              <w:right w:val="single" w:sz="4" w:space="0" w:color="auto"/>
            </w:tcBorders>
            <w:shd w:val="clear" w:color="auto" w:fill="auto"/>
            <w:noWrap/>
            <w:vAlign w:val="bottom"/>
            <w:hideMark/>
          </w:tcPr>
          <w:p w14:paraId="27C0E89C"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w:t>
            </w:r>
          </w:p>
        </w:tc>
        <w:tc>
          <w:tcPr>
            <w:tcW w:w="567" w:type="dxa"/>
            <w:tcBorders>
              <w:top w:val="nil"/>
              <w:left w:val="nil"/>
              <w:bottom w:val="single" w:sz="4" w:space="0" w:color="auto"/>
              <w:right w:val="single" w:sz="4" w:space="0" w:color="auto"/>
            </w:tcBorders>
            <w:shd w:val="clear" w:color="auto" w:fill="auto"/>
            <w:noWrap/>
            <w:vAlign w:val="bottom"/>
            <w:hideMark/>
          </w:tcPr>
          <w:p w14:paraId="2EA87493"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5</w:t>
            </w:r>
          </w:p>
        </w:tc>
        <w:tc>
          <w:tcPr>
            <w:tcW w:w="703" w:type="dxa"/>
            <w:tcBorders>
              <w:top w:val="nil"/>
              <w:left w:val="nil"/>
              <w:bottom w:val="single" w:sz="4" w:space="0" w:color="auto"/>
              <w:right w:val="single" w:sz="4" w:space="0" w:color="auto"/>
            </w:tcBorders>
            <w:shd w:val="clear" w:color="auto" w:fill="auto"/>
            <w:noWrap/>
            <w:vAlign w:val="bottom"/>
            <w:hideMark/>
          </w:tcPr>
          <w:p w14:paraId="0F8D0552"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315</w:t>
            </w:r>
          </w:p>
        </w:tc>
        <w:tc>
          <w:tcPr>
            <w:tcW w:w="700" w:type="dxa"/>
            <w:tcBorders>
              <w:top w:val="nil"/>
              <w:left w:val="nil"/>
              <w:bottom w:val="single" w:sz="4" w:space="0" w:color="auto"/>
              <w:right w:val="single" w:sz="4" w:space="0" w:color="auto"/>
            </w:tcBorders>
            <w:shd w:val="clear" w:color="auto" w:fill="auto"/>
            <w:noWrap/>
            <w:vAlign w:val="bottom"/>
            <w:hideMark/>
          </w:tcPr>
          <w:p w14:paraId="3011CD11"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256</w:t>
            </w:r>
          </w:p>
        </w:tc>
        <w:tc>
          <w:tcPr>
            <w:tcW w:w="680" w:type="dxa"/>
            <w:tcBorders>
              <w:top w:val="nil"/>
              <w:left w:val="nil"/>
              <w:bottom w:val="single" w:sz="4" w:space="0" w:color="auto"/>
              <w:right w:val="single" w:sz="4" w:space="0" w:color="auto"/>
            </w:tcBorders>
            <w:shd w:val="clear" w:color="auto" w:fill="auto"/>
            <w:noWrap/>
            <w:vAlign w:val="bottom"/>
            <w:hideMark/>
          </w:tcPr>
          <w:p w14:paraId="35F4DA72"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280</w:t>
            </w:r>
          </w:p>
        </w:tc>
      </w:tr>
      <w:tr w:rsidR="00E335CE" w:rsidRPr="00B13B9A" w14:paraId="52F58525" w14:textId="77777777" w:rsidTr="00332FF7">
        <w:trPr>
          <w:trHeight w:val="2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2CF25FAF" w14:textId="77777777" w:rsidR="00E335CE" w:rsidRPr="00B13B9A" w:rsidRDefault="00E335CE" w:rsidP="00E335CE">
            <w:pPr>
              <w:spacing w:after="0" w:line="240" w:lineRule="auto"/>
              <w:jc w:val="center"/>
              <w:rPr>
                <w:rFonts w:asciiTheme="majorHAnsi" w:eastAsia="Times New Roman" w:hAnsiTheme="majorHAnsi" w:cstheme="majorHAnsi"/>
                <w:b/>
                <w:bCs/>
                <w:color w:val="000000"/>
                <w:sz w:val="16"/>
                <w:szCs w:val="16"/>
                <w:lang w:val="ro-MD"/>
              </w:rPr>
            </w:pPr>
            <w:r w:rsidRPr="00B13B9A">
              <w:rPr>
                <w:rFonts w:asciiTheme="majorHAnsi" w:eastAsia="Times New Roman" w:hAnsiTheme="majorHAnsi" w:cstheme="majorHAnsi"/>
                <w:b/>
                <w:bCs/>
                <w:color w:val="000000"/>
                <w:sz w:val="16"/>
                <w:szCs w:val="16"/>
                <w:lang w:val="ro-MD"/>
              </w:rPr>
              <w:t>mar.23</w:t>
            </w:r>
          </w:p>
        </w:tc>
        <w:tc>
          <w:tcPr>
            <w:tcW w:w="703" w:type="dxa"/>
            <w:tcBorders>
              <w:top w:val="nil"/>
              <w:left w:val="nil"/>
              <w:bottom w:val="single" w:sz="4" w:space="0" w:color="auto"/>
              <w:right w:val="single" w:sz="4" w:space="0" w:color="auto"/>
            </w:tcBorders>
            <w:shd w:val="clear" w:color="auto" w:fill="auto"/>
            <w:noWrap/>
            <w:vAlign w:val="bottom"/>
            <w:hideMark/>
          </w:tcPr>
          <w:p w14:paraId="694D9A4F"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40</w:t>
            </w:r>
          </w:p>
        </w:tc>
        <w:tc>
          <w:tcPr>
            <w:tcW w:w="640" w:type="dxa"/>
            <w:tcBorders>
              <w:top w:val="nil"/>
              <w:left w:val="nil"/>
              <w:bottom w:val="single" w:sz="4" w:space="0" w:color="auto"/>
              <w:right w:val="single" w:sz="4" w:space="0" w:color="auto"/>
            </w:tcBorders>
            <w:shd w:val="clear" w:color="auto" w:fill="auto"/>
            <w:noWrap/>
            <w:vAlign w:val="bottom"/>
            <w:hideMark/>
          </w:tcPr>
          <w:p w14:paraId="6125AB74"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32</w:t>
            </w:r>
          </w:p>
        </w:tc>
        <w:tc>
          <w:tcPr>
            <w:tcW w:w="580" w:type="dxa"/>
            <w:tcBorders>
              <w:top w:val="nil"/>
              <w:left w:val="nil"/>
              <w:bottom w:val="single" w:sz="4" w:space="0" w:color="auto"/>
              <w:right w:val="single" w:sz="4" w:space="0" w:color="auto"/>
            </w:tcBorders>
            <w:shd w:val="clear" w:color="auto" w:fill="auto"/>
            <w:noWrap/>
            <w:vAlign w:val="bottom"/>
            <w:hideMark/>
          </w:tcPr>
          <w:p w14:paraId="7D2F6A69"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40</w:t>
            </w:r>
          </w:p>
        </w:tc>
        <w:tc>
          <w:tcPr>
            <w:tcW w:w="703" w:type="dxa"/>
            <w:gridSpan w:val="2"/>
            <w:tcBorders>
              <w:top w:val="nil"/>
              <w:left w:val="nil"/>
              <w:bottom w:val="single" w:sz="4" w:space="0" w:color="auto"/>
              <w:right w:val="single" w:sz="4" w:space="0" w:color="auto"/>
            </w:tcBorders>
            <w:shd w:val="clear" w:color="auto" w:fill="auto"/>
            <w:noWrap/>
            <w:vAlign w:val="bottom"/>
            <w:hideMark/>
          </w:tcPr>
          <w:p w14:paraId="1F124637"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45</w:t>
            </w:r>
          </w:p>
        </w:tc>
        <w:tc>
          <w:tcPr>
            <w:tcW w:w="680" w:type="dxa"/>
            <w:tcBorders>
              <w:top w:val="nil"/>
              <w:left w:val="nil"/>
              <w:bottom w:val="single" w:sz="4" w:space="0" w:color="auto"/>
              <w:right w:val="single" w:sz="4" w:space="0" w:color="auto"/>
            </w:tcBorders>
            <w:shd w:val="clear" w:color="auto" w:fill="auto"/>
            <w:noWrap/>
            <w:vAlign w:val="bottom"/>
            <w:hideMark/>
          </w:tcPr>
          <w:p w14:paraId="1B1C806D"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40</w:t>
            </w:r>
          </w:p>
        </w:tc>
        <w:tc>
          <w:tcPr>
            <w:tcW w:w="534" w:type="dxa"/>
            <w:tcBorders>
              <w:top w:val="nil"/>
              <w:left w:val="nil"/>
              <w:bottom w:val="single" w:sz="4" w:space="0" w:color="auto"/>
              <w:right w:val="single" w:sz="4" w:space="0" w:color="auto"/>
            </w:tcBorders>
            <w:shd w:val="clear" w:color="auto" w:fill="auto"/>
            <w:noWrap/>
            <w:vAlign w:val="bottom"/>
            <w:hideMark/>
          </w:tcPr>
          <w:p w14:paraId="2F77A446"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29</w:t>
            </w:r>
          </w:p>
        </w:tc>
        <w:tc>
          <w:tcPr>
            <w:tcW w:w="703" w:type="dxa"/>
            <w:gridSpan w:val="2"/>
            <w:tcBorders>
              <w:top w:val="nil"/>
              <w:left w:val="nil"/>
              <w:bottom w:val="single" w:sz="4" w:space="0" w:color="auto"/>
              <w:right w:val="single" w:sz="4" w:space="0" w:color="auto"/>
            </w:tcBorders>
            <w:shd w:val="clear" w:color="auto" w:fill="auto"/>
            <w:noWrap/>
            <w:vAlign w:val="bottom"/>
            <w:hideMark/>
          </w:tcPr>
          <w:p w14:paraId="1BE5E0A2"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65</w:t>
            </w:r>
          </w:p>
        </w:tc>
        <w:tc>
          <w:tcPr>
            <w:tcW w:w="629" w:type="dxa"/>
            <w:tcBorders>
              <w:top w:val="nil"/>
              <w:left w:val="nil"/>
              <w:bottom w:val="single" w:sz="4" w:space="0" w:color="auto"/>
              <w:right w:val="single" w:sz="4" w:space="0" w:color="auto"/>
            </w:tcBorders>
            <w:shd w:val="clear" w:color="auto" w:fill="auto"/>
            <w:noWrap/>
            <w:vAlign w:val="bottom"/>
            <w:hideMark/>
          </w:tcPr>
          <w:p w14:paraId="5CE75A1A"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72</w:t>
            </w:r>
          </w:p>
        </w:tc>
        <w:tc>
          <w:tcPr>
            <w:tcW w:w="567" w:type="dxa"/>
            <w:tcBorders>
              <w:top w:val="nil"/>
              <w:left w:val="nil"/>
              <w:bottom w:val="single" w:sz="4" w:space="0" w:color="auto"/>
              <w:right w:val="single" w:sz="4" w:space="0" w:color="auto"/>
            </w:tcBorders>
            <w:shd w:val="clear" w:color="auto" w:fill="auto"/>
            <w:noWrap/>
            <w:vAlign w:val="bottom"/>
            <w:hideMark/>
          </w:tcPr>
          <w:p w14:paraId="32787A94"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69</w:t>
            </w:r>
          </w:p>
        </w:tc>
        <w:tc>
          <w:tcPr>
            <w:tcW w:w="703" w:type="dxa"/>
            <w:tcBorders>
              <w:top w:val="nil"/>
              <w:left w:val="nil"/>
              <w:bottom w:val="single" w:sz="4" w:space="0" w:color="auto"/>
              <w:right w:val="single" w:sz="4" w:space="0" w:color="auto"/>
            </w:tcBorders>
            <w:shd w:val="clear" w:color="auto" w:fill="auto"/>
            <w:noWrap/>
            <w:vAlign w:val="bottom"/>
            <w:hideMark/>
          </w:tcPr>
          <w:p w14:paraId="53033F27"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85</w:t>
            </w:r>
          </w:p>
        </w:tc>
        <w:tc>
          <w:tcPr>
            <w:tcW w:w="609" w:type="dxa"/>
            <w:tcBorders>
              <w:top w:val="nil"/>
              <w:left w:val="nil"/>
              <w:bottom w:val="single" w:sz="4" w:space="0" w:color="auto"/>
              <w:right w:val="single" w:sz="4" w:space="0" w:color="auto"/>
            </w:tcBorders>
            <w:shd w:val="clear" w:color="auto" w:fill="auto"/>
            <w:noWrap/>
            <w:vAlign w:val="bottom"/>
            <w:hideMark/>
          </w:tcPr>
          <w:p w14:paraId="3E9AAEA2"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74</w:t>
            </w:r>
          </w:p>
        </w:tc>
        <w:tc>
          <w:tcPr>
            <w:tcW w:w="531" w:type="dxa"/>
            <w:tcBorders>
              <w:top w:val="nil"/>
              <w:left w:val="nil"/>
              <w:bottom w:val="single" w:sz="4" w:space="0" w:color="auto"/>
              <w:right w:val="single" w:sz="4" w:space="0" w:color="auto"/>
            </w:tcBorders>
            <w:shd w:val="clear" w:color="auto" w:fill="auto"/>
            <w:noWrap/>
            <w:vAlign w:val="bottom"/>
            <w:hideMark/>
          </w:tcPr>
          <w:p w14:paraId="4F2A532B"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74</w:t>
            </w:r>
          </w:p>
        </w:tc>
        <w:tc>
          <w:tcPr>
            <w:tcW w:w="616" w:type="dxa"/>
            <w:tcBorders>
              <w:top w:val="nil"/>
              <w:left w:val="nil"/>
              <w:bottom w:val="single" w:sz="4" w:space="0" w:color="auto"/>
              <w:right w:val="single" w:sz="4" w:space="0" w:color="auto"/>
            </w:tcBorders>
            <w:shd w:val="clear" w:color="auto" w:fill="auto"/>
            <w:noWrap/>
            <w:vAlign w:val="bottom"/>
            <w:hideMark/>
          </w:tcPr>
          <w:p w14:paraId="25C57C0E"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80</w:t>
            </w:r>
          </w:p>
        </w:tc>
        <w:tc>
          <w:tcPr>
            <w:tcW w:w="620" w:type="dxa"/>
            <w:tcBorders>
              <w:top w:val="nil"/>
              <w:left w:val="nil"/>
              <w:bottom w:val="single" w:sz="4" w:space="0" w:color="auto"/>
              <w:right w:val="single" w:sz="4" w:space="0" w:color="auto"/>
            </w:tcBorders>
            <w:shd w:val="clear" w:color="auto" w:fill="auto"/>
            <w:noWrap/>
            <w:vAlign w:val="bottom"/>
            <w:hideMark/>
          </w:tcPr>
          <w:p w14:paraId="2434D9FD"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56</w:t>
            </w:r>
          </w:p>
        </w:tc>
        <w:tc>
          <w:tcPr>
            <w:tcW w:w="623" w:type="dxa"/>
            <w:tcBorders>
              <w:top w:val="nil"/>
              <w:left w:val="nil"/>
              <w:bottom w:val="single" w:sz="4" w:space="0" w:color="auto"/>
              <w:right w:val="single" w:sz="4" w:space="0" w:color="auto"/>
            </w:tcBorders>
            <w:shd w:val="clear" w:color="auto" w:fill="auto"/>
            <w:noWrap/>
            <w:vAlign w:val="bottom"/>
            <w:hideMark/>
          </w:tcPr>
          <w:p w14:paraId="1A9B7B88"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23</w:t>
            </w:r>
          </w:p>
        </w:tc>
        <w:tc>
          <w:tcPr>
            <w:tcW w:w="551" w:type="dxa"/>
            <w:tcBorders>
              <w:top w:val="nil"/>
              <w:left w:val="nil"/>
              <w:bottom w:val="single" w:sz="4" w:space="0" w:color="auto"/>
              <w:right w:val="single" w:sz="4" w:space="0" w:color="auto"/>
            </w:tcBorders>
            <w:shd w:val="clear" w:color="auto" w:fill="auto"/>
            <w:noWrap/>
            <w:vAlign w:val="bottom"/>
            <w:hideMark/>
          </w:tcPr>
          <w:p w14:paraId="59DEC1DC"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w:t>
            </w:r>
          </w:p>
        </w:tc>
        <w:tc>
          <w:tcPr>
            <w:tcW w:w="567" w:type="dxa"/>
            <w:tcBorders>
              <w:top w:val="nil"/>
              <w:left w:val="nil"/>
              <w:bottom w:val="single" w:sz="4" w:space="0" w:color="auto"/>
              <w:right w:val="single" w:sz="4" w:space="0" w:color="auto"/>
            </w:tcBorders>
            <w:shd w:val="clear" w:color="auto" w:fill="auto"/>
            <w:noWrap/>
            <w:vAlign w:val="bottom"/>
            <w:hideMark/>
          </w:tcPr>
          <w:p w14:paraId="51BFEA44"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5</w:t>
            </w:r>
          </w:p>
        </w:tc>
        <w:tc>
          <w:tcPr>
            <w:tcW w:w="567" w:type="dxa"/>
            <w:tcBorders>
              <w:top w:val="nil"/>
              <w:left w:val="nil"/>
              <w:bottom w:val="single" w:sz="4" w:space="0" w:color="auto"/>
              <w:right w:val="single" w:sz="4" w:space="0" w:color="auto"/>
            </w:tcBorders>
            <w:shd w:val="clear" w:color="auto" w:fill="auto"/>
            <w:noWrap/>
            <w:vAlign w:val="bottom"/>
            <w:hideMark/>
          </w:tcPr>
          <w:p w14:paraId="4A8B0845"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w:t>
            </w:r>
          </w:p>
        </w:tc>
        <w:tc>
          <w:tcPr>
            <w:tcW w:w="703" w:type="dxa"/>
            <w:tcBorders>
              <w:top w:val="nil"/>
              <w:left w:val="nil"/>
              <w:bottom w:val="single" w:sz="4" w:space="0" w:color="auto"/>
              <w:right w:val="single" w:sz="4" w:space="0" w:color="auto"/>
            </w:tcBorders>
            <w:shd w:val="clear" w:color="auto" w:fill="auto"/>
            <w:noWrap/>
            <w:vAlign w:val="bottom"/>
            <w:hideMark/>
          </w:tcPr>
          <w:p w14:paraId="52C9298A"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315</w:t>
            </w:r>
          </w:p>
        </w:tc>
        <w:tc>
          <w:tcPr>
            <w:tcW w:w="700" w:type="dxa"/>
            <w:tcBorders>
              <w:top w:val="nil"/>
              <w:left w:val="nil"/>
              <w:bottom w:val="single" w:sz="4" w:space="0" w:color="auto"/>
              <w:right w:val="single" w:sz="4" w:space="0" w:color="auto"/>
            </w:tcBorders>
            <w:shd w:val="clear" w:color="auto" w:fill="auto"/>
            <w:noWrap/>
            <w:vAlign w:val="bottom"/>
            <w:hideMark/>
          </w:tcPr>
          <w:p w14:paraId="0A4B713F"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280</w:t>
            </w:r>
          </w:p>
        </w:tc>
        <w:tc>
          <w:tcPr>
            <w:tcW w:w="680" w:type="dxa"/>
            <w:tcBorders>
              <w:top w:val="nil"/>
              <w:left w:val="nil"/>
              <w:bottom w:val="single" w:sz="4" w:space="0" w:color="auto"/>
              <w:right w:val="single" w:sz="4" w:space="0" w:color="auto"/>
            </w:tcBorders>
            <w:shd w:val="clear" w:color="auto" w:fill="auto"/>
            <w:noWrap/>
            <w:vAlign w:val="bottom"/>
            <w:hideMark/>
          </w:tcPr>
          <w:p w14:paraId="0B4436C3"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237</w:t>
            </w:r>
          </w:p>
        </w:tc>
      </w:tr>
      <w:tr w:rsidR="00E335CE" w:rsidRPr="00B13B9A" w14:paraId="721D1E8B" w14:textId="77777777" w:rsidTr="00332FF7">
        <w:trPr>
          <w:trHeight w:val="2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3001C006" w14:textId="77777777" w:rsidR="00E335CE" w:rsidRPr="00B13B9A" w:rsidRDefault="00E335CE" w:rsidP="00E335CE">
            <w:pPr>
              <w:spacing w:after="0" w:line="240" w:lineRule="auto"/>
              <w:jc w:val="center"/>
              <w:rPr>
                <w:rFonts w:asciiTheme="majorHAnsi" w:eastAsia="Times New Roman" w:hAnsiTheme="majorHAnsi" w:cstheme="majorHAnsi"/>
                <w:b/>
                <w:bCs/>
                <w:color w:val="000000"/>
                <w:sz w:val="16"/>
                <w:szCs w:val="16"/>
                <w:lang w:val="ro-MD"/>
              </w:rPr>
            </w:pPr>
            <w:r w:rsidRPr="00B13B9A">
              <w:rPr>
                <w:rFonts w:asciiTheme="majorHAnsi" w:eastAsia="Times New Roman" w:hAnsiTheme="majorHAnsi" w:cstheme="majorHAnsi"/>
                <w:b/>
                <w:bCs/>
                <w:color w:val="000000"/>
                <w:sz w:val="16"/>
                <w:szCs w:val="16"/>
                <w:lang w:val="ro-MD"/>
              </w:rPr>
              <w:t>apr.23</w:t>
            </w:r>
          </w:p>
        </w:tc>
        <w:tc>
          <w:tcPr>
            <w:tcW w:w="703" w:type="dxa"/>
            <w:tcBorders>
              <w:top w:val="nil"/>
              <w:left w:val="nil"/>
              <w:bottom w:val="single" w:sz="4" w:space="0" w:color="auto"/>
              <w:right w:val="single" w:sz="4" w:space="0" w:color="auto"/>
            </w:tcBorders>
            <w:shd w:val="clear" w:color="auto" w:fill="auto"/>
            <w:noWrap/>
            <w:vAlign w:val="bottom"/>
            <w:hideMark/>
          </w:tcPr>
          <w:p w14:paraId="4E306904"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40</w:t>
            </w:r>
          </w:p>
        </w:tc>
        <w:tc>
          <w:tcPr>
            <w:tcW w:w="640" w:type="dxa"/>
            <w:tcBorders>
              <w:top w:val="nil"/>
              <w:left w:val="nil"/>
              <w:bottom w:val="single" w:sz="4" w:space="0" w:color="auto"/>
              <w:right w:val="single" w:sz="4" w:space="0" w:color="auto"/>
            </w:tcBorders>
            <w:shd w:val="clear" w:color="auto" w:fill="auto"/>
            <w:noWrap/>
            <w:vAlign w:val="bottom"/>
            <w:hideMark/>
          </w:tcPr>
          <w:p w14:paraId="32399931"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40</w:t>
            </w:r>
          </w:p>
        </w:tc>
        <w:tc>
          <w:tcPr>
            <w:tcW w:w="580" w:type="dxa"/>
            <w:tcBorders>
              <w:top w:val="nil"/>
              <w:left w:val="nil"/>
              <w:bottom w:val="single" w:sz="4" w:space="0" w:color="auto"/>
              <w:right w:val="single" w:sz="4" w:space="0" w:color="auto"/>
            </w:tcBorders>
            <w:shd w:val="clear" w:color="auto" w:fill="auto"/>
            <w:noWrap/>
            <w:vAlign w:val="bottom"/>
            <w:hideMark/>
          </w:tcPr>
          <w:p w14:paraId="66B6C55D"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35</w:t>
            </w:r>
          </w:p>
        </w:tc>
        <w:tc>
          <w:tcPr>
            <w:tcW w:w="703" w:type="dxa"/>
            <w:gridSpan w:val="2"/>
            <w:tcBorders>
              <w:top w:val="nil"/>
              <w:left w:val="nil"/>
              <w:bottom w:val="single" w:sz="4" w:space="0" w:color="auto"/>
              <w:right w:val="single" w:sz="4" w:space="0" w:color="auto"/>
            </w:tcBorders>
            <w:shd w:val="clear" w:color="auto" w:fill="auto"/>
            <w:noWrap/>
            <w:vAlign w:val="bottom"/>
            <w:hideMark/>
          </w:tcPr>
          <w:p w14:paraId="0CBE7574"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45</w:t>
            </w:r>
          </w:p>
        </w:tc>
        <w:tc>
          <w:tcPr>
            <w:tcW w:w="680" w:type="dxa"/>
            <w:tcBorders>
              <w:top w:val="nil"/>
              <w:left w:val="nil"/>
              <w:bottom w:val="single" w:sz="4" w:space="0" w:color="auto"/>
              <w:right w:val="single" w:sz="4" w:space="0" w:color="auto"/>
            </w:tcBorders>
            <w:shd w:val="clear" w:color="auto" w:fill="auto"/>
            <w:noWrap/>
            <w:vAlign w:val="bottom"/>
            <w:hideMark/>
          </w:tcPr>
          <w:p w14:paraId="01AC8F81"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29</w:t>
            </w:r>
          </w:p>
        </w:tc>
        <w:tc>
          <w:tcPr>
            <w:tcW w:w="534" w:type="dxa"/>
            <w:tcBorders>
              <w:top w:val="nil"/>
              <w:left w:val="nil"/>
              <w:bottom w:val="single" w:sz="4" w:space="0" w:color="auto"/>
              <w:right w:val="single" w:sz="4" w:space="0" w:color="auto"/>
            </w:tcBorders>
            <w:shd w:val="clear" w:color="auto" w:fill="auto"/>
            <w:noWrap/>
            <w:vAlign w:val="bottom"/>
            <w:hideMark/>
          </w:tcPr>
          <w:p w14:paraId="5409E95B"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42</w:t>
            </w:r>
          </w:p>
        </w:tc>
        <w:tc>
          <w:tcPr>
            <w:tcW w:w="703" w:type="dxa"/>
            <w:gridSpan w:val="2"/>
            <w:tcBorders>
              <w:top w:val="nil"/>
              <w:left w:val="nil"/>
              <w:bottom w:val="single" w:sz="4" w:space="0" w:color="auto"/>
              <w:right w:val="single" w:sz="4" w:space="0" w:color="auto"/>
            </w:tcBorders>
            <w:shd w:val="clear" w:color="auto" w:fill="auto"/>
            <w:noWrap/>
            <w:vAlign w:val="bottom"/>
            <w:hideMark/>
          </w:tcPr>
          <w:p w14:paraId="1B4A2952"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65</w:t>
            </w:r>
          </w:p>
        </w:tc>
        <w:tc>
          <w:tcPr>
            <w:tcW w:w="629" w:type="dxa"/>
            <w:tcBorders>
              <w:top w:val="nil"/>
              <w:left w:val="nil"/>
              <w:bottom w:val="single" w:sz="4" w:space="0" w:color="auto"/>
              <w:right w:val="single" w:sz="4" w:space="0" w:color="auto"/>
            </w:tcBorders>
            <w:shd w:val="clear" w:color="auto" w:fill="auto"/>
            <w:noWrap/>
            <w:vAlign w:val="bottom"/>
            <w:hideMark/>
          </w:tcPr>
          <w:p w14:paraId="071FF06E"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69</w:t>
            </w:r>
          </w:p>
        </w:tc>
        <w:tc>
          <w:tcPr>
            <w:tcW w:w="567" w:type="dxa"/>
            <w:tcBorders>
              <w:top w:val="nil"/>
              <w:left w:val="nil"/>
              <w:bottom w:val="single" w:sz="4" w:space="0" w:color="auto"/>
              <w:right w:val="single" w:sz="4" w:space="0" w:color="auto"/>
            </w:tcBorders>
            <w:shd w:val="clear" w:color="auto" w:fill="auto"/>
            <w:noWrap/>
            <w:vAlign w:val="bottom"/>
            <w:hideMark/>
          </w:tcPr>
          <w:p w14:paraId="6F5763EE"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73</w:t>
            </w:r>
          </w:p>
        </w:tc>
        <w:tc>
          <w:tcPr>
            <w:tcW w:w="703" w:type="dxa"/>
            <w:tcBorders>
              <w:top w:val="nil"/>
              <w:left w:val="nil"/>
              <w:bottom w:val="single" w:sz="4" w:space="0" w:color="auto"/>
              <w:right w:val="single" w:sz="4" w:space="0" w:color="auto"/>
            </w:tcBorders>
            <w:shd w:val="clear" w:color="auto" w:fill="auto"/>
            <w:noWrap/>
            <w:vAlign w:val="bottom"/>
            <w:hideMark/>
          </w:tcPr>
          <w:p w14:paraId="06A1959B"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85</w:t>
            </w:r>
          </w:p>
        </w:tc>
        <w:tc>
          <w:tcPr>
            <w:tcW w:w="609" w:type="dxa"/>
            <w:tcBorders>
              <w:top w:val="nil"/>
              <w:left w:val="nil"/>
              <w:bottom w:val="single" w:sz="4" w:space="0" w:color="auto"/>
              <w:right w:val="single" w:sz="4" w:space="0" w:color="auto"/>
            </w:tcBorders>
            <w:shd w:val="clear" w:color="auto" w:fill="auto"/>
            <w:noWrap/>
            <w:vAlign w:val="bottom"/>
            <w:hideMark/>
          </w:tcPr>
          <w:p w14:paraId="7FF4FD66"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74</w:t>
            </w:r>
          </w:p>
        </w:tc>
        <w:tc>
          <w:tcPr>
            <w:tcW w:w="531" w:type="dxa"/>
            <w:tcBorders>
              <w:top w:val="nil"/>
              <w:left w:val="nil"/>
              <w:bottom w:val="single" w:sz="4" w:space="0" w:color="auto"/>
              <w:right w:val="single" w:sz="4" w:space="0" w:color="auto"/>
            </w:tcBorders>
            <w:shd w:val="clear" w:color="auto" w:fill="auto"/>
            <w:noWrap/>
            <w:vAlign w:val="bottom"/>
            <w:hideMark/>
          </w:tcPr>
          <w:p w14:paraId="74AA24B1"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47</w:t>
            </w:r>
          </w:p>
        </w:tc>
        <w:tc>
          <w:tcPr>
            <w:tcW w:w="616" w:type="dxa"/>
            <w:tcBorders>
              <w:top w:val="nil"/>
              <w:left w:val="nil"/>
              <w:bottom w:val="single" w:sz="4" w:space="0" w:color="auto"/>
              <w:right w:val="single" w:sz="4" w:space="0" w:color="auto"/>
            </w:tcBorders>
            <w:shd w:val="clear" w:color="auto" w:fill="auto"/>
            <w:noWrap/>
            <w:vAlign w:val="bottom"/>
            <w:hideMark/>
          </w:tcPr>
          <w:p w14:paraId="3E4E9735"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80</w:t>
            </w:r>
          </w:p>
        </w:tc>
        <w:tc>
          <w:tcPr>
            <w:tcW w:w="620" w:type="dxa"/>
            <w:tcBorders>
              <w:top w:val="nil"/>
              <w:left w:val="nil"/>
              <w:bottom w:val="single" w:sz="4" w:space="0" w:color="auto"/>
              <w:right w:val="single" w:sz="4" w:space="0" w:color="auto"/>
            </w:tcBorders>
            <w:shd w:val="clear" w:color="auto" w:fill="auto"/>
            <w:noWrap/>
            <w:vAlign w:val="bottom"/>
            <w:hideMark/>
          </w:tcPr>
          <w:p w14:paraId="680B9E4C"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23</w:t>
            </w:r>
          </w:p>
        </w:tc>
        <w:tc>
          <w:tcPr>
            <w:tcW w:w="623" w:type="dxa"/>
            <w:tcBorders>
              <w:top w:val="nil"/>
              <w:left w:val="nil"/>
              <w:bottom w:val="single" w:sz="4" w:space="0" w:color="auto"/>
              <w:right w:val="single" w:sz="4" w:space="0" w:color="auto"/>
            </w:tcBorders>
            <w:shd w:val="clear" w:color="auto" w:fill="auto"/>
            <w:noWrap/>
            <w:vAlign w:val="bottom"/>
            <w:hideMark/>
          </w:tcPr>
          <w:p w14:paraId="20C4C5D8"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45</w:t>
            </w:r>
          </w:p>
        </w:tc>
        <w:tc>
          <w:tcPr>
            <w:tcW w:w="551" w:type="dxa"/>
            <w:tcBorders>
              <w:top w:val="nil"/>
              <w:left w:val="nil"/>
              <w:bottom w:val="single" w:sz="4" w:space="0" w:color="auto"/>
              <w:right w:val="single" w:sz="4" w:space="0" w:color="auto"/>
            </w:tcBorders>
            <w:shd w:val="clear" w:color="auto" w:fill="auto"/>
            <w:noWrap/>
            <w:vAlign w:val="bottom"/>
            <w:hideMark/>
          </w:tcPr>
          <w:p w14:paraId="37E6A917"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w:t>
            </w:r>
          </w:p>
        </w:tc>
        <w:tc>
          <w:tcPr>
            <w:tcW w:w="567" w:type="dxa"/>
            <w:tcBorders>
              <w:top w:val="nil"/>
              <w:left w:val="nil"/>
              <w:bottom w:val="single" w:sz="4" w:space="0" w:color="auto"/>
              <w:right w:val="single" w:sz="4" w:space="0" w:color="auto"/>
            </w:tcBorders>
            <w:shd w:val="clear" w:color="auto" w:fill="auto"/>
            <w:noWrap/>
            <w:vAlign w:val="bottom"/>
            <w:hideMark/>
          </w:tcPr>
          <w:p w14:paraId="26F1A4FC"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w:t>
            </w:r>
          </w:p>
        </w:tc>
        <w:tc>
          <w:tcPr>
            <w:tcW w:w="567" w:type="dxa"/>
            <w:tcBorders>
              <w:top w:val="nil"/>
              <w:left w:val="nil"/>
              <w:bottom w:val="single" w:sz="4" w:space="0" w:color="auto"/>
              <w:right w:val="single" w:sz="4" w:space="0" w:color="auto"/>
            </w:tcBorders>
            <w:shd w:val="clear" w:color="auto" w:fill="auto"/>
            <w:noWrap/>
            <w:vAlign w:val="bottom"/>
            <w:hideMark/>
          </w:tcPr>
          <w:p w14:paraId="1F5311EB"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7</w:t>
            </w:r>
          </w:p>
        </w:tc>
        <w:tc>
          <w:tcPr>
            <w:tcW w:w="703" w:type="dxa"/>
            <w:tcBorders>
              <w:top w:val="nil"/>
              <w:left w:val="nil"/>
              <w:bottom w:val="single" w:sz="4" w:space="0" w:color="auto"/>
              <w:right w:val="single" w:sz="4" w:space="0" w:color="auto"/>
            </w:tcBorders>
            <w:shd w:val="clear" w:color="auto" w:fill="auto"/>
            <w:noWrap/>
            <w:vAlign w:val="bottom"/>
            <w:hideMark/>
          </w:tcPr>
          <w:p w14:paraId="50E32AF4"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315</w:t>
            </w:r>
          </w:p>
        </w:tc>
        <w:tc>
          <w:tcPr>
            <w:tcW w:w="700" w:type="dxa"/>
            <w:tcBorders>
              <w:top w:val="nil"/>
              <w:left w:val="nil"/>
              <w:bottom w:val="single" w:sz="4" w:space="0" w:color="auto"/>
              <w:right w:val="single" w:sz="4" w:space="0" w:color="auto"/>
            </w:tcBorders>
            <w:shd w:val="clear" w:color="auto" w:fill="auto"/>
            <w:noWrap/>
            <w:vAlign w:val="bottom"/>
            <w:hideMark/>
          </w:tcPr>
          <w:p w14:paraId="35F3B087"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237</w:t>
            </w:r>
          </w:p>
        </w:tc>
        <w:tc>
          <w:tcPr>
            <w:tcW w:w="680" w:type="dxa"/>
            <w:tcBorders>
              <w:top w:val="nil"/>
              <w:left w:val="nil"/>
              <w:bottom w:val="single" w:sz="4" w:space="0" w:color="auto"/>
              <w:right w:val="single" w:sz="4" w:space="0" w:color="auto"/>
            </w:tcBorders>
            <w:shd w:val="clear" w:color="auto" w:fill="auto"/>
            <w:noWrap/>
            <w:vAlign w:val="bottom"/>
            <w:hideMark/>
          </w:tcPr>
          <w:p w14:paraId="60C7F55F"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250</w:t>
            </w:r>
          </w:p>
        </w:tc>
      </w:tr>
      <w:tr w:rsidR="00E335CE" w:rsidRPr="00B13B9A" w14:paraId="19B048E9" w14:textId="77777777" w:rsidTr="00332FF7">
        <w:trPr>
          <w:trHeight w:val="2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62299CF3" w14:textId="77777777" w:rsidR="00E335CE" w:rsidRPr="00B13B9A" w:rsidRDefault="00E335CE" w:rsidP="00E335CE">
            <w:pPr>
              <w:spacing w:after="0" w:line="240" w:lineRule="auto"/>
              <w:jc w:val="center"/>
              <w:rPr>
                <w:rFonts w:asciiTheme="majorHAnsi" w:eastAsia="Times New Roman" w:hAnsiTheme="majorHAnsi" w:cstheme="majorHAnsi"/>
                <w:b/>
                <w:bCs/>
                <w:color w:val="000000"/>
                <w:sz w:val="16"/>
                <w:szCs w:val="16"/>
                <w:lang w:val="ro-MD"/>
              </w:rPr>
            </w:pPr>
            <w:r w:rsidRPr="00B13B9A">
              <w:rPr>
                <w:rFonts w:asciiTheme="majorHAnsi" w:eastAsia="Times New Roman" w:hAnsiTheme="majorHAnsi" w:cstheme="majorHAnsi"/>
                <w:b/>
                <w:bCs/>
                <w:color w:val="000000"/>
                <w:sz w:val="16"/>
                <w:szCs w:val="16"/>
                <w:lang w:val="ro-MD"/>
              </w:rPr>
              <w:t>mai.23</w:t>
            </w:r>
          </w:p>
        </w:tc>
        <w:tc>
          <w:tcPr>
            <w:tcW w:w="703" w:type="dxa"/>
            <w:tcBorders>
              <w:top w:val="nil"/>
              <w:left w:val="nil"/>
              <w:bottom w:val="single" w:sz="4" w:space="0" w:color="auto"/>
              <w:right w:val="single" w:sz="4" w:space="0" w:color="auto"/>
            </w:tcBorders>
            <w:shd w:val="clear" w:color="auto" w:fill="auto"/>
            <w:noWrap/>
            <w:vAlign w:val="bottom"/>
            <w:hideMark/>
          </w:tcPr>
          <w:p w14:paraId="71770A30"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40</w:t>
            </w:r>
          </w:p>
        </w:tc>
        <w:tc>
          <w:tcPr>
            <w:tcW w:w="640" w:type="dxa"/>
            <w:tcBorders>
              <w:top w:val="nil"/>
              <w:left w:val="nil"/>
              <w:bottom w:val="single" w:sz="4" w:space="0" w:color="auto"/>
              <w:right w:val="single" w:sz="4" w:space="0" w:color="auto"/>
            </w:tcBorders>
            <w:shd w:val="clear" w:color="auto" w:fill="auto"/>
            <w:noWrap/>
            <w:vAlign w:val="bottom"/>
            <w:hideMark/>
          </w:tcPr>
          <w:p w14:paraId="7ECED390"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35</w:t>
            </w:r>
          </w:p>
        </w:tc>
        <w:tc>
          <w:tcPr>
            <w:tcW w:w="580" w:type="dxa"/>
            <w:tcBorders>
              <w:top w:val="nil"/>
              <w:left w:val="nil"/>
              <w:bottom w:val="single" w:sz="4" w:space="0" w:color="auto"/>
              <w:right w:val="single" w:sz="4" w:space="0" w:color="auto"/>
            </w:tcBorders>
            <w:shd w:val="clear" w:color="auto" w:fill="auto"/>
            <w:noWrap/>
            <w:vAlign w:val="bottom"/>
            <w:hideMark/>
          </w:tcPr>
          <w:p w14:paraId="5F972C87"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15</w:t>
            </w:r>
          </w:p>
        </w:tc>
        <w:tc>
          <w:tcPr>
            <w:tcW w:w="703" w:type="dxa"/>
            <w:gridSpan w:val="2"/>
            <w:tcBorders>
              <w:top w:val="nil"/>
              <w:left w:val="nil"/>
              <w:bottom w:val="single" w:sz="4" w:space="0" w:color="auto"/>
              <w:right w:val="single" w:sz="4" w:space="0" w:color="auto"/>
            </w:tcBorders>
            <w:shd w:val="clear" w:color="auto" w:fill="auto"/>
            <w:noWrap/>
            <w:vAlign w:val="bottom"/>
            <w:hideMark/>
          </w:tcPr>
          <w:p w14:paraId="45942291"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45</w:t>
            </w:r>
          </w:p>
        </w:tc>
        <w:tc>
          <w:tcPr>
            <w:tcW w:w="680" w:type="dxa"/>
            <w:tcBorders>
              <w:top w:val="nil"/>
              <w:left w:val="nil"/>
              <w:bottom w:val="single" w:sz="4" w:space="0" w:color="auto"/>
              <w:right w:val="single" w:sz="4" w:space="0" w:color="auto"/>
            </w:tcBorders>
            <w:shd w:val="clear" w:color="auto" w:fill="auto"/>
            <w:noWrap/>
            <w:vAlign w:val="bottom"/>
            <w:hideMark/>
          </w:tcPr>
          <w:p w14:paraId="5EFEE140"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42</w:t>
            </w:r>
          </w:p>
        </w:tc>
        <w:tc>
          <w:tcPr>
            <w:tcW w:w="534" w:type="dxa"/>
            <w:tcBorders>
              <w:top w:val="nil"/>
              <w:left w:val="nil"/>
              <w:bottom w:val="single" w:sz="4" w:space="0" w:color="auto"/>
              <w:right w:val="single" w:sz="4" w:space="0" w:color="auto"/>
            </w:tcBorders>
            <w:shd w:val="clear" w:color="auto" w:fill="auto"/>
            <w:noWrap/>
            <w:vAlign w:val="bottom"/>
            <w:hideMark/>
          </w:tcPr>
          <w:p w14:paraId="73144683"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48</w:t>
            </w:r>
          </w:p>
        </w:tc>
        <w:tc>
          <w:tcPr>
            <w:tcW w:w="703" w:type="dxa"/>
            <w:gridSpan w:val="2"/>
            <w:tcBorders>
              <w:top w:val="nil"/>
              <w:left w:val="nil"/>
              <w:bottom w:val="single" w:sz="4" w:space="0" w:color="auto"/>
              <w:right w:val="single" w:sz="4" w:space="0" w:color="auto"/>
            </w:tcBorders>
            <w:shd w:val="clear" w:color="auto" w:fill="auto"/>
            <w:noWrap/>
            <w:vAlign w:val="bottom"/>
            <w:hideMark/>
          </w:tcPr>
          <w:p w14:paraId="6BE20FDD"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65</w:t>
            </w:r>
          </w:p>
        </w:tc>
        <w:tc>
          <w:tcPr>
            <w:tcW w:w="629" w:type="dxa"/>
            <w:tcBorders>
              <w:top w:val="nil"/>
              <w:left w:val="nil"/>
              <w:bottom w:val="single" w:sz="4" w:space="0" w:color="auto"/>
              <w:right w:val="single" w:sz="4" w:space="0" w:color="auto"/>
            </w:tcBorders>
            <w:shd w:val="clear" w:color="auto" w:fill="auto"/>
            <w:noWrap/>
            <w:vAlign w:val="bottom"/>
            <w:hideMark/>
          </w:tcPr>
          <w:p w14:paraId="5A87904A"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73</w:t>
            </w:r>
          </w:p>
        </w:tc>
        <w:tc>
          <w:tcPr>
            <w:tcW w:w="567" w:type="dxa"/>
            <w:tcBorders>
              <w:top w:val="nil"/>
              <w:left w:val="nil"/>
              <w:bottom w:val="single" w:sz="4" w:space="0" w:color="auto"/>
              <w:right w:val="single" w:sz="4" w:space="0" w:color="auto"/>
            </w:tcBorders>
            <w:shd w:val="clear" w:color="auto" w:fill="auto"/>
            <w:noWrap/>
            <w:vAlign w:val="bottom"/>
            <w:hideMark/>
          </w:tcPr>
          <w:p w14:paraId="1DB73C3B"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68</w:t>
            </w:r>
          </w:p>
        </w:tc>
        <w:tc>
          <w:tcPr>
            <w:tcW w:w="703" w:type="dxa"/>
            <w:tcBorders>
              <w:top w:val="nil"/>
              <w:left w:val="nil"/>
              <w:bottom w:val="single" w:sz="4" w:space="0" w:color="auto"/>
              <w:right w:val="single" w:sz="4" w:space="0" w:color="auto"/>
            </w:tcBorders>
            <w:shd w:val="clear" w:color="auto" w:fill="auto"/>
            <w:noWrap/>
            <w:vAlign w:val="bottom"/>
            <w:hideMark/>
          </w:tcPr>
          <w:p w14:paraId="198E52A4"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85</w:t>
            </w:r>
          </w:p>
        </w:tc>
        <w:tc>
          <w:tcPr>
            <w:tcW w:w="609" w:type="dxa"/>
            <w:tcBorders>
              <w:top w:val="nil"/>
              <w:left w:val="nil"/>
              <w:bottom w:val="single" w:sz="4" w:space="0" w:color="auto"/>
              <w:right w:val="single" w:sz="4" w:space="0" w:color="auto"/>
            </w:tcBorders>
            <w:shd w:val="clear" w:color="auto" w:fill="auto"/>
            <w:noWrap/>
            <w:vAlign w:val="bottom"/>
            <w:hideMark/>
          </w:tcPr>
          <w:p w14:paraId="040521B1"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47</w:t>
            </w:r>
          </w:p>
        </w:tc>
        <w:tc>
          <w:tcPr>
            <w:tcW w:w="531" w:type="dxa"/>
            <w:tcBorders>
              <w:top w:val="nil"/>
              <w:left w:val="nil"/>
              <w:bottom w:val="single" w:sz="4" w:space="0" w:color="auto"/>
              <w:right w:val="single" w:sz="4" w:space="0" w:color="auto"/>
            </w:tcBorders>
            <w:shd w:val="clear" w:color="auto" w:fill="auto"/>
            <w:noWrap/>
            <w:vAlign w:val="bottom"/>
            <w:hideMark/>
          </w:tcPr>
          <w:p w14:paraId="53EA3B0C"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34</w:t>
            </w:r>
          </w:p>
        </w:tc>
        <w:tc>
          <w:tcPr>
            <w:tcW w:w="616" w:type="dxa"/>
            <w:tcBorders>
              <w:top w:val="nil"/>
              <w:left w:val="nil"/>
              <w:bottom w:val="single" w:sz="4" w:space="0" w:color="auto"/>
              <w:right w:val="single" w:sz="4" w:space="0" w:color="auto"/>
            </w:tcBorders>
            <w:shd w:val="clear" w:color="auto" w:fill="auto"/>
            <w:noWrap/>
            <w:vAlign w:val="bottom"/>
            <w:hideMark/>
          </w:tcPr>
          <w:p w14:paraId="5BE81A98"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80</w:t>
            </w:r>
          </w:p>
        </w:tc>
        <w:tc>
          <w:tcPr>
            <w:tcW w:w="620" w:type="dxa"/>
            <w:tcBorders>
              <w:top w:val="nil"/>
              <w:left w:val="nil"/>
              <w:bottom w:val="single" w:sz="4" w:space="0" w:color="auto"/>
              <w:right w:val="single" w:sz="4" w:space="0" w:color="auto"/>
            </w:tcBorders>
            <w:shd w:val="clear" w:color="auto" w:fill="auto"/>
            <w:noWrap/>
            <w:vAlign w:val="bottom"/>
            <w:hideMark/>
          </w:tcPr>
          <w:p w14:paraId="72510DE3"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45</w:t>
            </w:r>
          </w:p>
        </w:tc>
        <w:tc>
          <w:tcPr>
            <w:tcW w:w="623" w:type="dxa"/>
            <w:tcBorders>
              <w:top w:val="nil"/>
              <w:left w:val="nil"/>
              <w:bottom w:val="single" w:sz="4" w:space="0" w:color="auto"/>
              <w:right w:val="single" w:sz="4" w:space="0" w:color="auto"/>
            </w:tcBorders>
            <w:shd w:val="clear" w:color="auto" w:fill="auto"/>
            <w:noWrap/>
            <w:vAlign w:val="bottom"/>
            <w:hideMark/>
          </w:tcPr>
          <w:p w14:paraId="2A8EA10C"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45</w:t>
            </w:r>
          </w:p>
        </w:tc>
        <w:tc>
          <w:tcPr>
            <w:tcW w:w="551" w:type="dxa"/>
            <w:tcBorders>
              <w:top w:val="nil"/>
              <w:left w:val="nil"/>
              <w:bottom w:val="single" w:sz="4" w:space="0" w:color="auto"/>
              <w:right w:val="single" w:sz="4" w:space="0" w:color="auto"/>
            </w:tcBorders>
            <w:shd w:val="clear" w:color="auto" w:fill="auto"/>
            <w:noWrap/>
            <w:vAlign w:val="bottom"/>
            <w:hideMark/>
          </w:tcPr>
          <w:p w14:paraId="3CC50C45"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w:t>
            </w:r>
          </w:p>
        </w:tc>
        <w:tc>
          <w:tcPr>
            <w:tcW w:w="567" w:type="dxa"/>
            <w:tcBorders>
              <w:top w:val="nil"/>
              <w:left w:val="nil"/>
              <w:bottom w:val="single" w:sz="4" w:space="0" w:color="auto"/>
              <w:right w:val="single" w:sz="4" w:space="0" w:color="auto"/>
            </w:tcBorders>
            <w:shd w:val="clear" w:color="auto" w:fill="auto"/>
            <w:noWrap/>
            <w:vAlign w:val="bottom"/>
            <w:hideMark/>
          </w:tcPr>
          <w:p w14:paraId="6E7494C5"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7</w:t>
            </w:r>
          </w:p>
        </w:tc>
        <w:tc>
          <w:tcPr>
            <w:tcW w:w="567" w:type="dxa"/>
            <w:tcBorders>
              <w:top w:val="nil"/>
              <w:left w:val="nil"/>
              <w:bottom w:val="single" w:sz="4" w:space="0" w:color="auto"/>
              <w:right w:val="single" w:sz="4" w:space="0" w:color="auto"/>
            </w:tcBorders>
            <w:shd w:val="clear" w:color="auto" w:fill="auto"/>
            <w:noWrap/>
            <w:vAlign w:val="bottom"/>
            <w:hideMark/>
          </w:tcPr>
          <w:p w14:paraId="097C4461"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5</w:t>
            </w:r>
          </w:p>
        </w:tc>
        <w:tc>
          <w:tcPr>
            <w:tcW w:w="703" w:type="dxa"/>
            <w:tcBorders>
              <w:top w:val="nil"/>
              <w:left w:val="nil"/>
              <w:bottom w:val="single" w:sz="4" w:space="0" w:color="auto"/>
              <w:right w:val="single" w:sz="4" w:space="0" w:color="auto"/>
            </w:tcBorders>
            <w:shd w:val="clear" w:color="auto" w:fill="auto"/>
            <w:noWrap/>
            <w:vAlign w:val="bottom"/>
            <w:hideMark/>
          </w:tcPr>
          <w:p w14:paraId="7F57E59F"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315</w:t>
            </w:r>
          </w:p>
        </w:tc>
        <w:tc>
          <w:tcPr>
            <w:tcW w:w="700" w:type="dxa"/>
            <w:tcBorders>
              <w:top w:val="nil"/>
              <w:left w:val="nil"/>
              <w:bottom w:val="single" w:sz="4" w:space="0" w:color="auto"/>
              <w:right w:val="single" w:sz="4" w:space="0" w:color="auto"/>
            </w:tcBorders>
            <w:shd w:val="clear" w:color="auto" w:fill="auto"/>
            <w:noWrap/>
            <w:vAlign w:val="bottom"/>
            <w:hideMark/>
          </w:tcPr>
          <w:p w14:paraId="6A11014A"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250</w:t>
            </w:r>
          </w:p>
        </w:tc>
        <w:tc>
          <w:tcPr>
            <w:tcW w:w="680" w:type="dxa"/>
            <w:tcBorders>
              <w:top w:val="nil"/>
              <w:left w:val="nil"/>
              <w:bottom w:val="single" w:sz="4" w:space="0" w:color="auto"/>
              <w:right w:val="single" w:sz="4" w:space="0" w:color="auto"/>
            </w:tcBorders>
            <w:shd w:val="clear" w:color="auto" w:fill="auto"/>
            <w:noWrap/>
            <w:vAlign w:val="bottom"/>
            <w:hideMark/>
          </w:tcPr>
          <w:p w14:paraId="296B6FE4"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215</w:t>
            </w:r>
          </w:p>
        </w:tc>
      </w:tr>
      <w:tr w:rsidR="00E335CE" w:rsidRPr="00B13B9A" w14:paraId="5A89ED35" w14:textId="77777777" w:rsidTr="00332FF7">
        <w:trPr>
          <w:trHeight w:val="2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1AE9C646" w14:textId="77777777" w:rsidR="00E335CE" w:rsidRPr="00B13B9A" w:rsidRDefault="00E335CE" w:rsidP="00E335CE">
            <w:pPr>
              <w:spacing w:after="0" w:line="240" w:lineRule="auto"/>
              <w:jc w:val="center"/>
              <w:rPr>
                <w:rFonts w:asciiTheme="majorHAnsi" w:eastAsia="Times New Roman" w:hAnsiTheme="majorHAnsi" w:cstheme="majorHAnsi"/>
                <w:b/>
                <w:bCs/>
                <w:color w:val="000000"/>
                <w:sz w:val="16"/>
                <w:szCs w:val="16"/>
                <w:lang w:val="ro-MD"/>
              </w:rPr>
            </w:pPr>
            <w:r w:rsidRPr="00B13B9A">
              <w:rPr>
                <w:rFonts w:asciiTheme="majorHAnsi" w:eastAsia="Times New Roman" w:hAnsiTheme="majorHAnsi" w:cstheme="majorHAnsi"/>
                <w:b/>
                <w:bCs/>
                <w:color w:val="000000"/>
                <w:sz w:val="16"/>
                <w:szCs w:val="16"/>
                <w:lang w:val="ro-MD"/>
              </w:rPr>
              <w:t>iun.23</w:t>
            </w:r>
          </w:p>
        </w:tc>
        <w:tc>
          <w:tcPr>
            <w:tcW w:w="703" w:type="dxa"/>
            <w:tcBorders>
              <w:top w:val="nil"/>
              <w:left w:val="nil"/>
              <w:bottom w:val="single" w:sz="4" w:space="0" w:color="auto"/>
              <w:right w:val="single" w:sz="4" w:space="0" w:color="auto"/>
            </w:tcBorders>
            <w:shd w:val="clear" w:color="auto" w:fill="auto"/>
            <w:noWrap/>
            <w:vAlign w:val="bottom"/>
            <w:hideMark/>
          </w:tcPr>
          <w:p w14:paraId="156824AE"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40</w:t>
            </w:r>
          </w:p>
        </w:tc>
        <w:tc>
          <w:tcPr>
            <w:tcW w:w="640" w:type="dxa"/>
            <w:tcBorders>
              <w:top w:val="nil"/>
              <w:left w:val="nil"/>
              <w:bottom w:val="single" w:sz="4" w:space="0" w:color="auto"/>
              <w:right w:val="single" w:sz="4" w:space="0" w:color="auto"/>
            </w:tcBorders>
            <w:shd w:val="clear" w:color="auto" w:fill="auto"/>
            <w:noWrap/>
            <w:vAlign w:val="bottom"/>
            <w:hideMark/>
          </w:tcPr>
          <w:p w14:paraId="5753D1FE"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15</w:t>
            </w:r>
          </w:p>
        </w:tc>
        <w:tc>
          <w:tcPr>
            <w:tcW w:w="580" w:type="dxa"/>
            <w:tcBorders>
              <w:top w:val="nil"/>
              <w:left w:val="nil"/>
              <w:bottom w:val="single" w:sz="4" w:space="0" w:color="auto"/>
              <w:right w:val="single" w:sz="4" w:space="0" w:color="auto"/>
            </w:tcBorders>
            <w:shd w:val="clear" w:color="auto" w:fill="auto"/>
            <w:noWrap/>
            <w:vAlign w:val="bottom"/>
            <w:hideMark/>
          </w:tcPr>
          <w:p w14:paraId="45ABF29C"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26</w:t>
            </w:r>
          </w:p>
        </w:tc>
        <w:tc>
          <w:tcPr>
            <w:tcW w:w="703" w:type="dxa"/>
            <w:gridSpan w:val="2"/>
            <w:tcBorders>
              <w:top w:val="nil"/>
              <w:left w:val="nil"/>
              <w:bottom w:val="single" w:sz="4" w:space="0" w:color="auto"/>
              <w:right w:val="single" w:sz="4" w:space="0" w:color="auto"/>
            </w:tcBorders>
            <w:shd w:val="clear" w:color="auto" w:fill="auto"/>
            <w:noWrap/>
            <w:vAlign w:val="bottom"/>
            <w:hideMark/>
          </w:tcPr>
          <w:p w14:paraId="708735BE"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45</w:t>
            </w:r>
          </w:p>
        </w:tc>
        <w:tc>
          <w:tcPr>
            <w:tcW w:w="680" w:type="dxa"/>
            <w:tcBorders>
              <w:top w:val="nil"/>
              <w:left w:val="nil"/>
              <w:bottom w:val="single" w:sz="4" w:space="0" w:color="auto"/>
              <w:right w:val="single" w:sz="4" w:space="0" w:color="auto"/>
            </w:tcBorders>
            <w:shd w:val="clear" w:color="auto" w:fill="auto"/>
            <w:noWrap/>
            <w:vAlign w:val="bottom"/>
            <w:hideMark/>
          </w:tcPr>
          <w:p w14:paraId="0E25A985"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48</w:t>
            </w:r>
          </w:p>
        </w:tc>
        <w:tc>
          <w:tcPr>
            <w:tcW w:w="534" w:type="dxa"/>
            <w:tcBorders>
              <w:top w:val="nil"/>
              <w:left w:val="nil"/>
              <w:bottom w:val="single" w:sz="4" w:space="0" w:color="auto"/>
              <w:right w:val="single" w:sz="4" w:space="0" w:color="auto"/>
            </w:tcBorders>
            <w:shd w:val="clear" w:color="auto" w:fill="auto"/>
            <w:noWrap/>
            <w:vAlign w:val="bottom"/>
            <w:hideMark/>
          </w:tcPr>
          <w:p w14:paraId="55E51195"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42</w:t>
            </w:r>
          </w:p>
        </w:tc>
        <w:tc>
          <w:tcPr>
            <w:tcW w:w="703" w:type="dxa"/>
            <w:gridSpan w:val="2"/>
            <w:tcBorders>
              <w:top w:val="nil"/>
              <w:left w:val="nil"/>
              <w:bottom w:val="single" w:sz="4" w:space="0" w:color="auto"/>
              <w:right w:val="single" w:sz="4" w:space="0" w:color="auto"/>
            </w:tcBorders>
            <w:shd w:val="clear" w:color="auto" w:fill="auto"/>
            <w:noWrap/>
            <w:vAlign w:val="bottom"/>
            <w:hideMark/>
          </w:tcPr>
          <w:p w14:paraId="4FE058CB"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65</w:t>
            </w:r>
          </w:p>
        </w:tc>
        <w:tc>
          <w:tcPr>
            <w:tcW w:w="629" w:type="dxa"/>
            <w:tcBorders>
              <w:top w:val="nil"/>
              <w:left w:val="nil"/>
              <w:bottom w:val="single" w:sz="4" w:space="0" w:color="auto"/>
              <w:right w:val="single" w:sz="4" w:space="0" w:color="auto"/>
            </w:tcBorders>
            <w:shd w:val="clear" w:color="auto" w:fill="auto"/>
            <w:noWrap/>
            <w:vAlign w:val="bottom"/>
            <w:hideMark/>
          </w:tcPr>
          <w:p w14:paraId="6CBB5183"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68</w:t>
            </w:r>
          </w:p>
        </w:tc>
        <w:tc>
          <w:tcPr>
            <w:tcW w:w="567" w:type="dxa"/>
            <w:tcBorders>
              <w:top w:val="nil"/>
              <w:left w:val="nil"/>
              <w:bottom w:val="single" w:sz="4" w:space="0" w:color="auto"/>
              <w:right w:val="single" w:sz="4" w:space="0" w:color="auto"/>
            </w:tcBorders>
            <w:shd w:val="clear" w:color="auto" w:fill="auto"/>
            <w:noWrap/>
            <w:vAlign w:val="bottom"/>
            <w:hideMark/>
          </w:tcPr>
          <w:p w14:paraId="693312C3"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46</w:t>
            </w:r>
          </w:p>
        </w:tc>
        <w:tc>
          <w:tcPr>
            <w:tcW w:w="703" w:type="dxa"/>
            <w:tcBorders>
              <w:top w:val="nil"/>
              <w:left w:val="nil"/>
              <w:bottom w:val="single" w:sz="4" w:space="0" w:color="auto"/>
              <w:right w:val="single" w:sz="4" w:space="0" w:color="auto"/>
            </w:tcBorders>
            <w:shd w:val="clear" w:color="auto" w:fill="auto"/>
            <w:noWrap/>
            <w:vAlign w:val="bottom"/>
            <w:hideMark/>
          </w:tcPr>
          <w:p w14:paraId="6763AC90"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85</w:t>
            </w:r>
          </w:p>
        </w:tc>
        <w:tc>
          <w:tcPr>
            <w:tcW w:w="609" w:type="dxa"/>
            <w:tcBorders>
              <w:top w:val="nil"/>
              <w:left w:val="nil"/>
              <w:bottom w:val="single" w:sz="4" w:space="0" w:color="auto"/>
              <w:right w:val="single" w:sz="4" w:space="0" w:color="auto"/>
            </w:tcBorders>
            <w:shd w:val="clear" w:color="auto" w:fill="auto"/>
            <w:noWrap/>
            <w:vAlign w:val="bottom"/>
            <w:hideMark/>
          </w:tcPr>
          <w:p w14:paraId="75DFF576"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34</w:t>
            </w:r>
          </w:p>
        </w:tc>
        <w:tc>
          <w:tcPr>
            <w:tcW w:w="531" w:type="dxa"/>
            <w:tcBorders>
              <w:top w:val="nil"/>
              <w:left w:val="nil"/>
              <w:bottom w:val="single" w:sz="4" w:space="0" w:color="auto"/>
              <w:right w:val="single" w:sz="4" w:space="0" w:color="auto"/>
            </w:tcBorders>
            <w:shd w:val="clear" w:color="auto" w:fill="auto"/>
            <w:noWrap/>
            <w:vAlign w:val="bottom"/>
            <w:hideMark/>
          </w:tcPr>
          <w:p w14:paraId="2BD8B850"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42</w:t>
            </w:r>
          </w:p>
        </w:tc>
        <w:tc>
          <w:tcPr>
            <w:tcW w:w="616" w:type="dxa"/>
            <w:tcBorders>
              <w:top w:val="nil"/>
              <w:left w:val="nil"/>
              <w:bottom w:val="single" w:sz="4" w:space="0" w:color="auto"/>
              <w:right w:val="single" w:sz="4" w:space="0" w:color="auto"/>
            </w:tcBorders>
            <w:shd w:val="clear" w:color="auto" w:fill="auto"/>
            <w:noWrap/>
            <w:vAlign w:val="bottom"/>
            <w:hideMark/>
          </w:tcPr>
          <w:p w14:paraId="3423A610"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80</w:t>
            </w:r>
          </w:p>
        </w:tc>
        <w:tc>
          <w:tcPr>
            <w:tcW w:w="620" w:type="dxa"/>
            <w:tcBorders>
              <w:top w:val="nil"/>
              <w:left w:val="nil"/>
              <w:bottom w:val="single" w:sz="4" w:space="0" w:color="auto"/>
              <w:right w:val="single" w:sz="4" w:space="0" w:color="auto"/>
            </w:tcBorders>
            <w:shd w:val="clear" w:color="auto" w:fill="auto"/>
            <w:noWrap/>
            <w:vAlign w:val="bottom"/>
            <w:hideMark/>
          </w:tcPr>
          <w:p w14:paraId="56A674D9"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45</w:t>
            </w:r>
          </w:p>
        </w:tc>
        <w:tc>
          <w:tcPr>
            <w:tcW w:w="623" w:type="dxa"/>
            <w:tcBorders>
              <w:top w:val="nil"/>
              <w:left w:val="nil"/>
              <w:bottom w:val="single" w:sz="4" w:space="0" w:color="auto"/>
              <w:right w:val="single" w:sz="4" w:space="0" w:color="auto"/>
            </w:tcBorders>
            <w:shd w:val="clear" w:color="auto" w:fill="auto"/>
            <w:noWrap/>
            <w:vAlign w:val="bottom"/>
            <w:hideMark/>
          </w:tcPr>
          <w:p w14:paraId="4ADD9C25"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42</w:t>
            </w:r>
          </w:p>
        </w:tc>
        <w:tc>
          <w:tcPr>
            <w:tcW w:w="551" w:type="dxa"/>
            <w:tcBorders>
              <w:top w:val="nil"/>
              <w:left w:val="nil"/>
              <w:bottom w:val="single" w:sz="4" w:space="0" w:color="auto"/>
              <w:right w:val="single" w:sz="4" w:space="0" w:color="auto"/>
            </w:tcBorders>
            <w:shd w:val="clear" w:color="auto" w:fill="auto"/>
            <w:noWrap/>
            <w:vAlign w:val="bottom"/>
            <w:hideMark/>
          </w:tcPr>
          <w:p w14:paraId="32BC2630"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6</w:t>
            </w:r>
          </w:p>
        </w:tc>
        <w:tc>
          <w:tcPr>
            <w:tcW w:w="567" w:type="dxa"/>
            <w:tcBorders>
              <w:top w:val="nil"/>
              <w:left w:val="nil"/>
              <w:bottom w:val="single" w:sz="4" w:space="0" w:color="auto"/>
              <w:right w:val="single" w:sz="4" w:space="0" w:color="auto"/>
            </w:tcBorders>
            <w:shd w:val="clear" w:color="auto" w:fill="auto"/>
            <w:noWrap/>
            <w:vAlign w:val="bottom"/>
            <w:hideMark/>
          </w:tcPr>
          <w:p w14:paraId="7711C4BE"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5</w:t>
            </w:r>
          </w:p>
        </w:tc>
        <w:tc>
          <w:tcPr>
            <w:tcW w:w="567" w:type="dxa"/>
            <w:tcBorders>
              <w:top w:val="nil"/>
              <w:left w:val="nil"/>
              <w:bottom w:val="single" w:sz="4" w:space="0" w:color="auto"/>
              <w:right w:val="single" w:sz="4" w:space="0" w:color="auto"/>
            </w:tcBorders>
            <w:shd w:val="clear" w:color="auto" w:fill="auto"/>
            <w:noWrap/>
            <w:vAlign w:val="bottom"/>
            <w:hideMark/>
          </w:tcPr>
          <w:p w14:paraId="7FB5ADE6"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5</w:t>
            </w:r>
          </w:p>
        </w:tc>
        <w:tc>
          <w:tcPr>
            <w:tcW w:w="703" w:type="dxa"/>
            <w:tcBorders>
              <w:top w:val="nil"/>
              <w:left w:val="nil"/>
              <w:bottom w:val="single" w:sz="4" w:space="0" w:color="auto"/>
              <w:right w:val="single" w:sz="4" w:space="0" w:color="auto"/>
            </w:tcBorders>
            <w:shd w:val="clear" w:color="auto" w:fill="auto"/>
            <w:noWrap/>
            <w:vAlign w:val="bottom"/>
            <w:hideMark/>
          </w:tcPr>
          <w:p w14:paraId="77DD3A93"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315</w:t>
            </w:r>
          </w:p>
        </w:tc>
        <w:tc>
          <w:tcPr>
            <w:tcW w:w="700" w:type="dxa"/>
            <w:tcBorders>
              <w:top w:val="nil"/>
              <w:left w:val="nil"/>
              <w:bottom w:val="single" w:sz="4" w:space="0" w:color="auto"/>
              <w:right w:val="single" w:sz="4" w:space="0" w:color="auto"/>
            </w:tcBorders>
            <w:shd w:val="clear" w:color="auto" w:fill="auto"/>
            <w:noWrap/>
            <w:vAlign w:val="bottom"/>
            <w:hideMark/>
          </w:tcPr>
          <w:p w14:paraId="7D1D1A80"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215</w:t>
            </w:r>
          </w:p>
        </w:tc>
        <w:tc>
          <w:tcPr>
            <w:tcW w:w="680" w:type="dxa"/>
            <w:tcBorders>
              <w:top w:val="nil"/>
              <w:left w:val="nil"/>
              <w:bottom w:val="single" w:sz="4" w:space="0" w:color="auto"/>
              <w:right w:val="single" w:sz="4" w:space="0" w:color="auto"/>
            </w:tcBorders>
            <w:shd w:val="clear" w:color="auto" w:fill="auto"/>
            <w:noWrap/>
            <w:vAlign w:val="bottom"/>
            <w:hideMark/>
          </w:tcPr>
          <w:p w14:paraId="608E9F80" w14:textId="77777777" w:rsidR="00E335CE" w:rsidRPr="00B13B9A" w:rsidRDefault="00E335CE" w:rsidP="00E335CE">
            <w:pPr>
              <w:spacing w:after="0" w:line="240" w:lineRule="auto"/>
              <w:jc w:val="right"/>
              <w:rPr>
                <w:rFonts w:asciiTheme="majorHAnsi" w:eastAsia="Times New Roman" w:hAnsiTheme="majorHAnsi" w:cstheme="majorHAnsi"/>
                <w:color w:val="000000"/>
                <w:sz w:val="16"/>
                <w:szCs w:val="16"/>
                <w:lang w:val="ro-MD"/>
              </w:rPr>
            </w:pPr>
            <w:r w:rsidRPr="00B13B9A">
              <w:rPr>
                <w:rFonts w:asciiTheme="majorHAnsi" w:eastAsia="Times New Roman" w:hAnsiTheme="majorHAnsi" w:cstheme="majorHAnsi"/>
                <w:color w:val="000000"/>
                <w:sz w:val="16"/>
                <w:szCs w:val="16"/>
                <w:lang w:val="ro-MD"/>
              </w:rPr>
              <w:t>203</w:t>
            </w:r>
          </w:p>
        </w:tc>
      </w:tr>
    </w:tbl>
    <w:p w14:paraId="785DDFD2" w14:textId="0EE7C5B4" w:rsidR="00E335CE" w:rsidRPr="00B13B9A" w:rsidRDefault="0007264E" w:rsidP="00A046DD">
      <w:pPr>
        <w:pStyle w:val="cn"/>
        <w:spacing w:line="276" w:lineRule="auto"/>
        <w:ind w:right="71"/>
        <w:jc w:val="both"/>
        <w:rPr>
          <w:rFonts w:asciiTheme="majorHAnsi" w:eastAsiaTheme="minorHAnsi" w:hAnsiTheme="majorHAnsi" w:cstheme="majorHAnsi"/>
          <w:i/>
          <w:sz w:val="20"/>
          <w:szCs w:val="20"/>
          <w:lang w:val="ro-MD" w:eastAsia="en-US"/>
        </w:rPr>
      </w:pPr>
      <w:r w:rsidRPr="00B13B9A">
        <w:rPr>
          <w:rFonts w:asciiTheme="majorHAnsi" w:eastAsiaTheme="minorHAnsi" w:hAnsiTheme="majorHAnsi" w:cstheme="majorHAnsi"/>
          <w:b/>
          <w:i/>
          <w:sz w:val="20"/>
          <w:szCs w:val="20"/>
          <w:lang w:val="ro-MD" w:eastAsia="en-US"/>
        </w:rPr>
        <w:t>Sursa:</w:t>
      </w:r>
      <w:r w:rsidRPr="00B13B9A">
        <w:rPr>
          <w:rFonts w:asciiTheme="majorHAnsi" w:eastAsiaTheme="minorHAnsi" w:hAnsiTheme="majorHAnsi" w:cstheme="majorHAnsi"/>
          <w:i/>
          <w:sz w:val="20"/>
          <w:szCs w:val="20"/>
          <w:lang w:val="ro-MD" w:eastAsia="en-US"/>
        </w:rPr>
        <w:t xml:space="preserve"> Informa</w:t>
      </w:r>
      <w:r w:rsidR="00B13B9A" w:rsidRPr="00B13B9A">
        <w:rPr>
          <w:rFonts w:asciiTheme="majorHAnsi" w:eastAsiaTheme="minorHAnsi" w:hAnsiTheme="majorHAnsi" w:cstheme="majorHAnsi"/>
          <w:i/>
          <w:sz w:val="20"/>
          <w:szCs w:val="20"/>
          <w:lang w:val="ro-MD" w:eastAsia="en-US"/>
        </w:rPr>
        <w:t>ț</w:t>
      </w:r>
      <w:r w:rsidRPr="00B13B9A">
        <w:rPr>
          <w:rFonts w:asciiTheme="majorHAnsi" w:eastAsiaTheme="minorHAnsi" w:hAnsiTheme="majorHAnsi" w:cstheme="majorHAnsi"/>
          <w:i/>
          <w:sz w:val="20"/>
          <w:szCs w:val="20"/>
          <w:lang w:val="ro-MD" w:eastAsia="en-US"/>
        </w:rPr>
        <w:t>ii prezentate de entitate</w:t>
      </w:r>
      <w:r w:rsidR="00D80586" w:rsidRPr="00B13B9A">
        <w:rPr>
          <w:rFonts w:asciiTheme="majorHAnsi" w:eastAsiaTheme="minorHAnsi" w:hAnsiTheme="majorHAnsi" w:cstheme="majorHAnsi"/>
          <w:i/>
          <w:sz w:val="20"/>
          <w:szCs w:val="20"/>
          <w:lang w:val="ro-MD" w:eastAsia="en-US"/>
        </w:rPr>
        <w:t>.</w:t>
      </w:r>
    </w:p>
    <w:p w14:paraId="446065C3" w14:textId="77777777" w:rsidR="00695705" w:rsidRPr="00B13B9A" w:rsidRDefault="00695705" w:rsidP="00A046DD">
      <w:pPr>
        <w:pStyle w:val="cn"/>
        <w:spacing w:line="276" w:lineRule="auto"/>
        <w:ind w:right="71"/>
        <w:jc w:val="both"/>
        <w:rPr>
          <w:rFonts w:asciiTheme="majorHAnsi" w:eastAsiaTheme="minorHAnsi" w:hAnsiTheme="majorHAnsi" w:cstheme="majorHAnsi"/>
          <w:b/>
          <w:lang w:val="ro-MD" w:eastAsia="en-US"/>
        </w:rPr>
      </w:pPr>
    </w:p>
    <w:p w14:paraId="16591D39" w14:textId="77777777" w:rsidR="00332FF7" w:rsidRDefault="00332FF7" w:rsidP="00A046DD">
      <w:pPr>
        <w:pStyle w:val="cn"/>
        <w:spacing w:line="276" w:lineRule="auto"/>
        <w:ind w:right="71"/>
        <w:jc w:val="both"/>
        <w:rPr>
          <w:rFonts w:asciiTheme="majorHAnsi" w:eastAsiaTheme="minorHAnsi" w:hAnsiTheme="majorHAnsi" w:cstheme="majorHAnsi"/>
          <w:b/>
          <w:lang w:val="ro-MD" w:eastAsia="en-US"/>
        </w:rPr>
        <w:sectPr w:rsidR="00332FF7" w:rsidSect="00D3471D">
          <w:pgSz w:w="15840" w:h="12240" w:orient="landscape"/>
          <w:pgMar w:top="1350" w:right="1134" w:bottom="760" w:left="1134" w:header="709" w:footer="709" w:gutter="0"/>
          <w:cols w:space="708"/>
          <w:docGrid w:linePitch="360"/>
        </w:sectPr>
      </w:pPr>
    </w:p>
    <w:p w14:paraId="44A129D6" w14:textId="77777777" w:rsidR="00695705" w:rsidRPr="00B13B9A" w:rsidRDefault="00D3471D" w:rsidP="00D3471D">
      <w:pPr>
        <w:pStyle w:val="3"/>
        <w:jc w:val="right"/>
        <w:rPr>
          <w:rFonts w:cstheme="majorHAnsi"/>
          <w:b/>
          <w:color w:val="auto"/>
        </w:rPr>
      </w:pPr>
      <w:bookmarkStart w:id="72" w:name="_Toc154562542"/>
      <w:r w:rsidRPr="00B13B9A">
        <w:rPr>
          <w:rFonts w:cstheme="majorHAnsi"/>
          <w:b/>
          <w:color w:val="auto"/>
        </w:rPr>
        <w:t>Anexa</w:t>
      </w:r>
      <w:r w:rsidR="00695705" w:rsidRPr="00B13B9A">
        <w:rPr>
          <w:rFonts w:cstheme="majorHAnsi"/>
          <w:b/>
          <w:color w:val="auto"/>
        </w:rPr>
        <w:t xml:space="preserve"> nr.1</w:t>
      </w:r>
      <w:r w:rsidR="00251EC7" w:rsidRPr="00B13B9A">
        <w:rPr>
          <w:rFonts w:cstheme="majorHAnsi"/>
          <w:b/>
          <w:color w:val="auto"/>
        </w:rPr>
        <w:t>9</w:t>
      </w:r>
      <w:bookmarkEnd w:id="72"/>
    </w:p>
    <w:p w14:paraId="75CEBD19" w14:textId="26EC266F" w:rsidR="00695705" w:rsidRPr="00B13B9A" w:rsidRDefault="00695705" w:rsidP="00695705">
      <w:pPr>
        <w:spacing w:after="0" w:line="276" w:lineRule="auto"/>
        <w:jc w:val="center"/>
        <w:rPr>
          <w:rFonts w:asciiTheme="majorHAnsi" w:hAnsiTheme="majorHAnsi" w:cstheme="majorHAnsi"/>
          <w:b/>
          <w:sz w:val="24"/>
          <w:szCs w:val="24"/>
          <w:lang w:val="ro-MD"/>
        </w:rPr>
      </w:pPr>
      <w:r w:rsidRPr="00B13B9A">
        <w:rPr>
          <w:rFonts w:asciiTheme="majorHAnsi" w:hAnsiTheme="majorHAnsi" w:cstheme="majorHAnsi"/>
          <w:b/>
          <w:sz w:val="24"/>
          <w:szCs w:val="24"/>
          <w:lang w:val="ro-MD"/>
        </w:rPr>
        <w:t>Informa</w:t>
      </w:r>
      <w:r w:rsidR="00B13B9A" w:rsidRPr="00B13B9A">
        <w:rPr>
          <w:rFonts w:asciiTheme="majorHAnsi" w:hAnsiTheme="majorHAnsi" w:cstheme="majorHAnsi"/>
          <w:b/>
          <w:sz w:val="24"/>
          <w:szCs w:val="24"/>
          <w:lang w:val="ro-MD"/>
        </w:rPr>
        <w:t>ț</w:t>
      </w:r>
      <w:r w:rsidRPr="00B13B9A">
        <w:rPr>
          <w:rFonts w:asciiTheme="majorHAnsi" w:hAnsiTheme="majorHAnsi" w:cstheme="majorHAnsi"/>
          <w:b/>
          <w:sz w:val="24"/>
          <w:szCs w:val="24"/>
          <w:lang w:val="ro-MD"/>
        </w:rPr>
        <w:t xml:space="preserve">ii privind completarea statelor de personal </w:t>
      </w:r>
      <w:r w:rsidR="00D80586" w:rsidRPr="00B13B9A">
        <w:rPr>
          <w:rFonts w:asciiTheme="majorHAnsi" w:hAnsiTheme="majorHAnsi" w:cstheme="majorHAnsi"/>
          <w:b/>
          <w:sz w:val="24"/>
          <w:szCs w:val="24"/>
          <w:lang w:val="ro-MD"/>
        </w:rPr>
        <w:t xml:space="preserve">ale </w:t>
      </w:r>
      <w:r w:rsidR="005D56E4" w:rsidRPr="00B13B9A">
        <w:rPr>
          <w:rFonts w:asciiTheme="majorHAnsi" w:hAnsiTheme="majorHAnsi" w:cstheme="majorHAnsi"/>
          <w:b/>
          <w:color w:val="000000" w:themeColor="text1"/>
          <w:sz w:val="24"/>
          <w:szCs w:val="24"/>
          <w:lang w:val="ro-MD"/>
        </w:rPr>
        <w:t xml:space="preserve">IMSP IFP </w:t>
      </w:r>
      <w:r w:rsidR="005D56E4" w:rsidRPr="00B13B9A">
        <w:rPr>
          <w:rFonts w:asciiTheme="majorHAnsi" w:hAnsiTheme="majorHAnsi" w:cstheme="majorHAnsi"/>
          <w:b/>
          <w:sz w:val="24"/>
          <w:szCs w:val="24"/>
          <w:lang w:val="ro-MD"/>
        </w:rPr>
        <w:t>„Chiril Draganiuc”</w:t>
      </w:r>
      <w:r w:rsidR="005D56E4" w:rsidRPr="00B13B9A">
        <w:rPr>
          <w:rFonts w:asciiTheme="majorHAnsi" w:hAnsiTheme="majorHAnsi" w:cstheme="majorHAnsi"/>
          <w:sz w:val="24"/>
          <w:szCs w:val="24"/>
          <w:lang w:val="ro-MD"/>
        </w:rPr>
        <w:t xml:space="preserve"> </w:t>
      </w:r>
      <w:r w:rsidRPr="00B13B9A">
        <w:rPr>
          <w:rFonts w:asciiTheme="majorHAnsi" w:hAnsiTheme="majorHAnsi" w:cstheme="majorHAnsi"/>
          <w:b/>
          <w:sz w:val="24"/>
          <w:szCs w:val="24"/>
          <w:lang w:val="ro-MD"/>
        </w:rPr>
        <w:t>în perioada 2021-2023 (6 luni)</w:t>
      </w:r>
    </w:p>
    <w:tbl>
      <w:tblPr>
        <w:tblStyle w:val="a3"/>
        <w:tblW w:w="14227" w:type="dxa"/>
        <w:tblLayout w:type="fixed"/>
        <w:tblLook w:val="04A0" w:firstRow="1" w:lastRow="0" w:firstColumn="1" w:lastColumn="0" w:noHBand="0" w:noVBand="1"/>
      </w:tblPr>
      <w:tblGrid>
        <w:gridCol w:w="1434"/>
        <w:gridCol w:w="1048"/>
        <w:gridCol w:w="917"/>
        <w:gridCol w:w="918"/>
        <w:gridCol w:w="1179"/>
        <w:gridCol w:w="1179"/>
        <w:gridCol w:w="918"/>
        <w:gridCol w:w="1179"/>
        <w:gridCol w:w="1048"/>
        <w:gridCol w:w="918"/>
        <w:gridCol w:w="1179"/>
        <w:gridCol w:w="1179"/>
        <w:gridCol w:w="1131"/>
      </w:tblGrid>
      <w:tr w:rsidR="00695705" w:rsidRPr="00B13B9A" w14:paraId="5C15FD60" w14:textId="77777777" w:rsidTr="00695705">
        <w:trPr>
          <w:trHeight w:val="189"/>
        </w:trPr>
        <w:tc>
          <w:tcPr>
            <w:tcW w:w="1434" w:type="dxa"/>
            <w:vMerge w:val="restart"/>
            <w:shd w:val="clear" w:color="auto" w:fill="auto"/>
            <w:vAlign w:val="center"/>
          </w:tcPr>
          <w:p w14:paraId="1739576E" w14:textId="77777777" w:rsidR="00695705" w:rsidRPr="00B13B9A" w:rsidRDefault="00695705" w:rsidP="002932FC">
            <w:pPr>
              <w:spacing w:line="276" w:lineRule="auto"/>
              <w:jc w:val="center"/>
              <w:rPr>
                <w:rFonts w:asciiTheme="majorHAnsi" w:hAnsiTheme="majorHAnsi" w:cstheme="majorHAnsi"/>
                <w:b/>
                <w:sz w:val="20"/>
                <w:szCs w:val="20"/>
                <w:lang w:val="ro-MD"/>
              </w:rPr>
            </w:pPr>
            <w:r w:rsidRPr="00B13B9A">
              <w:rPr>
                <w:rFonts w:asciiTheme="majorHAnsi" w:hAnsiTheme="majorHAnsi" w:cstheme="majorHAnsi"/>
                <w:b/>
                <w:sz w:val="20"/>
                <w:szCs w:val="20"/>
                <w:lang w:val="ro-MD"/>
              </w:rPr>
              <w:t>Categorii de personal</w:t>
            </w:r>
          </w:p>
        </w:tc>
        <w:tc>
          <w:tcPr>
            <w:tcW w:w="2883" w:type="dxa"/>
            <w:gridSpan w:val="3"/>
            <w:shd w:val="clear" w:color="auto" w:fill="auto"/>
            <w:vAlign w:val="center"/>
          </w:tcPr>
          <w:p w14:paraId="0DDBC771" w14:textId="77777777" w:rsidR="00695705" w:rsidRPr="00B13B9A" w:rsidRDefault="00695705" w:rsidP="002932FC">
            <w:pPr>
              <w:spacing w:line="276" w:lineRule="auto"/>
              <w:jc w:val="center"/>
              <w:rPr>
                <w:rFonts w:asciiTheme="majorHAnsi" w:hAnsiTheme="majorHAnsi" w:cstheme="majorHAnsi"/>
                <w:b/>
                <w:sz w:val="20"/>
                <w:szCs w:val="20"/>
                <w:lang w:val="ro-MD"/>
              </w:rPr>
            </w:pPr>
            <w:r w:rsidRPr="00B13B9A">
              <w:rPr>
                <w:rFonts w:asciiTheme="majorHAnsi" w:hAnsiTheme="majorHAnsi" w:cstheme="majorHAnsi"/>
                <w:b/>
                <w:sz w:val="20"/>
                <w:szCs w:val="20"/>
                <w:lang w:val="ro-MD"/>
              </w:rPr>
              <w:t>Anul 2021</w:t>
            </w:r>
          </w:p>
        </w:tc>
        <w:tc>
          <w:tcPr>
            <w:tcW w:w="3276" w:type="dxa"/>
            <w:gridSpan w:val="3"/>
            <w:shd w:val="clear" w:color="auto" w:fill="auto"/>
            <w:vAlign w:val="center"/>
          </w:tcPr>
          <w:p w14:paraId="437F0188" w14:textId="77777777" w:rsidR="00695705" w:rsidRPr="00B13B9A" w:rsidRDefault="00695705" w:rsidP="002932FC">
            <w:pPr>
              <w:spacing w:line="276" w:lineRule="auto"/>
              <w:jc w:val="center"/>
              <w:rPr>
                <w:rFonts w:asciiTheme="majorHAnsi" w:hAnsiTheme="majorHAnsi" w:cstheme="majorHAnsi"/>
                <w:b/>
                <w:sz w:val="20"/>
                <w:szCs w:val="20"/>
                <w:lang w:val="ro-MD"/>
              </w:rPr>
            </w:pPr>
            <w:r w:rsidRPr="00B13B9A">
              <w:rPr>
                <w:rFonts w:asciiTheme="majorHAnsi" w:hAnsiTheme="majorHAnsi" w:cstheme="majorHAnsi"/>
                <w:b/>
                <w:sz w:val="20"/>
                <w:szCs w:val="20"/>
                <w:lang w:val="ro-MD"/>
              </w:rPr>
              <w:t>Anul 2022</w:t>
            </w:r>
          </w:p>
        </w:tc>
        <w:tc>
          <w:tcPr>
            <w:tcW w:w="3145" w:type="dxa"/>
            <w:gridSpan w:val="3"/>
            <w:shd w:val="clear" w:color="auto" w:fill="auto"/>
            <w:vAlign w:val="center"/>
          </w:tcPr>
          <w:p w14:paraId="7A6AA32E" w14:textId="77777777" w:rsidR="00695705" w:rsidRPr="00B13B9A" w:rsidRDefault="00695705" w:rsidP="002932FC">
            <w:pPr>
              <w:spacing w:line="276" w:lineRule="auto"/>
              <w:jc w:val="center"/>
              <w:rPr>
                <w:rFonts w:asciiTheme="majorHAnsi" w:hAnsiTheme="majorHAnsi" w:cstheme="majorHAnsi"/>
                <w:b/>
                <w:sz w:val="20"/>
                <w:szCs w:val="20"/>
                <w:lang w:val="ro-MD"/>
              </w:rPr>
            </w:pPr>
            <w:r w:rsidRPr="00B13B9A">
              <w:rPr>
                <w:rFonts w:asciiTheme="majorHAnsi" w:hAnsiTheme="majorHAnsi" w:cstheme="majorHAnsi"/>
                <w:b/>
                <w:sz w:val="20"/>
                <w:szCs w:val="20"/>
                <w:lang w:val="ro-MD"/>
              </w:rPr>
              <w:t>Anul 2023 (6 luni)</w:t>
            </w:r>
          </w:p>
        </w:tc>
        <w:tc>
          <w:tcPr>
            <w:tcW w:w="3489" w:type="dxa"/>
            <w:gridSpan w:val="3"/>
          </w:tcPr>
          <w:p w14:paraId="680327AD" w14:textId="161385A8" w:rsidR="00695705" w:rsidRPr="00B13B9A" w:rsidRDefault="00695705" w:rsidP="002932FC">
            <w:pPr>
              <w:spacing w:line="276" w:lineRule="auto"/>
              <w:jc w:val="center"/>
              <w:rPr>
                <w:rFonts w:asciiTheme="majorHAnsi" w:hAnsiTheme="majorHAnsi" w:cstheme="majorHAnsi"/>
                <w:b/>
                <w:sz w:val="20"/>
                <w:szCs w:val="20"/>
                <w:lang w:val="ro-MD"/>
              </w:rPr>
            </w:pPr>
            <w:r w:rsidRPr="00B13B9A">
              <w:rPr>
                <w:rFonts w:asciiTheme="majorHAnsi" w:hAnsiTheme="majorHAnsi" w:cstheme="majorHAnsi"/>
                <w:b/>
                <w:sz w:val="20"/>
                <w:szCs w:val="20"/>
                <w:lang w:val="ro-MD"/>
              </w:rPr>
              <w:t>Diferen</w:t>
            </w:r>
            <w:r w:rsidR="00B13B9A" w:rsidRPr="00B13B9A">
              <w:rPr>
                <w:rFonts w:asciiTheme="majorHAnsi" w:hAnsiTheme="majorHAnsi" w:cstheme="majorHAnsi"/>
                <w:b/>
                <w:sz w:val="20"/>
                <w:szCs w:val="20"/>
                <w:lang w:val="ro-MD"/>
              </w:rPr>
              <w:t>ț</w:t>
            </w:r>
            <w:r w:rsidRPr="00B13B9A">
              <w:rPr>
                <w:rFonts w:asciiTheme="majorHAnsi" w:hAnsiTheme="majorHAnsi" w:cstheme="majorHAnsi"/>
                <w:b/>
                <w:sz w:val="20"/>
                <w:szCs w:val="20"/>
                <w:lang w:val="ro-MD"/>
              </w:rPr>
              <w:t>a</w:t>
            </w:r>
          </w:p>
        </w:tc>
      </w:tr>
      <w:tr w:rsidR="00695705" w:rsidRPr="00B13B9A" w14:paraId="3553B5A0" w14:textId="77777777" w:rsidTr="00695705">
        <w:trPr>
          <w:trHeight w:val="629"/>
        </w:trPr>
        <w:tc>
          <w:tcPr>
            <w:tcW w:w="1434" w:type="dxa"/>
            <w:vMerge/>
            <w:shd w:val="clear" w:color="auto" w:fill="auto"/>
            <w:vAlign w:val="center"/>
          </w:tcPr>
          <w:p w14:paraId="52A62A6F" w14:textId="77777777" w:rsidR="00695705" w:rsidRPr="00B13B9A" w:rsidRDefault="00695705" w:rsidP="002932FC">
            <w:pPr>
              <w:spacing w:line="276" w:lineRule="auto"/>
              <w:jc w:val="center"/>
              <w:rPr>
                <w:rFonts w:asciiTheme="majorHAnsi" w:hAnsiTheme="majorHAnsi" w:cstheme="majorHAnsi"/>
                <w:b/>
                <w:sz w:val="20"/>
                <w:szCs w:val="20"/>
                <w:lang w:val="ro-MD"/>
              </w:rPr>
            </w:pPr>
          </w:p>
        </w:tc>
        <w:tc>
          <w:tcPr>
            <w:tcW w:w="1048" w:type="dxa"/>
            <w:shd w:val="clear" w:color="auto" w:fill="auto"/>
            <w:vAlign w:val="center"/>
          </w:tcPr>
          <w:p w14:paraId="4BB6C701" w14:textId="13F433E1" w:rsidR="00695705" w:rsidRPr="00B13B9A" w:rsidRDefault="00695705" w:rsidP="002932FC">
            <w:pPr>
              <w:jc w:val="center"/>
              <w:rPr>
                <w:rFonts w:asciiTheme="majorHAnsi" w:hAnsiTheme="majorHAnsi" w:cstheme="majorHAnsi"/>
                <w:b/>
                <w:sz w:val="20"/>
                <w:szCs w:val="20"/>
                <w:lang w:val="ro-MD"/>
              </w:rPr>
            </w:pPr>
            <w:r w:rsidRPr="00B13B9A">
              <w:rPr>
                <w:rFonts w:asciiTheme="majorHAnsi" w:hAnsiTheme="majorHAnsi" w:cstheme="majorHAnsi"/>
                <w:b/>
                <w:sz w:val="20"/>
                <w:szCs w:val="20"/>
                <w:lang w:val="ro-MD"/>
              </w:rPr>
              <w:t>Aprob</w:t>
            </w:r>
            <w:r w:rsidR="00D80586" w:rsidRPr="00B13B9A">
              <w:rPr>
                <w:rFonts w:asciiTheme="majorHAnsi" w:hAnsiTheme="majorHAnsi" w:cstheme="majorHAnsi"/>
                <w:b/>
                <w:sz w:val="20"/>
                <w:szCs w:val="20"/>
                <w:lang w:val="ro-MD"/>
              </w:rPr>
              <w:t>.</w:t>
            </w:r>
            <w:r w:rsidRPr="00B13B9A">
              <w:rPr>
                <w:rFonts w:asciiTheme="majorHAnsi" w:hAnsiTheme="majorHAnsi" w:cstheme="majorHAnsi"/>
                <w:b/>
                <w:sz w:val="20"/>
                <w:szCs w:val="20"/>
                <w:lang w:val="ro-MD"/>
              </w:rPr>
              <w:t xml:space="preserve"> unită</w:t>
            </w:r>
            <w:r w:rsidR="00B13B9A" w:rsidRPr="00B13B9A">
              <w:rPr>
                <w:rFonts w:asciiTheme="majorHAnsi" w:hAnsiTheme="majorHAnsi" w:cstheme="majorHAnsi"/>
                <w:b/>
                <w:sz w:val="20"/>
                <w:szCs w:val="20"/>
                <w:lang w:val="ro-MD"/>
              </w:rPr>
              <w:t>ț</w:t>
            </w:r>
            <w:r w:rsidRPr="00B13B9A">
              <w:rPr>
                <w:rFonts w:asciiTheme="majorHAnsi" w:hAnsiTheme="majorHAnsi" w:cstheme="majorHAnsi"/>
                <w:b/>
                <w:sz w:val="20"/>
                <w:szCs w:val="20"/>
                <w:lang w:val="ro-MD"/>
              </w:rPr>
              <w:t>i</w:t>
            </w:r>
          </w:p>
        </w:tc>
        <w:tc>
          <w:tcPr>
            <w:tcW w:w="917" w:type="dxa"/>
            <w:shd w:val="clear" w:color="auto" w:fill="auto"/>
            <w:vAlign w:val="center"/>
          </w:tcPr>
          <w:p w14:paraId="3DFD53AB" w14:textId="77777777" w:rsidR="00695705" w:rsidRPr="00B13B9A" w:rsidRDefault="00695705" w:rsidP="002932FC">
            <w:pPr>
              <w:jc w:val="center"/>
              <w:rPr>
                <w:rFonts w:asciiTheme="majorHAnsi" w:hAnsiTheme="majorHAnsi" w:cstheme="majorHAnsi"/>
                <w:b/>
                <w:sz w:val="20"/>
                <w:szCs w:val="20"/>
                <w:lang w:val="ro-MD"/>
              </w:rPr>
            </w:pPr>
            <w:r w:rsidRPr="00B13B9A">
              <w:rPr>
                <w:rFonts w:asciiTheme="majorHAnsi" w:hAnsiTheme="majorHAnsi" w:cstheme="majorHAnsi"/>
                <w:b/>
                <w:sz w:val="20"/>
                <w:szCs w:val="20"/>
                <w:lang w:val="ro-MD"/>
              </w:rPr>
              <w:t>Efectiv ocupat</w:t>
            </w:r>
          </w:p>
        </w:tc>
        <w:tc>
          <w:tcPr>
            <w:tcW w:w="917" w:type="dxa"/>
            <w:shd w:val="clear" w:color="auto" w:fill="auto"/>
            <w:vAlign w:val="center"/>
          </w:tcPr>
          <w:p w14:paraId="3A7FACF3" w14:textId="77777777" w:rsidR="00695705" w:rsidRPr="00B13B9A" w:rsidRDefault="00695705" w:rsidP="002932FC">
            <w:pPr>
              <w:jc w:val="center"/>
              <w:rPr>
                <w:rFonts w:asciiTheme="majorHAnsi" w:hAnsiTheme="majorHAnsi" w:cstheme="majorHAnsi"/>
                <w:b/>
                <w:sz w:val="20"/>
                <w:szCs w:val="20"/>
                <w:lang w:val="ro-MD"/>
              </w:rPr>
            </w:pPr>
            <w:r w:rsidRPr="00B13B9A">
              <w:rPr>
                <w:rFonts w:asciiTheme="majorHAnsi" w:hAnsiTheme="majorHAnsi" w:cstheme="majorHAnsi"/>
                <w:b/>
                <w:sz w:val="20"/>
                <w:szCs w:val="20"/>
                <w:lang w:val="ro-MD"/>
              </w:rPr>
              <w:t>%</w:t>
            </w:r>
          </w:p>
        </w:tc>
        <w:tc>
          <w:tcPr>
            <w:tcW w:w="1179" w:type="dxa"/>
            <w:shd w:val="clear" w:color="auto" w:fill="auto"/>
            <w:vAlign w:val="center"/>
          </w:tcPr>
          <w:p w14:paraId="4F1ABA59" w14:textId="628CDEC0" w:rsidR="00695705" w:rsidRPr="00B13B9A" w:rsidRDefault="00695705" w:rsidP="002932FC">
            <w:pPr>
              <w:jc w:val="center"/>
              <w:rPr>
                <w:rFonts w:asciiTheme="majorHAnsi" w:hAnsiTheme="majorHAnsi" w:cstheme="majorHAnsi"/>
                <w:b/>
                <w:sz w:val="20"/>
                <w:szCs w:val="20"/>
                <w:lang w:val="ro-MD"/>
              </w:rPr>
            </w:pPr>
            <w:r w:rsidRPr="00B13B9A">
              <w:rPr>
                <w:rFonts w:asciiTheme="majorHAnsi" w:hAnsiTheme="majorHAnsi" w:cstheme="majorHAnsi"/>
                <w:b/>
                <w:sz w:val="20"/>
                <w:szCs w:val="20"/>
                <w:lang w:val="ro-MD"/>
              </w:rPr>
              <w:t>Aprob</w:t>
            </w:r>
            <w:r w:rsidR="00D80586" w:rsidRPr="00B13B9A">
              <w:rPr>
                <w:rFonts w:asciiTheme="majorHAnsi" w:hAnsiTheme="majorHAnsi" w:cstheme="majorHAnsi"/>
                <w:b/>
                <w:sz w:val="20"/>
                <w:szCs w:val="20"/>
                <w:lang w:val="ro-MD"/>
              </w:rPr>
              <w:t>.</w:t>
            </w:r>
            <w:r w:rsidRPr="00B13B9A">
              <w:rPr>
                <w:rFonts w:asciiTheme="majorHAnsi" w:hAnsiTheme="majorHAnsi" w:cstheme="majorHAnsi"/>
                <w:b/>
                <w:sz w:val="20"/>
                <w:szCs w:val="20"/>
                <w:lang w:val="ro-MD"/>
              </w:rPr>
              <w:t xml:space="preserve"> unită</w:t>
            </w:r>
            <w:r w:rsidR="00B13B9A" w:rsidRPr="00B13B9A">
              <w:rPr>
                <w:rFonts w:asciiTheme="majorHAnsi" w:hAnsiTheme="majorHAnsi" w:cstheme="majorHAnsi"/>
                <w:b/>
                <w:sz w:val="20"/>
                <w:szCs w:val="20"/>
                <w:lang w:val="ro-MD"/>
              </w:rPr>
              <w:t>ț</w:t>
            </w:r>
            <w:r w:rsidRPr="00B13B9A">
              <w:rPr>
                <w:rFonts w:asciiTheme="majorHAnsi" w:hAnsiTheme="majorHAnsi" w:cstheme="majorHAnsi"/>
                <w:b/>
                <w:sz w:val="20"/>
                <w:szCs w:val="20"/>
                <w:lang w:val="ro-MD"/>
              </w:rPr>
              <w:t>i</w:t>
            </w:r>
          </w:p>
        </w:tc>
        <w:tc>
          <w:tcPr>
            <w:tcW w:w="1179" w:type="dxa"/>
            <w:shd w:val="clear" w:color="auto" w:fill="auto"/>
            <w:vAlign w:val="center"/>
          </w:tcPr>
          <w:p w14:paraId="4F6BBA87" w14:textId="77777777" w:rsidR="00695705" w:rsidRPr="00B13B9A" w:rsidRDefault="00695705" w:rsidP="002932FC">
            <w:pPr>
              <w:jc w:val="center"/>
              <w:rPr>
                <w:rFonts w:asciiTheme="majorHAnsi" w:hAnsiTheme="majorHAnsi" w:cstheme="majorHAnsi"/>
                <w:b/>
                <w:sz w:val="20"/>
                <w:szCs w:val="20"/>
                <w:lang w:val="ro-MD"/>
              </w:rPr>
            </w:pPr>
            <w:r w:rsidRPr="00B13B9A">
              <w:rPr>
                <w:rFonts w:asciiTheme="majorHAnsi" w:hAnsiTheme="majorHAnsi" w:cstheme="majorHAnsi"/>
                <w:b/>
                <w:sz w:val="20"/>
                <w:szCs w:val="20"/>
                <w:lang w:val="ro-MD"/>
              </w:rPr>
              <w:t>Efectiv ocupat</w:t>
            </w:r>
          </w:p>
        </w:tc>
        <w:tc>
          <w:tcPr>
            <w:tcW w:w="917" w:type="dxa"/>
            <w:shd w:val="clear" w:color="auto" w:fill="auto"/>
            <w:vAlign w:val="center"/>
          </w:tcPr>
          <w:p w14:paraId="72DFB0D8" w14:textId="77777777" w:rsidR="00695705" w:rsidRPr="00B13B9A" w:rsidRDefault="00695705" w:rsidP="002932FC">
            <w:pPr>
              <w:jc w:val="center"/>
              <w:rPr>
                <w:rFonts w:asciiTheme="majorHAnsi" w:hAnsiTheme="majorHAnsi" w:cstheme="majorHAnsi"/>
                <w:b/>
                <w:sz w:val="20"/>
                <w:szCs w:val="20"/>
                <w:lang w:val="ro-MD"/>
              </w:rPr>
            </w:pPr>
            <w:r w:rsidRPr="00B13B9A">
              <w:rPr>
                <w:rFonts w:asciiTheme="majorHAnsi" w:hAnsiTheme="majorHAnsi" w:cstheme="majorHAnsi"/>
                <w:b/>
                <w:sz w:val="20"/>
                <w:szCs w:val="20"/>
                <w:lang w:val="ro-MD"/>
              </w:rPr>
              <w:t>%</w:t>
            </w:r>
          </w:p>
        </w:tc>
        <w:tc>
          <w:tcPr>
            <w:tcW w:w="1179" w:type="dxa"/>
            <w:shd w:val="clear" w:color="auto" w:fill="auto"/>
            <w:vAlign w:val="center"/>
          </w:tcPr>
          <w:p w14:paraId="0A904C94" w14:textId="2D1118DA" w:rsidR="00695705" w:rsidRPr="00B13B9A" w:rsidRDefault="00695705" w:rsidP="002932FC">
            <w:pPr>
              <w:jc w:val="center"/>
              <w:rPr>
                <w:rFonts w:asciiTheme="majorHAnsi" w:hAnsiTheme="majorHAnsi" w:cstheme="majorHAnsi"/>
                <w:b/>
                <w:sz w:val="20"/>
                <w:szCs w:val="20"/>
                <w:lang w:val="ro-MD"/>
              </w:rPr>
            </w:pPr>
            <w:r w:rsidRPr="00B13B9A">
              <w:rPr>
                <w:rFonts w:asciiTheme="majorHAnsi" w:hAnsiTheme="majorHAnsi" w:cstheme="majorHAnsi"/>
                <w:b/>
                <w:sz w:val="20"/>
                <w:szCs w:val="20"/>
                <w:lang w:val="ro-MD"/>
              </w:rPr>
              <w:t>Aprob unită</w:t>
            </w:r>
            <w:r w:rsidR="00B13B9A" w:rsidRPr="00B13B9A">
              <w:rPr>
                <w:rFonts w:asciiTheme="majorHAnsi" w:hAnsiTheme="majorHAnsi" w:cstheme="majorHAnsi"/>
                <w:b/>
                <w:sz w:val="20"/>
                <w:szCs w:val="20"/>
                <w:lang w:val="ro-MD"/>
              </w:rPr>
              <w:t>ț</w:t>
            </w:r>
            <w:r w:rsidRPr="00B13B9A">
              <w:rPr>
                <w:rFonts w:asciiTheme="majorHAnsi" w:hAnsiTheme="majorHAnsi" w:cstheme="majorHAnsi"/>
                <w:b/>
                <w:sz w:val="20"/>
                <w:szCs w:val="20"/>
                <w:lang w:val="ro-MD"/>
              </w:rPr>
              <w:t>i</w:t>
            </w:r>
          </w:p>
        </w:tc>
        <w:tc>
          <w:tcPr>
            <w:tcW w:w="1048" w:type="dxa"/>
            <w:shd w:val="clear" w:color="auto" w:fill="auto"/>
            <w:vAlign w:val="center"/>
          </w:tcPr>
          <w:p w14:paraId="5CD671DA" w14:textId="77777777" w:rsidR="00695705" w:rsidRPr="00B13B9A" w:rsidRDefault="00695705" w:rsidP="002932FC">
            <w:pPr>
              <w:jc w:val="center"/>
              <w:rPr>
                <w:rFonts w:asciiTheme="majorHAnsi" w:hAnsiTheme="majorHAnsi" w:cstheme="majorHAnsi"/>
                <w:b/>
                <w:sz w:val="20"/>
                <w:szCs w:val="20"/>
                <w:lang w:val="ro-MD"/>
              </w:rPr>
            </w:pPr>
            <w:r w:rsidRPr="00B13B9A">
              <w:rPr>
                <w:rFonts w:asciiTheme="majorHAnsi" w:hAnsiTheme="majorHAnsi" w:cstheme="majorHAnsi"/>
                <w:b/>
                <w:sz w:val="20"/>
                <w:szCs w:val="20"/>
                <w:lang w:val="ro-MD"/>
              </w:rPr>
              <w:t>Efectiv ocupat</w:t>
            </w:r>
          </w:p>
        </w:tc>
        <w:tc>
          <w:tcPr>
            <w:tcW w:w="917" w:type="dxa"/>
            <w:shd w:val="clear" w:color="auto" w:fill="auto"/>
            <w:vAlign w:val="center"/>
          </w:tcPr>
          <w:p w14:paraId="29DA98DB" w14:textId="77777777" w:rsidR="00695705" w:rsidRPr="00B13B9A" w:rsidRDefault="00695705" w:rsidP="002932FC">
            <w:pPr>
              <w:jc w:val="center"/>
              <w:rPr>
                <w:rFonts w:asciiTheme="majorHAnsi" w:hAnsiTheme="majorHAnsi" w:cstheme="majorHAnsi"/>
                <w:b/>
                <w:sz w:val="20"/>
                <w:szCs w:val="20"/>
                <w:lang w:val="ro-MD"/>
              </w:rPr>
            </w:pPr>
            <w:r w:rsidRPr="00B13B9A">
              <w:rPr>
                <w:rFonts w:asciiTheme="majorHAnsi" w:hAnsiTheme="majorHAnsi" w:cstheme="majorHAnsi"/>
                <w:b/>
                <w:sz w:val="20"/>
                <w:szCs w:val="20"/>
                <w:lang w:val="ro-MD"/>
              </w:rPr>
              <w:t>%</w:t>
            </w:r>
          </w:p>
        </w:tc>
        <w:tc>
          <w:tcPr>
            <w:tcW w:w="1179" w:type="dxa"/>
            <w:vAlign w:val="center"/>
          </w:tcPr>
          <w:p w14:paraId="4226C92C" w14:textId="77777777" w:rsidR="00695705" w:rsidRPr="00B13B9A" w:rsidRDefault="00695705" w:rsidP="002932FC">
            <w:pPr>
              <w:jc w:val="center"/>
              <w:rPr>
                <w:rFonts w:asciiTheme="majorHAnsi" w:hAnsiTheme="majorHAnsi" w:cstheme="majorHAnsi"/>
                <w:b/>
                <w:sz w:val="20"/>
                <w:szCs w:val="20"/>
                <w:lang w:val="ro-MD"/>
              </w:rPr>
            </w:pPr>
            <w:r w:rsidRPr="00B13B9A">
              <w:rPr>
                <w:rFonts w:asciiTheme="majorHAnsi" w:hAnsiTheme="majorHAnsi" w:cstheme="majorHAnsi"/>
                <w:b/>
                <w:sz w:val="20"/>
                <w:szCs w:val="20"/>
                <w:lang w:val="ro-MD"/>
              </w:rPr>
              <w:t>Aprobat/efectiv 2021</w:t>
            </w:r>
          </w:p>
        </w:tc>
        <w:tc>
          <w:tcPr>
            <w:tcW w:w="1179" w:type="dxa"/>
            <w:shd w:val="clear" w:color="auto" w:fill="auto"/>
            <w:vAlign w:val="center"/>
          </w:tcPr>
          <w:p w14:paraId="65007EFD" w14:textId="77777777" w:rsidR="00695705" w:rsidRPr="00B13B9A" w:rsidRDefault="00695705" w:rsidP="002932FC">
            <w:pPr>
              <w:jc w:val="center"/>
              <w:rPr>
                <w:rFonts w:asciiTheme="majorHAnsi" w:hAnsiTheme="majorHAnsi" w:cstheme="majorHAnsi"/>
                <w:b/>
                <w:sz w:val="20"/>
                <w:szCs w:val="20"/>
                <w:lang w:val="ro-MD"/>
              </w:rPr>
            </w:pPr>
            <w:r w:rsidRPr="00B13B9A">
              <w:rPr>
                <w:rFonts w:asciiTheme="majorHAnsi" w:hAnsiTheme="majorHAnsi" w:cstheme="majorHAnsi"/>
                <w:b/>
                <w:sz w:val="20"/>
                <w:szCs w:val="20"/>
                <w:lang w:val="ro-MD"/>
              </w:rPr>
              <w:t>Aprobat/efectiv 2022</w:t>
            </w:r>
          </w:p>
        </w:tc>
        <w:tc>
          <w:tcPr>
            <w:tcW w:w="1130" w:type="dxa"/>
            <w:shd w:val="clear" w:color="auto" w:fill="auto"/>
            <w:vAlign w:val="center"/>
          </w:tcPr>
          <w:p w14:paraId="5F14A03A" w14:textId="77777777" w:rsidR="00695705" w:rsidRPr="00B13B9A" w:rsidRDefault="00695705" w:rsidP="002932FC">
            <w:pPr>
              <w:jc w:val="center"/>
              <w:rPr>
                <w:rFonts w:asciiTheme="majorHAnsi" w:hAnsiTheme="majorHAnsi" w:cstheme="majorHAnsi"/>
                <w:b/>
                <w:sz w:val="20"/>
                <w:szCs w:val="20"/>
                <w:lang w:val="ro-MD"/>
              </w:rPr>
            </w:pPr>
            <w:r w:rsidRPr="00B13B9A">
              <w:rPr>
                <w:rFonts w:asciiTheme="majorHAnsi" w:hAnsiTheme="majorHAnsi" w:cstheme="majorHAnsi"/>
                <w:b/>
                <w:sz w:val="20"/>
                <w:szCs w:val="20"/>
                <w:lang w:val="ro-MD"/>
              </w:rPr>
              <w:t>Aprobat 2022 /2021</w:t>
            </w:r>
          </w:p>
        </w:tc>
      </w:tr>
      <w:tr w:rsidR="00695705" w:rsidRPr="00B13B9A" w14:paraId="336E1D09" w14:textId="77777777" w:rsidTr="00695705">
        <w:trPr>
          <w:trHeight w:val="307"/>
        </w:trPr>
        <w:tc>
          <w:tcPr>
            <w:tcW w:w="1434" w:type="dxa"/>
            <w:shd w:val="clear" w:color="auto" w:fill="auto"/>
            <w:vAlign w:val="center"/>
          </w:tcPr>
          <w:p w14:paraId="676B8BD2" w14:textId="77777777" w:rsidR="00695705" w:rsidRPr="00B13B9A" w:rsidRDefault="00695705" w:rsidP="002932FC">
            <w:pPr>
              <w:rPr>
                <w:rFonts w:asciiTheme="majorHAnsi" w:hAnsiTheme="majorHAnsi" w:cstheme="majorHAnsi"/>
                <w:b/>
                <w:sz w:val="20"/>
                <w:szCs w:val="20"/>
                <w:lang w:val="ro-MD"/>
              </w:rPr>
            </w:pPr>
            <w:r w:rsidRPr="00B13B9A">
              <w:rPr>
                <w:rFonts w:asciiTheme="majorHAnsi" w:hAnsiTheme="majorHAnsi" w:cstheme="majorHAnsi"/>
                <w:b/>
                <w:sz w:val="20"/>
                <w:szCs w:val="20"/>
                <w:lang w:val="ro-MD"/>
              </w:rPr>
              <w:t>1. Medici</w:t>
            </w:r>
          </w:p>
        </w:tc>
        <w:tc>
          <w:tcPr>
            <w:tcW w:w="1048" w:type="dxa"/>
            <w:shd w:val="clear" w:color="auto" w:fill="auto"/>
            <w:vAlign w:val="center"/>
          </w:tcPr>
          <w:p w14:paraId="23DFE92F" w14:textId="77777777" w:rsidR="00695705" w:rsidRPr="00B13B9A" w:rsidRDefault="00695705" w:rsidP="002932FC">
            <w:pPr>
              <w:jc w:val="right"/>
              <w:rPr>
                <w:rFonts w:asciiTheme="majorHAnsi" w:hAnsiTheme="majorHAnsi" w:cstheme="majorHAnsi"/>
                <w:sz w:val="20"/>
                <w:szCs w:val="20"/>
                <w:lang w:val="ro-MD"/>
              </w:rPr>
            </w:pPr>
            <w:r w:rsidRPr="00B13B9A">
              <w:rPr>
                <w:rFonts w:asciiTheme="majorHAnsi" w:hAnsiTheme="majorHAnsi" w:cstheme="majorHAnsi"/>
                <w:sz w:val="20"/>
                <w:szCs w:val="20"/>
                <w:lang w:val="ro-MD"/>
              </w:rPr>
              <w:t>120,25</w:t>
            </w:r>
          </w:p>
        </w:tc>
        <w:tc>
          <w:tcPr>
            <w:tcW w:w="917" w:type="dxa"/>
            <w:shd w:val="clear" w:color="auto" w:fill="auto"/>
            <w:vAlign w:val="center"/>
          </w:tcPr>
          <w:p w14:paraId="60016725" w14:textId="77777777" w:rsidR="00695705" w:rsidRPr="00B13B9A" w:rsidRDefault="00695705" w:rsidP="002932FC">
            <w:pPr>
              <w:jc w:val="right"/>
              <w:rPr>
                <w:rFonts w:asciiTheme="majorHAnsi" w:hAnsiTheme="majorHAnsi" w:cstheme="majorHAnsi"/>
                <w:sz w:val="20"/>
                <w:szCs w:val="20"/>
                <w:lang w:val="ro-MD"/>
              </w:rPr>
            </w:pPr>
            <w:r w:rsidRPr="00B13B9A">
              <w:rPr>
                <w:rFonts w:asciiTheme="majorHAnsi" w:hAnsiTheme="majorHAnsi" w:cstheme="majorHAnsi"/>
                <w:sz w:val="20"/>
                <w:szCs w:val="20"/>
                <w:lang w:val="ro-MD"/>
              </w:rPr>
              <w:t>86,5</w:t>
            </w:r>
          </w:p>
        </w:tc>
        <w:tc>
          <w:tcPr>
            <w:tcW w:w="917" w:type="dxa"/>
            <w:shd w:val="clear" w:color="auto" w:fill="auto"/>
            <w:vAlign w:val="center"/>
          </w:tcPr>
          <w:p w14:paraId="30DEE3B0" w14:textId="77777777" w:rsidR="00695705" w:rsidRPr="00B13B9A" w:rsidRDefault="00695705" w:rsidP="002932FC">
            <w:pPr>
              <w:jc w:val="right"/>
              <w:rPr>
                <w:rFonts w:asciiTheme="majorHAnsi" w:hAnsiTheme="majorHAnsi" w:cstheme="majorHAnsi"/>
                <w:sz w:val="20"/>
                <w:szCs w:val="20"/>
                <w:lang w:val="ro-MD"/>
              </w:rPr>
            </w:pPr>
            <w:r w:rsidRPr="00B13B9A">
              <w:rPr>
                <w:rFonts w:asciiTheme="majorHAnsi" w:hAnsiTheme="majorHAnsi" w:cstheme="majorHAnsi"/>
                <w:sz w:val="20"/>
                <w:szCs w:val="20"/>
                <w:lang w:val="ro-MD"/>
              </w:rPr>
              <w:t>71,9</w:t>
            </w:r>
          </w:p>
        </w:tc>
        <w:tc>
          <w:tcPr>
            <w:tcW w:w="1179" w:type="dxa"/>
            <w:shd w:val="clear" w:color="auto" w:fill="auto"/>
            <w:vAlign w:val="center"/>
          </w:tcPr>
          <w:p w14:paraId="71D1AA54" w14:textId="77777777" w:rsidR="00695705" w:rsidRPr="00B13B9A" w:rsidRDefault="00695705" w:rsidP="002932FC">
            <w:pPr>
              <w:jc w:val="right"/>
              <w:rPr>
                <w:rFonts w:asciiTheme="majorHAnsi" w:hAnsiTheme="majorHAnsi" w:cstheme="majorHAnsi"/>
                <w:color w:val="000000" w:themeColor="text1"/>
                <w:sz w:val="20"/>
                <w:szCs w:val="20"/>
                <w:lang w:val="ro-MD"/>
              </w:rPr>
            </w:pPr>
            <w:r w:rsidRPr="00B13B9A">
              <w:rPr>
                <w:rFonts w:asciiTheme="majorHAnsi" w:hAnsiTheme="majorHAnsi" w:cstheme="majorHAnsi"/>
                <w:color w:val="000000" w:themeColor="text1"/>
                <w:sz w:val="20"/>
                <w:szCs w:val="20"/>
                <w:lang w:val="ro-MD"/>
              </w:rPr>
              <w:t>112</w:t>
            </w:r>
          </w:p>
        </w:tc>
        <w:tc>
          <w:tcPr>
            <w:tcW w:w="1179" w:type="dxa"/>
            <w:shd w:val="clear" w:color="auto" w:fill="auto"/>
            <w:vAlign w:val="center"/>
          </w:tcPr>
          <w:p w14:paraId="13805F17" w14:textId="77777777" w:rsidR="00695705" w:rsidRPr="00B13B9A" w:rsidRDefault="00695705" w:rsidP="002932FC">
            <w:pPr>
              <w:jc w:val="right"/>
              <w:rPr>
                <w:rFonts w:asciiTheme="majorHAnsi" w:hAnsiTheme="majorHAnsi" w:cstheme="majorHAnsi"/>
                <w:color w:val="000000" w:themeColor="text1"/>
                <w:sz w:val="20"/>
                <w:szCs w:val="20"/>
                <w:lang w:val="ro-MD"/>
              </w:rPr>
            </w:pPr>
            <w:r w:rsidRPr="00B13B9A">
              <w:rPr>
                <w:rFonts w:asciiTheme="majorHAnsi" w:hAnsiTheme="majorHAnsi" w:cstheme="majorHAnsi"/>
                <w:color w:val="000000" w:themeColor="text1"/>
                <w:sz w:val="20"/>
                <w:szCs w:val="20"/>
                <w:lang w:val="ro-MD"/>
              </w:rPr>
              <w:t>86,5</w:t>
            </w:r>
          </w:p>
        </w:tc>
        <w:tc>
          <w:tcPr>
            <w:tcW w:w="917" w:type="dxa"/>
            <w:shd w:val="clear" w:color="auto" w:fill="auto"/>
            <w:vAlign w:val="center"/>
          </w:tcPr>
          <w:p w14:paraId="3ECCB186" w14:textId="77777777" w:rsidR="00695705" w:rsidRPr="00B13B9A" w:rsidRDefault="00695705" w:rsidP="002932FC">
            <w:pPr>
              <w:jc w:val="right"/>
              <w:rPr>
                <w:rFonts w:asciiTheme="majorHAnsi" w:hAnsiTheme="majorHAnsi" w:cstheme="majorHAnsi"/>
                <w:color w:val="000000" w:themeColor="text1"/>
                <w:sz w:val="20"/>
                <w:szCs w:val="20"/>
                <w:lang w:val="ro-MD"/>
              </w:rPr>
            </w:pPr>
            <w:r w:rsidRPr="00B13B9A">
              <w:rPr>
                <w:rFonts w:asciiTheme="majorHAnsi" w:hAnsiTheme="majorHAnsi" w:cstheme="majorHAnsi"/>
                <w:color w:val="000000" w:themeColor="text1"/>
                <w:sz w:val="20"/>
                <w:szCs w:val="20"/>
                <w:lang w:val="ro-MD"/>
              </w:rPr>
              <w:t>77,2</w:t>
            </w:r>
          </w:p>
        </w:tc>
        <w:tc>
          <w:tcPr>
            <w:tcW w:w="1179" w:type="dxa"/>
            <w:shd w:val="clear" w:color="auto" w:fill="auto"/>
            <w:vAlign w:val="center"/>
          </w:tcPr>
          <w:p w14:paraId="4DC3360C" w14:textId="77777777" w:rsidR="00695705" w:rsidRPr="00B13B9A" w:rsidRDefault="00695705" w:rsidP="002932FC">
            <w:pPr>
              <w:jc w:val="right"/>
              <w:rPr>
                <w:rFonts w:asciiTheme="majorHAnsi" w:hAnsiTheme="majorHAnsi" w:cstheme="majorHAnsi"/>
                <w:sz w:val="20"/>
                <w:szCs w:val="20"/>
                <w:lang w:val="ro-MD"/>
              </w:rPr>
            </w:pPr>
            <w:r w:rsidRPr="00B13B9A">
              <w:rPr>
                <w:rFonts w:asciiTheme="majorHAnsi" w:hAnsiTheme="majorHAnsi" w:cstheme="majorHAnsi"/>
                <w:sz w:val="20"/>
                <w:szCs w:val="20"/>
                <w:lang w:val="ro-MD"/>
              </w:rPr>
              <w:t>112</w:t>
            </w:r>
          </w:p>
        </w:tc>
        <w:tc>
          <w:tcPr>
            <w:tcW w:w="1048" w:type="dxa"/>
            <w:shd w:val="clear" w:color="auto" w:fill="auto"/>
            <w:vAlign w:val="center"/>
          </w:tcPr>
          <w:p w14:paraId="54FD586E" w14:textId="77777777" w:rsidR="00695705" w:rsidRPr="00B13B9A" w:rsidRDefault="00695705" w:rsidP="002932FC">
            <w:pPr>
              <w:jc w:val="right"/>
              <w:rPr>
                <w:rFonts w:asciiTheme="majorHAnsi" w:hAnsiTheme="majorHAnsi" w:cstheme="majorHAnsi"/>
                <w:sz w:val="20"/>
                <w:szCs w:val="20"/>
                <w:lang w:val="ro-MD"/>
              </w:rPr>
            </w:pPr>
            <w:r w:rsidRPr="00B13B9A">
              <w:rPr>
                <w:rFonts w:asciiTheme="majorHAnsi" w:hAnsiTheme="majorHAnsi" w:cstheme="majorHAnsi"/>
                <w:sz w:val="20"/>
                <w:szCs w:val="20"/>
                <w:lang w:val="ro-MD"/>
              </w:rPr>
              <w:t>96,25</w:t>
            </w:r>
          </w:p>
        </w:tc>
        <w:tc>
          <w:tcPr>
            <w:tcW w:w="917" w:type="dxa"/>
            <w:shd w:val="clear" w:color="auto" w:fill="auto"/>
            <w:vAlign w:val="center"/>
          </w:tcPr>
          <w:p w14:paraId="16364749" w14:textId="77777777" w:rsidR="00695705" w:rsidRPr="00B13B9A" w:rsidRDefault="00695705" w:rsidP="002932FC">
            <w:pPr>
              <w:jc w:val="right"/>
              <w:rPr>
                <w:rFonts w:asciiTheme="majorHAnsi" w:hAnsiTheme="majorHAnsi" w:cstheme="majorHAnsi"/>
                <w:sz w:val="20"/>
                <w:szCs w:val="20"/>
                <w:lang w:val="ro-MD"/>
              </w:rPr>
            </w:pPr>
            <w:r w:rsidRPr="00B13B9A">
              <w:rPr>
                <w:rFonts w:asciiTheme="majorHAnsi" w:hAnsiTheme="majorHAnsi" w:cstheme="majorHAnsi"/>
                <w:sz w:val="20"/>
                <w:szCs w:val="20"/>
                <w:lang w:val="ro-MD"/>
              </w:rPr>
              <w:t>85,9</w:t>
            </w:r>
          </w:p>
        </w:tc>
        <w:tc>
          <w:tcPr>
            <w:tcW w:w="1179" w:type="dxa"/>
            <w:vAlign w:val="center"/>
          </w:tcPr>
          <w:p w14:paraId="3B596E65" w14:textId="77777777" w:rsidR="00695705" w:rsidRPr="00B13B9A" w:rsidRDefault="00695705" w:rsidP="002932FC">
            <w:pPr>
              <w:jc w:val="right"/>
              <w:rPr>
                <w:rFonts w:asciiTheme="majorHAnsi" w:hAnsiTheme="majorHAnsi" w:cstheme="majorHAnsi"/>
                <w:sz w:val="20"/>
                <w:szCs w:val="20"/>
                <w:lang w:val="ro-MD"/>
              </w:rPr>
            </w:pPr>
            <w:r w:rsidRPr="00B13B9A">
              <w:rPr>
                <w:rFonts w:asciiTheme="majorHAnsi" w:hAnsiTheme="majorHAnsi" w:cstheme="majorHAnsi"/>
                <w:sz w:val="20"/>
                <w:szCs w:val="20"/>
                <w:lang w:val="ro-MD"/>
              </w:rPr>
              <w:t>33,75</w:t>
            </w:r>
          </w:p>
        </w:tc>
        <w:tc>
          <w:tcPr>
            <w:tcW w:w="1179" w:type="dxa"/>
            <w:shd w:val="clear" w:color="auto" w:fill="auto"/>
            <w:vAlign w:val="center"/>
          </w:tcPr>
          <w:p w14:paraId="70ECFF57" w14:textId="77777777" w:rsidR="00695705" w:rsidRPr="00B13B9A" w:rsidRDefault="00695705" w:rsidP="002932FC">
            <w:pPr>
              <w:jc w:val="right"/>
              <w:rPr>
                <w:rFonts w:asciiTheme="majorHAnsi" w:hAnsiTheme="majorHAnsi" w:cstheme="majorHAnsi"/>
                <w:sz w:val="20"/>
                <w:szCs w:val="20"/>
                <w:lang w:val="ro-MD"/>
              </w:rPr>
            </w:pPr>
            <w:r w:rsidRPr="00B13B9A">
              <w:rPr>
                <w:rFonts w:asciiTheme="majorHAnsi" w:hAnsiTheme="majorHAnsi" w:cstheme="majorHAnsi"/>
                <w:sz w:val="20"/>
                <w:szCs w:val="20"/>
                <w:lang w:val="ro-MD"/>
              </w:rPr>
              <w:t>25,5</w:t>
            </w:r>
          </w:p>
        </w:tc>
        <w:tc>
          <w:tcPr>
            <w:tcW w:w="1130" w:type="dxa"/>
            <w:shd w:val="clear" w:color="auto" w:fill="auto"/>
            <w:vAlign w:val="center"/>
          </w:tcPr>
          <w:p w14:paraId="4F0CA6F6" w14:textId="77777777" w:rsidR="00695705" w:rsidRPr="00B13B9A" w:rsidRDefault="00695705" w:rsidP="002932FC">
            <w:pPr>
              <w:jc w:val="right"/>
              <w:rPr>
                <w:rFonts w:asciiTheme="majorHAnsi" w:hAnsiTheme="majorHAnsi" w:cstheme="majorHAnsi"/>
                <w:sz w:val="20"/>
                <w:szCs w:val="20"/>
                <w:lang w:val="ro-MD"/>
              </w:rPr>
            </w:pPr>
            <w:r w:rsidRPr="00B13B9A">
              <w:rPr>
                <w:rFonts w:asciiTheme="majorHAnsi" w:hAnsiTheme="majorHAnsi" w:cstheme="majorHAnsi"/>
                <w:sz w:val="20"/>
                <w:szCs w:val="20"/>
                <w:lang w:val="ro-MD"/>
              </w:rPr>
              <w:t>8,2</w:t>
            </w:r>
          </w:p>
        </w:tc>
      </w:tr>
      <w:tr w:rsidR="00695705" w:rsidRPr="00B13B9A" w14:paraId="1A393D9A" w14:textId="77777777" w:rsidTr="00695705">
        <w:trPr>
          <w:trHeight w:val="314"/>
        </w:trPr>
        <w:tc>
          <w:tcPr>
            <w:tcW w:w="1434" w:type="dxa"/>
            <w:shd w:val="clear" w:color="auto" w:fill="auto"/>
            <w:vAlign w:val="center"/>
          </w:tcPr>
          <w:p w14:paraId="225CAACD" w14:textId="22D2F277" w:rsidR="00695705" w:rsidRPr="00B13B9A" w:rsidRDefault="00695705" w:rsidP="002932FC">
            <w:pPr>
              <w:rPr>
                <w:rFonts w:asciiTheme="majorHAnsi" w:hAnsiTheme="majorHAnsi" w:cstheme="majorHAnsi"/>
                <w:b/>
                <w:sz w:val="20"/>
                <w:szCs w:val="20"/>
                <w:lang w:val="ro-MD"/>
              </w:rPr>
            </w:pPr>
            <w:r w:rsidRPr="00B13B9A">
              <w:rPr>
                <w:rFonts w:asciiTheme="majorHAnsi" w:hAnsiTheme="majorHAnsi" w:cstheme="majorHAnsi"/>
                <w:b/>
                <w:sz w:val="20"/>
                <w:szCs w:val="20"/>
                <w:lang w:val="ro-MD"/>
              </w:rPr>
              <w:t>2. Medici reziden</w:t>
            </w:r>
            <w:r w:rsidR="00B13B9A" w:rsidRPr="00B13B9A">
              <w:rPr>
                <w:rFonts w:asciiTheme="majorHAnsi" w:hAnsiTheme="majorHAnsi" w:cstheme="majorHAnsi"/>
                <w:b/>
                <w:sz w:val="20"/>
                <w:szCs w:val="20"/>
                <w:lang w:val="ro-MD"/>
              </w:rPr>
              <w:t>ț</w:t>
            </w:r>
            <w:r w:rsidRPr="00B13B9A">
              <w:rPr>
                <w:rFonts w:asciiTheme="majorHAnsi" w:hAnsiTheme="majorHAnsi" w:cstheme="majorHAnsi"/>
                <w:b/>
                <w:sz w:val="20"/>
                <w:szCs w:val="20"/>
                <w:lang w:val="ro-MD"/>
              </w:rPr>
              <w:t>i</w:t>
            </w:r>
          </w:p>
        </w:tc>
        <w:tc>
          <w:tcPr>
            <w:tcW w:w="1048" w:type="dxa"/>
            <w:shd w:val="clear" w:color="auto" w:fill="auto"/>
            <w:vAlign w:val="center"/>
          </w:tcPr>
          <w:p w14:paraId="58114DB8" w14:textId="77777777" w:rsidR="00695705" w:rsidRPr="00B13B9A" w:rsidRDefault="00695705" w:rsidP="002932FC">
            <w:pPr>
              <w:jc w:val="right"/>
              <w:rPr>
                <w:rFonts w:asciiTheme="majorHAnsi" w:hAnsiTheme="majorHAnsi" w:cstheme="majorHAnsi"/>
                <w:sz w:val="20"/>
                <w:szCs w:val="20"/>
                <w:lang w:val="ro-MD"/>
              </w:rPr>
            </w:pPr>
            <w:r w:rsidRPr="00B13B9A">
              <w:rPr>
                <w:rFonts w:asciiTheme="majorHAnsi" w:hAnsiTheme="majorHAnsi" w:cstheme="majorHAnsi"/>
                <w:sz w:val="20"/>
                <w:szCs w:val="20"/>
                <w:lang w:val="ro-MD"/>
              </w:rPr>
              <w:t>13</w:t>
            </w:r>
          </w:p>
        </w:tc>
        <w:tc>
          <w:tcPr>
            <w:tcW w:w="917" w:type="dxa"/>
            <w:shd w:val="clear" w:color="auto" w:fill="auto"/>
            <w:vAlign w:val="center"/>
          </w:tcPr>
          <w:p w14:paraId="2ADF5E1E" w14:textId="77777777" w:rsidR="00695705" w:rsidRPr="00B13B9A" w:rsidRDefault="00695705" w:rsidP="002932FC">
            <w:pPr>
              <w:jc w:val="right"/>
              <w:rPr>
                <w:rFonts w:asciiTheme="majorHAnsi" w:hAnsiTheme="majorHAnsi" w:cstheme="majorHAnsi"/>
                <w:sz w:val="20"/>
                <w:szCs w:val="20"/>
                <w:lang w:val="ro-MD"/>
              </w:rPr>
            </w:pPr>
            <w:r w:rsidRPr="00B13B9A">
              <w:rPr>
                <w:rFonts w:asciiTheme="majorHAnsi" w:hAnsiTheme="majorHAnsi" w:cstheme="majorHAnsi"/>
                <w:sz w:val="20"/>
                <w:szCs w:val="20"/>
                <w:lang w:val="ro-MD"/>
              </w:rPr>
              <w:t>10</w:t>
            </w:r>
          </w:p>
        </w:tc>
        <w:tc>
          <w:tcPr>
            <w:tcW w:w="917" w:type="dxa"/>
            <w:shd w:val="clear" w:color="auto" w:fill="auto"/>
            <w:vAlign w:val="center"/>
          </w:tcPr>
          <w:p w14:paraId="562A694F" w14:textId="77777777" w:rsidR="00695705" w:rsidRPr="00B13B9A" w:rsidRDefault="00695705" w:rsidP="002932FC">
            <w:pPr>
              <w:jc w:val="right"/>
              <w:rPr>
                <w:rFonts w:asciiTheme="majorHAnsi" w:hAnsiTheme="majorHAnsi" w:cstheme="majorHAnsi"/>
                <w:sz w:val="20"/>
                <w:szCs w:val="20"/>
                <w:lang w:val="ro-MD"/>
              </w:rPr>
            </w:pPr>
            <w:r w:rsidRPr="00B13B9A">
              <w:rPr>
                <w:rFonts w:asciiTheme="majorHAnsi" w:hAnsiTheme="majorHAnsi" w:cstheme="majorHAnsi"/>
                <w:sz w:val="20"/>
                <w:szCs w:val="20"/>
                <w:lang w:val="ro-MD"/>
              </w:rPr>
              <w:t>76,9</w:t>
            </w:r>
          </w:p>
        </w:tc>
        <w:tc>
          <w:tcPr>
            <w:tcW w:w="1179" w:type="dxa"/>
            <w:shd w:val="clear" w:color="auto" w:fill="auto"/>
            <w:vAlign w:val="center"/>
          </w:tcPr>
          <w:p w14:paraId="3416CF52" w14:textId="77777777" w:rsidR="00695705" w:rsidRPr="00B13B9A" w:rsidRDefault="00695705" w:rsidP="002932FC">
            <w:pPr>
              <w:jc w:val="right"/>
              <w:rPr>
                <w:rFonts w:asciiTheme="majorHAnsi" w:hAnsiTheme="majorHAnsi" w:cstheme="majorHAnsi"/>
                <w:color w:val="000000" w:themeColor="text1"/>
                <w:sz w:val="20"/>
                <w:szCs w:val="20"/>
                <w:lang w:val="ro-MD"/>
              </w:rPr>
            </w:pPr>
            <w:r w:rsidRPr="00B13B9A">
              <w:rPr>
                <w:rFonts w:asciiTheme="majorHAnsi" w:hAnsiTheme="majorHAnsi" w:cstheme="majorHAnsi"/>
                <w:color w:val="000000" w:themeColor="text1"/>
                <w:sz w:val="20"/>
                <w:szCs w:val="20"/>
                <w:lang w:val="ro-MD"/>
              </w:rPr>
              <w:t>13</w:t>
            </w:r>
          </w:p>
        </w:tc>
        <w:tc>
          <w:tcPr>
            <w:tcW w:w="1179" w:type="dxa"/>
            <w:shd w:val="clear" w:color="auto" w:fill="auto"/>
            <w:vAlign w:val="center"/>
          </w:tcPr>
          <w:p w14:paraId="6A1C4B89" w14:textId="77777777" w:rsidR="00695705" w:rsidRPr="00B13B9A" w:rsidRDefault="00695705" w:rsidP="002932FC">
            <w:pPr>
              <w:jc w:val="right"/>
              <w:rPr>
                <w:rFonts w:asciiTheme="majorHAnsi" w:hAnsiTheme="majorHAnsi" w:cstheme="majorHAnsi"/>
                <w:color w:val="000000" w:themeColor="text1"/>
                <w:sz w:val="20"/>
                <w:szCs w:val="20"/>
                <w:lang w:val="ro-MD"/>
              </w:rPr>
            </w:pPr>
            <w:r w:rsidRPr="00B13B9A">
              <w:rPr>
                <w:rFonts w:asciiTheme="majorHAnsi" w:hAnsiTheme="majorHAnsi" w:cstheme="majorHAnsi"/>
                <w:color w:val="000000" w:themeColor="text1"/>
                <w:sz w:val="20"/>
                <w:szCs w:val="20"/>
                <w:lang w:val="ro-MD"/>
              </w:rPr>
              <w:t>10</w:t>
            </w:r>
          </w:p>
        </w:tc>
        <w:tc>
          <w:tcPr>
            <w:tcW w:w="917" w:type="dxa"/>
            <w:shd w:val="clear" w:color="auto" w:fill="auto"/>
            <w:vAlign w:val="center"/>
          </w:tcPr>
          <w:p w14:paraId="5A8AC34D" w14:textId="77777777" w:rsidR="00695705" w:rsidRPr="00B13B9A" w:rsidRDefault="00695705" w:rsidP="002932FC">
            <w:pPr>
              <w:jc w:val="right"/>
              <w:rPr>
                <w:rFonts w:asciiTheme="majorHAnsi" w:hAnsiTheme="majorHAnsi" w:cstheme="majorHAnsi"/>
                <w:color w:val="000000" w:themeColor="text1"/>
                <w:sz w:val="20"/>
                <w:szCs w:val="20"/>
                <w:lang w:val="ro-MD"/>
              </w:rPr>
            </w:pPr>
            <w:r w:rsidRPr="00B13B9A">
              <w:rPr>
                <w:rFonts w:asciiTheme="majorHAnsi" w:hAnsiTheme="majorHAnsi" w:cstheme="majorHAnsi"/>
                <w:color w:val="000000" w:themeColor="text1"/>
                <w:sz w:val="20"/>
                <w:szCs w:val="20"/>
                <w:lang w:val="ro-MD"/>
              </w:rPr>
              <w:t>76,9</w:t>
            </w:r>
          </w:p>
        </w:tc>
        <w:tc>
          <w:tcPr>
            <w:tcW w:w="1179" w:type="dxa"/>
            <w:shd w:val="clear" w:color="auto" w:fill="auto"/>
            <w:vAlign w:val="center"/>
          </w:tcPr>
          <w:p w14:paraId="18733678" w14:textId="77777777" w:rsidR="00695705" w:rsidRPr="00B13B9A" w:rsidRDefault="00695705" w:rsidP="002932FC">
            <w:pPr>
              <w:jc w:val="right"/>
              <w:rPr>
                <w:rFonts w:asciiTheme="majorHAnsi" w:hAnsiTheme="majorHAnsi" w:cstheme="majorHAnsi"/>
                <w:sz w:val="20"/>
                <w:szCs w:val="20"/>
                <w:lang w:val="ro-MD"/>
              </w:rPr>
            </w:pPr>
            <w:r w:rsidRPr="00B13B9A">
              <w:rPr>
                <w:rFonts w:asciiTheme="majorHAnsi" w:hAnsiTheme="majorHAnsi" w:cstheme="majorHAnsi"/>
                <w:sz w:val="20"/>
                <w:szCs w:val="20"/>
                <w:lang w:val="ro-MD"/>
              </w:rPr>
              <w:t>13</w:t>
            </w:r>
          </w:p>
        </w:tc>
        <w:tc>
          <w:tcPr>
            <w:tcW w:w="1048" w:type="dxa"/>
            <w:shd w:val="clear" w:color="auto" w:fill="auto"/>
            <w:vAlign w:val="center"/>
          </w:tcPr>
          <w:p w14:paraId="16FD56BD" w14:textId="77777777" w:rsidR="00695705" w:rsidRPr="00B13B9A" w:rsidRDefault="00695705" w:rsidP="002932FC">
            <w:pPr>
              <w:jc w:val="right"/>
              <w:rPr>
                <w:rFonts w:asciiTheme="majorHAnsi" w:hAnsiTheme="majorHAnsi" w:cstheme="majorHAnsi"/>
                <w:sz w:val="20"/>
                <w:szCs w:val="20"/>
                <w:lang w:val="ro-MD"/>
              </w:rPr>
            </w:pPr>
            <w:r w:rsidRPr="00B13B9A">
              <w:rPr>
                <w:rFonts w:asciiTheme="majorHAnsi" w:hAnsiTheme="majorHAnsi" w:cstheme="majorHAnsi"/>
                <w:sz w:val="20"/>
                <w:szCs w:val="20"/>
                <w:lang w:val="ro-MD"/>
              </w:rPr>
              <w:t>8</w:t>
            </w:r>
          </w:p>
        </w:tc>
        <w:tc>
          <w:tcPr>
            <w:tcW w:w="917" w:type="dxa"/>
            <w:shd w:val="clear" w:color="auto" w:fill="auto"/>
            <w:vAlign w:val="center"/>
          </w:tcPr>
          <w:p w14:paraId="0FF54C88" w14:textId="77777777" w:rsidR="00695705" w:rsidRPr="00B13B9A" w:rsidRDefault="00695705" w:rsidP="002932FC">
            <w:pPr>
              <w:jc w:val="right"/>
              <w:rPr>
                <w:rFonts w:asciiTheme="majorHAnsi" w:hAnsiTheme="majorHAnsi" w:cstheme="majorHAnsi"/>
                <w:sz w:val="20"/>
                <w:szCs w:val="20"/>
                <w:lang w:val="ro-MD"/>
              </w:rPr>
            </w:pPr>
            <w:r w:rsidRPr="00B13B9A">
              <w:rPr>
                <w:rFonts w:asciiTheme="majorHAnsi" w:hAnsiTheme="majorHAnsi" w:cstheme="majorHAnsi"/>
                <w:sz w:val="20"/>
                <w:szCs w:val="20"/>
                <w:lang w:val="ro-MD"/>
              </w:rPr>
              <w:t>61,5</w:t>
            </w:r>
          </w:p>
        </w:tc>
        <w:tc>
          <w:tcPr>
            <w:tcW w:w="1179" w:type="dxa"/>
            <w:vAlign w:val="center"/>
          </w:tcPr>
          <w:p w14:paraId="5085B5E7" w14:textId="77777777" w:rsidR="00695705" w:rsidRPr="00B13B9A" w:rsidRDefault="00695705" w:rsidP="002932FC">
            <w:pPr>
              <w:jc w:val="right"/>
              <w:rPr>
                <w:rFonts w:asciiTheme="majorHAnsi" w:hAnsiTheme="majorHAnsi" w:cstheme="majorHAnsi"/>
                <w:sz w:val="20"/>
                <w:szCs w:val="20"/>
                <w:lang w:val="ro-MD"/>
              </w:rPr>
            </w:pPr>
            <w:r w:rsidRPr="00B13B9A">
              <w:rPr>
                <w:rFonts w:asciiTheme="majorHAnsi" w:hAnsiTheme="majorHAnsi" w:cstheme="majorHAnsi"/>
                <w:sz w:val="20"/>
                <w:szCs w:val="20"/>
                <w:lang w:val="ro-MD"/>
              </w:rPr>
              <w:t>3</w:t>
            </w:r>
          </w:p>
        </w:tc>
        <w:tc>
          <w:tcPr>
            <w:tcW w:w="1179" w:type="dxa"/>
            <w:shd w:val="clear" w:color="auto" w:fill="auto"/>
            <w:vAlign w:val="center"/>
          </w:tcPr>
          <w:p w14:paraId="34A0371C" w14:textId="77777777" w:rsidR="00695705" w:rsidRPr="00B13B9A" w:rsidRDefault="00695705" w:rsidP="002932FC">
            <w:pPr>
              <w:jc w:val="right"/>
              <w:rPr>
                <w:rFonts w:asciiTheme="majorHAnsi" w:hAnsiTheme="majorHAnsi" w:cstheme="majorHAnsi"/>
                <w:sz w:val="20"/>
                <w:szCs w:val="20"/>
                <w:lang w:val="ro-MD"/>
              </w:rPr>
            </w:pPr>
            <w:r w:rsidRPr="00B13B9A">
              <w:rPr>
                <w:rFonts w:asciiTheme="majorHAnsi" w:hAnsiTheme="majorHAnsi" w:cstheme="majorHAnsi"/>
                <w:sz w:val="20"/>
                <w:szCs w:val="20"/>
                <w:lang w:val="ro-MD"/>
              </w:rPr>
              <w:t>3</w:t>
            </w:r>
          </w:p>
        </w:tc>
        <w:tc>
          <w:tcPr>
            <w:tcW w:w="1130" w:type="dxa"/>
            <w:shd w:val="clear" w:color="auto" w:fill="auto"/>
            <w:vAlign w:val="center"/>
          </w:tcPr>
          <w:p w14:paraId="016EFEFF" w14:textId="77777777" w:rsidR="00695705" w:rsidRPr="00B13B9A" w:rsidRDefault="00695705" w:rsidP="002932FC">
            <w:pPr>
              <w:jc w:val="right"/>
              <w:rPr>
                <w:rFonts w:asciiTheme="majorHAnsi" w:hAnsiTheme="majorHAnsi" w:cstheme="majorHAnsi"/>
                <w:sz w:val="20"/>
                <w:szCs w:val="20"/>
                <w:lang w:val="ro-MD"/>
              </w:rPr>
            </w:pPr>
            <w:r w:rsidRPr="00B13B9A">
              <w:rPr>
                <w:rFonts w:asciiTheme="majorHAnsi" w:hAnsiTheme="majorHAnsi" w:cstheme="majorHAnsi"/>
                <w:sz w:val="20"/>
                <w:szCs w:val="20"/>
                <w:lang w:val="ro-MD"/>
              </w:rPr>
              <w:t>0</w:t>
            </w:r>
          </w:p>
        </w:tc>
      </w:tr>
      <w:tr w:rsidR="00695705" w:rsidRPr="00B13B9A" w14:paraId="24AF4B92" w14:textId="77777777" w:rsidTr="00695705">
        <w:trPr>
          <w:trHeight w:val="468"/>
        </w:trPr>
        <w:tc>
          <w:tcPr>
            <w:tcW w:w="1434" w:type="dxa"/>
            <w:shd w:val="clear" w:color="auto" w:fill="auto"/>
            <w:vAlign w:val="center"/>
          </w:tcPr>
          <w:p w14:paraId="20FD02EF" w14:textId="77777777" w:rsidR="00695705" w:rsidRPr="00B13B9A" w:rsidRDefault="00695705" w:rsidP="002932FC">
            <w:pPr>
              <w:rPr>
                <w:rFonts w:asciiTheme="majorHAnsi" w:hAnsiTheme="majorHAnsi" w:cstheme="majorHAnsi"/>
                <w:b/>
                <w:sz w:val="20"/>
                <w:szCs w:val="20"/>
                <w:lang w:val="ro-MD"/>
              </w:rPr>
            </w:pPr>
            <w:r w:rsidRPr="00B13B9A">
              <w:rPr>
                <w:rFonts w:asciiTheme="majorHAnsi" w:hAnsiTheme="majorHAnsi" w:cstheme="majorHAnsi"/>
                <w:b/>
                <w:sz w:val="20"/>
                <w:szCs w:val="20"/>
                <w:lang w:val="ro-MD"/>
              </w:rPr>
              <w:t>3. Personal mediu</w:t>
            </w:r>
          </w:p>
        </w:tc>
        <w:tc>
          <w:tcPr>
            <w:tcW w:w="1048" w:type="dxa"/>
            <w:shd w:val="clear" w:color="auto" w:fill="auto"/>
            <w:vAlign w:val="center"/>
          </w:tcPr>
          <w:p w14:paraId="25663C77" w14:textId="77777777" w:rsidR="00695705" w:rsidRPr="00B13B9A" w:rsidRDefault="00695705" w:rsidP="002932FC">
            <w:pPr>
              <w:jc w:val="right"/>
              <w:rPr>
                <w:rFonts w:asciiTheme="majorHAnsi" w:hAnsiTheme="majorHAnsi" w:cstheme="majorHAnsi"/>
                <w:sz w:val="20"/>
                <w:szCs w:val="20"/>
                <w:lang w:val="ro-MD"/>
              </w:rPr>
            </w:pPr>
            <w:r w:rsidRPr="00B13B9A">
              <w:rPr>
                <w:rFonts w:asciiTheme="majorHAnsi" w:hAnsiTheme="majorHAnsi" w:cstheme="majorHAnsi"/>
                <w:sz w:val="20"/>
                <w:szCs w:val="20"/>
                <w:lang w:val="ro-MD"/>
              </w:rPr>
              <w:t>230,5</w:t>
            </w:r>
          </w:p>
        </w:tc>
        <w:tc>
          <w:tcPr>
            <w:tcW w:w="917" w:type="dxa"/>
            <w:shd w:val="clear" w:color="auto" w:fill="auto"/>
            <w:vAlign w:val="center"/>
          </w:tcPr>
          <w:p w14:paraId="5E2A74D0" w14:textId="77777777" w:rsidR="00695705" w:rsidRPr="00B13B9A" w:rsidRDefault="00695705" w:rsidP="002932FC">
            <w:pPr>
              <w:jc w:val="right"/>
              <w:rPr>
                <w:rFonts w:asciiTheme="majorHAnsi" w:hAnsiTheme="majorHAnsi" w:cstheme="majorHAnsi"/>
                <w:sz w:val="20"/>
                <w:szCs w:val="20"/>
                <w:lang w:val="ro-MD"/>
              </w:rPr>
            </w:pPr>
            <w:r w:rsidRPr="00B13B9A">
              <w:rPr>
                <w:rFonts w:asciiTheme="majorHAnsi" w:hAnsiTheme="majorHAnsi" w:cstheme="majorHAnsi"/>
                <w:sz w:val="20"/>
                <w:szCs w:val="20"/>
                <w:lang w:val="ro-MD"/>
              </w:rPr>
              <w:t>132,75</w:t>
            </w:r>
          </w:p>
        </w:tc>
        <w:tc>
          <w:tcPr>
            <w:tcW w:w="917" w:type="dxa"/>
            <w:shd w:val="clear" w:color="auto" w:fill="auto"/>
            <w:vAlign w:val="center"/>
          </w:tcPr>
          <w:p w14:paraId="1DD02E03" w14:textId="77777777" w:rsidR="00695705" w:rsidRPr="00B13B9A" w:rsidRDefault="00695705" w:rsidP="002932FC">
            <w:pPr>
              <w:jc w:val="right"/>
              <w:rPr>
                <w:rFonts w:asciiTheme="majorHAnsi" w:hAnsiTheme="majorHAnsi" w:cstheme="majorHAnsi"/>
                <w:sz w:val="20"/>
                <w:szCs w:val="20"/>
                <w:lang w:val="ro-MD"/>
              </w:rPr>
            </w:pPr>
            <w:r w:rsidRPr="00B13B9A">
              <w:rPr>
                <w:rFonts w:asciiTheme="majorHAnsi" w:hAnsiTheme="majorHAnsi" w:cstheme="majorHAnsi"/>
                <w:sz w:val="20"/>
                <w:szCs w:val="20"/>
                <w:lang w:val="ro-MD"/>
              </w:rPr>
              <w:t>56,6</w:t>
            </w:r>
          </w:p>
        </w:tc>
        <w:tc>
          <w:tcPr>
            <w:tcW w:w="1179" w:type="dxa"/>
            <w:shd w:val="clear" w:color="auto" w:fill="auto"/>
            <w:vAlign w:val="center"/>
          </w:tcPr>
          <w:p w14:paraId="5681EE2C" w14:textId="77777777" w:rsidR="00695705" w:rsidRPr="00B13B9A" w:rsidRDefault="00695705" w:rsidP="002932FC">
            <w:pPr>
              <w:jc w:val="right"/>
              <w:rPr>
                <w:rFonts w:asciiTheme="majorHAnsi" w:hAnsiTheme="majorHAnsi" w:cstheme="majorHAnsi"/>
                <w:color w:val="000000" w:themeColor="text1"/>
                <w:sz w:val="20"/>
                <w:szCs w:val="20"/>
                <w:lang w:val="ro-MD"/>
              </w:rPr>
            </w:pPr>
            <w:r w:rsidRPr="00B13B9A">
              <w:rPr>
                <w:rFonts w:asciiTheme="majorHAnsi" w:hAnsiTheme="majorHAnsi" w:cstheme="majorHAnsi"/>
                <w:color w:val="000000" w:themeColor="text1"/>
                <w:sz w:val="20"/>
                <w:szCs w:val="20"/>
                <w:lang w:val="ro-MD"/>
              </w:rPr>
              <w:t>212,25</w:t>
            </w:r>
          </w:p>
        </w:tc>
        <w:tc>
          <w:tcPr>
            <w:tcW w:w="1179" w:type="dxa"/>
            <w:shd w:val="clear" w:color="auto" w:fill="auto"/>
            <w:vAlign w:val="center"/>
          </w:tcPr>
          <w:p w14:paraId="519AF9F5" w14:textId="77777777" w:rsidR="00695705" w:rsidRPr="00B13B9A" w:rsidRDefault="00695705" w:rsidP="002932FC">
            <w:pPr>
              <w:jc w:val="right"/>
              <w:rPr>
                <w:rFonts w:asciiTheme="majorHAnsi" w:hAnsiTheme="majorHAnsi" w:cstheme="majorHAnsi"/>
                <w:color w:val="000000" w:themeColor="text1"/>
                <w:sz w:val="20"/>
                <w:szCs w:val="20"/>
                <w:lang w:val="ro-MD"/>
              </w:rPr>
            </w:pPr>
            <w:r w:rsidRPr="00B13B9A">
              <w:rPr>
                <w:rFonts w:asciiTheme="majorHAnsi" w:hAnsiTheme="majorHAnsi" w:cstheme="majorHAnsi"/>
                <w:color w:val="000000" w:themeColor="text1"/>
                <w:sz w:val="20"/>
                <w:szCs w:val="20"/>
                <w:lang w:val="ro-MD"/>
              </w:rPr>
              <w:t>132,75</w:t>
            </w:r>
          </w:p>
        </w:tc>
        <w:tc>
          <w:tcPr>
            <w:tcW w:w="917" w:type="dxa"/>
            <w:shd w:val="clear" w:color="auto" w:fill="auto"/>
            <w:vAlign w:val="center"/>
          </w:tcPr>
          <w:p w14:paraId="4173FC07" w14:textId="77777777" w:rsidR="00695705" w:rsidRPr="00B13B9A" w:rsidRDefault="00695705" w:rsidP="002932FC">
            <w:pPr>
              <w:jc w:val="right"/>
              <w:rPr>
                <w:rFonts w:asciiTheme="majorHAnsi" w:hAnsiTheme="majorHAnsi" w:cstheme="majorHAnsi"/>
                <w:color w:val="000000" w:themeColor="text1"/>
                <w:sz w:val="20"/>
                <w:szCs w:val="20"/>
                <w:lang w:val="ro-MD"/>
              </w:rPr>
            </w:pPr>
            <w:r w:rsidRPr="00B13B9A">
              <w:rPr>
                <w:rFonts w:asciiTheme="majorHAnsi" w:hAnsiTheme="majorHAnsi" w:cstheme="majorHAnsi"/>
                <w:color w:val="000000" w:themeColor="text1"/>
                <w:sz w:val="20"/>
                <w:szCs w:val="20"/>
                <w:lang w:val="ro-MD"/>
              </w:rPr>
              <w:t>62,5</w:t>
            </w:r>
          </w:p>
        </w:tc>
        <w:tc>
          <w:tcPr>
            <w:tcW w:w="1179" w:type="dxa"/>
            <w:shd w:val="clear" w:color="auto" w:fill="auto"/>
            <w:vAlign w:val="center"/>
          </w:tcPr>
          <w:p w14:paraId="19987216" w14:textId="77777777" w:rsidR="00695705" w:rsidRPr="00B13B9A" w:rsidRDefault="00695705" w:rsidP="002932FC">
            <w:pPr>
              <w:jc w:val="right"/>
              <w:rPr>
                <w:rFonts w:asciiTheme="majorHAnsi" w:hAnsiTheme="majorHAnsi" w:cstheme="majorHAnsi"/>
                <w:sz w:val="20"/>
                <w:szCs w:val="20"/>
                <w:lang w:val="ro-MD"/>
              </w:rPr>
            </w:pPr>
            <w:r w:rsidRPr="00B13B9A">
              <w:rPr>
                <w:rFonts w:asciiTheme="majorHAnsi" w:hAnsiTheme="majorHAnsi" w:cstheme="majorHAnsi"/>
                <w:sz w:val="20"/>
                <w:szCs w:val="20"/>
                <w:lang w:val="ro-MD"/>
              </w:rPr>
              <w:t>212,25</w:t>
            </w:r>
          </w:p>
        </w:tc>
        <w:tc>
          <w:tcPr>
            <w:tcW w:w="1048" w:type="dxa"/>
            <w:shd w:val="clear" w:color="auto" w:fill="auto"/>
            <w:vAlign w:val="center"/>
          </w:tcPr>
          <w:p w14:paraId="085D6BCB" w14:textId="77777777" w:rsidR="00695705" w:rsidRPr="00B13B9A" w:rsidRDefault="00695705" w:rsidP="002932FC">
            <w:pPr>
              <w:jc w:val="right"/>
              <w:rPr>
                <w:rFonts w:asciiTheme="majorHAnsi" w:hAnsiTheme="majorHAnsi" w:cstheme="majorHAnsi"/>
                <w:sz w:val="20"/>
                <w:szCs w:val="20"/>
                <w:lang w:val="ro-MD"/>
              </w:rPr>
            </w:pPr>
            <w:r w:rsidRPr="00B13B9A">
              <w:rPr>
                <w:rFonts w:asciiTheme="majorHAnsi" w:hAnsiTheme="majorHAnsi" w:cstheme="majorHAnsi"/>
                <w:sz w:val="20"/>
                <w:szCs w:val="20"/>
                <w:lang w:val="ro-MD"/>
              </w:rPr>
              <w:t>138</w:t>
            </w:r>
          </w:p>
        </w:tc>
        <w:tc>
          <w:tcPr>
            <w:tcW w:w="917" w:type="dxa"/>
            <w:shd w:val="clear" w:color="auto" w:fill="auto"/>
            <w:vAlign w:val="center"/>
          </w:tcPr>
          <w:p w14:paraId="02FD0E43" w14:textId="77777777" w:rsidR="00695705" w:rsidRPr="00B13B9A" w:rsidRDefault="00695705" w:rsidP="002932FC">
            <w:pPr>
              <w:jc w:val="right"/>
              <w:rPr>
                <w:rFonts w:asciiTheme="majorHAnsi" w:hAnsiTheme="majorHAnsi" w:cstheme="majorHAnsi"/>
                <w:sz w:val="20"/>
                <w:szCs w:val="20"/>
                <w:lang w:val="ro-MD"/>
              </w:rPr>
            </w:pPr>
            <w:r w:rsidRPr="00B13B9A">
              <w:rPr>
                <w:rFonts w:asciiTheme="majorHAnsi" w:hAnsiTheme="majorHAnsi" w:cstheme="majorHAnsi"/>
                <w:sz w:val="20"/>
                <w:szCs w:val="20"/>
                <w:lang w:val="ro-MD"/>
              </w:rPr>
              <w:t>63</w:t>
            </w:r>
          </w:p>
        </w:tc>
        <w:tc>
          <w:tcPr>
            <w:tcW w:w="1179" w:type="dxa"/>
            <w:vAlign w:val="center"/>
          </w:tcPr>
          <w:p w14:paraId="4118C6B4" w14:textId="77777777" w:rsidR="00695705" w:rsidRPr="00B13B9A" w:rsidRDefault="00695705" w:rsidP="002932FC">
            <w:pPr>
              <w:jc w:val="right"/>
              <w:rPr>
                <w:rFonts w:asciiTheme="majorHAnsi" w:hAnsiTheme="majorHAnsi" w:cstheme="majorHAnsi"/>
                <w:sz w:val="20"/>
                <w:szCs w:val="20"/>
                <w:lang w:val="ro-MD"/>
              </w:rPr>
            </w:pPr>
            <w:r w:rsidRPr="00B13B9A">
              <w:rPr>
                <w:rFonts w:asciiTheme="majorHAnsi" w:hAnsiTheme="majorHAnsi" w:cstheme="majorHAnsi"/>
                <w:sz w:val="20"/>
                <w:szCs w:val="20"/>
                <w:lang w:val="ro-MD"/>
              </w:rPr>
              <w:t>97,75</w:t>
            </w:r>
          </w:p>
        </w:tc>
        <w:tc>
          <w:tcPr>
            <w:tcW w:w="1179" w:type="dxa"/>
            <w:shd w:val="clear" w:color="auto" w:fill="auto"/>
            <w:vAlign w:val="center"/>
          </w:tcPr>
          <w:p w14:paraId="6E8BC13B" w14:textId="77777777" w:rsidR="00695705" w:rsidRPr="00B13B9A" w:rsidRDefault="00695705" w:rsidP="002932FC">
            <w:pPr>
              <w:jc w:val="right"/>
              <w:rPr>
                <w:rFonts w:asciiTheme="majorHAnsi" w:hAnsiTheme="majorHAnsi" w:cstheme="majorHAnsi"/>
                <w:sz w:val="20"/>
                <w:szCs w:val="20"/>
                <w:lang w:val="ro-MD"/>
              </w:rPr>
            </w:pPr>
            <w:r w:rsidRPr="00B13B9A">
              <w:rPr>
                <w:rFonts w:asciiTheme="majorHAnsi" w:hAnsiTheme="majorHAnsi" w:cstheme="majorHAnsi"/>
                <w:sz w:val="20"/>
                <w:szCs w:val="20"/>
                <w:lang w:val="ro-MD"/>
              </w:rPr>
              <w:t>79,5</w:t>
            </w:r>
          </w:p>
        </w:tc>
        <w:tc>
          <w:tcPr>
            <w:tcW w:w="1130" w:type="dxa"/>
            <w:shd w:val="clear" w:color="auto" w:fill="auto"/>
            <w:vAlign w:val="center"/>
          </w:tcPr>
          <w:p w14:paraId="0280DD1D" w14:textId="77777777" w:rsidR="00695705" w:rsidRPr="00B13B9A" w:rsidRDefault="00695705" w:rsidP="002932FC">
            <w:pPr>
              <w:jc w:val="right"/>
              <w:rPr>
                <w:rFonts w:asciiTheme="majorHAnsi" w:hAnsiTheme="majorHAnsi" w:cstheme="majorHAnsi"/>
                <w:sz w:val="20"/>
                <w:szCs w:val="20"/>
                <w:lang w:val="ro-MD"/>
              </w:rPr>
            </w:pPr>
            <w:r w:rsidRPr="00B13B9A">
              <w:rPr>
                <w:rFonts w:asciiTheme="majorHAnsi" w:hAnsiTheme="majorHAnsi" w:cstheme="majorHAnsi"/>
                <w:sz w:val="20"/>
                <w:szCs w:val="20"/>
                <w:lang w:val="ro-MD"/>
              </w:rPr>
              <w:t>18,25</w:t>
            </w:r>
          </w:p>
        </w:tc>
      </w:tr>
      <w:tr w:rsidR="00695705" w:rsidRPr="00B13B9A" w14:paraId="57EE5D45" w14:textId="77777777" w:rsidTr="00695705">
        <w:trPr>
          <w:trHeight w:val="339"/>
        </w:trPr>
        <w:tc>
          <w:tcPr>
            <w:tcW w:w="1434" w:type="dxa"/>
            <w:shd w:val="clear" w:color="auto" w:fill="auto"/>
            <w:vAlign w:val="center"/>
          </w:tcPr>
          <w:p w14:paraId="73F2F60E" w14:textId="77777777" w:rsidR="00695705" w:rsidRPr="00B13B9A" w:rsidRDefault="00695705" w:rsidP="002932FC">
            <w:pPr>
              <w:rPr>
                <w:rFonts w:asciiTheme="majorHAnsi" w:hAnsiTheme="majorHAnsi" w:cstheme="majorHAnsi"/>
                <w:b/>
                <w:sz w:val="20"/>
                <w:szCs w:val="20"/>
                <w:lang w:val="ro-MD"/>
              </w:rPr>
            </w:pPr>
            <w:r w:rsidRPr="00B13B9A">
              <w:rPr>
                <w:rFonts w:asciiTheme="majorHAnsi" w:hAnsiTheme="majorHAnsi" w:cstheme="majorHAnsi"/>
                <w:b/>
                <w:sz w:val="20"/>
                <w:szCs w:val="20"/>
                <w:lang w:val="ro-MD"/>
              </w:rPr>
              <w:t>4. Personal inferior</w:t>
            </w:r>
          </w:p>
        </w:tc>
        <w:tc>
          <w:tcPr>
            <w:tcW w:w="1048" w:type="dxa"/>
            <w:shd w:val="clear" w:color="auto" w:fill="auto"/>
            <w:vAlign w:val="center"/>
          </w:tcPr>
          <w:p w14:paraId="4AD67C02" w14:textId="77777777" w:rsidR="00695705" w:rsidRPr="00B13B9A" w:rsidRDefault="00695705" w:rsidP="002932FC">
            <w:pPr>
              <w:jc w:val="right"/>
              <w:rPr>
                <w:rFonts w:asciiTheme="majorHAnsi" w:hAnsiTheme="majorHAnsi" w:cstheme="majorHAnsi"/>
                <w:sz w:val="20"/>
                <w:szCs w:val="20"/>
                <w:lang w:val="ro-MD"/>
              </w:rPr>
            </w:pPr>
            <w:r w:rsidRPr="00B13B9A">
              <w:rPr>
                <w:rFonts w:asciiTheme="majorHAnsi" w:hAnsiTheme="majorHAnsi" w:cstheme="majorHAnsi"/>
                <w:sz w:val="20"/>
                <w:szCs w:val="20"/>
                <w:lang w:val="ro-MD"/>
              </w:rPr>
              <w:t>169,25</w:t>
            </w:r>
          </w:p>
        </w:tc>
        <w:tc>
          <w:tcPr>
            <w:tcW w:w="917" w:type="dxa"/>
            <w:shd w:val="clear" w:color="auto" w:fill="auto"/>
            <w:vAlign w:val="center"/>
          </w:tcPr>
          <w:p w14:paraId="21603B8F" w14:textId="77777777" w:rsidR="00695705" w:rsidRPr="00B13B9A" w:rsidRDefault="00695705" w:rsidP="002932FC">
            <w:pPr>
              <w:jc w:val="right"/>
              <w:rPr>
                <w:rFonts w:asciiTheme="majorHAnsi" w:hAnsiTheme="majorHAnsi" w:cstheme="majorHAnsi"/>
                <w:sz w:val="20"/>
                <w:szCs w:val="20"/>
                <w:lang w:val="ro-MD"/>
              </w:rPr>
            </w:pPr>
            <w:r w:rsidRPr="00B13B9A">
              <w:rPr>
                <w:rFonts w:asciiTheme="majorHAnsi" w:hAnsiTheme="majorHAnsi" w:cstheme="majorHAnsi"/>
                <w:sz w:val="20"/>
                <w:szCs w:val="20"/>
                <w:lang w:val="ro-MD"/>
              </w:rPr>
              <w:t>120,5</w:t>
            </w:r>
          </w:p>
        </w:tc>
        <w:tc>
          <w:tcPr>
            <w:tcW w:w="917" w:type="dxa"/>
            <w:shd w:val="clear" w:color="auto" w:fill="auto"/>
            <w:vAlign w:val="center"/>
          </w:tcPr>
          <w:p w14:paraId="03D9A6D5" w14:textId="77777777" w:rsidR="00695705" w:rsidRPr="00B13B9A" w:rsidRDefault="00695705" w:rsidP="002932FC">
            <w:pPr>
              <w:jc w:val="right"/>
              <w:rPr>
                <w:rFonts w:asciiTheme="majorHAnsi" w:hAnsiTheme="majorHAnsi" w:cstheme="majorHAnsi"/>
                <w:sz w:val="20"/>
                <w:szCs w:val="20"/>
                <w:lang w:val="ro-MD"/>
              </w:rPr>
            </w:pPr>
            <w:r w:rsidRPr="00B13B9A">
              <w:rPr>
                <w:rFonts w:asciiTheme="majorHAnsi" w:hAnsiTheme="majorHAnsi" w:cstheme="majorHAnsi"/>
                <w:sz w:val="20"/>
                <w:szCs w:val="20"/>
                <w:lang w:val="ro-MD"/>
              </w:rPr>
              <w:t>71,1</w:t>
            </w:r>
          </w:p>
        </w:tc>
        <w:tc>
          <w:tcPr>
            <w:tcW w:w="1179" w:type="dxa"/>
            <w:shd w:val="clear" w:color="auto" w:fill="auto"/>
            <w:vAlign w:val="center"/>
          </w:tcPr>
          <w:p w14:paraId="4FE1F09A" w14:textId="77777777" w:rsidR="00695705" w:rsidRPr="00B13B9A" w:rsidRDefault="00695705" w:rsidP="002932FC">
            <w:pPr>
              <w:jc w:val="right"/>
              <w:rPr>
                <w:rFonts w:asciiTheme="majorHAnsi" w:hAnsiTheme="majorHAnsi" w:cstheme="majorHAnsi"/>
                <w:color w:val="000000" w:themeColor="text1"/>
                <w:sz w:val="20"/>
                <w:szCs w:val="20"/>
                <w:lang w:val="ro-MD"/>
              </w:rPr>
            </w:pPr>
            <w:r w:rsidRPr="00B13B9A">
              <w:rPr>
                <w:rFonts w:asciiTheme="majorHAnsi" w:hAnsiTheme="majorHAnsi" w:cstheme="majorHAnsi"/>
                <w:color w:val="000000" w:themeColor="text1"/>
                <w:sz w:val="20"/>
                <w:szCs w:val="20"/>
                <w:lang w:val="ro-MD"/>
              </w:rPr>
              <w:t>148,25</w:t>
            </w:r>
          </w:p>
        </w:tc>
        <w:tc>
          <w:tcPr>
            <w:tcW w:w="1179" w:type="dxa"/>
            <w:shd w:val="clear" w:color="auto" w:fill="auto"/>
            <w:vAlign w:val="center"/>
          </w:tcPr>
          <w:p w14:paraId="29D818C4" w14:textId="77777777" w:rsidR="00695705" w:rsidRPr="00B13B9A" w:rsidRDefault="00695705" w:rsidP="002932FC">
            <w:pPr>
              <w:jc w:val="right"/>
              <w:rPr>
                <w:rFonts w:asciiTheme="majorHAnsi" w:hAnsiTheme="majorHAnsi" w:cstheme="majorHAnsi"/>
                <w:color w:val="000000" w:themeColor="text1"/>
                <w:sz w:val="20"/>
                <w:szCs w:val="20"/>
                <w:lang w:val="ro-MD"/>
              </w:rPr>
            </w:pPr>
            <w:r w:rsidRPr="00B13B9A">
              <w:rPr>
                <w:rFonts w:asciiTheme="majorHAnsi" w:hAnsiTheme="majorHAnsi" w:cstheme="majorHAnsi"/>
                <w:color w:val="000000" w:themeColor="text1"/>
                <w:sz w:val="20"/>
                <w:szCs w:val="20"/>
                <w:lang w:val="ro-MD"/>
              </w:rPr>
              <w:t>120,5</w:t>
            </w:r>
          </w:p>
        </w:tc>
        <w:tc>
          <w:tcPr>
            <w:tcW w:w="917" w:type="dxa"/>
            <w:shd w:val="clear" w:color="auto" w:fill="auto"/>
            <w:vAlign w:val="center"/>
          </w:tcPr>
          <w:p w14:paraId="623AE25B" w14:textId="77777777" w:rsidR="00695705" w:rsidRPr="00B13B9A" w:rsidRDefault="00695705" w:rsidP="002932FC">
            <w:pPr>
              <w:jc w:val="right"/>
              <w:rPr>
                <w:rFonts w:asciiTheme="majorHAnsi" w:hAnsiTheme="majorHAnsi" w:cstheme="majorHAnsi"/>
                <w:color w:val="000000" w:themeColor="text1"/>
                <w:sz w:val="20"/>
                <w:szCs w:val="20"/>
                <w:lang w:val="ro-MD"/>
              </w:rPr>
            </w:pPr>
            <w:r w:rsidRPr="00B13B9A">
              <w:rPr>
                <w:rFonts w:asciiTheme="majorHAnsi" w:hAnsiTheme="majorHAnsi" w:cstheme="majorHAnsi"/>
                <w:color w:val="000000" w:themeColor="text1"/>
                <w:sz w:val="20"/>
                <w:szCs w:val="20"/>
                <w:lang w:val="ro-MD"/>
              </w:rPr>
              <w:t>81,2</w:t>
            </w:r>
          </w:p>
        </w:tc>
        <w:tc>
          <w:tcPr>
            <w:tcW w:w="1179" w:type="dxa"/>
            <w:shd w:val="clear" w:color="auto" w:fill="auto"/>
            <w:vAlign w:val="center"/>
          </w:tcPr>
          <w:p w14:paraId="080A9E05" w14:textId="77777777" w:rsidR="00695705" w:rsidRPr="00B13B9A" w:rsidRDefault="00695705" w:rsidP="002932FC">
            <w:pPr>
              <w:jc w:val="right"/>
              <w:rPr>
                <w:rFonts w:asciiTheme="majorHAnsi" w:hAnsiTheme="majorHAnsi" w:cstheme="majorHAnsi"/>
                <w:sz w:val="20"/>
                <w:szCs w:val="20"/>
                <w:lang w:val="ro-MD"/>
              </w:rPr>
            </w:pPr>
            <w:r w:rsidRPr="00B13B9A">
              <w:rPr>
                <w:rFonts w:asciiTheme="majorHAnsi" w:hAnsiTheme="majorHAnsi" w:cstheme="majorHAnsi"/>
                <w:sz w:val="20"/>
                <w:szCs w:val="20"/>
                <w:lang w:val="ro-MD"/>
              </w:rPr>
              <w:t>148,25</w:t>
            </w:r>
          </w:p>
        </w:tc>
        <w:tc>
          <w:tcPr>
            <w:tcW w:w="1048" w:type="dxa"/>
            <w:shd w:val="clear" w:color="auto" w:fill="auto"/>
            <w:vAlign w:val="center"/>
          </w:tcPr>
          <w:p w14:paraId="1A5CDAF1" w14:textId="77777777" w:rsidR="00695705" w:rsidRPr="00B13B9A" w:rsidRDefault="00695705" w:rsidP="002932FC">
            <w:pPr>
              <w:jc w:val="right"/>
              <w:rPr>
                <w:rFonts w:asciiTheme="majorHAnsi" w:hAnsiTheme="majorHAnsi" w:cstheme="majorHAnsi"/>
                <w:sz w:val="20"/>
                <w:szCs w:val="20"/>
                <w:lang w:val="ro-MD"/>
              </w:rPr>
            </w:pPr>
            <w:r w:rsidRPr="00B13B9A">
              <w:rPr>
                <w:rFonts w:asciiTheme="majorHAnsi" w:hAnsiTheme="majorHAnsi" w:cstheme="majorHAnsi"/>
                <w:sz w:val="20"/>
                <w:szCs w:val="20"/>
                <w:lang w:val="ro-MD"/>
              </w:rPr>
              <w:t>115,5</w:t>
            </w:r>
          </w:p>
        </w:tc>
        <w:tc>
          <w:tcPr>
            <w:tcW w:w="917" w:type="dxa"/>
            <w:shd w:val="clear" w:color="auto" w:fill="auto"/>
            <w:vAlign w:val="center"/>
          </w:tcPr>
          <w:p w14:paraId="77482112" w14:textId="77777777" w:rsidR="00695705" w:rsidRPr="00B13B9A" w:rsidRDefault="00695705" w:rsidP="002932FC">
            <w:pPr>
              <w:jc w:val="right"/>
              <w:rPr>
                <w:rFonts w:asciiTheme="majorHAnsi" w:hAnsiTheme="majorHAnsi" w:cstheme="majorHAnsi"/>
                <w:sz w:val="20"/>
                <w:szCs w:val="20"/>
                <w:lang w:val="ro-MD"/>
              </w:rPr>
            </w:pPr>
            <w:r w:rsidRPr="00B13B9A">
              <w:rPr>
                <w:rFonts w:asciiTheme="majorHAnsi" w:hAnsiTheme="majorHAnsi" w:cstheme="majorHAnsi"/>
                <w:sz w:val="20"/>
                <w:szCs w:val="20"/>
                <w:lang w:val="ro-MD"/>
              </w:rPr>
              <w:t>80</w:t>
            </w:r>
          </w:p>
        </w:tc>
        <w:tc>
          <w:tcPr>
            <w:tcW w:w="1179" w:type="dxa"/>
            <w:vAlign w:val="center"/>
          </w:tcPr>
          <w:p w14:paraId="2529A15B" w14:textId="77777777" w:rsidR="00695705" w:rsidRPr="00B13B9A" w:rsidRDefault="00695705" w:rsidP="002932FC">
            <w:pPr>
              <w:jc w:val="right"/>
              <w:rPr>
                <w:rFonts w:asciiTheme="majorHAnsi" w:hAnsiTheme="majorHAnsi" w:cstheme="majorHAnsi"/>
                <w:sz w:val="20"/>
                <w:szCs w:val="20"/>
                <w:lang w:val="ro-MD"/>
              </w:rPr>
            </w:pPr>
            <w:r w:rsidRPr="00B13B9A">
              <w:rPr>
                <w:rFonts w:asciiTheme="majorHAnsi" w:hAnsiTheme="majorHAnsi" w:cstheme="majorHAnsi"/>
                <w:sz w:val="20"/>
                <w:szCs w:val="20"/>
                <w:lang w:val="ro-MD"/>
              </w:rPr>
              <w:t>48,75</w:t>
            </w:r>
          </w:p>
        </w:tc>
        <w:tc>
          <w:tcPr>
            <w:tcW w:w="1179" w:type="dxa"/>
            <w:shd w:val="clear" w:color="auto" w:fill="auto"/>
            <w:vAlign w:val="center"/>
          </w:tcPr>
          <w:p w14:paraId="491FF69A" w14:textId="77777777" w:rsidR="00695705" w:rsidRPr="00B13B9A" w:rsidRDefault="00695705" w:rsidP="002932FC">
            <w:pPr>
              <w:jc w:val="right"/>
              <w:rPr>
                <w:rFonts w:asciiTheme="majorHAnsi" w:hAnsiTheme="majorHAnsi" w:cstheme="majorHAnsi"/>
                <w:sz w:val="20"/>
                <w:szCs w:val="20"/>
                <w:lang w:val="ro-MD"/>
              </w:rPr>
            </w:pPr>
            <w:r w:rsidRPr="00B13B9A">
              <w:rPr>
                <w:rFonts w:asciiTheme="majorHAnsi" w:hAnsiTheme="majorHAnsi" w:cstheme="majorHAnsi"/>
                <w:sz w:val="20"/>
                <w:szCs w:val="20"/>
                <w:lang w:val="ro-MD"/>
              </w:rPr>
              <w:t>27,75</w:t>
            </w:r>
          </w:p>
        </w:tc>
        <w:tc>
          <w:tcPr>
            <w:tcW w:w="1130" w:type="dxa"/>
            <w:shd w:val="clear" w:color="auto" w:fill="auto"/>
            <w:vAlign w:val="center"/>
          </w:tcPr>
          <w:p w14:paraId="6A4443EA" w14:textId="77777777" w:rsidR="00695705" w:rsidRPr="00B13B9A" w:rsidRDefault="00695705" w:rsidP="002932FC">
            <w:pPr>
              <w:jc w:val="right"/>
              <w:rPr>
                <w:rFonts w:asciiTheme="majorHAnsi" w:hAnsiTheme="majorHAnsi" w:cstheme="majorHAnsi"/>
                <w:sz w:val="20"/>
                <w:szCs w:val="20"/>
                <w:lang w:val="ro-MD"/>
              </w:rPr>
            </w:pPr>
            <w:r w:rsidRPr="00B13B9A">
              <w:rPr>
                <w:rFonts w:asciiTheme="majorHAnsi" w:hAnsiTheme="majorHAnsi" w:cstheme="majorHAnsi"/>
                <w:sz w:val="20"/>
                <w:szCs w:val="20"/>
                <w:lang w:val="ro-MD"/>
              </w:rPr>
              <w:t>21</w:t>
            </w:r>
          </w:p>
        </w:tc>
      </w:tr>
      <w:tr w:rsidR="00695705" w:rsidRPr="00B13B9A" w14:paraId="7CB6E8A1" w14:textId="77777777" w:rsidTr="00695705">
        <w:trPr>
          <w:trHeight w:val="314"/>
        </w:trPr>
        <w:tc>
          <w:tcPr>
            <w:tcW w:w="1434" w:type="dxa"/>
            <w:shd w:val="clear" w:color="auto" w:fill="auto"/>
            <w:vAlign w:val="center"/>
          </w:tcPr>
          <w:p w14:paraId="6E7D042B" w14:textId="6924F348" w:rsidR="00695705" w:rsidRPr="00B13B9A" w:rsidRDefault="00695705" w:rsidP="002932FC">
            <w:pPr>
              <w:rPr>
                <w:rFonts w:asciiTheme="majorHAnsi" w:hAnsiTheme="majorHAnsi" w:cstheme="majorHAnsi"/>
                <w:b/>
                <w:sz w:val="20"/>
                <w:szCs w:val="20"/>
                <w:lang w:val="ro-MD"/>
              </w:rPr>
            </w:pPr>
            <w:r w:rsidRPr="00B13B9A">
              <w:rPr>
                <w:rFonts w:asciiTheme="majorHAnsi" w:hAnsiTheme="majorHAnsi" w:cstheme="majorHAnsi"/>
                <w:b/>
                <w:sz w:val="20"/>
                <w:szCs w:val="20"/>
                <w:lang w:val="ro-MD"/>
              </w:rPr>
              <w:t>5.</w:t>
            </w:r>
            <w:r w:rsidR="00D80586" w:rsidRPr="00B13B9A">
              <w:rPr>
                <w:rFonts w:asciiTheme="majorHAnsi" w:hAnsiTheme="majorHAnsi" w:cstheme="majorHAnsi"/>
                <w:b/>
                <w:sz w:val="20"/>
                <w:szCs w:val="20"/>
                <w:lang w:val="ro-MD"/>
              </w:rPr>
              <w:t xml:space="preserve"> </w:t>
            </w:r>
            <w:r w:rsidRPr="00B13B9A">
              <w:rPr>
                <w:rFonts w:asciiTheme="majorHAnsi" w:hAnsiTheme="majorHAnsi" w:cstheme="majorHAnsi"/>
                <w:b/>
                <w:sz w:val="20"/>
                <w:szCs w:val="20"/>
                <w:lang w:val="ro-MD"/>
              </w:rPr>
              <w:t>Alt personal</w:t>
            </w:r>
          </w:p>
        </w:tc>
        <w:tc>
          <w:tcPr>
            <w:tcW w:w="1048" w:type="dxa"/>
            <w:shd w:val="clear" w:color="auto" w:fill="auto"/>
            <w:vAlign w:val="center"/>
          </w:tcPr>
          <w:p w14:paraId="4D15D93C" w14:textId="77777777" w:rsidR="00695705" w:rsidRPr="00B13B9A" w:rsidRDefault="00695705" w:rsidP="002932FC">
            <w:pPr>
              <w:jc w:val="right"/>
              <w:rPr>
                <w:rFonts w:asciiTheme="majorHAnsi" w:hAnsiTheme="majorHAnsi" w:cstheme="majorHAnsi"/>
                <w:sz w:val="20"/>
                <w:szCs w:val="20"/>
                <w:lang w:val="ro-MD"/>
              </w:rPr>
            </w:pPr>
            <w:r w:rsidRPr="00B13B9A">
              <w:rPr>
                <w:rFonts w:asciiTheme="majorHAnsi" w:hAnsiTheme="majorHAnsi" w:cstheme="majorHAnsi"/>
                <w:sz w:val="20"/>
                <w:szCs w:val="20"/>
                <w:lang w:val="ro-MD"/>
              </w:rPr>
              <w:t>162</w:t>
            </w:r>
          </w:p>
        </w:tc>
        <w:tc>
          <w:tcPr>
            <w:tcW w:w="917" w:type="dxa"/>
            <w:shd w:val="clear" w:color="auto" w:fill="auto"/>
            <w:vAlign w:val="center"/>
          </w:tcPr>
          <w:p w14:paraId="5A3BB720" w14:textId="77777777" w:rsidR="00695705" w:rsidRPr="00B13B9A" w:rsidRDefault="00695705" w:rsidP="002932FC">
            <w:pPr>
              <w:jc w:val="right"/>
              <w:rPr>
                <w:rFonts w:asciiTheme="majorHAnsi" w:hAnsiTheme="majorHAnsi" w:cstheme="majorHAnsi"/>
                <w:sz w:val="20"/>
                <w:szCs w:val="20"/>
                <w:lang w:val="ro-MD"/>
              </w:rPr>
            </w:pPr>
            <w:r w:rsidRPr="00B13B9A">
              <w:rPr>
                <w:rFonts w:asciiTheme="majorHAnsi" w:hAnsiTheme="majorHAnsi" w:cstheme="majorHAnsi"/>
                <w:sz w:val="20"/>
                <w:szCs w:val="20"/>
                <w:lang w:val="ro-MD"/>
              </w:rPr>
              <w:t>114,5</w:t>
            </w:r>
          </w:p>
        </w:tc>
        <w:tc>
          <w:tcPr>
            <w:tcW w:w="917" w:type="dxa"/>
            <w:shd w:val="clear" w:color="auto" w:fill="auto"/>
            <w:vAlign w:val="center"/>
          </w:tcPr>
          <w:p w14:paraId="3FED28C8" w14:textId="77777777" w:rsidR="00695705" w:rsidRPr="00B13B9A" w:rsidRDefault="00695705" w:rsidP="002932FC">
            <w:pPr>
              <w:jc w:val="right"/>
              <w:rPr>
                <w:rFonts w:asciiTheme="majorHAnsi" w:hAnsiTheme="majorHAnsi" w:cstheme="majorHAnsi"/>
                <w:sz w:val="20"/>
                <w:szCs w:val="20"/>
                <w:lang w:val="ro-MD"/>
              </w:rPr>
            </w:pPr>
            <w:r w:rsidRPr="00B13B9A">
              <w:rPr>
                <w:rFonts w:asciiTheme="majorHAnsi" w:hAnsiTheme="majorHAnsi" w:cstheme="majorHAnsi"/>
                <w:sz w:val="20"/>
                <w:szCs w:val="20"/>
                <w:lang w:val="ro-MD"/>
              </w:rPr>
              <w:t>70,1</w:t>
            </w:r>
          </w:p>
        </w:tc>
        <w:tc>
          <w:tcPr>
            <w:tcW w:w="1179" w:type="dxa"/>
            <w:shd w:val="clear" w:color="auto" w:fill="auto"/>
            <w:vAlign w:val="center"/>
          </w:tcPr>
          <w:p w14:paraId="0842588D" w14:textId="77777777" w:rsidR="00695705" w:rsidRPr="00B13B9A" w:rsidRDefault="00695705" w:rsidP="002932FC">
            <w:pPr>
              <w:jc w:val="right"/>
              <w:rPr>
                <w:rFonts w:asciiTheme="majorHAnsi" w:hAnsiTheme="majorHAnsi" w:cstheme="majorHAnsi"/>
                <w:color w:val="000000" w:themeColor="text1"/>
                <w:sz w:val="20"/>
                <w:szCs w:val="20"/>
                <w:lang w:val="ro-MD"/>
              </w:rPr>
            </w:pPr>
            <w:r w:rsidRPr="00B13B9A">
              <w:rPr>
                <w:rFonts w:asciiTheme="majorHAnsi" w:hAnsiTheme="majorHAnsi" w:cstheme="majorHAnsi"/>
                <w:color w:val="000000" w:themeColor="text1"/>
                <w:sz w:val="20"/>
                <w:szCs w:val="20"/>
                <w:lang w:val="ro-MD"/>
              </w:rPr>
              <w:t>149,5</w:t>
            </w:r>
          </w:p>
        </w:tc>
        <w:tc>
          <w:tcPr>
            <w:tcW w:w="1179" w:type="dxa"/>
            <w:shd w:val="clear" w:color="auto" w:fill="auto"/>
            <w:vAlign w:val="center"/>
          </w:tcPr>
          <w:p w14:paraId="744BCF2B" w14:textId="77777777" w:rsidR="00695705" w:rsidRPr="00B13B9A" w:rsidRDefault="00695705" w:rsidP="002932FC">
            <w:pPr>
              <w:jc w:val="right"/>
              <w:rPr>
                <w:rFonts w:asciiTheme="majorHAnsi" w:hAnsiTheme="majorHAnsi" w:cstheme="majorHAnsi"/>
                <w:color w:val="000000" w:themeColor="text1"/>
                <w:sz w:val="20"/>
                <w:szCs w:val="20"/>
                <w:lang w:val="ro-MD"/>
              </w:rPr>
            </w:pPr>
            <w:r w:rsidRPr="00B13B9A">
              <w:rPr>
                <w:rFonts w:asciiTheme="majorHAnsi" w:hAnsiTheme="majorHAnsi" w:cstheme="majorHAnsi"/>
                <w:color w:val="000000" w:themeColor="text1"/>
                <w:sz w:val="20"/>
                <w:szCs w:val="20"/>
                <w:lang w:val="ro-MD"/>
              </w:rPr>
              <w:t>114,5</w:t>
            </w:r>
          </w:p>
        </w:tc>
        <w:tc>
          <w:tcPr>
            <w:tcW w:w="917" w:type="dxa"/>
            <w:shd w:val="clear" w:color="auto" w:fill="auto"/>
            <w:vAlign w:val="center"/>
          </w:tcPr>
          <w:p w14:paraId="1B579C6F" w14:textId="77777777" w:rsidR="00695705" w:rsidRPr="00B13B9A" w:rsidRDefault="00695705" w:rsidP="002932FC">
            <w:pPr>
              <w:jc w:val="right"/>
              <w:rPr>
                <w:rFonts w:asciiTheme="majorHAnsi" w:hAnsiTheme="majorHAnsi" w:cstheme="majorHAnsi"/>
                <w:color w:val="000000" w:themeColor="text1"/>
                <w:sz w:val="20"/>
                <w:szCs w:val="20"/>
                <w:lang w:val="ro-MD"/>
              </w:rPr>
            </w:pPr>
            <w:r w:rsidRPr="00B13B9A">
              <w:rPr>
                <w:rFonts w:asciiTheme="majorHAnsi" w:hAnsiTheme="majorHAnsi" w:cstheme="majorHAnsi"/>
                <w:color w:val="000000" w:themeColor="text1"/>
                <w:sz w:val="20"/>
                <w:szCs w:val="20"/>
                <w:lang w:val="ro-MD"/>
              </w:rPr>
              <w:t>76,5</w:t>
            </w:r>
          </w:p>
        </w:tc>
        <w:tc>
          <w:tcPr>
            <w:tcW w:w="1179" w:type="dxa"/>
            <w:shd w:val="clear" w:color="auto" w:fill="auto"/>
            <w:vAlign w:val="center"/>
          </w:tcPr>
          <w:p w14:paraId="0B1912E3" w14:textId="77777777" w:rsidR="00695705" w:rsidRPr="00B13B9A" w:rsidRDefault="00695705" w:rsidP="002932FC">
            <w:pPr>
              <w:jc w:val="right"/>
              <w:rPr>
                <w:rFonts w:asciiTheme="majorHAnsi" w:hAnsiTheme="majorHAnsi" w:cstheme="majorHAnsi"/>
                <w:sz w:val="20"/>
                <w:szCs w:val="20"/>
                <w:lang w:val="ro-MD"/>
              </w:rPr>
            </w:pPr>
            <w:r w:rsidRPr="00B13B9A">
              <w:rPr>
                <w:rFonts w:asciiTheme="majorHAnsi" w:hAnsiTheme="majorHAnsi" w:cstheme="majorHAnsi"/>
                <w:sz w:val="20"/>
                <w:szCs w:val="20"/>
                <w:lang w:val="ro-MD"/>
              </w:rPr>
              <w:t>149,5</w:t>
            </w:r>
          </w:p>
        </w:tc>
        <w:tc>
          <w:tcPr>
            <w:tcW w:w="1048" w:type="dxa"/>
            <w:shd w:val="clear" w:color="auto" w:fill="auto"/>
            <w:vAlign w:val="center"/>
          </w:tcPr>
          <w:p w14:paraId="5BF649A8" w14:textId="77777777" w:rsidR="00695705" w:rsidRPr="00B13B9A" w:rsidRDefault="00695705" w:rsidP="002932FC">
            <w:pPr>
              <w:jc w:val="right"/>
              <w:rPr>
                <w:rFonts w:asciiTheme="majorHAnsi" w:hAnsiTheme="majorHAnsi" w:cstheme="majorHAnsi"/>
                <w:sz w:val="20"/>
                <w:szCs w:val="20"/>
                <w:lang w:val="ro-MD"/>
              </w:rPr>
            </w:pPr>
            <w:r w:rsidRPr="00B13B9A">
              <w:rPr>
                <w:rFonts w:asciiTheme="majorHAnsi" w:hAnsiTheme="majorHAnsi" w:cstheme="majorHAnsi"/>
                <w:sz w:val="20"/>
                <w:szCs w:val="20"/>
                <w:lang w:val="ro-MD"/>
              </w:rPr>
              <w:t>102</w:t>
            </w:r>
          </w:p>
        </w:tc>
        <w:tc>
          <w:tcPr>
            <w:tcW w:w="917" w:type="dxa"/>
            <w:shd w:val="clear" w:color="auto" w:fill="auto"/>
            <w:vAlign w:val="center"/>
          </w:tcPr>
          <w:p w14:paraId="12749EE8" w14:textId="77777777" w:rsidR="00695705" w:rsidRPr="00B13B9A" w:rsidRDefault="00695705" w:rsidP="002932FC">
            <w:pPr>
              <w:jc w:val="right"/>
              <w:rPr>
                <w:rFonts w:asciiTheme="majorHAnsi" w:hAnsiTheme="majorHAnsi" w:cstheme="majorHAnsi"/>
                <w:sz w:val="20"/>
                <w:szCs w:val="20"/>
                <w:lang w:val="ro-MD"/>
              </w:rPr>
            </w:pPr>
            <w:r w:rsidRPr="00B13B9A">
              <w:rPr>
                <w:rFonts w:asciiTheme="majorHAnsi" w:hAnsiTheme="majorHAnsi" w:cstheme="majorHAnsi"/>
                <w:sz w:val="20"/>
                <w:szCs w:val="20"/>
                <w:lang w:val="ro-MD"/>
              </w:rPr>
              <w:t>68,2</w:t>
            </w:r>
          </w:p>
        </w:tc>
        <w:tc>
          <w:tcPr>
            <w:tcW w:w="1179" w:type="dxa"/>
            <w:vAlign w:val="center"/>
          </w:tcPr>
          <w:p w14:paraId="1F00DAD6" w14:textId="77777777" w:rsidR="00695705" w:rsidRPr="00B13B9A" w:rsidRDefault="00695705" w:rsidP="002932FC">
            <w:pPr>
              <w:jc w:val="right"/>
              <w:rPr>
                <w:rFonts w:asciiTheme="majorHAnsi" w:hAnsiTheme="majorHAnsi" w:cstheme="majorHAnsi"/>
                <w:sz w:val="20"/>
                <w:szCs w:val="20"/>
                <w:lang w:val="ro-MD"/>
              </w:rPr>
            </w:pPr>
            <w:r w:rsidRPr="00B13B9A">
              <w:rPr>
                <w:rFonts w:asciiTheme="majorHAnsi" w:hAnsiTheme="majorHAnsi" w:cstheme="majorHAnsi"/>
                <w:sz w:val="20"/>
                <w:szCs w:val="20"/>
                <w:lang w:val="ro-MD"/>
              </w:rPr>
              <w:t>47,5</w:t>
            </w:r>
          </w:p>
        </w:tc>
        <w:tc>
          <w:tcPr>
            <w:tcW w:w="1179" w:type="dxa"/>
            <w:shd w:val="clear" w:color="auto" w:fill="auto"/>
            <w:vAlign w:val="center"/>
          </w:tcPr>
          <w:p w14:paraId="7ED81230" w14:textId="77777777" w:rsidR="00695705" w:rsidRPr="00B13B9A" w:rsidRDefault="00695705" w:rsidP="002932FC">
            <w:pPr>
              <w:jc w:val="right"/>
              <w:rPr>
                <w:rFonts w:asciiTheme="majorHAnsi" w:hAnsiTheme="majorHAnsi" w:cstheme="majorHAnsi"/>
                <w:sz w:val="20"/>
                <w:szCs w:val="20"/>
                <w:lang w:val="ro-MD"/>
              </w:rPr>
            </w:pPr>
            <w:r w:rsidRPr="00B13B9A">
              <w:rPr>
                <w:rFonts w:asciiTheme="majorHAnsi" w:hAnsiTheme="majorHAnsi" w:cstheme="majorHAnsi"/>
                <w:sz w:val="20"/>
                <w:szCs w:val="20"/>
                <w:lang w:val="ro-MD"/>
              </w:rPr>
              <w:t>35</w:t>
            </w:r>
          </w:p>
        </w:tc>
        <w:tc>
          <w:tcPr>
            <w:tcW w:w="1130" w:type="dxa"/>
            <w:shd w:val="clear" w:color="auto" w:fill="auto"/>
            <w:vAlign w:val="center"/>
          </w:tcPr>
          <w:p w14:paraId="423EC275" w14:textId="77777777" w:rsidR="00695705" w:rsidRPr="00B13B9A" w:rsidRDefault="00695705" w:rsidP="002932FC">
            <w:pPr>
              <w:jc w:val="right"/>
              <w:rPr>
                <w:rFonts w:asciiTheme="majorHAnsi" w:hAnsiTheme="majorHAnsi" w:cstheme="majorHAnsi"/>
                <w:sz w:val="20"/>
                <w:szCs w:val="20"/>
                <w:lang w:val="ro-MD"/>
              </w:rPr>
            </w:pPr>
            <w:r w:rsidRPr="00B13B9A">
              <w:rPr>
                <w:rFonts w:asciiTheme="majorHAnsi" w:hAnsiTheme="majorHAnsi" w:cstheme="majorHAnsi"/>
                <w:sz w:val="20"/>
                <w:szCs w:val="20"/>
                <w:lang w:val="ro-MD"/>
              </w:rPr>
              <w:t>12,5</w:t>
            </w:r>
          </w:p>
        </w:tc>
      </w:tr>
      <w:tr w:rsidR="00695705" w:rsidRPr="00B13B9A" w14:paraId="770FED17" w14:textId="77777777" w:rsidTr="00695705">
        <w:trPr>
          <w:trHeight w:val="307"/>
        </w:trPr>
        <w:tc>
          <w:tcPr>
            <w:tcW w:w="1434" w:type="dxa"/>
            <w:shd w:val="clear" w:color="auto" w:fill="auto"/>
            <w:vAlign w:val="center"/>
          </w:tcPr>
          <w:p w14:paraId="1007586F" w14:textId="77777777" w:rsidR="00695705" w:rsidRPr="00B13B9A" w:rsidRDefault="00695705" w:rsidP="002932FC">
            <w:pPr>
              <w:pStyle w:val="a7"/>
              <w:ind w:left="396"/>
              <w:rPr>
                <w:rFonts w:asciiTheme="majorHAnsi" w:hAnsiTheme="majorHAnsi" w:cstheme="majorHAnsi"/>
                <w:b/>
                <w:sz w:val="20"/>
                <w:szCs w:val="20"/>
                <w:lang w:val="ro-MD"/>
              </w:rPr>
            </w:pPr>
            <w:r w:rsidRPr="00B13B9A">
              <w:rPr>
                <w:rFonts w:asciiTheme="majorHAnsi" w:hAnsiTheme="majorHAnsi" w:cstheme="majorHAnsi"/>
                <w:b/>
                <w:sz w:val="20"/>
                <w:szCs w:val="20"/>
                <w:lang w:val="ro-MD"/>
              </w:rPr>
              <w:t>TOTAL</w:t>
            </w:r>
          </w:p>
        </w:tc>
        <w:tc>
          <w:tcPr>
            <w:tcW w:w="1048" w:type="dxa"/>
            <w:shd w:val="clear" w:color="auto" w:fill="auto"/>
            <w:vAlign w:val="center"/>
          </w:tcPr>
          <w:p w14:paraId="04D85C31" w14:textId="77777777" w:rsidR="00695705" w:rsidRPr="00B13B9A" w:rsidRDefault="00695705" w:rsidP="002932FC">
            <w:pPr>
              <w:jc w:val="right"/>
              <w:rPr>
                <w:rFonts w:asciiTheme="majorHAnsi" w:hAnsiTheme="majorHAnsi" w:cstheme="majorHAnsi"/>
                <w:sz w:val="20"/>
                <w:szCs w:val="20"/>
                <w:lang w:val="ro-MD"/>
              </w:rPr>
            </w:pPr>
            <w:r w:rsidRPr="00B13B9A">
              <w:rPr>
                <w:rFonts w:asciiTheme="majorHAnsi" w:hAnsiTheme="majorHAnsi" w:cstheme="majorHAnsi"/>
                <w:sz w:val="20"/>
                <w:szCs w:val="20"/>
                <w:lang w:val="ro-MD"/>
              </w:rPr>
              <w:t>695</w:t>
            </w:r>
          </w:p>
        </w:tc>
        <w:tc>
          <w:tcPr>
            <w:tcW w:w="917" w:type="dxa"/>
            <w:shd w:val="clear" w:color="auto" w:fill="auto"/>
            <w:vAlign w:val="center"/>
          </w:tcPr>
          <w:p w14:paraId="7B556A50" w14:textId="77777777" w:rsidR="00695705" w:rsidRPr="00B13B9A" w:rsidRDefault="00695705" w:rsidP="002932FC">
            <w:pPr>
              <w:jc w:val="right"/>
              <w:rPr>
                <w:rFonts w:asciiTheme="majorHAnsi" w:hAnsiTheme="majorHAnsi" w:cstheme="majorHAnsi"/>
                <w:sz w:val="20"/>
                <w:szCs w:val="20"/>
                <w:lang w:val="ro-MD"/>
              </w:rPr>
            </w:pPr>
            <w:r w:rsidRPr="00B13B9A">
              <w:rPr>
                <w:rFonts w:asciiTheme="majorHAnsi" w:hAnsiTheme="majorHAnsi" w:cstheme="majorHAnsi"/>
                <w:sz w:val="20"/>
                <w:szCs w:val="20"/>
                <w:lang w:val="ro-MD"/>
              </w:rPr>
              <w:t>464,25</w:t>
            </w:r>
          </w:p>
        </w:tc>
        <w:tc>
          <w:tcPr>
            <w:tcW w:w="917" w:type="dxa"/>
            <w:shd w:val="clear" w:color="auto" w:fill="auto"/>
            <w:vAlign w:val="center"/>
          </w:tcPr>
          <w:p w14:paraId="16DC66D7" w14:textId="77777777" w:rsidR="00695705" w:rsidRPr="00B13B9A" w:rsidRDefault="00695705" w:rsidP="002932FC">
            <w:pPr>
              <w:jc w:val="right"/>
              <w:rPr>
                <w:rFonts w:asciiTheme="majorHAnsi" w:hAnsiTheme="majorHAnsi" w:cstheme="majorHAnsi"/>
                <w:sz w:val="20"/>
                <w:szCs w:val="20"/>
                <w:lang w:val="ro-MD"/>
              </w:rPr>
            </w:pPr>
            <w:r w:rsidRPr="00B13B9A">
              <w:rPr>
                <w:rFonts w:asciiTheme="majorHAnsi" w:hAnsiTheme="majorHAnsi" w:cstheme="majorHAnsi"/>
                <w:sz w:val="20"/>
                <w:szCs w:val="20"/>
                <w:lang w:val="ro-MD"/>
              </w:rPr>
              <w:t>66,8</w:t>
            </w:r>
          </w:p>
        </w:tc>
        <w:tc>
          <w:tcPr>
            <w:tcW w:w="1179" w:type="dxa"/>
            <w:shd w:val="clear" w:color="auto" w:fill="auto"/>
            <w:vAlign w:val="center"/>
          </w:tcPr>
          <w:p w14:paraId="20620F9D" w14:textId="77777777" w:rsidR="00695705" w:rsidRPr="00B13B9A" w:rsidRDefault="00695705" w:rsidP="002932FC">
            <w:pPr>
              <w:jc w:val="right"/>
              <w:rPr>
                <w:rFonts w:asciiTheme="majorHAnsi" w:hAnsiTheme="majorHAnsi" w:cstheme="majorHAnsi"/>
                <w:color w:val="000000" w:themeColor="text1"/>
                <w:sz w:val="20"/>
                <w:szCs w:val="20"/>
                <w:lang w:val="ro-MD"/>
              </w:rPr>
            </w:pPr>
            <w:r w:rsidRPr="00B13B9A">
              <w:rPr>
                <w:rFonts w:asciiTheme="majorHAnsi" w:hAnsiTheme="majorHAnsi" w:cstheme="majorHAnsi"/>
                <w:color w:val="000000" w:themeColor="text1"/>
                <w:sz w:val="20"/>
                <w:szCs w:val="20"/>
                <w:lang w:val="ro-MD"/>
              </w:rPr>
              <w:t>635</w:t>
            </w:r>
          </w:p>
        </w:tc>
        <w:tc>
          <w:tcPr>
            <w:tcW w:w="1179" w:type="dxa"/>
            <w:shd w:val="clear" w:color="auto" w:fill="auto"/>
            <w:vAlign w:val="center"/>
          </w:tcPr>
          <w:p w14:paraId="6CFDB4C7" w14:textId="77777777" w:rsidR="00695705" w:rsidRPr="00B13B9A" w:rsidRDefault="00695705" w:rsidP="002932FC">
            <w:pPr>
              <w:jc w:val="right"/>
              <w:rPr>
                <w:rFonts w:asciiTheme="majorHAnsi" w:hAnsiTheme="majorHAnsi" w:cstheme="majorHAnsi"/>
                <w:color w:val="000000" w:themeColor="text1"/>
                <w:sz w:val="20"/>
                <w:szCs w:val="20"/>
                <w:lang w:val="ro-MD"/>
              </w:rPr>
            </w:pPr>
            <w:r w:rsidRPr="00B13B9A">
              <w:rPr>
                <w:rFonts w:asciiTheme="majorHAnsi" w:hAnsiTheme="majorHAnsi" w:cstheme="majorHAnsi"/>
                <w:color w:val="000000" w:themeColor="text1"/>
                <w:sz w:val="20"/>
                <w:szCs w:val="20"/>
                <w:lang w:val="ro-MD"/>
              </w:rPr>
              <w:t>464,25</w:t>
            </w:r>
          </w:p>
        </w:tc>
        <w:tc>
          <w:tcPr>
            <w:tcW w:w="917" w:type="dxa"/>
            <w:shd w:val="clear" w:color="auto" w:fill="auto"/>
            <w:vAlign w:val="center"/>
          </w:tcPr>
          <w:p w14:paraId="5C0D1FB7" w14:textId="77777777" w:rsidR="00695705" w:rsidRPr="00B13B9A" w:rsidRDefault="00695705" w:rsidP="002932FC">
            <w:pPr>
              <w:jc w:val="right"/>
              <w:rPr>
                <w:rFonts w:asciiTheme="majorHAnsi" w:hAnsiTheme="majorHAnsi" w:cstheme="majorHAnsi"/>
                <w:color w:val="000000" w:themeColor="text1"/>
                <w:sz w:val="20"/>
                <w:szCs w:val="20"/>
                <w:lang w:val="ro-MD"/>
              </w:rPr>
            </w:pPr>
            <w:r w:rsidRPr="00B13B9A">
              <w:rPr>
                <w:rFonts w:asciiTheme="majorHAnsi" w:hAnsiTheme="majorHAnsi" w:cstheme="majorHAnsi"/>
                <w:color w:val="000000" w:themeColor="text1"/>
                <w:sz w:val="20"/>
                <w:szCs w:val="20"/>
                <w:lang w:val="ro-MD"/>
              </w:rPr>
              <w:t>73,1</w:t>
            </w:r>
          </w:p>
        </w:tc>
        <w:tc>
          <w:tcPr>
            <w:tcW w:w="1179" w:type="dxa"/>
            <w:shd w:val="clear" w:color="auto" w:fill="auto"/>
            <w:vAlign w:val="center"/>
          </w:tcPr>
          <w:p w14:paraId="7E869F32" w14:textId="77777777" w:rsidR="00695705" w:rsidRPr="00B13B9A" w:rsidRDefault="00695705" w:rsidP="002932FC">
            <w:pPr>
              <w:jc w:val="right"/>
              <w:rPr>
                <w:rFonts w:asciiTheme="majorHAnsi" w:hAnsiTheme="majorHAnsi" w:cstheme="majorHAnsi"/>
                <w:sz w:val="20"/>
                <w:szCs w:val="20"/>
                <w:lang w:val="ro-MD"/>
              </w:rPr>
            </w:pPr>
            <w:r w:rsidRPr="00B13B9A">
              <w:rPr>
                <w:rFonts w:asciiTheme="majorHAnsi" w:hAnsiTheme="majorHAnsi" w:cstheme="majorHAnsi"/>
                <w:sz w:val="20"/>
                <w:szCs w:val="20"/>
                <w:lang w:val="ro-MD"/>
              </w:rPr>
              <w:t>635</w:t>
            </w:r>
          </w:p>
        </w:tc>
        <w:tc>
          <w:tcPr>
            <w:tcW w:w="1048" w:type="dxa"/>
            <w:shd w:val="clear" w:color="auto" w:fill="auto"/>
            <w:vAlign w:val="center"/>
          </w:tcPr>
          <w:p w14:paraId="0D963AB3" w14:textId="77777777" w:rsidR="00695705" w:rsidRPr="00B13B9A" w:rsidRDefault="00695705" w:rsidP="002932FC">
            <w:pPr>
              <w:jc w:val="right"/>
              <w:rPr>
                <w:rFonts w:asciiTheme="majorHAnsi" w:hAnsiTheme="majorHAnsi" w:cstheme="majorHAnsi"/>
                <w:sz w:val="20"/>
                <w:szCs w:val="20"/>
                <w:lang w:val="ro-MD"/>
              </w:rPr>
            </w:pPr>
            <w:r w:rsidRPr="00B13B9A">
              <w:rPr>
                <w:rFonts w:asciiTheme="majorHAnsi" w:hAnsiTheme="majorHAnsi" w:cstheme="majorHAnsi"/>
                <w:sz w:val="20"/>
                <w:szCs w:val="20"/>
                <w:lang w:val="ro-MD"/>
              </w:rPr>
              <w:t>459,75</w:t>
            </w:r>
          </w:p>
        </w:tc>
        <w:tc>
          <w:tcPr>
            <w:tcW w:w="917" w:type="dxa"/>
            <w:shd w:val="clear" w:color="auto" w:fill="auto"/>
            <w:vAlign w:val="center"/>
          </w:tcPr>
          <w:p w14:paraId="5756B07B" w14:textId="77777777" w:rsidR="00695705" w:rsidRPr="00B13B9A" w:rsidRDefault="00695705" w:rsidP="002932FC">
            <w:pPr>
              <w:jc w:val="right"/>
              <w:rPr>
                <w:rFonts w:asciiTheme="majorHAnsi" w:hAnsiTheme="majorHAnsi" w:cstheme="majorHAnsi"/>
                <w:sz w:val="20"/>
                <w:szCs w:val="20"/>
                <w:lang w:val="ro-MD"/>
              </w:rPr>
            </w:pPr>
            <w:r w:rsidRPr="00B13B9A">
              <w:rPr>
                <w:rFonts w:asciiTheme="majorHAnsi" w:hAnsiTheme="majorHAnsi" w:cstheme="majorHAnsi"/>
                <w:sz w:val="20"/>
                <w:szCs w:val="20"/>
                <w:lang w:val="ro-MD"/>
              </w:rPr>
              <w:t>72,4</w:t>
            </w:r>
          </w:p>
        </w:tc>
        <w:tc>
          <w:tcPr>
            <w:tcW w:w="1179" w:type="dxa"/>
            <w:vAlign w:val="center"/>
          </w:tcPr>
          <w:p w14:paraId="33BD3527" w14:textId="77777777" w:rsidR="00695705" w:rsidRPr="00B13B9A" w:rsidRDefault="00695705" w:rsidP="002932FC">
            <w:pPr>
              <w:jc w:val="right"/>
              <w:rPr>
                <w:rFonts w:asciiTheme="majorHAnsi" w:hAnsiTheme="majorHAnsi" w:cstheme="majorHAnsi"/>
                <w:sz w:val="20"/>
                <w:szCs w:val="20"/>
                <w:lang w:val="ro-MD"/>
              </w:rPr>
            </w:pPr>
            <w:r w:rsidRPr="00B13B9A">
              <w:rPr>
                <w:rFonts w:asciiTheme="majorHAnsi" w:hAnsiTheme="majorHAnsi" w:cstheme="majorHAnsi"/>
                <w:sz w:val="20"/>
                <w:szCs w:val="20"/>
                <w:lang w:val="ro-MD"/>
              </w:rPr>
              <w:t>230,75</w:t>
            </w:r>
          </w:p>
        </w:tc>
        <w:tc>
          <w:tcPr>
            <w:tcW w:w="1179" w:type="dxa"/>
            <w:shd w:val="clear" w:color="auto" w:fill="auto"/>
            <w:vAlign w:val="center"/>
          </w:tcPr>
          <w:p w14:paraId="7CACE42B" w14:textId="77777777" w:rsidR="00695705" w:rsidRPr="00B13B9A" w:rsidRDefault="00695705" w:rsidP="002932FC">
            <w:pPr>
              <w:jc w:val="right"/>
              <w:rPr>
                <w:rFonts w:asciiTheme="majorHAnsi" w:hAnsiTheme="majorHAnsi" w:cstheme="majorHAnsi"/>
                <w:sz w:val="20"/>
                <w:szCs w:val="20"/>
                <w:lang w:val="ro-MD"/>
              </w:rPr>
            </w:pPr>
            <w:r w:rsidRPr="00B13B9A">
              <w:rPr>
                <w:rFonts w:asciiTheme="majorHAnsi" w:hAnsiTheme="majorHAnsi" w:cstheme="majorHAnsi"/>
                <w:sz w:val="20"/>
                <w:szCs w:val="20"/>
                <w:lang w:val="ro-MD"/>
              </w:rPr>
              <w:t>170,75</w:t>
            </w:r>
          </w:p>
        </w:tc>
        <w:tc>
          <w:tcPr>
            <w:tcW w:w="1130" w:type="dxa"/>
            <w:shd w:val="clear" w:color="auto" w:fill="auto"/>
            <w:vAlign w:val="center"/>
          </w:tcPr>
          <w:p w14:paraId="0FBA3F02" w14:textId="77777777" w:rsidR="00695705" w:rsidRPr="00B13B9A" w:rsidRDefault="00695705" w:rsidP="002932FC">
            <w:pPr>
              <w:jc w:val="right"/>
              <w:rPr>
                <w:rFonts w:asciiTheme="majorHAnsi" w:hAnsiTheme="majorHAnsi" w:cstheme="majorHAnsi"/>
                <w:sz w:val="20"/>
                <w:szCs w:val="20"/>
                <w:lang w:val="ro-MD"/>
              </w:rPr>
            </w:pPr>
            <w:r w:rsidRPr="00B13B9A">
              <w:rPr>
                <w:rFonts w:asciiTheme="majorHAnsi" w:hAnsiTheme="majorHAnsi" w:cstheme="majorHAnsi"/>
                <w:sz w:val="20"/>
                <w:szCs w:val="20"/>
                <w:lang w:val="ro-MD"/>
              </w:rPr>
              <w:t>60</w:t>
            </w:r>
          </w:p>
        </w:tc>
      </w:tr>
    </w:tbl>
    <w:p w14:paraId="3907827E" w14:textId="21AD84ED" w:rsidR="00695705" w:rsidRPr="00B13B9A" w:rsidRDefault="00695705" w:rsidP="0062601E">
      <w:pPr>
        <w:pStyle w:val="af0"/>
        <w:tabs>
          <w:tab w:val="left" w:pos="9072"/>
        </w:tabs>
        <w:spacing w:line="276" w:lineRule="auto"/>
        <w:rPr>
          <w:rFonts w:asciiTheme="majorHAnsi" w:hAnsiTheme="majorHAnsi" w:cstheme="majorHAnsi"/>
          <w:i/>
          <w:sz w:val="20"/>
          <w:szCs w:val="20"/>
          <w:lang w:val="ro-MD"/>
        </w:rPr>
      </w:pPr>
      <w:r w:rsidRPr="00B13B9A">
        <w:rPr>
          <w:rFonts w:asciiTheme="majorHAnsi" w:hAnsiTheme="majorHAnsi" w:cstheme="majorHAnsi"/>
          <w:b/>
          <w:i/>
          <w:sz w:val="20"/>
          <w:szCs w:val="20"/>
          <w:lang w:val="ro-MD"/>
        </w:rPr>
        <w:t>Sursa:</w:t>
      </w:r>
      <w:r w:rsidRPr="00B13B9A">
        <w:rPr>
          <w:rFonts w:asciiTheme="majorHAnsi" w:hAnsiTheme="majorHAnsi" w:cstheme="majorHAnsi"/>
          <w:i/>
          <w:sz w:val="20"/>
          <w:szCs w:val="20"/>
          <w:lang w:val="ro-MD"/>
        </w:rPr>
        <w:t xml:space="preserve"> Informa</w:t>
      </w:r>
      <w:r w:rsidR="00B13B9A" w:rsidRPr="00B13B9A">
        <w:rPr>
          <w:rFonts w:asciiTheme="majorHAnsi" w:hAnsiTheme="majorHAnsi" w:cstheme="majorHAnsi"/>
          <w:i/>
          <w:sz w:val="20"/>
          <w:szCs w:val="20"/>
          <w:lang w:val="ro-MD"/>
        </w:rPr>
        <w:t>ț</w:t>
      </w:r>
      <w:r w:rsidRPr="00B13B9A">
        <w:rPr>
          <w:rFonts w:asciiTheme="majorHAnsi" w:hAnsiTheme="majorHAnsi" w:cstheme="majorHAnsi"/>
          <w:i/>
          <w:sz w:val="20"/>
          <w:szCs w:val="20"/>
          <w:lang w:val="ro-MD"/>
        </w:rPr>
        <w:t>ie analizată de auditor în baza datel</w:t>
      </w:r>
      <w:r w:rsidR="0062601E" w:rsidRPr="00B13B9A">
        <w:rPr>
          <w:rFonts w:asciiTheme="majorHAnsi" w:hAnsiTheme="majorHAnsi" w:cstheme="majorHAnsi"/>
          <w:i/>
          <w:sz w:val="20"/>
          <w:szCs w:val="20"/>
          <w:lang w:val="ro-MD"/>
        </w:rPr>
        <w:t>or prezentate de către entitate</w:t>
      </w:r>
      <w:r w:rsidR="00D80586" w:rsidRPr="00B13B9A">
        <w:rPr>
          <w:rFonts w:asciiTheme="majorHAnsi" w:hAnsiTheme="majorHAnsi" w:cstheme="majorHAnsi"/>
          <w:i/>
          <w:sz w:val="20"/>
          <w:szCs w:val="20"/>
          <w:lang w:val="ro-MD"/>
        </w:rPr>
        <w:t>.</w:t>
      </w:r>
    </w:p>
    <w:p w14:paraId="7025EE6B" w14:textId="77777777" w:rsidR="00FD65B6" w:rsidRPr="00B13B9A" w:rsidRDefault="00FD65B6" w:rsidP="0062601E">
      <w:pPr>
        <w:pStyle w:val="af0"/>
        <w:tabs>
          <w:tab w:val="left" w:pos="9072"/>
        </w:tabs>
        <w:spacing w:line="276" w:lineRule="auto"/>
        <w:rPr>
          <w:rFonts w:asciiTheme="majorHAnsi" w:hAnsiTheme="majorHAnsi" w:cstheme="majorHAnsi"/>
          <w:i/>
          <w:sz w:val="20"/>
          <w:szCs w:val="20"/>
          <w:lang w:val="ro-MD"/>
        </w:rPr>
      </w:pPr>
    </w:p>
    <w:p w14:paraId="7A38661E" w14:textId="77777777" w:rsidR="00FD65B6" w:rsidRPr="00B13B9A" w:rsidRDefault="00FD65B6" w:rsidP="0062601E">
      <w:pPr>
        <w:pStyle w:val="af0"/>
        <w:tabs>
          <w:tab w:val="left" w:pos="9072"/>
        </w:tabs>
        <w:spacing w:line="276" w:lineRule="auto"/>
        <w:rPr>
          <w:rFonts w:asciiTheme="majorHAnsi" w:hAnsiTheme="majorHAnsi" w:cstheme="majorHAnsi"/>
          <w:i/>
          <w:sz w:val="20"/>
          <w:szCs w:val="20"/>
          <w:lang w:val="ro-MD"/>
        </w:rPr>
      </w:pPr>
    </w:p>
    <w:p w14:paraId="60B298CA" w14:textId="77777777" w:rsidR="00FD65B6" w:rsidRPr="00B13B9A" w:rsidRDefault="00FD65B6" w:rsidP="0062601E">
      <w:pPr>
        <w:pStyle w:val="af0"/>
        <w:tabs>
          <w:tab w:val="left" w:pos="9072"/>
        </w:tabs>
        <w:spacing w:line="276" w:lineRule="auto"/>
        <w:rPr>
          <w:rFonts w:asciiTheme="majorHAnsi" w:hAnsiTheme="majorHAnsi" w:cstheme="majorHAnsi"/>
          <w:i/>
          <w:sz w:val="20"/>
          <w:szCs w:val="20"/>
          <w:lang w:val="ro-MD"/>
        </w:rPr>
      </w:pPr>
    </w:p>
    <w:p w14:paraId="3E9C5C05" w14:textId="77777777" w:rsidR="00FD65B6" w:rsidRPr="00B13B9A" w:rsidRDefault="00FD65B6" w:rsidP="0062601E">
      <w:pPr>
        <w:pStyle w:val="af0"/>
        <w:tabs>
          <w:tab w:val="left" w:pos="9072"/>
        </w:tabs>
        <w:spacing w:line="276" w:lineRule="auto"/>
        <w:rPr>
          <w:rFonts w:asciiTheme="majorHAnsi" w:hAnsiTheme="majorHAnsi" w:cstheme="majorHAnsi"/>
          <w:i/>
          <w:sz w:val="20"/>
          <w:szCs w:val="20"/>
          <w:lang w:val="ro-MD"/>
        </w:rPr>
      </w:pPr>
    </w:p>
    <w:p w14:paraId="0F82EF1B" w14:textId="77777777" w:rsidR="00FD65B6" w:rsidRPr="00B13B9A" w:rsidRDefault="00FD65B6" w:rsidP="0062601E">
      <w:pPr>
        <w:pStyle w:val="af0"/>
        <w:tabs>
          <w:tab w:val="left" w:pos="9072"/>
        </w:tabs>
        <w:spacing w:line="276" w:lineRule="auto"/>
        <w:rPr>
          <w:rFonts w:asciiTheme="majorHAnsi" w:hAnsiTheme="majorHAnsi" w:cstheme="majorHAnsi"/>
          <w:i/>
          <w:sz w:val="20"/>
          <w:szCs w:val="20"/>
          <w:lang w:val="ro-MD"/>
        </w:rPr>
      </w:pPr>
    </w:p>
    <w:p w14:paraId="2D1B96A2" w14:textId="77777777" w:rsidR="00FD65B6" w:rsidRPr="00B13B9A" w:rsidRDefault="00FD65B6" w:rsidP="0062601E">
      <w:pPr>
        <w:pStyle w:val="af0"/>
        <w:tabs>
          <w:tab w:val="left" w:pos="9072"/>
        </w:tabs>
        <w:spacing w:line="276" w:lineRule="auto"/>
        <w:rPr>
          <w:rFonts w:asciiTheme="majorHAnsi" w:hAnsiTheme="majorHAnsi" w:cstheme="majorHAnsi"/>
          <w:i/>
          <w:sz w:val="20"/>
          <w:szCs w:val="20"/>
          <w:lang w:val="ro-MD"/>
        </w:rPr>
      </w:pPr>
    </w:p>
    <w:p w14:paraId="52FA8DF5" w14:textId="77777777" w:rsidR="00027B88" w:rsidRDefault="00027B88" w:rsidP="0062601E">
      <w:pPr>
        <w:pStyle w:val="af0"/>
        <w:tabs>
          <w:tab w:val="left" w:pos="9072"/>
        </w:tabs>
        <w:spacing w:line="276" w:lineRule="auto"/>
        <w:rPr>
          <w:rFonts w:asciiTheme="majorHAnsi" w:hAnsiTheme="majorHAnsi" w:cstheme="majorHAnsi"/>
          <w:i/>
          <w:sz w:val="20"/>
          <w:szCs w:val="20"/>
          <w:lang w:val="ro-MD"/>
        </w:rPr>
        <w:sectPr w:rsidR="00027B88" w:rsidSect="00332FF7">
          <w:pgSz w:w="15840" w:h="12240" w:orient="landscape"/>
          <w:pgMar w:top="1135" w:right="1134" w:bottom="760" w:left="1134" w:header="709" w:footer="709" w:gutter="0"/>
          <w:cols w:space="708"/>
          <w:docGrid w:linePitch="360"/>
        </w:sectPr>
      </w:pPr>
    </w:p>
    <w:p w14:paraId="28E54ADA" w14:textId="55101E8A" w:rsidR="00FD65B6" w:rsidRPr="00B13B9A" w:rsidRDefault="00FD65B6" w:rsidP="00FD65B6">
      <w:pPr>
        <w:pStyle w:val="3"/>
        <w:jc w:val="right"/>
        <w:rPr>
          <w:rFonts w:cstheme="majorHAnsi"/>
          <w:b/>
          <w:color w:val="auto"/>
        </w:rPr>
      </w:pPr>
      <w:bookmarkStart w:id="73" w:name="_Toc154562543"/>
      <w:r w:rsidRPr="00B13B9A">
        <w:rPr>
          <w:rFonts w:cstheme="majorHAnsi"/>
          <w:b/>
          <w:color w:val="auto"/>
        </w:rPr>
        <w:t>Anexa nr.20</w:t>
      </w:r>
      <w:bookmarkEnd w:id="73"/>
    </w:p>
    <w:p w14:paraId="6670790F" w14:textId="6D3B394E" w:rsidR="0023258A" w:rsidRPr="008860BA" w:rsidRDefault="0023258A" w:rsidP="0023258A">
      <w:pPr>
        <w:jc w:val="center"/>
        <w:rPr>
          <w:rFonts w:asciiTheme="majorHAnsi" w:hAnsiTheme="majorHAnsi" w:cstheme="majorHAnsi"/>
          <w:b/>
          <w:sz w:val="24"/>
          <w:lang w:val="ro-MD"/>
        </w:rPr>
      </w:pPr>
      <w:r w:rsidRPr="008860BA">
        <w:rPr>
          <w:rFonts w:asciiTheme="majorHAnsi" w:hAnsiTheme="majorHAnsi" w:cstheme="majorHAnsi"/>
          <w:b/>
          <w:sz w:val="24"/>
          <w:lang w:val="ro-MD"/>
        </w:rPr>
        <w:t>Analiza repartizării cheltuielilor pe tipuri de servicii în anul 2021</w:t>
      </w:r>
    </w:p>
    <w:tbl>
      <w:tblPr>
        <w:tblW w:w="13943" w:type="dxa"/>
        <w:tblLook w:val="04A0" w:firstRow="1" w:lastRow="0" w:firstColumn="1" w:lastColumn="0" w:noHBand="0" w:noVBand="1"/>
      </w:tblPr>
      <w:tblGrid>
        <w:gridCol w:w="3681"/>
        <w:gridCol w:w="693"/>
        <w:gridCol w:w="1170"/>
        <w:gridCol w:w="1218"/>
        <w:gridCol w:w="1137"/>
        <w:gridCol w:w="1263"/>
        <w:gridCol w:w="1196"/>
        <w:gridCol w:w="1111"/>
        <w:gridCol w:w="761"/>
        <w:gridCol w:w="880"/>
        <w:gridCol w:w="853"/>
      </w:tblGrid>
      <w:tr w:rsidR="009371DC" w:rsidRPr="008860BA" w14:paraId="32EE5222" w14:textId="77777777" w:rsidTr="009371DC">
        <w:trPr>
          <w:trHeight w:val="20"/>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FFF7FE" w14:textId="77777777" w:rsidR="009371DC" w:rsidRPr="008860BA" w:rsidRDefault="009371DC" w:rsidP="009371DC">
            <w:pPr>
              <w:spacing w:after="0" w:line="240" w:lineRule="auto"/>
              <w:jc w:val="center"/>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Anul 2021</w:t>
            </w:r>
          </w:p>
        </w:tc>
        <w:tc>
          <w:tcPr>
            <w:tcW w:w="673" w:type="dxa"/>
            <w:tcBorders>
              <w:top w:val="single" w:sz="4" w:space="0" w:color="auto"/>
              <w:left w:val="nil"/>
              <w:bottom w:val="single" w:sz="4" w:space="0" w:color="auto"/>
              <w:right w:val="single" w:sz="4" w:space="0" w:color="auto"/>
            </w:tcBorders>
            <w:shd w:val="clear" w:color="auto" w:fill="auto"/>
            <w:noWrap/>
            <w:vAlign w:val="center"/>
            <w:hideMark/>
          </w:tcPr>
          <w:p w14:paraId="4DD9AC3B" w14:textId="0C867C77" w:rsidR="009371DC" w:rsidRPr="008860BA" w:rsidRDefault="00E10604" w:rsidP="009371DC">
            <w:pPr>
              <w:spacing w:after="0" w:line="240" w:lineRule="auto"/>
              <w:jc w:val="center"/>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C</w:t>
            </w:r>
            <w:r w:rsidR="009371DC" w:rsidRPr="008860BA">
              <w:rPr>
                <w:rFonts w:asciiTheme="majorHAnsi" w:eastAsia="Times New Roman" w:hAnsiTheme="majorHAnsi" w:cstheme="majorHAnsi"/>
                <w:b/>
                <w:bCs/>
                <w:color w:val="000000"/>
                <w:sz w:val="18"/>
                <w:szCs w:val="18"/>
                <w:lang w:val="ro-MD"/>
              </w:rPr>
              <w:t>ontul</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32B12EEC" w14:textId="2D36646B" w:rsidR="009371DC" w:rsidRPr="008860BA" w:rsidRDefault="009371DC" w:rsidP="009371DC">
            <w:pPr>
              <w:spacing w:after="0" w:line="240" w:lineRule="auto"/>
              <w:jc w:val="center"/>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Suma totală conform situa</w:t>
            </w:r>
            <w:r w:rsidR="00B13B9A" w:rsidRPr="008860BA">
              <w:rPr>
                <w:rFonts w:asciiTheme="majorHAnsi" w:eastAsia="Times New Roman" w:hAnsiTheme="majorHAnsi" w:cstheme="majorHAnsi"/>
                <w:b/>
                <w:bCs/>
                <w:color w:val="000000"/>
                <w:sz w:val="18"/>
                <w:szCs w:val="18"/>
                <w:lang w:val="ro-MD"/>
              </w:rPr>
              <w:t>ț</w:t>
            </w:r>
            <w:r w:rsidRPr="008860BA">
              <w:rPr>
                <w:rFonts w:asciiTheme="majorHAnsi" w:eastAsia="Times New Roman" w:hAnsiTheme="majorHAnsi" w:cstheme="majorHAnsi"/>
                <w:b/>
                <w:bCs/>
                <w:color w:val="000000"/>
                <w:sz w:val="18"/>
                <w:szCs w:val="18"/>
                <w:lang w:val="ro-MD"/>
              </w:rPr>
              <w:t>iei financiare</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14:paraId="5261E541" w14:textId="77777777" w:rsidR="009371DC" w:rsidRPr="008860BA" w:rsidRDefault="009371DC" w:rsidP="009371DC">
            <w:pPr>
              <w:spacing w:after="0" w:line="240" w:lineRule="auto"/>
              <w:jc w:val="center"/>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Total, inclusiv</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14:paraId="10A4E06F" w14:textId="77777777" w:rsidR="009371DC" w:rsidRPr="008860BA" w:rsidRDefault="009371DC" w:rsidP="009371DC">
            <w:pPr>
              <w:spacing w:after="0" w:line="240" w:lineRule="auto"/>
              <w:jc w:val="center"/>
              <w:rPr>
                <w:rFonts w:asciiTheme="majorHAnsi" w:eastAsia="Times New Roman" w:hAnsiTheme="majorHAnsi" w:cstheme="majorHAnsi"/>
                <w:b/>
                <w:bCs/>
                <w:sz w:val="18"/>
                <w:szCs w:val="18"/>
                <w:lang w:val="ro-MD"/>
              </w:rPr>
            </w:pPr>
            <w:r w:rsidRPr="008860BA">
              <w:rPr>
                <w:rFonts w:asciiTheme="majorHAnsi" w:eastAsia="Times New Roman" w:hAnsiTheme="majorHAnsi" w:cstheme="majorHAnsi"/>
                <w:b/>
                <w:bCs/>
                <w:sz w:val="18"/>
                <w:szCs w:val="18"/>
                <w:lang w:val="ro-MD"/>
              </w:rPr>
              <w:t xml:space="preserve">Spitaliceasca </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14:paraId="2042B26E" w14:textId="77777777" w:rsidR="009371DC" w:rsidRPr="008860BA" w:rsidRDefault="009371DC" w:rsidP="009371DC">
            <w:pPr>
              <w:spacing w:after="0" w:line="240" w:lineRule="auto"/>
              <w:jc w:val="center"/>
              <w:rPr>
                <w:rFonts w:asciiTheme="majorHAnsi" w:eastAsia="Times New Roman" w:hAnsiTheme="majorHAnsi" w:cstheme="majorHAnsi"/>
                <w:b/>
                <w:bCs/>
                <w:sz w:val="18"/>
                <w:szCs w:val="18"/>
                <w:lang w:val="ro-MD"/>
              </w:rPr>
            </w:pPr>
            <w:r w:rsidRPr="008860BA">
              <w:rPr>
                <w:rFonts w:asciiTheme="majorHAnsi" w:eastAsia="Times New Roman" w:hAnsiTheme="majorHAnsi" w:cstheme="majorHAnsi"/>
                <w:b/>
                <w:bCs/>
                <w:sz w:val="18"/>
                <w:szCs w:val="18"/>
                <w:lang w:val="ro-MD"/>
              </w:rPr>
              <w:t xml:space="preserve">CNAM examinări profilactice (radiografie mobila) </w:t>
            </w:r>
          </w:p>
        </w:tc>
        <w:tc>
          <w:tcPr>
            <w:tcW w:w="1196" w:type="dxa"/>
            <w:tcBorders>
              <w:top w:val="single" w:sz="4" w:space="0" w:color="auto"/>
              <w:left w:val="nil"/>
              <w:bottom w:val="single" w:sz="4" w:space="0" w:color="auto"/>
              <w:right w:val="single" w:sz="4" w:space="0" w:color="auto"/>
            </w:tcBorders>
            <w:shd w:val="clear" w:color="auto" w:fill="auto"/>
            <w:vAlign w:val="center"/>
            <w:hideMark/>
          </w:tcPr>
          <w:p w14:paraId="39C3F0F7" w14:textId="23F9AE3E" w:rsidR="009371DC" w:rsidRPr="008860BA" w:rsidRDefault="009371DC">
            <w:pPr>
              <w:spacing w:after="0" w:line="240" w:lineRule="auto"/>
              <w:jc w:val="center"/>
              <w:rPr>
                <w:rFonts w:asciiTheme="majorHAnsi" w:eastAsia="Times New Roman" w:hAnsiTheme="majorHAnsi" w:cstheme="majorHAnsi"/>
                <w:b/>
                <w:bCs/>
                <w:sz w:val="18"/>
                <w:szCs w:val="18"/>
                <w:lang w:val="ro-MD"/>
              </w:rPr>
            </w:pPr>
            <w:r w:rsidRPr="008860BA">
              <w:rPr>
                <w:rFonts w:asciiTheme="majorHAnsi" w:eastAsia="Times New Roman" w:hAnsiTheme="majorHAnsi" w:cstheme="majorHAnsi"/>
                <w:b/>
                <w:bCs/>
                <w:sz w:val="18"/>
                <w:szCs w:val="18"/>
                <w:lang w:val="ro-MD"/>
              </w:rPr>
              <w:t>Aloca</w:t>
            </w:r>
            <w:r w:rsidR="00E10604" w:rsidRPr="008860BA">
              <w:rPr>
                <w:rFonts w:asciiTheme="majorHAnsi" w:eastAsia="Times New Roman" w:hAnsiTheme="majorHAnsi" w:cstheme="majorHAnsi"/>
                <w:b/>
                <w:bCs/>
                <w:sz w:val="18"/>
                <w:szCs w:val="18"/>
                <w:lang w:val="ro-MD"/>
              </w:rPr>
              <w:t>ț</w:t>
            </w:r>
            <w:r w:rsidRPr="008860BA">
              <w:rPr>
                <w:rFonts w:asciiTheme="majorHAnsi" w:eastAsia="Times New Roman" w:hAnsiTheme="majorHAnsi" w:cstheme="majorHAnsi"/>
                <w:b/>
                <w:bCs/>
                <w:sz w:val="18"/>
                <w:szCs w:val="18"/>
                <w:lang w:val="ro-MD"/>
              </w:rPr>
              <w:t>ii CNAM    reziden</w:t>
            </w:r>
            <w:r w:rsidR="00E10604" w:rsidRPr="008860BA">
              <w:rPr>
                <w:rFonts w:asciiTheme="majorHAnsi" w:eastAsia="Times New Roman" w:hAnsiTheme="majorHAnsi" w:cstheme="majorHAnsi"/>
                <w:b/>
                <w:bCs/>
                <w:sz w:val="18"/>
                <w:szCs w:val="18"/>
                <w:lang w:val="ro-MD"/>
              </w:rPr>
              <w:t>ț</w:t>
            </w:r>
            <w:r w:rsidRPr="008860BA">
              <w:rPr>
                <w:rFonts w:asciiTheme="majorHAnsi" w:eastAsia="Times New Roman" w:hAnsiTheme="majorHAnsi" w:cstheme="majorHAnsi"/>
                <w:b/>
                <w:bCs/>
                <w:sz w:val="18"/>
                <w:szCs w:val="18"/>
                <w:lang w:val="ro-MD"/>
              </w:rPr>
              <w:t>i</w:t>
            </w:r>
          </w:p>
        </w:tc>
        <w:tc>
          <w:tcPr>
            <w:tcW w:w="1111" w:type="dxa"/>
            <w:tcBorders>
              <w:top w:val="single" w:sz="4" w:space="0" w:color="auto"/>
              <w:left w:val="nil"/>
              <w:bottom w:val="single" w:sz="4" w:space="0" w:color="auto"/>
              <w:right w:val="single" w:sz="4" w:space="0" w:color="auto"/>
            </w:tcBorders>
            <w:shd w:val="clear" w:color="auto" w:fill="auto"/>
            <w:vAlign w:val="center"/>
            <w:hideMark/>
          </w:tcPr>
          <w:p w14:paraId="2D0006C1" w14:textId="77777777" w:rsidR="009371DC" w:rsidRPr="008860BA" w:rsidRDefault="009371DC" w:rsidP="009371DC">
            <w:pPr>
              <w:spacing w:after="0" w:line="240" w:lineRule="auto"/>
              <w:jc w:val="center"/>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 xml:space="preserve">Consultativă </w:t>
            </w:r>
          </w:p>
        </w:tc>
        <w:tc>
          <w:tcPr>
            <w:tcW w:w="761" w:type="dxa"/>
            <w:tcBorders>
              <w:top w:val="single" w:sz="4" w:space="0" w:color="auto"/>
              <w:left w:val="nil"/>
              <w:bottom w:val="single" w:sz="4" w:space="0" w:color="auto"/>
              <w:right w:val="single" w:sz="4" w:space="0" w:color="auto"/>
            </w:tcBorders>
            <w:shd w:val="clear" w:color="auto" w:fill="auto"/>
            <w:vAlign w:val="center"/>
            <w:hideMark/>
          </w:tcPr>
          <w:p w14:paraId="750FD77A" w14:textId="3C9E44DC" w:rsidR="009371DC" w:rsidRPr="008860BA" w:rsidRDefault="00E10604" w:rsidP="009371DC">
            <w:pPr>
              <w:spacing w:after="0" w:line="240" w:lineRule="auto"/>
              <w:jc w:val="center"/>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ș</w:t>
            </w:r>
            <w:r w:rsidR="009371DC" w:rsidRPr="008860BA">
              <w:rPr>
                <w:rFonts w:asciiTheme="majorHAnsi" w:eastAsia="Times New Roman" w:hAnsiTheme="majorHAnsi" w:cstheme="majorHAnsi"/>
                <w:b/>
                <w:bCs/>
                <w:color w:val="000000"/>
                <w:sz w:val="18"/>
                <w:szCs w:val="18"/>
                <w:lang w:val="ro-MD"/>
              </w:rPr>
              <w:t>tiin</w:t>
            </w:r>
            <w:r w:rsidR="00B13B9A" w:rsidRPr="008860BA">
              <w:rPr>
                <w:rFonts w:asciiTheme="majorHAnsi" w:eastAsia="Times New Roman" w:hAnsiTheme="majorHAnsi" w:cstheme="majorHAnsi"/>
                <w:b/>
                <w:bCs/>
                <w:color w:val="000000"/>
                <w:sz w:val="18"/>
                <w:szCs w:val="18"/>
                <w:lang w:val="ro-MD"/>
              </w:rPr>
              <w:t>ț</w:t>
            </w:r>
            <w:r w:rsidR="009371DC" w:rsidRPr="008860BA">
              <w:rPr>
                <w:rFonts w:asciiTheme="majorHAnsi" w:eastAsia="Times New Roman" w:hAnsiTheme="majorHAnsi" w:cstheme="majorHAnsi"/>
                <w:b/>
                <w:bCs/>
                <w:color w:val="000000"/>
                <w:sz w:val="18"/>
                <w:szCs w:val="18"/>
                <w:lang w:val="ro-MD"/>
              </w:rPr>
              <w:t xml:space="preserve">ă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7BCA5A74" w14:textId="77777777" w:rsidR="009371DC" w:rsidRPr="008860BA" w:rsidRDefault="009371DC" w:rsidP="009371DC">
            <w:pPr>
              <w:spacing w:after="0" w:line="240" w:lineRule="auto"/>
              <w:jc w:val="center"/>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 xml:space="preserve">Servicii contra plată </w:t>
            </w: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1CFD0D27" w14:textId="77777777" w:rsidR="009371DC" w:rsidRPr="008860BA" w:rsidRDefault="009371DC" w:rsidP="009371DC">
            <w:pPr>
              <w:spacing w:after="0" w:line="240" w:lineRule="auto"/>
              <w:jc w:val="center"/>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 xml:space="preserve">Proiect </w:t>
            </w:r>
          </w:p>
        </w:tc>
      </w:tr>
      <w:tr w:rsidR="009371DC" w:rsidRPr="008860BA" w14:paraId="4332D033" w14:textId="77777777" w:rsidTr="009371DC">
        <w:trPr>
          <w:trHeight w:val="2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7BD1A855" w14:textId="1EC47893" w:rsidR="009371DC" w:rsidRPr="008860BA" w:rsidRDefault="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Venituri din v</w:t>
            </w:r>
            <w:r w:rsidR="00E10604" w:rsidRPr="008860BA">
              <w:rPr>
                <w:rFonts w:asciiTheme="majorHAnsi" w:eastAsia="Times New Roman" w:hAnsiTheme="majorHAnsi" w:cstheme="majorHAnsi"/>
                <w:color w:val="000000"/>
                <w:sz w:val="18"/>
                <w:szCs w:val="18"/>
                <w:lang w:val="ro-MD"/>
              </w:rPr>
              <w:t>â</w:t>
            </w:r>
            <w:r w:rsidRPr="008860BA">
              <w:rPr>
                <w:rFonts w:asciiTheme="majorHAnsi" w:eastAsia="Times New Roman" w:hAnsiTheme="majorHAnsi" w:cstheme="majorHAnsi"/>
                <w:color w:val="000000"/>
                <w:sz w:val="18"/>
                <w:szCs w:val="18"/>
                <w:lang w:val="ro-MD"/>
              </w:rPr>
              <w:t>nzări</w:t>
            </w:r>
          </w:p>
        </w:tc>
        <w:tc>
          <w:tcPr>
            <w:tcW w:w="673" w:type="dxa"/>
            <w:tcBorders>
              <w:top w:val="nil"/>
              <w:left w:val="nil"/>
              <w:bottom w:val="single" w:sz="4" w:space="0" w:color="auto"/>
              <w:right w:val="single" w:sz="4" w:space="0" w:color="auto"/>
            </w:tcBorders>
            <w:shd w:val="clear" w:color="auto" w:fill="auto"/>
            <w:noWrap/>
            <w:vAlign w:val="bottom"/>
            <w:hideMark/>
          </w:tcPr>
          <w:p w14:paraId="3533B7BF"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611</w:t>
            </w:r>
          </w:p>
        </w:tc>
        <w:tc>
          <w:tcPr>
            <w:tcW w:w="1170" w:type="dxa"/>
            <w:tcBorders>
              <w:top w:val="nil"/>
              <w:left w:val="nil"/>
              <w:bottom w:val="single" w:sz="4" w:space="0" w:color="auto"/>
              <w:right w:val="single" w:sz="4" w:space="0" w:color="auto"/>
            </w:tcBorders>
            <w:shd w:val="clear" w:color="auto" w:fill="auto"/>
            <w:noWrap/>
            <w:vAlign w:val="bottom"/>
            <w:hideMark/>
          </w:tcPr>
          <w:p w14:paraId="1C1CDF66"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157.128,2</w:t>
            </w:r>
          </w:p>
        </w:tc>
        <w:tc>
          <w:tcPr>
            <w:tcW w:w="1218" w:type="dxa"/>
            <w:tcBorders>
              <w:top w:val="nil"/>
              <w:left w:val="nil"/>
              <w:bottom w:val="single" w:sz="4" w:space="0" w:color="auto"/>
              <w:right w:val="single" w:sz="4" w:space="0" w:color="auto"/>
            </w:tcBorders>
            <w:shd w:val="clear" w:color="auto" w:fill="auto"/>
            <w:noWrap/>
            <w:vAlign w:val="bottom"/>
            <w:hideMark/>
          </w:tcPr>
          <w:p w14:paraId="1AB30AB3"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157.128,2</w:t>
            </w:r>
          </w:p>
        </w:tc>
        <w:tc>
          <w:tcPr>
            <w:tcW w:w="1137" w:type="dxa"/>
            <w:tcBorders>
              <w:top w:val="nil"/>
              <w:left w:val="nil"/>
              <w:bottom w:val="single" w:sz="4" w:space="0" w:color="auto"/>
              <w:right w:val="single" w:sz="4" w:space="0" w:color="auto"/>
            </w:tcBorders>
            <w:shd w:val="clear" w:color="auto" w:fill="auto"/>
            <w:noWrap/>
            <w:vAlign w:val="bottom"/>
            <w:hideMark/>
          </w:tcPr>
          <w:p w14:paraId="61AE22CF"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101.228,2</w:t>
            </w:r>
          </w:p>
        </w:tc>
        <w:tc>
          <w:tcPr>
            <w:tcW w:w="1263" w:type="dxa"/>
            <w:tcBorders>
              <w:top w:val="nil"/>
              <w:left w:val="nil"/>
              <w:bottom w:val="single" w:sz="4" w:space="0" w:color="auto"/>
              <w:right w:val="single" w:sz="4" w:space="0" w:color="auto"/>
            </w:tcBorders>
            <w:shd w:val="clear" w:color="auto" w:fill="auto"/>
            <w:noWrap/>
            <w:vAlign w:val="bottom"/>
            <w:hideMark/>
          </w:tcPr>
          <w:p w14:paraId="707A385C"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401,0</w:t>
            </w:r>
          </w:p>
        </w:tc>
        <w:tc>
          <w:tcPr>
            <w:tcW w:w="1196" w:type="dxa"/>
            <w:tcBorders>
              <w:top w:val="nil"/>
              <w:left w:val="nil"/>
              <w:bottom w:val="single" w:sz="4" w:space="0" w:color="auto"/>
              <w:right w:val="single" w:sz="4" w:space="0" w:color="auto"/>
            </w:tcBorders>
            <w:shd w:val="clear" w:color="auto" w:fill="auto"/>
            <w:noWrap/>
            <w:vAlign w:val="bottom"/>
            <w:hideMark/>
          </w:tcPr>
          <w:p w14:paraId="1BD12779"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1.576,6</w:t>
            </w:r>
          </w:p>
        </w:tc>
        <w:tc>
          <w:tcPr>
            <w:tcW w:w="1111" w:type="dxa"/>
            <w:tcBorders>
              <w:top w:val="nil"/>
              <w:left w:val="nil"/>
              <w:bottom w:val="single" w:sz="4" w:space="0" w:color="auto"/>
              <w:right w:val="single" w:sz="4" w:space="0" w:color="auto"/>
            </w:tcBorders>
            <w:shd w:val="clear" w:color="auto" w:fill="auto"/>
            <w:noWrap/>
            <w:vAlign w:val="bottom"/>
            <w:hideMark/>
          </w:tcPr>
          <w:p w14:paraId="41E3FEC9"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12.451,9</w:t>
            </w:r>
          </w:p>
        </w:tc>
        <w:tc>
          <w:tcPr>
            <w:tcW w:w="761" w:type="dxa"/>
            <w:tcBorders>
              <w:top w:val="nil"/>
              <w:left w:val="nil"/>
              <w:bottom w:val="single" w:sz="4" w:space="0" w:color="auto"/>
              <w:right w:val="single" w:sz="4" w:space="0" w:color="auto"/>
            </w:tcBorders>
            <w:shd w:val="clear" w:color="auto" w:fill="auto"/>
            <w:noWrap/>
            <w:vAlign w:val="bottom"/>
            <w:hideMark/>
          </w:tcPr>
          <w:p w14:paraId="62B236D7"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3.083,3</w:t>
            </w:r>
          </w:p>
        </w:tc>
        <w:tc>
          <w:tcPr>
            <w:tcW w:w="880" w:type="dxa"/>
            <w:tcBorders>
              <w:top w:val="nil"/>
              <w:left w:val="nil"/>
              <w:bottom w:val="single" w:sz="4" w:space="0" w:color="auto"/>
              <w:right w:val="single" w:sz="4" w:space="0" w:color="auto"/>
            </w:tcBorders>
            <w:shd w:val="clear" w:color="auto" w:fill="auto"/>
            <w:noWrap/>
            <w:vAlign w:val="bottom"/>
            <w:hideMark/>
          </w:tcPr>
          <w:p w14:paraId="69EEBD6E"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1.337,4</w:t>
            </w:r>
          </w:p>
        </w:tc>
        <w:tc>
          <w:tcPr>
            <w:tcW w:w="853" w:type="dxa"/>
            <w:tcBorders>
              <w:top w:val="nil"/>
              <w:left w:val="nil"/>
              <w:bottom w:val="single" w:sz="4" w:space="0" w:color="auto"/>
              <w:right w:val="single" w:sz="4" w:space="0" w:color="auto"/>
            </w:tcBorders>
            <w:shd w:val="clear" w:color="auto" w:fill="auto"/>
            <w:noWrap/>
            <w:vAlign w:val="bottom"/>
            <w:hideMark/>
          </w:tcPr>
          <w:p w14:paraId="06E61150"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37.049,7</w:t>
            </w:r>
          </w:p>
        </w:tc>
      </w:tr>
      <w:tr w:rsidR="009371DC" w:rsidRPr="008860BA" w14:paraId="7C45E33C" w14:textId="77777777" w:rsidTr="009371DC">
        <w:trPr>
          <w:trHeight w:val="20"/>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0F6A1FD4" w14:textId="60A2F9F2"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Alte venituri din activitatea opera</w:t>
            </w:r>
            <w:r w:rsidR="00B13B9A" w:rsidRPr="008860BA">
              <w:rPr>
                <w:rFonts w:asciiTheme="majorHAnsi" w:eastAsia="Times New Roman" w:hAnsiTheme="majorHAnsi" w:cstheme="majorHAnsi"/>
                <w:color w:val="000000"/>
                <w:sz w:val="18"/>
                <w:szCs w:val="18"/>
                <w:lang w:val="ro-MD"/>
              </w:rPr>
              <w:t>ț</w:t>
            </w:r>
            <w:r w:rsidRPr="008860BA">
              <w:rPr>
                <w:rFonts w:asciiTheme="majorHAnsi" w:eastAsia="Times New Roman" w:hAnsiTheme="majorHAnsi" w:cstheme="majorHAnsi"/>
                <w:color w:val="000000"/>
                <w:sz w:val="18"/>
                <w:szCs w:val="18"/>
                <w:lang w:val="ro-MD"/>
              </w:rPr>
              <w:t>ională</w:t>
            </w:r>
          </w:p>
        </w:tc>
        <w:tc>
          <w:tcPr>
            <w:tcW w:w="673" w:type="dxa"/>
            <w:tcBorders>
              <w:top w:val="nil"/>
              <w:left w:val="nil"/>
              <w:bottom w:val="single" w:sz="4" w:space="0" w:color="auto"/>
              <w:right w:val="single" w:sz="4" w:space="0" w:color="auto"/>
            </w:tcBorders>
            <w:shd w:val="clear" w:color="auto" w:fill="auto"/>
            <w:noWrap/>
            <w:vAlign w:val="bottom"/>
            <w:hideMark/>
          </w:tcPr>
          <w:p w14:paraId="7553BFAF"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612</w:t>
            </w:r>
          </w:p>
        </w:tc>
        <w:tc>
          <w:tcPr>
            <w:tcW w:w="1170" w:type="dxa"/>
            <w:tcBorders>
              <w:top w:val="nil"/>
              <w:left w:val="nil"/>
              <w:bottom w:val="single" w:sz="4" w:space="0" w:color="auto"/>
              <w:right w:val="single" w:sz="4" w:space="0" w:color="auto"/>
            </w:tcBorders>
            <w:shd w:val="clear" w:color="auto" w:fill="auto"/>
            <w:noWrap/>
            <w:vAlign w:val="bottom"/>
            <w:hideMark/>
          </w:tcPr>
          <w:p w14:paraId="28ED9B34"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9,3</w:t>
            </w:r>
          </w:p>
        </w:tc>
        <w:tc>
          <w:tcPr>
            <w:tcW w:w="1218" w:type="dxa"/>
            <w:tcBorders>
              <w:top w:val="nil"/>
              <w:left w:val="nil"/>
              <w:bottom w:val="single" w:sz="4" w:space="0" w:color="auto"/>
              <w:right w:val="single" w:sz="4" w:space="0" w:color="auto"/>
            </w:tcBorders>
            <w:shd w:val="clear" w:color="auto" w:fill="auto"/>
            <w:noWrap/>
            <w:vAlign w:val="bottom"/>
            <w:hideMark/>
          </w:tcPr>
          <w:p w14:paraId="3E67F2D5"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9,3</w:t>
            </w:r>
          </w:p>
        </w:tc>
        <w:tc>
          <w:tcPr>
            <w:tcW w:w="1137" w:type="dxa"/>
            <w:tcBorders>
              <w:top w:val="nil"/>
              <w:left w:val="nil"/>
              <w:bottom w:val="single" w:sz="4" w:space="0" w:color="auto"/>
              <w:right w:val="single" w:sz="4" w:space="0" w:color="auto"/>
            </w:tcBorders>
            <w:shd w:val="clear" w:color="auto" w:fill="auto"/>
            <w:noWrap/>
            <w:vAlign w:val="bottom"/>
            <w:hideMark/>
          </w:tcPr>
          <w:p w14:paraId="34DBA029"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263" w:type="dxa"/>
            <w:tcBorders>
              <w:top w:val="nil"/>
              <w:left w:val="nil"/>
              <w:bottom w:val="single" w:sz="4" w:space="0" w:color="auto"/>
              <w:right w:val="single" w:sz="4" w:space="0" w:color="auto"/>
            </w:tcBorders>
            <w:shd w:val="clear" w:color="auto" w:fill="auto"/>
            <w:noWrap/>
            <w:vAlign w:val="bottom"/>
            <w:hideMark/>
          </w:tcPr>
          <w:p w14:paraId="689C0302"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96" w:type="dxa"/>
            <w:tcBorders>
              <w:top w:val="nil"/>
              <w:left w:val="nil"/>
              <w:bottom w:val="single" w:sz="4" w:space="0" w:color="auto"/>
              <w:right w:val="single" w:sz="4" w:space="0" w:color="auto"/>
            </w:tcBorders>
            <w:shd w:val="clear" w:color="auto" w:fill="auto"/>
            <w:noWrap/>
            <w:vAlign w:val="bottom"/>
            <w:hideMark/>
          </w:tcPr>
          <w:p w14:paraId="442C53D2"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73986EEF"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761" w:type="dxa"/>
            <w:tcBorders>
              <w:top w:val="nil"/>
              <w:left w:val="nil"/>
              <w:bottom w:val="single" w:sz="4" w:space="0" w:color="auto"/>
              <w:right w:val="single" w:sz="4" w:space="0" w:color="auto"/>
            </w:tcBorders>
            <w:shd w:val="clear" w:color="auto" w:fill="auto"/>
            <w:noWrap/>
            <w:vAlign w:val="bottom"/>
            <w:hideMark/>
          </w:tcPr>
          <w:p w14:paraId="39E4CA40"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80" w:type="dxa"/>
            <w:tcBorders>
              <w:top w:val="nil"/>
              <w:left w:val="nil"/>
              <w:bottom w:val="single" w:sz="4" w:space="0" w:color="auto"/>
              <w:right w:val="single" w:sz="4" w:space="0" w:color="auto"/>
            </w:tcBorders>
            <w:shd w:val="clear" w:color="auto" w:fill="auto"/>
            <w:noWrap/>
            <w:vAlign w:val="bottom"/>
            <w:hideMark/>
          </w:tcPr>
          <w:p w14:paraId="192FC3CE"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58778569"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r>
      <w:tr w:rsidR="009371DC" w:rsidRPr="008860BA" w14:paraId="0680B25F" w14:textId="77777777" w:rsidTr="009371DC">
        <w:trPr>
          <w:trHeight w:val="20"/>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202B69B0" w14:textId="72527245" w:rsidR="009371DC" w:rsidRPr="008860BA" w:rsidRDefault="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Dob</w:t>
            </w:r>
            <w:r w:rsidR="00E10604" w:rsidRPr="008860BA">
              <w:rPr>
                <w:rFonts w:asciiTheme="majorHAnsi" w:eastAsia="Times New Roman" w:hAnsiTheme="majorHAnsi" w:cstheme="majorHAnsi"/>
                <w:color w:val="000000"/>
                <w:sz w:val="18"/>
                <w:szCs w:val="18"/>
                <w:lang w:val="ro-MD"/>
              </w:rPr>
              <w:t>â</w:t>
            </w:r>
            <w:r w:rsidRPr="008860BA">
              <w:rPr>
                <w:rFonts w:asciiTheme="majorHAnsi" w:eastAsia="Times New Roman" w:hAnsiTheme="majorHAnsi" w:cstheme="majorHAnsi"/>
                <w:color w:val="000000"/>
                <w:sz w:val="18"/>
                <w:szCs w:val="18"/>
                <w:lang w:val="ro-MD"/>
              </w:rPr>
              <w:t>nda bancară</w:t>
            </w:r>
          </w:p>
        </w:tc>
        <w:tc>
          <w:tcPr>
            <w:tcW w:w="673" w:type="dxa"/>
            <w:tcBorders>
              <w:top w:val="nil"/>
              <w:left w:val="nil"/>
              <w:bottom w:val="single" w:sz="4" w:space="0" w:color="auto"/>
              <w:right w:val="single" w:sz="4" w:space="0" w:color="auto"/>
            </w:tcBorders>
            <w:shd w:val="clear" w:color="auto" w:fill="auto"/>
            <w:vAlign w:val="bottom"/>
            <w:hideMark/>
          </w:tcPr>
          <w:p w14:paraId="3C824633"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621</w:t>
            </w:r>
          </w:p>
        </w:tc>
        <w:tc>
          <w:tcPr>
            <w:tcW w:w="1170" w:type="dxa"/>
            <w:tcBorders>
              <w:top w:val="nil"/>
              <w:left w:val="nil"/>
              <w:bottom w:val="single" w:sz="4" w:space="0" w:color="auto"/>
              <w:right w:val="single" w:sz="4" w:space="0" w:color="auto"/>
            </w:tcBorders>
            <w:shd w:val="clear" w:color="auto" w:fill="auto"/>
            <w:vAlign w:val="bottom"/>
            <w:hideMark/>
          </w:tcPr>
          <w:p w14:paraId="6CCBF462"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24,0</w:t>
            </w:r>
          </w:p>
        </w:tc>
        <w:tc>
          <w:tcPr>
            <w:tcW w:w="1218" w:type="dxa"/>
            <w:tcBorders>
              <w:top w:val="nil"/>
              <w:left w:val="nil"/>
              <w:bottom w:val="single" w:sz="4" w:space="0" w:color="auto"/>
              <w:right w:val="single" w:sz="4" w:space="0" w:color="auto"/>
            </w:tcBorders>
            <w:shd w:val="clear" w:color="auto" w:fill="auto"/>
            <w:vAlign w:val="bottom"/>
            <w:hideMark/>
          </w:tcPr>
          <w:p w14:paraId="676B35FB"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24,0</w:t>
            </w:r>
          </w:p>
        </w:tc>
        <w:tc>
          <w:tcPr>
            <w:tcW w:w="1137" w:type="dxa"/>
            <w:tcBorders>
              <w:top w:val="nil"/>
              <w:left w:val="nil"/>
              <w:bottom w:val="single" w:sz="4" w:space="0" w:color="auto"/>
              <w:right w:val="single" w:sz="4" w:space="0" w:color="auto"/>
            </w:tcBorders>
            <w:shd w:val="clear" w:color="auto" w:fill="auto"/>
            <w:vAlign w:val="bottom"/>
            <w:hideMark/>
          </w:tcPr>
          <w:p w14:paraId="1702CB0F"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263" w:type="dxa"/>
            <w:tcBorders>
              <w:top w:val="nil"/>
              <w:left w:val="nil"/>
              <w:bottom w:val="single" w:sz="4" w:space="0" w:color="auto"/>
              <w:right w:val="single" w:sz="4" w:space="0" w:color="auto"/>
            </w:tcBorders>
            <w:shd w:val="clear" w:color="auto" w:fill="auto"/>
            <w:vAlign w:val="bottom"/>
            <w:hideMark/>
          </w:tcPr>
          <w:p w14:paraId="6134AF00"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96" w:type="dxa"/>
            <w:tcBorders>
              <w:top w:val="nil"/>
              <w:left w:val="nil"/>
              <w:bottom w:val="single" w:sz="4" w:space="0" w:color="auto"/>
              <w:right w:val="single" w:sz="4" w:space="0" w:color="auto"/>
            </w:tcBorders>
            <w:shd w:val="clear" w:color="auto" w:fill="auto"/>
            <w:vAlign w:val="bottom"/>
            <w:hideMark/>
          </w:tcPr>
          <w:p w14:paraId="3D2A87D0"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vAlign w:val="bottom"/>
            <w:hideMark/>
          </w:tcPr>
          <w:p w14:paraId="23A91739"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761" w:type="dxa"/>
            <w:tcBorders>
              <w:top w:val="nil"/>
              <w:left w:val="nil"/>
              <w:bottom w:val="single" w:sz="4" w:space="0" w:color="auto"/>
              <w:right w:val="single" w:sz="4" w:space="0" w:color="auto"/>
            </w:tcBorders>
            <w:shd w:val="clear" w:color="auto" w:fill="auto"/>
            <w:vAlign w:val="bottom"/>
            <w:hideMark/>
          </w:tcPr>
          <w:p w14:paraId="28ECA553"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80" w:type="dxa"/>
            <w:tcBorders>
              <w:top w:val="nil"/>
              <w:left w:val="nil"/>
              <w:bottom w:val="single" w:sz="4" w:space="0" w:color="auto"/>
              <w:right w:val="single" w:sz="4" w:space="0" w:color="auto"/>
            </w:tcBorders>
            <w:shd w:val="clear" w:color="auto" w:fill="auto"/>
            <w:vAlign w:val="bottom"/>
            <w:hideMark/>
          </w:tcPr>
          <w:p w14:paraId="198F1CCC"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vAlign w:val="bottom"/>
            <w:hideMark/>
          </w:tcPr>
          <w:p w14:paraId="22508811"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r>
      <w:tr w:rsidR="009371DC" w:rsidRPr="008860BA" w14:paraId="18F4CB4A" w14:textId="77777777" w:rsidTr="009371DC">
        <w:trPr>
          <w:trHeight w:val="20"/>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124790D9" w14:textId="43A3138A"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Diferen</w:t>
            </w:r>
            <w:r w:rsidR="00B13B9A" w:rsidRPr="008860BA">
              <w:rPr>
                <w:rFonts w:asciiTheme="majorHAnsi" w:eastAsia="Times New Roman" w:hAnsiTheme="majorHAnsi" w:cstheme="majorHAnsi"/>
                <w:color w:val="000000"/>
                <w:sz w:val="18"/>
                <w:szCs w:val="18"/>
                <w:lang w:val="ro-MD"/>
              </w:rPr>
              <w:t>ț</w:t>
            </w:r>
            <w:r w:rsidRPr="008860BA">
              <w:rPr>
                <w:rFonts w:asciiTheme="majorHAnsi" w:eastAsia="Times New Roman" w:hAnsiTheme="majorHAnsi" w:cstheme="majorHAnsi"/>
                <w:color w:val="000000"/>
                <w:sz w:val="18"/>
                <w:szCs w:val="18"/>
                <w:lang w:val="ro-MD"/>
              </w:rPr>
              <w:t>a de curs valutar</w:t>
            </w:r>
          </w:p>
        </w:tc>
        <w:tc>
          <w:tcPr>
            <w:tcW w:w="673" w:type="dxa"/>
            <w:tcBorders>
              <w:top w:val="nil"/>
              <w:left w:val="nil"/>
              <w:bottom w:val="single" w:sz="4" w:space="0" w:color="auto"/>
              <w:right w:val="single" w:sz="4" w:space="0" w:color="auto"/>
            </w:tcBorders>
            <w:shd w:val="clear" w:color="auto" w:fill="auto"/>
            <w:vAlign w:val="bottom"/>
            <w:hideMark/>
          </w:tcPr>
          <w:p w14:paraId="5E8CA05C"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622</w:t>
            </w:r>
          </w:p>
        </w:tc>
        <w:tc>
          <w:tcPr>
            <w:tcW w:w="1170" w:type="dxa"/>
            <w:tcBorders>
              <w:top w:val="nil"/>
              <w:left w:val="nil"/>
              <w:bottom w:val="single" w:sz="4" w:space="0" w:color="auto"/>
              <w:right w:val="single" w:sz="4" w:space="0" w:color="auto"/>
            </w:tcBorders>
            <w:shd w:val="clear" w:color="auto" w:fill="auto"/>
            <w:vAlign w:val="bottom"/>
            <w:hideMark/>
          </w:tcPr>
          <w:p w14:paraId="53F0C6DB"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239,8</w:t>
            </w:r>
          </w:p>
        </w:tc>
        <w:tc>
          <w:tcPr>
            <w:tcW w:w="1218" w:type="dxa"/>
            <w:tcBorders>
              <w:top w:val="nil"/>
              <w:left w:val="nil"/>
              <w:bottom w:val="single" w:sz="4" w:space="0" w:color="auto"/>
              <w:right w:val="single" w:sz="4" w:space="0" w:color="auto"/>
            </w:tcBorders>
            <w:shd w:val="clear" w:color="auto" w:fill="auto"/>
            <w:vAlign w:val="bottom"/>
            <w:hideMark/>
          </w:tcPr>
          <w:p w14:paraId="5709ACCE"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239,8</w:t>
            </w:r>
          </w:p>
        </w:tc>
        <w:tc>
          <w:tcPr>
            <w:tcW w:w="1137" w:type="dxa"/>
            <w:tcBorders>
              <w:top w:val="nil"/>
              <w:left w:val="nil"/>
              <w:bottom w:val="single" w:sz="4" w:space="0" w:color="auto"/>
              <w:right w:val="single" w:sz="4" w:space="0" w:color="auto"/>
            </w:tcBorders>
            <w:shd w:val="clear" w:color="auto" w:fill="auto"/>
            <w:vAlign w:val="bottom"/>
            <w:hideMark/>
          </w:tcPr>
          <w:p w14:paraId="29372E3C"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263" w:type="dxa"/>
            <w:tcBorders>
              <w:top w:val="nil"/>
              <w:left w:val="nil"/>
              <w:bottom w:val="single" w:sz="4" w:space="0" w:color="auto"/>
              <w:right w:val="single" w:sz="4" w:space="0" w:color="auto"/>
            </w:tcBorders>
            <w:shd w:val="clear" w:color="auto" w:fill="auto"/>
            <w:vAlign w:val="bottom"/>
            <w:hideMark/>
          </w:tcPr>
          <w:p w14:paraId="44F56DA4"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96" w:type="dxa"/>
            <w:tcBorders>
              <w:top w:val="nil"/>
              <w:left w:val="nil"/>
              <w:bottom w:val="single" w:sz="4" w:space="0" w:color="auto"/>
              <w:right w:val="single" w:sz="4" w:space="0" w:color="auto"/>
            </w:tcBorders>
            <w:shd w:val="clear" w:color="auto" w:fill="auto"/>
            <w:vAlign w:val="bottom"/>
            <w:hideMark/>
          </w:tcPr>
          <w:p w14:paraId="167C0F1D"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vAlign w:val="bottom"/>
            <w:hideMark/>
          </w:tcPr>
          <w:p w14:paraId="305C798B"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761" w:type="dxa"/>
            <w:tcBorders>
              <w:top w:val="nil"/>
              <w:left w:val="nil"/>
              <w:bottom w:val="single" w:sz="4" w:space="0" w:color="auto"/>
              <w:right w:val="single" w:sz="4" w:space="0" w:color="auto"/>
            </w:tcBorders>
            <w:shd w:val="clear" w:color="auto" w:fill="auto"/>
            <w:vAlign w:val="bottom"/>
            <w:hideMark/>
          </w:tcPr>
          <w:p w14:paraId="66AF9133"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80" w:type="dxa"/>
            <w:tcBorders>
              <w:top w:val="nil"/>
              <w:left w:val="nil"/>
              <w:bottom w:val="single" w:sz="4" w:space="0" w:color="auto"/>
              <w:right w:val="single" w:sz="4" w:space="0" w:color="auto"/>
            </w:tcBorders>
            <w:shd w:val="clear" w:color="auto" w:fill="auto"/>
            <w:vAlign w:val="bottom"/>
            <w:hideMark/>
          </w:tcPr>
          <w:p w14:paraId="78624B35"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vAlign w:val="bottom"/>
            <w:hideMark/>
          </w:tcPr>
          <w:p w14:paraId="6DEC2FDB"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r>
      <w:tr w:rsidR="009371DC" w:rsidRPr="008860BA" w14:paraId="6B2FEAF7" w14:textId="77777777" w:rsidTr="009371DC">
        <w:trPr>
          <w:trHeight w:val="2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02278A90" w14:textId="77777777" w:rsidR="009371DC" w:rsidRPr="008860BA" w:rsidRDefault="009371DC" w:rsidP="009371DC">
            <w:pPr>
              <w:spacing w:after="0" w:line="240" w:lineRule="auto"/>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Total Venit</w:t>
            </w:r>
          </w:p>
        </w:tc>
        <w:tc>
          <w:tcPr>
            <w:tcW w:w="673" w:type="dxa"/>
            <w:tcBorders>
              <w:top w:val="nil"/>
              <w:left w:val="nil"/>
              <w:bottom w:val="single" w:sz="4" w:space="0" w:color="auto"/>
              <w:right w:val="single" w:sz="4" w:space="0" w:color="auto"/>
            </w:tcBorders>
            <w:shd w:val="clear" w:color="auto" w:fill="auto"/>
            <w:noWrap/>
            <w:vAlign w:val="bottom"/>
            <w:hideMark/>
          </w:tcPr>
          <w:p w14:paraId="41FB5E06" w14:textId="77777777" w:rsidR="009371DC" w:rsidRPr="008860BA" w:rsidRDefault="009371DC" w:rsidP="009371DC">
            <w:pPr>
              <w:spacing w:after="0" w:line="240" w:lineRule="auto"/>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noWrap/>
            <w:vAlign w:val="bottom"/>
            <w:hideMark/>
          </w:tcPr>
          <w:p w14:paraId="6352F05C" w14:textId="77777777" w:rsidR="009371DC" w:rsidRPr="008860BA" w:rsidRDefault="009371DC" w:rsidP="009371DC">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157.401,2</w:t>
            </w:r>
          </w:p>
        </w:tc>
        <w:tc>
          <w:tcPr>
            <w:tcW w:w="1218" w:type="dxa"/>
            <w:tcBorders>
              <w:top w:val="nil"/>
              <w:left w:val="nil"/>
              <w:bottom w:val="single" w:sz="4" w:space="0" w:color="auto"/>
              <w:right w:val="single" w:sz="4" w:space="0" w:color="auto"/>
            </w:tcBorders>
            <w:shd w:val="clear" w:color="auto" w:fill="auto"/>
            <w:noWrap/>
            <w:vAlign w:val="bottom"/>
            <w:hideMark/>
          </w:tcPr>
          <w:p w14:paraId="7FDBE4A4" w14:textId="77777777" w:rsidR="009371DC" w:rsidRPr="008860BA" w:rsidRDefault="009371DC" w:rsidP="009371DC">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157.401,2</w:t>
            </w:r>
          </w:p>
        </w:tc>
        <w:tc>
          <w:tcPr>
            <w:tcW w:w="1137" w:type="dxa"/>
            <w:tcBorders>
              <w:top w:val="nil"/>
              <w:left w:val="nil"/>
              <w:bottom w:val="single" w:sz="4" w:space="0" w:color="auto"/>
              <w:right w:val="single" w:sz="4" w:space="0" w:color="auto"/>
            </w:tcBorders>
            <w:shd w:val="clear" w:color="auto" w:fill="auto"/>
            <w:noWrap/>
            <w:vAlign w:val="bottom"/>
            <w:hideMark/>
          </w:tcPr>
          <w:p w14:paraId="31DF6502" w14:textId="77777777" w:rsidR="009371DC" w:rsidRPr="008860BA" w:rsidRDefault="009371DC" w:rsidP="009371DC">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101.228,2</w:t>
            </w:r>
          </w:p>
        </w:tc>
        <w:tc>
          <w:tcPr>
            <w:tcW w:w="1263" w:type="dxa"/>
            <w:tcBorders>
              <w:top w:val="nil"/>
              <w:left w:val="nil"/>
              <w:bottom w:val="single" w:sz="4" w:space="0" w:color="auto"/>
              <w:right w:val="single" w:sz="4" w:space="0" w:color="auto"/>
            </w:tcBorders>
            <w:shd w:val="clear" w:color="auto" w:fill="auto"/>
            <w:noWrap/>
            <w:vAlign w:val="bottom"/>
            <w:hideMark/>
          </w:tcPr>
          <w:p w14:paraId="6232DA43" w14:textId="77777777" w:rsidR="009371DC" w:rsidRPr="008860BA" w:rsidRDefault="009371DC" w:rsidP="009371DC">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401,0</w:t>
            </w:r>
          </w:p>
        </w:tc>
        <w:tc>
          <w:tcPr>
            <w:tcW w:w="1196" w:type="dxa"/>
            <w:tcBorders>
              <w:top w:val="nil"/>
              <w:left w:val="nil"/>
              <w:bottom w:val="single" w:sz="4" w:space="0" w:color="auto"/>
              <w:right w:val="single" w:sz="4" w:space="0" w:color="auto"/>
            </w:tcBorders>
            <w:shd w:val="clear" w:color="auto" w:fill="auto"/>
            <w:noWrap/>
            <w:vAlign w:val="bottom"/>
            <w:hideMark/>
          </w:tcPr>
          <w:p w14:paraId="53EC22B1" w14:textId="77777777" w:rsidR="009371DC" w:rsidRPr="008860BA" w:rsidRDefault="009371DC" w:rsidP="009371DC">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1.576,6</w:t>
            </w:r>
          </w:p>
        </w:tc>
        <w:tc>
          <w:tcPr>
            <w:tcW w:w="1111" w:type="dxa"/>
            <w:tcBorders>
              <w:top w:val="nil"/>
              <w:left w:val="nil"/>
              <w:bottom w:val="single" w:sz="4" w:space="0" w:color="auto"/>
              <w:right w:val="single" w:sz="4" w:space="0" w:color="auto"/>
            </w:tcBorders>
            <w:shd w:val="clear" w:color="auto" w:fill="auto"/>
            <w:noWrap/>
            <w:vAlign w:val="bottom"/>
            <w:hideMark/>
          </w:tcPr>
          <w:p w14:paraId="24FBBECA" w14:textId="77777777" w:rsidR="009371DC" w:rsidRPr="008860BA" w:rsidRDefault="009371DC" w:rsidP="009371DC">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12.451,9</w:t>
            </w:r>
          </w:p>
        </w:tc>
        <w:tc>
          <w:tcPr>
            <w:tcW w:w="761" w:type="dxa"/>
            <w:tcBorders>
              <w:top w:val="nil"/>
              <w:left w:val="nil"/>
              <w:bottom w:val="single" w:sz="4" w:space="0" w:color="auto"/>
              <w:right w:val="single" w:sz="4" w:space="0" w:color="auto"/>
            </w:tcBorders>
            <w:shd w:val="clear" w:color="auto" w:fill="auto"/>
            <w:noWrap/>
            <w:vAlign w:val="bottom"/>
            <w:hideMark/>
          </w:tcPr>
          <w:p w14:paraId="68D300BB" w14:textId="77777777" w:rsidR="009371DC" w:rsidRPr="008860BA" w:rsidRDefault="009371DC" w:rsidP="009371DC">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3.083,3</w:t>
            </w:r>
          </w:p>
        </w:tc>
        <w:tc>
          <w:tcPr>
            <w:tcW w:w="880" w:type="dxa"/>
            <w:tcBorders>
              <w:top w:val="nil"/>
              <w:left w:val="nil"/>
              <w:bottom w:val="single" w:sz="4" w:space="0" w:color="auto"/>
              <w:right w:val="single" w:sz="4" w:space="0" w:color="auto"/>
            </w:tcBorders>
            <w:shd w:val="clear" w:color="auto" w:fill="auto"/>
            <w:noWrap/>
            <w:vAlign w:val="bottom"/>
            <w:hideMark/>
          </w:tcPr>
          <w:p w14:paraId="01CFEC5D" w14:textId="77777777" w:rsidR="009371DC" w:rsidRPr="008860BA" w:rsidRDefault="009371DC" w:rsidP="009371DC">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1.337,4</w:t>
            </w:r>
          </w:p>
        </w:tc>
        <w:tc>
          <w:tcPr>
            <w:tcW w:w="853" w:type="dxa"/>
            <w:tcBorders>
              <w:top w:val="nil"/>
              <w:left w:val="nil"/>
              <w:bottom w:val="single" w:sz="4" w:space="0" w:color="auto"/>
              <w:right w:val="single" w:sz="4" w:space="0" w:color="auto"/>
            </w:tcBorders>
            <w:shd w:val="clear" w:color="auto" w:fill="auto"/>
            <w:noWrap/>
            <w:vAlign w:val="bottom"/>
            <w:hideMark/>
          </w:tcPr>
          <w:p w14:paraId="20AB6AE1" w14:textId="77777777" w:rsidR="009371DC" w:rsidRPr="008860BA" w:rsidRDefault="009371DC" w:rsidP="009371DC">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37.049,7</w:t>
            </w:r>
          </w:p>
        </w:tc>
      </w:tr>
      <w:tr w:rsidR="009371DC" w:rsidRPr="008860BA" w14:paraId="0AA98E23" w14:textId="77777777" w:rsidTr="009371DC">
        <w:trPr>
          <w:trHeight w:val="2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28560389" w14:textId="5FF6BD39" w:rsidR="009371DC" w:rsidRPr="008860BA" w:rsidRDefault="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Costul v</w:t>
            </w:r>
            <w:r w:rsidR="00E10604" w:rsidRPr="008860BA">
              <w:rPr>
                <w:rFonts w:asciiTheme="majorHAnsi" w:eastAsia="Times New Roman" w:hAnsiTheme="majorHAnsi" w:cstheme="majorHAnsi"/>
                <w:color w:val="000000"/>
                <w:sz w:val="18"/>
                <w:szCs w:val="18"/>
                <w:lang w:val="ro-MD"/>
              </w:rPr>
              <w:t>â</w:t>
            </w:r>
            <w:r w:rsidRPr="008860BA">
              <w:rPr>
                <w:rFonts w:asciiTheme="majorHAnsi" w:eastAsia="Times New Roman" w:hAnsiTheme="majorHAnsi" w:cstheme="majorHAnsi"/>
                <w:color w:val="000000"/>
                <w:sz w:val="18"/>
                <w:szCs w:val="18"/>
                <w:lang w:val="ro-MD"/>
              </w:rPr>
              <w:t>nzărilor, inclusiv:</w:t>
            </w:r>
          </w:p>
        </w:tc>
        <w:tc>
          <w:tcPr>
            <w:tcW w:w="673" w:type="dxa"/>
            <w:tcBorders>
              <w:top w:val="nil"/>
              <w:left w:val="nil"/>
              <w:bottom w:val="single" w:sz="4" w:space="0" w:color="auto"/>
              <w:right w:val="single" w:sz="4" w:space="0" w:color="auto"/>
            </w:tcBorders>
            <w:shd w:val="clear" w:color="auto" w:fill="auto"/>
            <w:noWrap/>
            <w:vAlign w:val="bottom"/>
            <w:hideMark/>
          </w:tcPr>
          <w:p w14:paraId="06D277B7"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711</w:t>
            </w:r>
          </w:p>
        </w:tc>
        <w:tc>
          <w:tcPr>
            <w:tcW w:w="1170" w:type="dxa"/>
            <w:tcBorders>
              <w:top w:val="nil"/>
              <w:left w:val="nil"/>
              <w:bottom w:val="single" w:sz="4" w:space="0" w:color="auto"/>
              <w:right w:val="single" w:sz="4" w:space="0" w:color="auto"/>
            </w:tcBorders>
            <w:shd w:val="clear" w:color="auto" w:fill="auto"/>
            <w:noWrap/>
            <w:vAlign w:val="bottom"/>
            <w:hideMark/>
          </w:tcPr>
          <w:p w14:paraId="53474BE5"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144.144,9</w:t>
            </w:r>
          </w:p>
        </w:tc>
        <w:tc>
          <w:tcPr>
            <w:tcW w:w="1218" w:type="dxa"/>
            <w:tcBorders>
              <w:top w:val="nil"/>
              <w:left w:val="nil"/>
              <w:bottom w:val="single" w:sz="4" w:space="0" w:color="auto"/>
              <w:right w:val="single" w:sz="4" w:space="0" w:color="auto"/>
            </w:tcBorders>
            <w:shd w:val="clear" w:color="auto" w:fill="auto"/>
            <w:noWrap/>
            <w:vAlign w:val="bottom"/>
            <w:hideMark/>
          </w:tcPr>
          <w:p w14:paraId="713774AB"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144.144,9</w:t>
            </w:r>
          </w:p>
        </w:tc>
        <w:tc>
          <w:tcPr>
            <w:tcW w:w="1137" w:type="dxa"/>
            <w:tcBorders>
              <w:top w:val="nil"/>
              <w:left w:val="nil"/>
              <w:bottom w:val="single" w:sz="4" w:space="0" w:color="auto"/>
              <w:right w:val="single" w:sz="4" w:space="0" w:color="auto"/>
            </w:tcBorders>
            <w:shd w:val="clear" w:color="auto" w:fill="auto"/>
            <w:noWrap/>
            <w:vAlign w:val="bottom"/>
            <w:hideMark/>
          </w:tcPr>
          <w:p w14:paraId="7783B436"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94.963,7</w:t>
            </w:r>
          </w:p>
        </w:tc>
        <w:tc>
          <w:tcPr>
            <w:tcW w:w="1263" w:type="dxa"/>
            <w:tcBorders>
              <w:top w:val="nil"/>
              <w:left w:val="nil"/>
              <w:bottom w:val="single" w:sz="4" w:space="0" w:color="auto"/>
              <w:right w:val="single" w:sz="4" w:space="0" w:color="auto"/>
            </w:tcBorders>
            <w:shd w:val="clear" w:color="auto" w:fill="auto"/>
            <w:noWrap/>
            <w:vAlign w:val="bottom"/>
            <w:hideMark/>
          </w:tcPr>
          <w:p w14:paraId="12A571A2"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466,5</w:t>
            </w:r>
          </w:p>
        </w:tc>
        <w:tc>
          <w:tcPr>
            <w:tcW w:w="1196" w:type="dxa"/>
            <w:tcBorders>
              <w:top w:val="nil"/>
              <w:left w:val="nil"/>
              <w:bottom w:val="single" w:sz="4" w:space="0" w:color="auto"/>
              <w:right w:val="single" w:sz="4" w:space="0" w:color="auto"/>
            </w:tcBorders>
            <w:shd w:val="clear" w:color="auto" w:fill="auto"/>
            <w:noWrap/>
            <w:vAlign w:val="bottom"/>
            <w:hideMark/>
          </w:tcPr>
          <w:p w14:paraId="70050A9F"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0C756D80"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12.306,3</w:t>
            </w:r>
          </w:p>
        </w:tc>
        <w:tc>
          <w:tcPr>
            <w:tcW w:w="761" w:type="dxa"/>
            <w:tcBorders>
              <w:top w:val="nil"/>
              <w:left w:val="nil"/>
              <w:bottom w:val="single" w:sz="4" w:space="0" w:color="auto"/>
              <w:right w:val="single" w:sz="4" w:space="0" w:color="auto"/>
            </w:tcBorders>
            <w:shd w:val="clear" w:color="auto" w:fill="auto"/>
            <w:noWrap/>
            <w:vAlign w:val="bottom"/>
            <w:hideMark/>
          </w:tcPr>
          <w:p w14:paraId="0FF6852B"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2.638,7</w:t>
            </w:r>
          </w:p>
        </w:tc>
        <w:tc>
          <w:tcPr>
            <w:tcW w:w="880" w:type="dxa"/>
            <w:tcBorders>
              <w:top w:val="nil"/>
              <w:left w:val="nil"/>
              <w:bottom w:val="single" w:sz="4" w:space="0" w:color="auto"/>
              <w:right w:val="single" w:sz="4" w:space="0" w:color="auto"/>
            </w:tcBorders>
            <w:shd w:val="clear" w:color="auto" w:fill="auto"/>
            <w:noWrap/>
            <w:vAlign w:val="bottom"/>
            <w:hideMark/>
          </w:tcPr>
          <w:p w14:paraId="7F5F88E6"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2.366,6</w:t>
            </w:r>
          </w:p>
        </w:tc>
        <w:tc>
          <w:tcPr>
            <w:tcW w:w="853" w:type="dxa"/>
            <w:tcBorders>
              <w:top w:val="nil"/>
              <w:left w:val="nil"/>
              <w:bottom w:val="single" w:sz="4" w:space="0" w:color="auto"/>
              <w:right w:val="single" w:sz="4" w:space="0" w:color="auto"/>
            </w:tcBorders>
            <w:shd w:val="clear" w:color="auto" w:fill="auto"/>
            <w:noWrap/>
            <w:vAlign w:val="bottom"/>
            <w:hideMark/>
          </w:tcPr>
          <w:p w14:paraId="0F13EE4C"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31.403,1</w:t>
            </w:r>
          </w:p>
        </w:tc>
      </w:tr>
      <w:tr w:rsidR="009371DC" w:rsidRPr="008860BA" w14:paraId="448B63DD" w14:textId="77777777" w:rsidTr="009371DC">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25BE94DB" w14:textId="17C60CCD" w:rsidR="009371DC" w:rsidRPr="008860BA" w:rsidRDefault="009371DC">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Alimenta</w:t>
            </w:r>
            <w:r w:rsidR="00E10604" w:rsidRPr="008860BA">
              <w:rPr>
                <w:rFonts w:asciiTheme="majorHAnsi" w:eastAsia="Times New Roman" w:hAnsiTheme="majorHAnsi" w:cstheme="majorHAnsi"/>
                <w:sz w:val="18"/>
                <w:szCs w:val="18"/>
                <w:lang w:val="ro-MD"/>
              </w:rPr>
              <w:t>ț</w:t>
            </w:r>
            <w:r w:rsidRPr="008860BA">
              <w:rPr>
                <w:rFonts w:asciiTheme="majorHAnsi" w:eastAsia="Times New Roman" w:hAnsiTheme="majorHAnsi" w:cstheme="majorHAnsi"/>
                <w:sz w:val="18"/>
                <w:szCs w:val="18"/>
                <w:lang w:val="ro-MD"/>
              </w:rPr>
              <w:t>ia</w:t>
            </w:r>
          </w:p>
        </w:tc>
        <w:tc>
          <w:tcPr>
            <w:tcW w:w="673" w:type="dxa"/>
            <w:tcBorders>
              <w:top w:val="nil"/>
              <w:left w:val="nil"/>
              <w:bottom w:val="single" w:sz="4" w:space="0" w:color="auto"/>
              <w:right w:val="single" w:sz="4" w:space="0" w:color="auto"/>
            </w:tcBorders>
            <w:shd w:val="clear" w:color="auto" w:fill="auto"/>
            <w:noWrap/>
            <w:vAlign w:val="bottom"/>
            <w:hideMark/>
          </w:tcPr>
          <w:p w14:paraId="1B615B9E"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01048FDF"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3.714,7</w:t>
            </w:r>
          </w:p>
        </w:tc>
        <w:tc>
          <w:tcPr>
            <w:tcW w:w="1218" w:type="dxa"/>
            <w:tcBorders>
              <w:top w:val="nil"/>
              <w:left w:val="nil"/>
              <w:bottom w:val="single" w:sz="4" w:space="0" w:color="auto"/>
              <w:right w:val="single" w:sz="4" w:space="0" w:color="auto"/>
            </w:tcBorders>
            <w:shd w:val="clear" w:color="auto" w:fill="auto"/>
            <w:noWrap/>
            <w:vAlign w:val="bottom"/>
            <w:hideMark/>
          </w:tcPr>
          <w:p w14:paraId="27101ED4"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3.714,7</w:t>
            </w:r>
          </w:p>
        </w:tc>
        <w:tc>
          <w:tcPr>
            <w:tcW w:w="1137" w:type="dxa"/>
            <w:tcBorders>
              <w:top w:val="nil"/>
              <w:left w:val="nil"/>
              <w:bottom w:val="single" w:sz="4" w:space="0" w:color="auto"/>
              <w:right w:val="single" w:sz="4" w:space="0" w:color="auto"/>
            </w:tcBorders>
            <w:shd w:val="clear" w:color="auto" w:fill="auto"/>
            <w:hideMark/>
          </w:tcPr>
          <w:p w14:paraId="307B6310"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3.485,9</w:t>
            </w:r>
          </w:p>
        </w:tc>
        <w:tc>
          <w:tcPr>
            <w:tcW w:w="1263" w:type="dxa"/>
            <w:tcBorders>
              <w:top w:val="nil"/>
              <w:left w:val="nil"/>
              <w:bottom w:val="single" w:sz="4" w:space="0" w:color="auto"/>
              <w:right w:val="single" w:sz="4" w:space="0" w:color="auto"/>
            </w:tcBorders>
            <w:shd w:val="clear" w:color="auto" w:fill="auto"/>
            <w:noWrap/>
            <w:vAlign w:val="bottom"/>
            <w:hideMark/>
          </w:tcPr>
          <w:p w14:paraId="08943D10"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96" w:type="dxa"/>
            <w:tcBorders>
              <w:top w:val="nil"/>
              <w:left w:val="nil"/>
              <w:bottom w:val="single" w:sz="4" w:space="0" w:color="auto"/>
              <w:right w:val="single" w:sz="4" w:space="0" w:color="auto"/>
            </w:tcBorders>
            <w:shd w:val="clear" w:color="auto" w:fill="auto"/>
            <w:noWrap/>
            <w:vAlign w:val="bottom"/>
            <w:hideMark/>
          </w:tcPr>
          <w:p w14:paraId="39F73B48"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5CAA1EA5"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761" w:type="dxa"/>
            <w:tcBorders>
              <w:top w:val="nil"/>
              <w:left w:val="nil"/>
              <w:bottom w:val="single" w:sz="4" w:space="0" w:color="auto"/>
              <w:right w:val="single" w:sz="4" w:space="0" w:color="auto"/>
            </w:tcBorders>
            <w:shd w:val="clear" w:color="auto" w:fill="auto"/>
            <w:noWrap/>
            <w:vAlign w:val="bottom"/>
            <w:hideMark/>
          </w:tcPr>
          <w:p w14:paraId="05668E3D"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80" w:type="dxa"/>
            <w:tcBorders>
              <w:top w:val="nil"/>
              <w:left w:val="nil"/>
              <w:bottom w:val="single" w:sz="4" w:space="0" w:color="auto"/>
              <w:right w:val="single" w:sz="4" w:space="0" w:color="auto"/>
            </w:tcBorders>
            <w:shd w:val="clear" w:color="auto" w:fill="auto"/>
            <w:noWrap/>
            <w:vAlign w:val="bottom"/>
            <w:hideMark/>
          </w:tcPr>
          <w:p w14:paraId="4A6B7C06"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0,0</w:t>
            </w:r>
          </w:p>
        </w:tc>
        <w:tc>
          <w:tcPr>
            <w:tcW w:w="853" w:type="dxa"/>
            <w:tcBorders>
              <w:top w:val="nil"/>
              <w:left w:val="nil"/>
              <w:bottom w:val="single" w:sz="4" w:space="0" w:color="auto"/>
              <w:right w:val="single" w:sz="4" w:space="0" w:color="auto"/>
            </w:tcBorders>
            <w:shd w:val="clear" w:color="auto" w:fill="auto"/>
            <w:hideMark/>
          </w:tcPr>
          <w:p w14:paraId="1881BF0F"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228,8</w:t>
            </w:r>
          </w:p>
        </w:tc>
      </w:tr>
      <w:tr w:rsidR="009371DC" w:rsidRPr="008860BA" w14:paraId="671E01EC" w14:textId="77777777" w:rsidTr="009371DC">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3282DEB7" w14:textId="77777777" w:rsidR="009371DC" w:rsidRPr="008860BA" w:rsidRDefault="009371DC" w:rsidP="009371DC">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Alte cheltuieli</w:t>
            </w:r>
          </w:p>
        </w:tc>
        <w:tc>
          <w:tcPr>
            <w:tcW w:w="673" w:type="dxa"/>
            <w:tcBorders>
              <w:top w:val="nil"/>
              <w:left w:val="nil"/>
              <w:bottom w:val="single" w:sz="4" w:space="0" w:color="auto"/>
              <w:right w:val="single" w:sz="4" w:space="0" w:color="auto"/>
            </w:tcBorders>
            <w:shd w:val="clear" w:color="auto" w:fill="auto"/>
            <w:noWrap/>
            <w:vAlign w:val="bottom"/>
            <w:hideMark/>
          </w:tcPr>
          <w:p w14:paraId="61A6EC9E"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5BD056F1"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1.018,9</w:t>
            </w:r>
          </w:p>
        </w:tc>
        <w:tc>
          <w:tcPr>
            <w:tcW w:w="1218" w:type="dxa"/>
            <w:tcBorders>
              <w:top w:val="nil"/>
              <w:left w:val="nil"/>
              <w:bottom w:val="single" w:sz="4" w:space="0" w:color="auto"/>
              <w:right w:val="single" w:sz="4" w:space="0" w:color="auto"/>
            </w:tcBorders>
            <w:shd w:val="clear" w:color="auto" w:fill="auto"/>
            <w:noWrap/>
            <w:vAlign w:val="bottom"/>
            <w:hideMark/>
          </w:tcPr>
          <w:p w14:paraId="62A44AD1"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1.018,9</w:t>
            </w:r>
          </w:p>
        </w:tc>
        <w:tc>
          <w:tcPr>
            <w:tcW w:w="1137" w:type="dxa"/>
            <w:tcBorders>
              <w:top w:val="nil"/>
              <w:left w:val="nil"/>
              <w:bottom w:val="single" w:sz="4" w:space="0" w:color="auto"/>
              <w:right w:val="single" w:sz="4" w:space="0" w:color="auto"/>
            </w:tcBorders>
            <w:shd w:val="clear" w:color="auto" w:fill="auto"/>
            <w:hideMark/>
          </w:tcPr>
          <w:p w14:paraId="53D72A03"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75,6</w:t>
            </w:r>
          </w:p>
        </w:tc>
        <w:tc>
          <w:tcPr>
            <w:tcW w:w="1263" w:type="dxa"/>
            <w:tcBorders>
              <w:top w:val="nil"/>
              <w:left w:val="nil"/>
              <w:bottom w:val="single" w:sz="4" w:space="0" w:color="auto"/>
              <w:right w:val="single" w:sz="4" w:space="0" w:color="auto"/>
            </w:tcBorders>
            <w:shd w:val="clear" w:color="auto" w:fill="auto"/>
            <w:hideMark/>
          </w:tcPr>
          <w:p w14:paraId="00739920"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3,3</w:t>
            </w:r>
          </w:p>
        </w:tc>
        <w:tc>
          <w:tcPr>
            <w:tcW w:w="1196" w:type="dxa"/>
            <w:tcBorders>
              <w:top w:val="nil"/>
              <w:left w:val="nil"/>
              <w:bottom w:val="single" w:sz="4" w:space="0" w:color="auto"/>
              <w:right w:val="single" w:sz="4" w:space="0" w:color="auto"/>
            </w:tcBorders>
            <w:shd w:val="clear" w:color="auto" w:fill="auto"/>
            <w:noWrap/>
            <w:vAlign w:val="bottom"/>
            <w:hideMark/>
          </w:tcPr>
          <w:p w14:paraId="6DC6008B"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600FBCDF"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42,7</w:t>
            </w:r>
          </w:p>
        </w:tc>
        <w:tc>
          <w:tcPr>
            <w:tcW w:w="761" w:type="dxa"/>
            <w:tcBorders>
              <w:top w:val="nil"/>
              <w:left w:val="nil"/>
              <w:bottom w:val="single" w:sz="4" w:space="0" w:color="auto"/>
              <w:right w:val="single" w:sz="4" w:space="0" w:color="auto"/>
            </w:tcBorders>
            <w:shd w:val="clear" w:color="auto" w:fill="auto"/>
            <w:hideMark/>
          </w:tcPr>
          <w:p w14:paraId="56CD9D70"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880" w:type="dxa"/>
            <w:tcBorders>
              <w:top w:val="nil"/>
              <w:left w:val="nil"/>
              <w:bottom w:val="single" w:sz="4" w:space="0" w:color="auto"/>
              <w:right w:val="single" w:sz="4" w:space="0" w:color="auto"/>
            </w:tcBorders>
            <w:shd w:val="clear" w:color="auto" w:fill="auto"/>
            <w:hideMark/>
          </w:tcPr>
          <w:p w14:paraId="291DB724"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599,9</w:t>
            </w:r>
          </w:p>
        </w:tc>
        <w:tc>
          <w:tcPr>
            <w:tcW w:w="853" w:type="dxa"/>
            <w:tcBorders>
              <w:top w:val="nil"/>
              <w:left w:val="nil"/>
              <w:bottom w:val="single" w:sz="4" w:space="0" w:color="auto"/>
              <w:right w:val="single" w:sz="4" w:space="0" w:color="auto"/>
            </w:tcBorders>
            <w:shd w:val="clear" w:color="auto" w:fill="auto"/>
            <w:hideMark/>
          </w:tcPr>
          <w:p w14:paraId="7407B7AB"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297,3</w:t>
            </w:r>
          </w:p>
        </w:tc>
      </w:tr>
      <w:tr w:rsidR="009371DC" w:rsidRPr="008860BA" w14:paraId="21F05344" w14:textId="77777777" w:rsidTr="009371DC">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053C9CAB" w14:textId="77777777" w:rsidR="009371DC" w:rsidRPr="008860BA" w:rsidRDefault="009371DC" w:rsidP="009371DC">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Alte cheltuieli stream</w:t>
            </w:r>
          </w:p>
        </w:tc>
        <w:tc>
          <w:tcPr>
            <w:tcW w:w="673" w:type="dxa"/>
            <w:tcBorders>
              <w:top w:val="nil"/>
              <w:left w:val="nil"/>
              <w:bottom w:val="single" w:sz="4" w:space="0" w:color="auto"/>
              <w:right w:val="single" w:sz="4" w:space="0" w:color="auto"/>
            </w:tcBorders>
            <w:shd w:val="clear" w:color="auto" w:fill="auto"/>
            <w:noWrap/>
            <w:vAlign w:val="bottom"/>
            <w:hideMark/>
          </w:tcPr>
          <w:p w14:paraId="01530F1C"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6A77677B"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24,6</w:t>
            </w:r>
          </w:p>
        </w:tc>
        <w:tc>
          <w:tcPr>
            <w:tcW w:w="1218" w:type="dxa"/>
            <w:tcBorders>
              <w:top w:val="nil"/>
              <w:left w:val="nil"/>
              <w:bottom w:val="single" w:sz="4" w:space="0" w:color="auto"/>
              <w:right w:val="single" w:sz="4" w:space="0" w:color="auto"/>
            </w:tcBorders>
            <w:shd w:val="clear" w:color="auto" w:fill="auto"/>
            <w:noWrap/>
            <w:vAlign w:val="bottom"/>
            <w:hideMark/>
          </w:tcPr>
          <w:p w14:paraId="01C9D060"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24,6</w:t>
            </w:r>
          </w:p>
        </w:tc>
        <w:tc>
          <w:tcPr>
            <w:tcW w:w="1137" w:type="dxa"/>
            <w:tcBorders>
              <w:top w:val="nil"/>
              <w:left w:val="nil"/>
              <w:bottom w:val="single" w:sz="4" w:space="0" w:color="auto"/>
              <w:right w:val="single" w:sz="4" w:space="0" w:color="auto"/>
            </w:tcBorders>
            <w:shd w:val="clear" w:color="auto" w:fill="auto"/>
            <w:hideMark/>
          </w:tcPr>
          <w:p w14:paraId="364BA707"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1263" w:type="dxa"/>
            <w:tcBorders>
              <w:top w:val="nil"/>
              <w:left w:val="nil"/>
              <w:bottom w:val="single" w:sz="4" w:space="0" w:color="auto"/>
              <w:right w:val="single" w:sz="4" w:space="0" w:color="auto"/>
            </w:tcBorders>
            <w:shd w:val="clear" w:color="auto" w:fill="auto"/>
            <w:noWrap/>
            <w:vAlign w:val="bottom"/>
            <w:hideMark/>
          </w:tcPr>
          <w:p w14:paraId="0F537B35"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96" w:type="dxa"/>
            <w:tcBorders>
              <w:top w:val="nil"/>
              <w:left w:val="nil"/>
              <w:bottom w:val="single" w:sz="4" w:space="0" w:color="auto"/>
              <w:right w:val="single" w:sz="4" w:space="0" w:color="auto"/>
            </w:tcBorders>
            <w:shd w:val="clear" w:color="auto" w:fill="auto"/>
            <w:noWrap/>
            <w:vAlign w:val="bottom"/>
            <w:hideMark/>
          </w:tcPr>
          <w:p w14:paraId="10AA6B8F"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74ED157A"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761" w:type="dxa"/>
            <w:tcBorders>
              <w:top w:val="nil"/>
              <w:left w:val="nil"/>
              <w:bottom w:val="single" w:sz="4" w:space="0" w:color="auto"/>
              <w:right w:val="single" w:sz="4" w:space="0" w:color="auto"/>
            </w:tcBorders>
            <w:shd w:val="clear" w:color="auto" w:fill="auto"/>
            <w:hideMark/>
          </w:tcPr>
          <w:p w14:paraId="465DE2EE"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880" w:type="dxa"/>
            <w:tcBorders>
              <w:top w:val="nil"/>
              <w:left w:val="nil"/>
              <w:bottom w:val="single" w:sz="4" w:space="0" w:color="auto"/>
              <w:right w:val="single" w:sz="4" w:space="0" w:color="auto"/>
            </w:tcBorders>
            <w:shd w:val="clear" w:color="auto" w:fill="auto"/>
            <w:hideMark/>
          </w:tcPr>
          <w:p w14:paraId="1AD796CF"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0,0</w:t>
            </w:r>
          </w:p>
        </w:tc>
        <w:tc>
          <w:tcPr>
            <w:tcW w:w="853" w:type="dxa"/>
            <w:tcBorders>
              <w:top w:val="nil"/>
              <w:left w:val="nil"/>
              <w:bottom w:val="single" w:sz="4" w:space="0" w:color="auto"/>
              <w:right w:val="single" w:sz="4" w:space="0" w:color="auto"/>
            </w:tcBorders>
            <w:shd w:val="clear" w:color="auto" w:fill="auto"/>
            <w:hideMark/>
          </w:tcPr>
          <w:p w14:paraId="5BC14E93"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24,6</w:t>
            </w:r>
          </w:p>
        </w:tc>
      </w:tr>
      <w:tr w:rsidR="009371DC" w:rsidRPr="008860BA" w14:paraId="2B991AAE" w14:textId="77777777" w:rsidTr="009371DC">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1BB726D4" w14:textId="77777777" w:rsidR="009371DC" w:rsidRPr="008860BA" w:rsidRDefault="009371DC" w:rsidP="009371DC">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Alte produse alimentare</w:t>
            </w:r>
          </w:p>
        </w:tc>
        <w:tc>
          <w:tcPr>
            <w:tcW w:w="673" w:type="dxa"/>
            <w:tcBorders>
              <w:top w:val="nil"/>
              <w:left w:val="nil"/>
              <w:bottom w:val="single" w:sz="4" w:space="0" w:color="auto"/>
              <w:right w:val="single" w:sz="4" w:space="0" w:color="auto"/>
            </w:tcBorders>
            <w:shd w:val="clear" w:color="auto" w:fill="auto"/>
            <w:noWrap/>
            <w:vAlign w:val="bottom"/>
            <w:hideMark/>
          </w:tcPr>
          <w:p w14:paraId="5C5965A9"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6C9DEBA5"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50,8</w:t>
            </w:r>
          </w:p>
        </w:tc>
        <w:tc>
          <w:tcPr>
            <w:tcW w:w="1218" w:type="dxa"/>
            <w:tcBorders>
              <w:top w:val="nil"/>
              <w:left w:val="nil"/>
              <w:bottom w:val="single" w:sz="4" w:space="0" w:color="auto"/>
              <w:right w:val="single" w:sz="4" w:space="0" w:color="auto"/>
            </w:tcBorders>
            <w:shd w:val="clear" w:color="auto" w:fill="auto"/>
            <w:noWrap/>
            <w:vAlign w:val="bottom"/>
            <w:hideMark/>
          </w:tcPr>
          <w:p w14:paraId="0165FE53"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50,8</w:t>
            </w:r>
          </w:p>
        </w:tc>
        <w:tc>
          <w:tcPr>
            <w:tcW w:w="1137" w:type="dxa"/>
            <w:tcBorders>
              <w:top w:val="nil"/>
              <w:left w:val="nil"/>
              <w:bottom w:val="single" w:sz="4" w:space="0" w:color="auto"/>
              <w:right w:val="single" w:sz="4" w:space="0" w:color="auto"/>
            </w:tcBorders>
            <w:shd w:val="clear" w:color="auto" w:fill="auto"/>
            <w:hideMark/>
          </w:tcPr>
          <w:p w14:paraId="40DA607D"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9,9</w:t>
            </w:r>
          </w:p>
        </w:tc>
        <w:tc>
          <w:tcPr>
            <w:tcW w:w="1263" w:type="dxa"/>
            <w:tcBorders>
              <w:top w:val="nil"/>
              <w:left w:val="nil"/>
              <w:bottom w:val="single" w:sz="4" w:space="0" w:color="auto"/>
              <w:right w:val="single" w:sz="4" w:space="0" w:color="auto"/>
            </w:tcBorders>
            <w:shd w:val="clear" w:color="auto" w:fill="auto"/>
            <w:noWrap/>
            <w:vAlign w:val="bottom"/>
            <w:hideMark/>
          </w:tcPr>
          <w:p w14:paraId="14B466F1"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96" w:type="dxa"/>
            <w:tcBorders>
              <w:top w:val="nil"/>
              <w:left w:val="nil"/>
              <w:bottom w:val="single" w:sz="4" w:space="0" w:color="auto"/>
              <w:right w:val="single" w:sz="4" w:space="0" w:color="auto"/>
            </w:tcBorders>
            <w:shd w:val="clear" w:color="auto" w:fill="auto"/>
            <w:noWrap/>
            <w:vAlign w:val="bottom"/>
            <w:hideMark/>
          </w:tcPr>
          <w:p w14:paraId="67DDEE16"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4803A738"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761" w:type="dxa"/>
            <w:tcBorders>
              <w:top w:val="nil"/>
              <w:left w:val="nil"/>
              <w:bottom w:val="single" w:sz="4" w:space="0" w:color="auto"/>
              <w:right w:val="single" w:sz="4" w:space="0" w:color="auto"/>
            </w:tcBorders>
            <w:shd w:val="clear" w:color="auto" w:fill="auto"/>
            <w:noWrap/>
            <w:vAlign w:val="bottom"/>
            <w:hideMark/>
          </w:tcPr>
          <w:p w14:paraId="4F32F865"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80" w:type="dxa"/>
            <w:tcBorders>
              <w:top w:val="nil"/>
              <w:left w:val="nil"/>
              <w:bottom w:val="single" w:sz="4" w:space="0" w:color="auto"/>
              <w:right w:val="single" w:sz="4" w:space="0" w:color="auto"/>
            </w:tcBorders>
            <w:shd w:val="clear" w:color="auto" w:fill="auto"/>
            <w:noWrap/>
            <w:vAlign w:val="bottom"/>
            <w:hideMark/>
          </w:tcPr>
          <w:p w14:paraId="7170077D"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0,0</w:t>
            </w:r>
          </w:p>
        </w:tc>
        <w:tc>
          <w:tcPr>
            <w:tcW w:w="853" w:type="dxa"/>
            <w:tcBorders>
              <w:top w:val="nil"/>
              <w:left w:val="nil"/>
              <w:bottom w:val="single" w:sz="4" w:space="0" w:color="auto"/>
              <w:right w:val="single" w:sz="4" w:space="0" w:color="auto"/>
            </w:tcBorders>
            <w:shd w:val="clear" w:color="auto" w:fill="auto"/>
            <w:hideMark/>
          </w:tcPr>
          <w:p w14:paraId="71DC4D94"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40,8</w:t>
            </w:r>
          </w:p>
        </w:tc>
      </w:tr>
      <w:tr w:rsidR="009371DC" w:rsidRPr="008860BA" w14:paraId="76F4B73A" w14:textId="77777777" w:rsidTr="009371DC">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2BA15F0D" w14:textId="77777777" w:rsidR="009371DC" w:rsidRPr="008860BA" w:rsidRDefault="009371DC" w:rsidP="009371DC">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Ambalaj</w:t>
            </w:r>
          </w:p>
        </w:tc>
        <w:tc>
          <w:tcPr>
            <w:tcW w:w="673" w:type="dxa"/>
            <w:tcBorders>
              <w:top w:val="nil"/>
              <w:left w:val="nil"/>
              <w:bottom w:val="single" w:sz="4" w:space="0" w:color="auto"/>
              <w:right w:val="single" w:sz="4" w:space="0" w:color="auto"/>
            </w:tcBorders>
            <w:shd w:val="clear" w:color="auto" w:fill="auto"/>
            <w:noWrap/>
            <w:vAlign w:val="bottom"/>
            <w:hideMark/>
          </w:tcPr>
          <w:p w14:paraId="68C84764"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6667C714"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204,7</w:t>
            </w:r>
          </w:p>
        </w:tc>
        <w:tc>
          <w:tcPr>
            <w:tcW w:w="1218" w:type="dxa"/>
            <w:tcBorders>
              <w:top w:val="nil"/>
              <w:left w:val="nil"/>
              <w:bottom w:val="single" w:sz="4" w:space="0" w:color="auto"/>
              <w:right w:val="single" w:sz="4" w:space="0" w:color="auto"/>
            </w:tcBorders>
            <w:shd w:val="clear" w:color="auto" w:fill="auto"/>
            <w:noWrap/>
            <w:vAlign w:val="bottom"/>
            <w:hideMark/>
          </w:tcPr>
          <w:p w14:paraId="364D3EDB"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204,7</w:t>
            </w:r>
          </w:p>
        </w:tc>
        <w:tc>
          <w:tcPr>
            <w:tcW w:w="1137" w:type="dxa"/>
            <w:tcBorders>
              <w:top w:val="nil"/>
              <w:left w:val="nil"/>
              <w:bottom w:val="single" w:sz="4" w:space="0" w:color="auto"/>
              <w:right w:val="single" w:sz="4" w:space="0" w:color="auto"/>
            </w:tcBorders>
            <w:shd w:val="clear" w:color="auto" w:fill="auto"/>
            <w:hideMark/>
          </w:tcPr>
          <w:p w14:paraId="4C712350"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110,7</w:t>
            </w:r>
          </w:p>
        </w:tc>
        <w:tc>
          <w:tcPr>
            <w:tcW w:w="1263" w:type="dxa"/>
            <w:tcBorders>
              <w:top w:val="nil"/>
              <w:left w:val="nil"/>
              <w:bottom w:val="single" w:sz="4" w:space="0" w:color="auto"/>
              <w:right w:val="single" w:sz="4" w:space="0" w:color="auto"/>
            </w:tcBorders>
            <w:shd w:val="clear" w:color="auto" w:fill="auto"/>
            <w:noWrap/>
            <w:vAlign w:val="bottom"/>
            <w:hideMark/>
          </w:tcPr>
          <w:p w14:paraId="2B64800B"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96" w:type="dxa"/>
            <w:tcBorders>
              <w:top w:val="nil"/>
              <w:left w:val="nil"/>
              <w:bottom w:val="single" w:sz="4" w:space="0" w:color="auto"/>
              <w:right w:val="single" w:sz="4" w:space="0" w:color="auto"/>
            </w:tcBorders>
            <w:shd w:val="clear" w:color="auto" w:fill="auto"/>
            <w:noWrap/>
            <w:vAlign w:val="bottom"/>
            <w:hideMark/>
          </w:tcPr>
          <w:p w14:paraId="4990E084"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5601FC79"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761" w:type="dxa"/>
            <w:tcBorders>
              <w:top w:val="nil"/>
              <w:left w:val="nil"/>
              <w:bottom w:val="single" w:sz="4" w:space="0" w:color="auto"/>
              <w:right w:val="single" w:sz="4" w:space="0" w:color="auto"/>
            </w:tcBorders>
            <w:shd w:val="clear" w:color="auto" w:fill="auto"/>
            <w:noWrap/>
            <w:vAlign w:val="bottom"/>
            <w:hideMark/>
          </w:tcPr>
          <w:p w14:paraId="253F839A"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80" w:type="dxa"/>
            <w:tcBorders>
              <w:top w:val="nil"/>
              <w:left w:val="nil"/>
              <w:bottom w:val="single" w:sz="4" w:space="0" w:color="auto"/>
              <w:right w:val="single" w:sz="4" w:space="0" w:color="auto"/>
            </w:tcBorders>
            <w:shd w:val="clear" w:color="auto" w:fill="auto"/>
            <w:hideMark/>
          </w:tcPr>
          <w:p w14:paraId="10A87607"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22,2</w:t>
            </w:r>
          </w:p>
        </w:tc>
        <w:tc>
          <w:tcPr>
            <w:tcW w:w="853" w:type="dxa"/>
            <w:tcBorders>
              <w:top w:val="nil"/>
              <w:left w:val="nil"/>
              <w:bottom w:val="single" w:sz="4" w:space="0" w:color="auto"/>
              <w:right w:val="single" w:sz="4" w:space="0" w:color="auto"/>
            </w:tcBorders>
            <w:shd w:val="clear" w:color="auto" w:fill="auto"/>
            <w:hideMark/>
          </w:tcPr>
          <w:p w14:paraId="29C49E2C"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71,8</w:t>
            </w:r>
          </w:p>
        </w:tc>
      </w:tr>
      <w:tr w:rsidR="009371DC" w:rsidRPr="008860BA" w14:paraId="0FFD8BAD" w14:textId="77777777" w:rsidTr="009371DC">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25262395" w14:textId="77777777" w:rsidR="009371DC" w:rsidRPr="008860BA" w:rsidRDefault="009371DC" w:rsidP="009371DC">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Amortizarea IN</w:t>
            </w:r>
          </w:p>
        </w:tc>
        <w:tc>
          <w:tcPr>
            <w:tcW w:w="673" w:type="dxa"/>
            <w:tcBorders>
              <w:top w:val="nil"/>
              <w:left w:val="nil"/>
              <w:bottom w:val="single" w:sz="4" w:space="0" w:color="auto"/>
              <w:right w:val="single" w:sz="4" w:space="0" w:color="auto"/>
            </w:tcBorders>
            <w:shd w:val="clear" w:color="auto" w:fill="auto"/>
            <w:noWrap/>
            <w:vAlign w:val="bottom"/>
            <w:hideMark/>
          </w:tcPr>
          <w:p w14:paraId="432FDA2E"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1DD1E264"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7,9</w:t>
            </w:r>
          </w:p>
        </w:tc>
        <w:tc>
          <w:tcPr>
            <w:tcW w:w="1218" w:type="dxa"/>
            <w:tcBorders>
              <w:top w:val="nil"/>
              <w:left w:val="nil"/>
              <w:bottom w:val="single" w:sz="4" w:space="0" w:color="auto"/>
              <w:right w:val="single" w:sz="4" w:space="0" w:color="auto"/>
            </w:tcBorders>
            <w:shd w:val="clear" w:color="auto" w:fill="auto"/>
            <w:noWrap/>
            <w:vAlign w:val="bottom"/>
            <w:hideMark/>
          </w:tcPr>
          <w:p w14:paraId="17E6DB57"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7,9</w:t>
            </w:r>
          </w:p>
        </w:tc>
        <w:tc>
          <w:tcPr>
            <w:tcW w:w="1137" w:type="dxa"/>
            <w:tcBorders>
              <w:top w:val="nil"/>
              <w:left w:val="nil"/>
              <w:bottom w:val="single" w:sz="4" w:space="0" w:color="auto"/>
              <w:right w:val="single" w:sz="4" w:space="0" w:color="auto"/>
            </w:tcBorders>
            <w:shd w:val="clear" w:color="auto" w:fill="auto"/>
            <w:hideMark/>
          </w:tcPr>
          <w:p w14:paraId="0E795740"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1263" w:type="dxa"/>
            <w:tcBorders>
              <w:top w:val="nil"/>
              <w:left w:val="nil"/>
              <w:bottom w:val="single" w:sz="4" w:space="0" w:color="auto"/>
              <w:right w:val="single" w:sz="4" w:space="0" w:color="auto"/>
            </w:tcBorders>
            <w:shd w:val="clear" w:color="auto" w:fill="auto"/>
            <w:noWrap/>
            <w:vAlign w:val="bottom"/>
            <w:hideMark/>
          </w:tcPr>
          <w:p w14:paraId="6014E008"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96" w:type="dxa"/>
            <w:tcBorders>
              <w:top w:val="nil"/>
              <w:left w:val="nil"/>
              <w:bottom w:val="single" w:sz="4" w:space="0" w:color="auto"/>
              <w:right w:val="single" w:sz="4" w:space="0" w:color="auto"/>
            </w:tcBorders>
            <w:shd w:val="clear" w:color="auto" w:fill="auto"/>
            <w:noWrap/>
            <w:vAlign w:val="bottom"/>
            <w:hideMark/>
          </w:tcPr>
          <w:p w14:paraId="1BE36C13"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7EB5CE38"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761" w:type="dxa"/>
            <w:tcBorders>
              <w:top w:val="nil"/>
              <w:left w:val="nil"/>
              <w:bottom w:val="single" w:sz="4" w:space="0" w:color="auto"/>
              <w:right w:val="single" w:sz="4" w:space="0" w:color="auto"/>
            </w:tcBorders>
            <w:shd w:val="clear" w:color="auto" w:fill="auto"/>
            <w:noWrap/>
            <w:vAlign w:val="bottom"/>
            <w:hideMark/>
          </w:tcPr>
          <w:p w14:paraId="1FB538D3"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80" w:type="dxa"/>
            <w:tcBorders>
              <w:top w:val="nil"/>
              <w:left w:val="nil"/>
              <w:bottom w:val="single" w:sz="4" w:space="0" w:color="auto"/>
              <w:right w:val="single" w:sz="4" w:space="0" w:color="auto"/>
            </w:tcBorders>
            <w:shd w:val="clear" w:color="auto" w:fill="auto"/>
            <w:hideMark/>
          </w:tcPr>
          <w:p w14:paraId="0651C182"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7,9</w:t>
            </w:r>
          </w:p>
        </w:tc>
        <w:tc>
          <w:tcPr>
            <w:tcW w:w="853" w:type="dxa"/>
            <w:tcBorders>
              <w:top w:val="nil"/>
              <w:left w:val="nil"/>
              <w:bottom w:val="single" w:sz="4" w:space="0" w:color="auto"/>
              <w:right w:val="single" w:sz="4" w:space="0" w:color="auto"/>
            </w:tcBorders>
            <w:shd w:val="clear" w:color="auto" w:fill="auto"/>
            <w:noWrap/>
            <w:vAlign w:val="bottom"/>
            <w:hideMark/>
          </w:tcPr>
          <w:p w14:paraId="09795D50"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r>
      <w:tr w:rsidR="009371DC" w:rsidRPr="008860BA" w14:paraId="2835A3B6" w14:textId="77777777" w:rsidTr="009371DC">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0CE41583" w14:textId="77777777" w:rsidR="009371DC" w:rsidRPr="008860BA" w:rsidRDefault="009371DC" w:rsidP="009371DC">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Amortizarea MF</w:t>
            </w:r>
          </w:p>
        </w:tc>
        <w:tc>
          <w:tcPr>
            <w:tcW w:w="673" w:type="dxa"/>
            <w:tcBorders>
              <w:top w:val="nil"/>
              <w:left w:val="nil"/>
              <w:bottom w:val="single" w:sz="4" w:space="0" w:color="auto"/>
              <w:right w:val="single" w:sz="4" w:space="0" w:color="auto"/>
            </w:tcBorders>
            <w:shd w:val="clear" w:color="auto" w:fill="auto"/>
            <w:noWrap/>
            <w:vAlign w:val="bottom"/>
            <w:hideMark/>
          </w:tcPr>
          <w:p w14:paraId="2519F5C5"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6FF63C5D"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8.074,1</w:t>
            </w:r>
          </w:p>
        </w:tc>
        <w:tc>
          <w:tcPr>
            <w:tcW w:w="1218" w:type="dxa"/>
            <w:tcBorders>
              <w:top w:val="nil"/>
              <w:left w:val="nil"/>
              <w:bottom w:val="single" w:sz="4" w:space="0" w:color="auto"/>
              <w:right w:val="single" w:sz="4" w:space="0" w:color="auto"/>
            </w:tcBorders>
            <w:shd w:val="clear" w:color="auto" w:fill="auto"/>
            <w:noWrap/>
            <w:vAlign w:val="bottom"/>
            <w:hideMark/>
          </w:tcPr>
          <w:p w14:paraId="5476A5A8"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8.074,1</w:t>
            </w:r>
          </w:p>
        </w:tc>
        <w:tc>
          <w:tcPr>
            <w:tcW w:w="1137" w:type="dxa"/>
            <w:tcBorders>
              <w:top w:val="nil"/>
              <w:left w:val="nil"/>
              <w:bottom w:val="single" w:sz="4" w:space="0" w:color="auto"/>
              <w:right w:val="single" w:sz="4" w:space="0" w:color="auto"/>
            </w:tcBorders>
            <w:shd w:val="clear" w:color="auto" w:fill="auto"/>
            <w:hideMark/>
          </w:tcPr>
          <w:p w14:paraId="66BE1132"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2.188,0</w:t>
            </w:r>
          </w:p>
        </w:tc>
        <w:tc>
          <w:tcPr>
            <w:tcW w:w="1263" w:type="dxa"/>
            <w:tcBorders>
              <w:top w:val="nil"/>
              <w:left w:val="nil"/>
              <w:bottom w:val="single" w:sz="4" w:space="0" w:color="auto"/>
              <w:right w:val="single" w:sz="4" w:space="0" w:color="auto"/>
            </w:tcBorders>
            <w:shd w:val="clear" w:color="auto" w:fill="auto"/>
            <w:hideMark/>
          </w:tcPr>
          <w:p w14:paraId="24A68BF9"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1,6</w:t>
            </w:r>
          </w:p>
        </w:tc>
        <w:tc>
          <w:tcPr>
            <w:tcW w:w="1196" w:type="dxa"/>
            <w:tcBorders>
              <w:top w:val="nil"/>
              <w:left w:val="nil"/>
              <w:bottom w:val="single" w:sz="4" w:space="0" w:color="auto"/>
              <w:right w:val="single" w:sz="4" w:space="0" w:color="auto"/>
            </w:tcBorders>
            <w:shd w:val="clear" w:color="auto" w:fill="auto"/>
            <w:noWrap/>
            <w:vAlign w:val="bottom"/>
            <w:hideMark/>
          </w:tcPr>
          <w:p w14:paraId="24549D03"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hideMark/>
          </w:tcPr>
          <w:p w14:paraId="5D182F7D"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0,8</w:t>
            </w:r>
          </w:p>
        </w:tc>
        <w:tc>
          <w:tcPr>
            <w:tcW w:w="761" w:type="dxa"/>
            <w:tcBorders>
              <w:top w:val="nil"/>
              <w:left w:val="nil"/>
              <w:bottom w:val="single" w:sz="4" w:space="0" w:color="auto"/>
              <w:right w:val="single" w:sz="4" w:space="0" w:color="auto"/>
            </w:tcBorders>
            <w:shd w:val="clear" w:color="auto" w:fill="auto"/>
            <w:hideMark/>
          </w:tcPr>
          <w:p w14:paraId="03E2BF7B"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117,1</w:t>
            </w:r>
          </w:p>
        </w:tc>
        <w:tc>
          <w:tcPr>
            <w:tcW w:w="880" w:type="dxa"/>
            <w:tcBorders>
              <w:top w:val="nil"/>
              <w:left w:val="nil"/>
              <w:bottom w:val="single" w:sz="4" w:space="0" w:color="auto"/>
              <w:right w:val="single" w:sz="4" w:space="0" w:color="auto"/>
            </w:tcBorders>
            <w:shd w:val="clear" w:color="auto" w:fill="auto"/>
            <w:noWrap/>
            <w:vAlign w:val="bottom"/>
            <w:hideMark/>
          </w:tcPr>
          <w:p w14:paraId="2CD888D5"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68,2</w:t>
            </w:r>
          </w:p>
        </w:tc>
        <w:tc>
          <w:tcPr>
            <w:tcW w:w="853" w:type="dxa"/>
            <w:tcBorders>
              <w:top w:val="nil"/>
              <w:left w:val="nil"/>
              <w:bottom w:val="single" w:sz="4" w:space="0" w:color="auto"/>
              <w:right w:val="single" w:sz="4" w:space="0" w:color="auto"/>
            </w:tcBorders>
            <w:shd w:val="clear" w:color="auto" w:fill="auto"/>
            <w:hideMark/>
          </w:tcPr>
          <w:p w14:paraId="0A06213C"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5.698,5</w:t>
            </w:r>
          </w:p>
        </w:tc>
      </w:tr>
      <w:tr w:rsidR="009371DC" w:rsidRPr="008860BA" w14:paraId="7C96B7DF" w14:textId="77777777" w:rsidTr="009371DC">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2CD63757" w14:textId="77777777" w:rsidR="009371DC" w:rsidRPr="008860BA" w:rsidRDefault="009371DC" w:rsidP="009371DC">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Apa potabilă</w:t>
            </w:r>
          </w:p>
        </w:tc>
        <w:tc>
          <w:tcPr>
            <w:tcW w:w="673" w:type="dxa"/>
            <w:tcBorders>
              <w:top w:val="nil"/>
              <w:left w:val="nil"/>
              <w:bottom w:val="single" w:sz="4" w:space="0" w:color="auto"/>
              <w:right w:val="single" w:sz="4" w:space="0" w:color="auto"/>
            </w:tcBorders>
            <w:shd w:val="clear" w:color="auto" w:fill="auto"/>
            <w:noWrap/>
            <w:vAlign w:val="bottom"/>
            <w:hideMark/>
          </w:tcPr>
          <w:p w14:paraId="3115BD41"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2A0A2661"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9,1</w:t>
            </w:r>
          </w:p>
        </w:tc>
        <w:tc>
          <w:tcPr>
            <w:tcW w:w="1218" w:type="dxa"/>
            <w:tcBorders>
              <w:top w:val="nil"/>
              <w:left w:val="nil"/>
              <w:bottom w:val="single" w:sz="4" w:space="0" w:color="auto"/>
              <w:right w:val="single" w:sz="4" w:space="0" w:color="auto"/>
            </w:tcBorders>
            <w:shd w:val="clear" w:color="auto" w:fill="auto"/>
            <w:noWrap/>
            <w:vAlign w:val="bottom"/>
            <w:hideMark/>
          </w:tcPr>
          <w:p w14:paraId="626F20D1"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9,1</w:t>
            </w:r>
          </w:p>
        </w:tc>
        <w:tc>
          <w:tcPr>
            <w:tcW w:w="1137" w:type="dxa"/>
            <w:tcBorders>
              <w:top w:val="nil"/>
              <w:left w:val="nil"/>
              <w:bottom w:val="single" w:sz="4" w:space="0" w:color="auto"/>
              <w:right w:val="single" w:sz="4" w:space="0" w:color="auto"/>
            </w:tcBorders>
            <w:shd w:val="clear" w:color="auto" w:fill="auto"/>
            <w:hideMark/>
          </w:tcPr>
          <w:p w14:paraId="5C4ADA00"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1263" w:type="dxa"/>
            <w:tcBorders>
              <w:top w:val="nil"/>
              <w:left w:val="nil"/>
              <w:bottom w:val="single" w:sz="4" w:space="0" w:color="auto"/>
              <w:right w:val="single" w:sz="4" w:space="0" w:color="auto"/>
            </w:tcBorders>
            <w:shd w:val="clear" w:color="auto" w:fill="auto"/>
            <w:noWrap/>
            <w:vAlign w:val="bottom"/>
            <w:hideMark/>
          </w:tcPr>
          <w:p w14:paraId="3E9A174E"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96" w:type="dxa"/>
            <w:tcBorders>
              <w:top w:val="nil"/>
              <w:left w:val="nil"/>
              <w:bottom w:val="single" w:sz="4" w:space="0" w:color="auto"/>
              <w:right w:val="single" w:sz="4" w:space="0" w:color="auto"/>
            </w:tcBorders>
            <w:shd w:val="clear" w:color="auto" w:fill="auto"/>
            <w:noWrap/>
            <w:vAlign w:val="bottom"/>
            <w:hideMark/>
          </w:tcPr>
          <w:p w14:paraId="387CD4FE"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hideMark/>
          </w:tcPr>
          <w:p w14:paraId="2803DCF5"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761" w:type="dxa"/>
            <w:tcBorders>
              <w:top w:val="nil"/>
              <w:left w:val="nil"/>
              <w:bottom w:val="single" w:sz="4" w:space="0" w:color="auto"/>
              <w:right w:val="single" w:sz="4" w:space="0" w:color="auto"/>
            </w:tcBorders>
            <w:shd w:val="clear" w:color="auto" w:fill="auto"/>
            <w:hideMark/>
          </w:tcPr>
          <w:p w14:paraId="37405DD3"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880" w:type="dxa"/>
            <w:tcBorders>
              <w:top w:val="nil"/>
              <w:left w:val="nil"/>
              <w:bottom w:val="single" w:sz="4" w:space="0" w:color="auto"/>
              <w:right w:val="single" w:sz="4" w:space="0" w:color="auto"/>
            </w:tcBorders>
            <w:shd w:val="clear" w:color="auto" w:fill="auto"/>
            <w:noWrap/>
            <w:vAlign w:val="bottom"/>
            <w:hideMark/>
          </w:tcPr>
          <w:p w14:paraId="3B5C31AF"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9,1</w:t>
            </w:r>
          </w:p>
        </w:tc>
        <w:tc>
          <w:tcPr>
            <w:tcW w:w="853" w:type="dxa"/>
            <w:tcBorders>
              <w:top w:val="nil"/>
              <w:left w:val="nil"/>
              <w:bottom w:val="single" w:sz="4" w:space="0" w:color="auto"/>
              <w:right w:val="single" w:sz="4" w:space="0" w:color="auto"/>
            </w:tcBorders>
            <w:shd w:val="clear" w:color="auto" w:fill="auto"/>
            <w:noWrap/>
            <w:vAlign w:val="bottom"/>
            <w:hideMark/>
          </w:tcPr>
          <w:p w14:paraId="5AEACBBB"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r>
      <w:tr w:rsidR="009371DC" w:rsidRPr="008860BA" w14:paraId="493C824B" w14:textId="77777777" w:rsidTr="009371DC">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3D18D847" w14:textId="77777777" w:rsidR="009371DC" w:rsidRPr="008860BA" w:rsidRDefault="009371DC" w:rsidP="009371DC">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Apa si canalizarea</w:t>
            </w:r>
          </w:p>
        </w:tc>
        <w:tc>
          <w:tcPr>
            <w:tcW w:w="673" w:type="dxa"/>
            <w:tcBorders>
              <w:top w:val="nil"/>
              <w:left w:val="nil"/>
              <w:bottom w:val="single" w:sz="4" w:space="0" w:color="auto"/>
              <w:right w:val="single" w:sz="4" w:space="0" w:color="auto"/>
            </w:tcBorders>
            <w:shd w:val="clear" w:color="auto" w:fill="auto"/>
            <w:noWrap/>
            <w:vAlign w:val="bottom"/>
            <w:hideMark/>
          </w:tcPr>
          <w:p w14:paraId="7D2DF5C7"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673AD943"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592,8</w:t>
            </w:r>
          </w:p>
        </w:tc>
        <w:tc>
          <w:tcPr>
            <w:tcW w:w="1218" w:type="dxa"/>
            <w:tcBorders>
              <w:top w:val="nil"/>
              <w:left w:val="nil"/>
              <w:bottom w:val="single" w:sz="4" w:space="0" w:color="auto"/>
              <w:right w:val="single" w:sz="4" w:space="0" w:color="auto"/>
            </w:tcBorders>
            <w:shd w:val="clear" w:color="auto" w:fill="auto"/>
            <w:noWrap/>
            <w:vAlign w:val="bottom"/>
            <w:hideMark/>
          </w:tcPr>
          <w:p w14:paraId="57ADD6D9"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592,8</w:t>
            </w:r>
          </w:p>
        </w:tc>
        <w:tc>
          <w:tcPr>
            <w:tcW w:w="1137" w:type="dxa"/>
            <w:tcBorders>
              <w:top w:val="nil"/>
              <w:left w:val="nil"/>
              <w:bottom w:val="single" w:sz="4" w:space="0" w:color="auto"/>
              <w:right w:val="single" w:sz="4" w:space="0" w:color="auto"/>
            </w:tcBorders>
            <w:shd w:val="clear" w:color="auto" w:fill="auto"/>
            <w:hideMark/>
          </w:tcPr>
          <w:p w14:paraId="4318382B"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153,0</w:t>
            </w:r>
          </w:p>
        </w:tc>
        <w:tc>
          <w:tcPr>
            <w:tcW w:w="1263" w:type="dxa"/>
            <w:tcBorders>
              <w:top w:val="nil"/>
              <w:left w:val="nil"/>
              <w:bottom w:val="single" w:sz="4" w:space="0" w:color="auto"/>
              <w:right w:val="single" w:sz="4" w:space="0" w:color="auto"/>
            </w:tcBorders>
            <w:shd w:val="clear" w:color="auto" w:fill="auto"/>
            <w:noWrap/>
            <w:vAlign w:val="bottom"/>
            <w:hideMark/>
          </w:tcPr>
          <w:p w14:paraId="132FB4B2"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96" w:type="dxa"/>
            <w:tcBorders>
              <w:top w:val="nil"/>
              <w:left w:val="nil"/>
              <w:bottom w:val="single" w:sz="4" w:space="0" w:color="auto"/>
              <w:right w:val="single" w:sz="4" w:space="0" w:color="auto"/>
            </w:tcBorders>
            <w:shd w:val="clear" w:color="auto" w:fill="auto"/>
            <w:noWrap/>
            <w:vAlign w:val="bottom"/>
            <w:hideMark/>
          </w:tcPr>
          <w:p w14:paraId="2833D9CC"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6837255F"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392,7</w:t>
            </w:r>
          </w:p>
        </w:tc>
        <w:tc>
          <w:tcPr>
            <w:tcW w:w="761" w:type="dxa"/>
            <w:tcBorders>
              <w:top w:val="nil"/>
              <w:left w:val="nil"/>
              <w:bottom w:val="single" w:sz="4" w:space="0" w:color="auto"/>
              <w:right w:val="single" w:sz="4" w:space="0" w:color="auto"/>
            </w:tcBorders>
            <w:shd w:val="clear" w:color="auto" w:fill="auto"/>
            <w:noWrap/>
            <w:vAlign w:val="bottom"/>
            <w:hideMark/>
          </w:tcPr>
          <w:p w14:paraId="26A1AB8B"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80" w:type="dxa"/>
            <w:tcBorders>
              <w:top w:val="nil"/>
              <w:left w:val="nil"/>
              <w:bottom w:val="nil"/>
              <w:right w:val="nil"/>
            </w:tcBorders>
            <w:shd w:val="clear" w:color="auto" w:fill="auto"/>
            <w:noWrap/>
            <w:vAlign w:val="bottom"/>
            <w:hideMark/>
          </w:tcPr>
          <w:p w14:paraId="233EBAE8"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47,1</w:t>
            </w:r>
          </w:p>
        </w:tc>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38950DBB"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r>
      <w:tr w:rsidR="009371DC" w:rsidRPr="008860BA" w14:paraId="0EAE8E8C" w14:textId="77777777" w:rsidTr="009371DC">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315F5C67" w14:textId="311A25EB" w:rsidR="009371DC" w:rsidRPr="008860BA" w:rsidRDefault="009371DC" w:rsidP="009371DC">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Che</w:t>
            </w:r>
            <w:r w:rsidR="00E10604" w:rsidRPr="008860BA">
              <w:rPr>
                <w:rFonts w:asciiTheme="majorHAnsi" w:eastAsia="Times New Roman" w:hAnsiTheme="majorHAnsi" w:cstheme="majorHAnsi"/>
                <w:sz w:val="18"/>
                <w:szCs w:val="18"/>
                <w:lang w:val="ro-MD"/>
              </w:rPr>
              <w:t>l</w:t>
            </w:r>
            <w:r w:rsidRPr="008860BA">
              <w:rPr>
                <w:rFonts w:asciiTheme="majorHAnsi" w:eastAsia="Times New Roman" w:hAnsiTheme="majorHAnsi" w:cstheme="majorHAnsi"/>
                <w:sz w:val="18"/>
                <w:szCs w:val="18"/>
                <w:lang w:val="ro-MD"/>
              </w:rPr>
              <w:t>tuieli de reprezentare</w:t>
            </w:r>
          </w:p>
        </w:tc>
        <w:tc>
          <w:tcPr>
            <w:tcW w:w="673" w:type="dxa"/>
            <w:tcBorders>
              <w:top w:val="nil"/>
              <w:left w:val="nil"/>
              <w:bottom w:val="single" w:sz="4" w:space="0" w:color="auto"/>
              <w:right w:val="single" w:sz="4" w:space="0" w:color="auto"/>
            </w:tcBorders>
            <w:shd w:val="clear" w:color="auto" w:fill="auto"/>
            <w:noWrap/>
            <w:vAlign w:val="bottom"/>
            <w:hideMark/>
          </w:tcPr>
          <w:p w14:paraId="32689723"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717AEAA2"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0,4</w:t>
            </w:r>
          </w:p>
        </w:tc>
        <w:tc>
          <w:tcPr>
            <w:tcW w:w="1218" w:type="dxa"/>
            <w:tcBorders>
              <w:top w:val="nil"/>
              <w:left w:val="nil"/>
              <w:bottom w:val="single" w:sz="4" w:space="0" w:color="auto"/>
              <w:right w:val="single" w:sz="4" w:space="0" w:color="auto"/>
            </w:tcBorders>
            <w:shd w:val="clear" w:color="auto" w:fill="auto"/>
            <w:noWrap/>
            <w:vAlign w:val="bottom"/>
            <w:hideMark/>
          </w:tcPr>
          <w:p w14:paraId="13884FA7"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0,4</w:t>
            </w:r>
          </w:p>
        </w:tc>
        <w:tc>
          <w:tcPr>
            <w:tcW w:w="1137" w:type="dxa"/>
            <w:tcBorders>
              <w:top w:val="nil"/>
              <w:left w:val="nil"/>
              <w:bottom w:val="single" w:sz="4" w:space="0" w:color="auto"/>
              <w:right w:val="single" w:sz="4" w:space="0" w:color="auto"/>
            </w:tcBorders>
            <w:shd w:val="clear" w:color="auto" w:fill="auto"/>
            <w:hideMark/>
          </w:tcPr>
          <w:p w14:paraId="6F646473"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1263" w:type="dxa"/>
            <w:tcBorders>
              <w:top w:val="nil"/>
              <w:left w:val="nil"/>
              <w:bottom w:val="single" w:sz="4" w:space="0" w:color="auto"/>
              <w:right w:val="single" w:sz="4" w:space="0" w:color="auto"/>
            </w:tcBorders>
            <w:shd w:val="clear" w:color="auto" w:fill="auto"/>
            <w:noWrap/>
            <w:vAlign w:val="bottom"/>
            <w:hideMark/>
          </w:tcPr>
          <w:p w14:paraId="796E851D"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96" w:type="dxa"/>
            <w:tcBorders>
              <w:top w:val="nil"/>
              <w:left w:val="nil"/>
              <w:bottom w:val="single" w:sz="4" w:space="0" w:color="auto"/>
              <w:right w:val="single" w:sz="4" w:space="0" w:color="auto"/>
            </w:tcBorders>
            <w:shd w:val="clear" w:color="auto" w:fill="auto"/>
            <w:noWrap/>
            <w:vAlign w:val="bottom"/>
            <w:hideMark/>
          </w:tcPr>
          <w:p w14:paraId="1FF594C3"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2B58AD9F"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761" w:type="dxa"/>
            <w:tcBorders>
              <w:top w:val="nil"/>
              <w:left w:val="nil"/>
              <w:bottom w:val="single" w:sz="4" w:space="0" w:color="auto"/>
              <w:right w:val="single" w:sz="4" w:space="0" w:color="auto"/>
            </w:tcBorders>
            <w:shd w:val="clear" w:color="auto" w:fill="auto"/>
            <w:noWrap/>
            <w:vAlign w:val="bottom"/>
            <w:hideMark/>
          </w:tcPr>
          <w:p w14:paraId="040969C2"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14:paraId="782AE568"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0,4</w:t>
            </w:r>
          </w:p>
        </w:tc>
        <w:tc>
          <w:tcPr>
            <w:tcW w:w="853" w:type="dxa"/>
            <w:tcBorders>
              <w:top w:val="nil"/>
              <w:left w:val="nil"/>
              <w:bottom w:val="single" w:sz="4" w:space="0" w:color="auto"/>
              <w:right w:val="single" w:sz="4" w:space="0" w:color="auto"/>
            </w:tcBorders>
            <w:shd w:val="clear" w:color="auto" w:fill="auto"/>
            <w:noWrap/>
            <w:vAlign w:val="bottom"/>
            <w:hideMark/>
          </w:tcPr>
          <w:p w14:paraId="20AFADE3"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r>
      <w:tr w:rsidR="009371DC" w:rsidRPr="008860BA" w14:paraId="3E652870" w14:textId="77777777" w:rsidTr="009371DC">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599F435C" w14:textId="77777777" w:rsidR="009371DC" w:rsidRPr="008860BA" w:rsidRDefault="009371DC" w:rsidP="009371DC">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Cheltuieli de transport</w:t>
            </w:r>
          </w:p>
        </w:tc>
        <w:tc>
          <w:tcPr>
            <w:tcW w:w="673" w:type="dxa"/>
            <w:tcBorders>
              <w:top w:val="nil"/>
              <w:left w:val="nil"/>
              <w:bottom w:val="single" w:sz="4" w:space="0" w:color="auto"/>
              <w:right w:val="single" w:sz="4" w:space="0" w:color="auto"/>
            </w:tcBorders>
            <w:shd w:val="clear" w:color="auto" w:fill="auto"/>
            <w:noWrap/>
            <w:vAlign w:val="bottom"/>
            <w:hideMark/>
          </w:tcPr>
          <w:p w14:paraId="4DE80A98"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59EB51D1"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154,5</w:t>
            </w:r>
          </w:p>
        </w:tc>
        <w:tc>
          <w:tcPr>
            <w:tcW w:w="1218" w:type="dxa"/>
            <w:tcBorders>
              <w:top w:val="nil"/>
              <w:left w:val="nil"/>
              <w:bottom w:val="single" w:sz="4" w:space="0" w:color="auto"/>
              <w:right w:val="single" w:sz="4" w:space="0" w:color="auto"/>
            </w:tcBorders>
            <w:shd w:val="clear" w:color="auto" w:fill="auto"/>
            <w:noWrap/>
            <w:vAlign w:val="bottom"/>
            <w:hideMark/>
          </w:tcPr>
          <w:p w14:paraId="33AEAEA5"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154,5</w:t>
            </w:r>
          </w:p>
        </w:tc>
        <w:tc>
          <w:tcPr>
            <w:tcW w:w="1137" w:type="dxa"/>
            <w:tcBorders>
              <w:top w:val="nil"/>
              <w:left w:val="nil"/>
              <w:bottom w:val="single" w:sz="4" w:space="0" w:color="auto"/>
              <w:right w:val="single" w:sz="4" w:space="0" w:color="auto"/>
            </w:tcBorders>
            <w:shd w:val="clear" w:color="auto" w:fill="auto"/>
            <w:hideMark/>
          </w:tcPr>
          <w:p w14:paraId="4F6EC31C"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11,3</w:t>
            </w:r>
          </w:p>
        </w:tc>
        <w:tc>
          <w:tcPr>
            <w:tcW w:w="1263" w:type="dxa"/>
            <w:tcBorders>
              <w:top w:val="nil"/>
              <w:left w:val="nil"/>
              <w:bottom w:val="single" w:sz="4" w:space="0" w:color="auto"/>
              <w:right w:val="single" w:sz="4" w:space="0" w:color="auto"/>
            </w:tcBorders>
            <w:shd w:val="clear" w:color="auto" w:fill="auto"/>
            <w:hideMark/>
          </w:tcPr>
          <w:p w14:paraId="673FFAD6"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54,3</w:t>
            </w:r>
          </w:p>
        </w:tc>
        <w:tc>
          <w:tcPr>
            <w:tcW w:w="1196" w:type="dxa"/>
            <w:tcBorders>
              <w:top w:val="nil"/>
              <w:left w:val="nil"/>
              <w:bottom w:val="single" w:sz="4" w:space="0" w:color="auto"/>
              <w:right w:val="single" w:sz="4" w:space="0" w:color="auto"/>
            </w:tcBorders>
            <w:shd w:val="clear" w:color="auto" w:fill="auto"/>
            <w:noWrap/>
            <w:vAlign w:val="bottom"/>
            <w:hideMark/>
          </w:tcPr>
          <w:p w14:paraId="1C86D2A3"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7B4B8A75"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761" w:type="dxa"/>
            <w:tcBorders>
              <w:top w:val="nil"/>
              <w:left w:val="nil"/>
              <w:bottom w:val="single" w:sz="4" w:space="0" w:color="auto"/>
              <w:right w:val="single" w:sz="4" w:space="0" w:color="auto"/>
            </w:tcBorders>
            <w:shd w:val="clear" w:color="auto" w:fill="auto"/>
            <w:noWrap/>
            <w:vAlign w:val="bottom"/>
            <w:hideMark/>
          </w:tcPr>
          <w:p w14:paraId="1C0BA324"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80" w:type="dxa"/>
            <w:tcBorders>
              <w:top w:val="nil"/>
              <w:left w:val="nil"/>
              <w:bottom w:val="nil"/>
              <w:right w:val="nil"/>
            </w:tcBorders>
            <w:shd w:val="clear" w:color="auto" w:fill="auto"/>
            <w:noWrap/>
            <w:vAlign w:val="bottom"/>
            <w:hideMark/>
          </w:tcPr>
          <w:p w14:paraId="057E60A4"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72,8</w:t>
            </w:r>
          </w:p>
        </w:tc>
        <w:tc>
          <w:tcPr>
            <w:tcW w:w="853" w:type="dxa"/>
            <w:tcBorders>
              <w:top w:val="nil"/>
              <w:left w:val="single" w:sz="4" w:space="0" w:color="auto"/>
              <w:bottom w:val="single" w:sz="4" w:space="0" w:color="auto"/>
              <w:right w:val="single" w:sz="4" w:space="0" w:color="auto"/>
            </w:tcBorders>
            <w:shd w:val="clear" w:color="auto" w:fill="auto"/>
            <w:hideMark/>
          </w:tcPr>
          <w:p w14:paraId="5C4E2EC5"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16,1</w:t>
            </w:r>
          </w:p>
        </w:tc>
      </w:tr>
      <w:tr w:rsidR="009371DC" w:rsidRPr="008860BA" w14:paraId="3C4298BD" w14:textId="77777777" w:rsidTr="009371DC">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49CD279B" w14:textId="23E5C6D4" w:rsidR="009371DC" w:rsidRPr="008860BA" w:rsidRDefault="009371DC">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Comunica</w:t>
            </w:r>
            <w:r w:rsidR="00E10604" w:rsidRPr="008860BA">
              <w:rPr>
                <w:rFonts w:asciiTheme="majorHAnsi" w:eastAsia="Times New Roman" w:hAnsiTheme="majorHAnsi" w:cstheme="majorHAnsi"/>
                <w:sz w:val="18"/>
                <w:szCs w:val="18"/>
                <w:lang w:val="ro-MD"/>
              </w:rPr>
              <w:t>ț</w:t>
            </w:r>
            <w:r w:rsidRPr="008860BA">
              <w:rPr>
                <w:rFonts w:asciiTheme="majorHAnsi" w:eastAsia="Times New Roman" w:hAnsiTheme="majorHAnsi" w:cstheme="majorHAnsi"/>
                <w:sz w:val="18"/>
                <w:szCs w:val="18"/>
                <w:lang w:val="ro-MD"/>
              </w:rPr>
              <w:t>ii</w:t>
            </w:r>
          </w:p>
        </w:tc>
        <w:tc>
          <w:tcPr>
            <w:tcW w:w="673" w:type="dxa"/>
            <w:tcBorders>
              <w:top w:val="nil"/>
              <w:left w:val="nil"/>
              <w:bottom w:val="single" w:sz="4" w:space="0" w:color="auto"/>
              <w:right w:val="single" w:sz="4" w:space="0" w:color="auto"/>
            </w:tcBorders>
            <w:shd w:val="clear" w:color="auto" w:fill="auto"/>
            <w:noWrap/>
            <w:vAlign w:val="bottom"/>
            <w:hideMark/>
          </w:tcPr>
          <w:p w14:paraId="5E7533C2"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514F7A22"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280,9</w:t>
            </w:r>
          </w:p>
        </w:tc>
        <w:tc>
          <w:tcPr>
            <w:tcW w:w="1218" w:type="dxa"/>
            <w:tcBorders>
              <w:top w:val="nil"/>
              <w:left w:val="nil"/>
              <w:bottom w:val="single" w:sz="4" w:space="0" w:color="auto"/>
              <w:right w:val="single" w:sz="4" w:space="0" w:color="auto"/>
            </w:tcBorders>
            <w:shd w:val="clear" w:color="auto" w:fill="auto"/>
            <w:noWrap/>
            <w:vAlign w:val="bottom"/>
            <w:hideMark/>
          </w:tcPr>
          <w:p w14:paraId="710D5054"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280,9</w:t>
            </w:r>
          </w:p>
        </w:tc>
        <w:tc>
          <w:tcPr>
            <w:tcW w:w="1137" w:type="dxa"/>
            <w:tcBorders>
              <w:top w:val="nil"/>
              <w:left w:val="nil"/>
              <w:bottom w:val="single" w:sz="4" w:space="0" w:color="auto"/>
              <w:right w:val="single" w:sz="4" w:space="0" w:color="auto"/>
            </w:tcBorders>
            <w:shd w:val="clear" w:color="auto" w:fill="auto"/>
            <w:hideMark/>
          </w:tcPr>
          <w:p w14:paraId="26CF8886"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115,7</w:t>
            </w:r>
          </w:p>
        </w:tc>
        <w:tc>
          <w:tcPr>
            <w:tcW w:w="1263" w:type="dxa"/>
            <w:tcBorders>
              <w:top w:val="nil"/>
              <w:left w:val="nil"/>
              <w:bottom w:val="single" w:sz="4" w:space="0" w:color="auto"/>
              <w:right w:val="single" w:sz="4" w:space="0" w:color="auto"/>
            </w:tcBorders>
            <w:shd w:val="clear" w:color="auto" w:fill="auto"/>
            <w:noWrap/>
            <w:vAlign w:val="bottom"/>
            <w:hideMark/>
          </w:tcPr>
          <w:p w14:paraId="02B546A3"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96" w:type="dxa"/>
            <w:tcBorders>
              <w:top w:val="nil"/>
              <w:left w:val="nil"/>
              <w:bottom w:val="single" w:sz="4" w:space="0" w:color="auto"/>
              <w:right w:val="single" w:sz="4" w:space="0" w:color="auto"/>
            </w:tcBorders>
            <w:shd w:val="clear" w:color="auto" w:fill="auto"/>
            <w:noWrap/>
            <w:vAlign w:val="bottom"/>
            <w:hideMark/>
          </w:tcPr>
          <w:p w14:paraId="7F639967"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hideMark/>
          </w:tcPr>
          <w:p w14:paraId="2B00FB7C"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42,7</w:t>
            </w:r>
          </w:p>
        </w:tc>
        <w:tc>
          <w:tcPr>
            <w:tcW w:w="761" w:type="dxa"/>
            <w:tcBorders>
              <w:top w:val="nil"/>
              <w:left w:val="nil"/>
              <w:bottom w:val="single" w:sz="4" w:space="0" w:color="auto"/>
              <w:right w:val="single" w:sz="4" w:space="0" w:color="auto"/>
            </w:tcBorders>
            <w:shd w:val="clear" w:color="auto" w:fill="auto"/>
            <w:noWrap/>
            <w:vAlign w:val="bottom"/>
            <w:hideMark/>
          </w:tcPr>
          <w:p w14:paraId="5FBC8036"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14:paraId="5D8F9259"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10,0</w:t>
            </w:r>
          </w:p>
        </w:tc>
        <w:tc>
          <w:tcPr>
            <w:tcW w:w="853" w:type="dxa"/>
            <w:tcBorders>
              <w:top w:val="nil"/>
              <w:left w:val="nil"/>
              <w:bottom w:val="single" w:sz="4" w:space="0" w:color="auto"/>
              <w:right w:val="single" w:sz="4" w:space="0" w:color="auto"/>
            </w:tcBorders>
            <w:shd w:val="clear" w:color="auto" w:fill="auto"/>
            <w:hideMark/>
          </w:tcPr>
          <w:p w14:paraId="67EE4E66"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112,6</w:t>
            </w:r>
          </w:p>
        </w:tc>
      </w:tr>
      <w:tr w:rsidR="009371DC" w:rsidRPr="008860BA" w14:paraId="405F7804" w14:textId="77777777" w:rsidTr="009371DC">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61EA63E6" w14:textId="410968E4" w:rsidR="009371DC" w:rsidRPr="008860BA" w:rsidRDefault="009371DC">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Deplas</w:t>
            </w:r>
            <w:r w:rsidR="00E10604" w:rsidRPr="008860BA">
              <w:rPr>
                <w:rFonts w:asciiTheme="majorHAnsi" w:eastAsia="Times New Roman" w:hAnsiTheme="majorHAnsi" w:cstheme="majorHAnsi"/>
                <w:sz w:val="18"/>
                <w:szCs w:val="18"/>
                <w:lang w:val="ro-MD"/>
              </w:rPr>
              <w:t>ă</w:t>
            </w:r>
            <w:r w:rsidRPr="008860BA">
              <w:rPr>
                <w:rFonts w:asciiTheme="majorHAnsi" w:eastAsia="Times New Roman" w:hAnsiTheme="majorHAnsi" w:cstheme="majorHAnsi"/>
                <w:sz w:val="18"/>
                <w:szCs w:val="18"/>
                <w:lang w:val="ro-MD"/>
              </w:rPr>
              <w:t>ri</w:t>
            </w:r>
          </w:p>
        </w:tc>
        <w:tc>
          <w:tcPr>
            <w:tcW w:w="673" w:type="dxa"/>
            <w:tcBorders>
              <w:top w:val="nil"/>
              <w:left w:val="nil"/>
              <w:bottom w:val="single" w:sz="4" w:space="0" w:color="auto"/>
              <w:right w:val="single" w:sz="4" w:space="0" w:color="auto"/>
            </w:tcBorders>
            <w:shd w:val="clear" w:color="auto" w:fill="auto"/>
            <w:noWrap/>
            <w:vAlign w:val="bottom"/>
            <w:hideMark/>
          </w:tcPr>
          <w:p w14:paraId="78075534"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4C5CA640"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24,8</w:t>
            </w:r>
          </w:p>
        </w:tc>
        <w:tc>
          <w:tcPr>
            <w:tcW w:w="1218" w:type="dxa"/>
            <w:tcBorders>
              <w:top w:val="nil"/>
              <w:left w:val="nil"/>
              <w:bottom w:val="single" w:sz="4" w:space="0" w:color="auto"/>
              <w:right w:val="single" w:sz="4" w:space="0" w:color="auto"/>
            </w:tcBorders>
            <w:shd w:val="clear" w:color="auto" w:fill="auto"/>
            <w:noWrap/>
            <w:vAlign w:val="bottom"/>
            <w:hideMark/>
          </w:tcPr>
          <w:p w14:paraId="1962B08E"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24,8</w:t>
            </w:r>
          </w:p>
        </w:tc>
        <w:tc>
          <w:tcPr>
            <w:tcW w:w="1137" w:type="dxa"/>
            <w:tcBorders>
              <w:top w:val="nil"/>
              <w:left w:val="nil"/>
              <w:bottom w:val="single" w:sz="4" w:space="0" w:color="auto"/>
              <w:right w:val="single" w:sz="4" w:space="0" w:color="auto"/>
            </w:tcBorders>
            <w:shd w:val="clear" w:color="auto" w:fill="auto"/>
            <w:hideMark/>
          </w:tcPr>
          <w:p w14:paraId="7A1C001D"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1263" w:type="dxa"/>
            <w:tcBorders>
              <w:top w:val="nil"/>
              <w:left w:val="nil"/>
              <w:bottom w:val="single" w:sz="4" w:space="0" w:color="auto"/>
              <w:right w:val="single" w:sz="4" w:space="0" w:color="auto"/>
            </w:tcBorders>
            <w:shd w:val="clear" w:color="auto" w:fill="auto"/>
            <w:hideMark/>
          </w:tcPr>
          <w:p w14:paraId="1F3D5225"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24,8</w:t>
            </w:r>
          </w:p>
        </w:tc>
        <w:tc>
          <w:tcPr>
            <w:tcW w:w="1196" w:type="dxa"/>
            <w:tcBorders>
              <w:top w:val="nil"/>
              <w:left w:val="nil"/>
              <w:bottom w:val="single" w:sz="4" w:space="0" w:color="auto"/>
              <w:right w:val="single" w:sz="4" w:space="0" w:color="auto"/>
            </w:tcBorders>
            <w:shd w:val="clear" w:color="auto" w:fill="auto"/>
            <w:noWrap/>
            <w:vAlign w:val="bottom"/>
            <w:hideMark/>
          </w:tcPr>
          <w:p w14:paraId="0E8527CA"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hideMark/>
          </w:tcPr>
          <w:p w14:paraId="25543BC3"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761" w:type="dxa"/>
            <w:tcBorders>
              <w:top w:val="nil"/>
              <w:left w:val="nil"/>
              <w:bottom w:val="single" w:sz="4" w:space="0" w:color="auto"/>
              <w:right w:val="single" w:sz="4" w:space="0" w:color="auto"/>
            </w:tcBorders>
            <w:shd w:val="clear" w:color="auto" w:fill="auto"/>
            <w:noWrap/>
            <w:vAlign w:val="bottom"/>
            <w:hideMark/>
          </w:tcPr>
          <w:p w14:paraId="2B857757"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80" w:type="dxa"/>
            <w:tcBorders>
              <w:top w:val="nil"/>
              <w:left w:val="nil"/>
              <w:bottom w:val="single" w:sz="4" w:space="0" w:color="auto"/>
              <w:right w:val="single" w:sz="4" w:space="0" w:color="auto"/>
            </w:tcBorders>
            <w:shd w:val="clear" w:color="auto" w:fill="auto"/>
            <w:noWrap/>
            <w:vAlign w:val="bottom"/>
            <w:hideMark/>
          </w:tcPr>
          <w:p w14:paraId="3A4013BB"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0,0</w:t>
            </w:r>
          </w:p>
        </w:tc>
        <w:tc>
          <w:tcPr>
            <w:tcW w:w="853" w:type="dxa"/>
            <w:tcBorders>
              <w:top w:val="nil"/>
              <w:left w:val="nil"/>
              <w:bottom w:val="single" w:sz="4" w:space="0" w:color="auto"/>
              <w:right w:val="single" w:sz="4" w:space="0" w:color="auto"/>
            </w:tcBorders>
            <w:shd w:val="clear" w:color="auto" w:fill="auto"/>
            <w:hideMark/>
          </w:tcPr>
          <w:p w14:paraId="4741BF94"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r>
      <w:tr w:rsidR="009371DC" w:rsidRPr="008860BA" w14:paraId="1F0CE9C2" w14:textId="77777777" w:rsidTr="009371DC">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298C16D5" w14:textId="1B1F734A" w:rsidR="009371DC" w:rsidRPr="008860BA" w:rsidRDefault="009371DC" w:rsidP="009371DC">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Detergen</w:t>
            </w:r>
            <w:r w:rsidR="00B13B9A" w:rsidRPr="008860BA">
              <w:rPr>
                <w:rFonts w:asciiTheme="majorHAnsi" w:eastAsia="Times New Roman" w:hAnsiTheme="majorHAnsi" w:cstheme="majorHAnsi"/>
                <w:sz w:val="18"/>
                <w:szCs w:val="18"/>
                <w:lang w:val="ro-MD"/>
              </w:rPr>
              <w:t>ț</w:t>
            </w:r>
            <w:r w:rsidRPr="008860BA">
              <w:rPr>
                <w:rFonts w:asciiTheme="majorHAnsi" w:eastAsia="Times New Roman" w:hAnsiTheme="majorHAnsi" w:cstheme="majorHAnsi"/>
                <w:sz w:val="18"/>
                <w:szCs w:val="18"/>
                <w:lang w:val="ro-MD"/>
              </w:rPr>
              <w:t>i</w:t>
            </w:r>
          </w:p>
        </w:tc>
        <w:tc>
          <w:tcPr>
            <w:tcW w:w="673" w:type="dxa"/>
            <w:tcBorders>
              <w:top w:val="nil"/>
              <w:left w:val="nil"/>
              <w:bottom w:val="single" w:sz="4" w:space="0" w:color="auto"/>
              <w:right w:val="single" w:sz="4" w:space="0" w:color="auto"/>
            </w:tcBorders>
            <w:shd w:val="clear" w:color="auto" w:fill="auto"/>
            <w:noWrap/>
            <w:vAlign w:val="bottom"/>
            <w:hideMark/>
          </w:tcPr>
          <w:p w14:paraId="7E54BA00"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13707CED"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85,1</w:t>
            </w:r>
          </w:p>
        </w:tc>
        <w:tc>
          <w:tcPr>
            <w:tcW w:w="1218" w:type="dxa"/>
            <w:tcBorders>
              <w:top w:val="nil"/>
              <w:left w:val="nil"/>
              <w:bottom w:val="single" w:sz="4" w:space="0" w:color="auto"/>
              <w:right w:val="single" w:sz="4" w:space="0" w:color="auto"/>
            </w:tcBorders>
            <w:shd w:val="clear" w:color="auto" w:fill="auto"/>
            <w:noWrap/>
            <w:vAlign w:val="bottom"/>
            <w:hideMark/>
          </w:tcPr>
          <w:p w14:paraId="5D754B5D"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85,1</w:t>
            </w:r>
          </w:p>
        </w:tc>
        <w:tc>
          <w:tcPr>
            <w:tcW w:w="1137" w:type="dxa"/>
            <w:tcBorders>
              <w:top w:val="nil"/>
              <w:left w:val="nil"/>
              <w:bottom w:val="single" w:sz="4" w:space="0" w:color="auto"/>
              <w:right w:val="single" w:sz="4" w:space="0" w:color="auto"/>
            </w:tcBorders>
            <w:shd w:val="clear" w:color="auto" w:fill="auto"/>
            <w:hideMark/>
          </w:tcPr>
          <w:p w14:paraId="77D9229F"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34,7</w:t>
            </w:r>
          </w:p>
        </w:tc>
        <w:tc>
          <w:tcPr>
            <w:tcW w:w="1263" w:type="dxa"/>
            <w:tcBorders>
              <w:top w:val="nil"/>
              <w:left w:val="nil"/>
              <w:bottom w:val="single" w:sz="4" w:space="0" w:color="auto"/>
              <w:right w:val="single" w:sz="4" w:space="0" w:color="auto"/>
            </w:tcBorders>
            <w:shd w:val="clear" w:color="auto" w:fill="auto"/>
            <w:noWrap/>
            <w:vAlign w:val="bottom"/>
            <w:hideMark/>
          </w:tcPr>
          <w:p w14:paraId="601226EB"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96" w:type="dxa"/>
            <w:tcBorders>
              <w:top w:val="nil"/>
              <w:left w:val="nil"/>
              <w:bottom w:val="single" w:sz="4" w:space="0" w:color="auto"/>
              <w:right w:val="single" w:sz="4" w:space="0" w:color="auto"/>
            </w:tcBorders>
            <w:shd w:val="clear" w:color="auto" w:fill="auto"/>
            <w:noWrap/>
            <w:vAlign w:val="bottom"/>
            <w:hideMark/>
          </w:tcPr>
          <w:p w14:paraId="336BFAA3"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hideMark/>
          </w:tcPr>
          <w:p w14:paraId="507AFCF5"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37,9</w:t>
            </w:r>
          </w:p>
        </w:tc>
        <w:tc>
          <w:tcPr>
            <w:tcW w:w="761" w:type="dxa"/>
            <w:tcBorders>
              <w:top w:val="nil"/>
              <w:left w:val="nil"/>
              <w:bottom w:val="single" w:sz="4" w:space="0" w:color="auto"/>
              <w:right w:val="single" w:sz="4" w:space="0" w:color="auto"/>
            </w:tcBorders>
            <w:shd w:val="clear" w:color="auto" w:fill="auto"/>
            <w:noWrap/>
            <w:vAlign w:val="bottom"/>
            <w:hideMark/>
          </w:tcPr>
          <w:p w14:paraId="19471042"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80" w:type="dxa"/>
            <w:tcBorders>
              <w:top w:val="nil"/>
              <w:left w:val="nil"/>
              <w:bottom w:val="single" w:sz="4" w:space="0" w:color="auto"/>
              <w:right w:val="single" w:sz="4" w:space="0" w:color="auto"/>
            </w:tcBorders>
            <w:shd w:val="clear" w:color="auto" w:fill="auto"/>
            <w:noWrap/>
            <w:vAlign w:val="bottom"/>
            <w:hideMark/>
          </w:tcPr>
          <w:p w14:paraId="564771DE"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0,0</w:t>
            </w:r>
          </w:p>
        </w:tc>
        <w:tc>
          <w:tcPr>
            <w:tcW w:w="853" w:type="dxa"/>
            <w:tcBorders>
              <w:top w:val="nil"/>
              <w:left w:val="nil"/>
              <w:bottom w:val="single" w:sz="4" w:space="0" w:color="auto"/>
              <w:right w:val="single" w:sz="4" w:space="0" w:color="auto"/>
            </w:tcBorders>
            <w:shd w:val="clear" w:color="auto" w:fill="auto"/>
            <w:hideMark/>
          </w:tcPr>
          <w:p w14:paraId="0DE82CD7"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12,5</w:t>
            </w:r>
          </w:p>
        </w:tc>
      </w:tr>
      <w:tr w:rsidR="009371DC" w:rsidRPr="008860BA" w14:paraId="583BEF4C" w14:textId="77777777" w:rsidTr="009371DC">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4D706D0D" w14:textId="2109BD4F" w:rsidR="009371DC" w:rsidRPr="008860BA" w:rsidRDefault="009371DC">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Energie electric</w:t>
            </w:r>
            <w:r w:rsidR="00E10604" w:rsidRPr="008860BA">
              <w:rPr>
                <w:rFonts w:asciiTheme="majorHAnsi" w:eastAsia="Times New Roman" w:hAnsiTheme="majorHAnsi" w:cstheme="majorHAnsi"/>
                <w:sz w:val="18"/>
                <w:szCs w:val="18"/>
                <w:lang w:val="ro-MD"/>
              </w:rPr>
              <w:t>ă</w:t>
            </w:r>
          </w:p>
        </w:tc>
        <w:tc>
          <w:tcPr>
            <w:tcW w:w="673" w:type="dxa"/>
            <w:tcBorders>
              <w:top w:val="nil"/>
              <w:left w:val="nil"/>
              <w:bottom w:val="single" w:sz="4" w:space="0" w:color="auto"/>
              <w:right w:val="single" w:sz="4" w:space="0" w:color="auto"/>
            </w:tcBorders>
            <w:shd w:val="clear" w:color="auto" w:fill="auto"/>
            <w:noWrap/>
            <w:vAlign w:val="bottom"/>
            <w:hideMark/>
          </w:tcPr>
          <w:p w14:paraId="6D1460B0"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41CE3F64"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2.113,6</w:t>
            </w:r>
          </w:p>
        </w:tc>
        <w:tc>
          <w:tcPr>
            <w:tcW w:w="1218" w:type="dxa"/>
            <w:tcBorders>
              <w:top w:val="nil"/>
              <w:left w:val="nil"/>
              <w:bottom w:val="single" w:sz="4" w:space="0" w:color="auto"/>
              <w:right w:val="single" w:sz="4" w:space="0" w:color="auto"/>
            </w:tcBorders>
            <w:shd w:val="clear" w:color="auto" w:fill="auto"/>
            <w:noWrap/>
            <w:vAlign w:val="bottom"/>
            <w:hideMark/>
          </w:tcPr>
          <w:p w14:paraId="2062B81F"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2.113,6</w:t>
            </w:r>
          </w:p>
        </w:tc>
        <w:tc>
          <w:tcPr>
            <w:tcW w:w="1137" w:type="dxa"/>
            <w:tcBorders>
              <w:top w:val="nil"/>
              <w:left w:val="nil"/>
              <w:bottom w:val="single" w:sz="4" w:space="0" w:color="auto"/>
              <w:right w:val="single" w:sz="4" w:space="0" w:color="auto"/>
            </w:tcBorders>
            <w:shd w:val="clear" w:color="auto" w:fill="auto"/>
            <w:hideMark/>
          </w:tcPr>
          <w:p w14:paraId="063E3A1B"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518,9</w:t>
            </w:r>
          </w:p>
        </w:tc>
        <w:tc>
          <w:tcPr>
            <w:tcW w:w="1263" w:type="dxa"/>
            <w:tcBorders>
              <w:top w:val="nil"/>
              <w:left w:val="nil"/>
              <w:bottom w:val="single" w:sz="4" w:space="0" w:color="auto"/>
              <w:right w:val="single" w:sz="4" w:space="0" w:color="auto"/>
            </w:tcBorders>
            <w:shd w:val="clear" w:color="auto" w:fill="auto"/>
            <w:noWrap/>
            <w:vAlign w:val="bottom"/>
            <w:hideMark/>
          </w:tcPr>
          <w:p w14:paraId="1C47E42B"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96" w:type="dxa"/>
            <w:tcBorders>
              <w:top w:val="nil"/>
              <w:left w:val="nil"/>
              <w:bottom w:val="single" w:sz="4" w:space="0" w:color="auto"/>
              <w:right w:val="single" w:sz="4" w:space="0" w:color="auto"/>
            </w:tcBorders>
            <w:shd w:val="clear" w:color="auto" w:fill="auto"/>
            <w:noWrap/>
            <w:vAlign w:val="bottom"/>
            <w:hideMark/>
          </w:tcPr>
          <w:p w14:paraId="0D090E9B"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hideMark/>
          </w:tcPr>
          <w:p w14:paraId="2F8200A4"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1.152,6</w:t>
            </w:r>
          </w:p>
        </w:tc>
        <w:tc>
          <w:tcPr>
            <w:tcW w:w="761" w:type="dxa"/>
            <w:tcBorders>
              <w:top w:val="nil"/>
              <w:left w:val="nil"/>
              <w:bottom w:val="single" w:sz="4" w:space="0" w:color="auto"/>
              <w:right w:val="single" w:sz="4" w:space="0" w:color="auto"/>
            </w:tcBorders>
            <w:shd w:val="clear" w:color="auto" w:fill="auto"/>
            <w:noWrap/>
            <w:vAlign w:val="bottom"/>
            <w:hideMark/>
          </w:tcPr>
          <w:p w14:paraId="295F4D20"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80" w:type="dxa"/>
            <w:tcBorders>
              <w:top w:val="nil"/>
              <w:left w:val="nil"/>
              <w:bottom w:val="single" w:sz="4" w:space="0" w:color="auto"/>
              <w:right w:val="single" w:sz="4" w:space="0" w:color="auto"/>
            </w:tcBorders>
            <w:shd w:val="clear" w:color="auto" w:fill="auto"/>
            <w:noWrap/>
            <w:vAlign w:val="bottom"/>
            <w:hideMark/>
          </w:tcPr>
          <w:p w14:paraId="481E8B48"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241,9</w:t>
            </w:r>
          </w:p>
        </w:tc>
        <w:tc>
          <w:tcPr>
            <w:tcW w:w="853" w:type="dxa"/>
            <w:tcBorders>
              <w:top w:val="nil"/>
              <w:left w:val="nil"/>
              <w:bottom w:val="single" w:sz="4" w:space="0" w:color="auto"/>
              <w:right w:val="single" w:sz="4" w:space="0" w:color="auto"/>
            </w:tcBorders>
            <w:shd w:val="clear" w:color="auto" w:fill="auto"/>
            <w:hideMark/>
          </w:tcPr>
          <w:p w14:paraId="56D22E02"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200,2</w:t>
            </w:r>
          </w:p>
        </w:tc>
      </w:tr>
      <w:tr w:rsidR="009371DC" w:rsidRPr="008860BA" w14:paraId="36766EAF" w14:textId="77777777" w:rsidTr="009371DC">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0E581805" w14:textId="0DB0484F" w:rsidR="009371DC" w:rsidRPr="008860BA" w:rsidRDefault="009371DC">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Energie termic</w:t>
            </w:r>
            <w:r w:rsidR="00E10604" w:rsidRPr="008860BA">
              <w:rPr>
                <w:rFonts w:asciiTheme="majorHAnsi" w:eastAsia="Times New Roman" w:hAnsiTheme="majorHAnsi" w:cstheme="majorHAnsi"/>
                <w:sz w:val="18"/>
                <w:szCs w:val="18"/>
                <w:lang w:val="ro-MD"/>
              </w:rPr>
              <w:t>ă</w:t>
            </w:r>
          </w:p>
        </w:tc>
        <w:tc>
          <w:tcPr>
            <w:tcW w:w="673" w:type="dxa"/>
            <w:tcBorders>
              <w:top w:val="nil"/>
              <w:left w:val="nil"/>
              <w:bottom w:val="single" w:sz="4" w:space="0" w:color="auto"/>
              <w:right w:val="single" w:sz="4" w:space="0" w:color="auto"/>
            </w:tcBorders>
            <w:shd w:val="clear" w:color="auto" w:fill="auto"/>
            <w:noWrap/>
            <w:vAlign w:val="bottom"/>
            <w:hideMark/>
          </w:tcPr>
          <w:p w14:paraId="649E3063"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23B32520"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2.140,3</w:t>
            </w:r>
          </w:p>
        </w:tc>
        <w:tc>
          <w:tcPr>
            <w:tcW w:w="1218" w:type="dxa"/>
            <w:tcBorders>
              <w:top w:val="nil"/>
              <w:left w:val="nil"/>
              <w:bottom w:val="single" w:sz="4" w:space="0" w:color="auto"/>
              <w:right w:val="single" w:sz="4" w:space="0" w:color="auto"/>
            </w:tcBorders>
            <w:shd w:val="clear" w:color="auto" w:fill="auto"/>
            <w:noWrap/>
            <w:vAlign w:val="bottom"/>
            <w:hideMark/>
          </w:tcPr>
          <w:p w14:paraId="2AA40A54"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2.140,3</w:t>
            </w:r>
          </w:p>
        </w:tc>
        <w:tc>
          <w:tcPr>
            <w:tcW w:w="1137" w:type="dxa"/>
            <w:tcBorders>
              <w:top w:val="nil"/>
              <w:left w:val="nil"/>
              <w:bottom w:val="single" w:sz="4" w:space="0" w:color="auto"/>
              <w:right w:val="single" w:sz="4" w:space="0" w:color="auto"/>
            </w:tcBorders>
            <w:shd w:val="clear" w:color="auto" w:fill="auto"/>
            <w:hideMark/>
          </w:tcPr>
          <w:p w14:paraId="722CF9DA"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1.691,8</w:t>
            </w:r>
          </w:p>
        </w:tc>
        <w:tc>
          <w:tcPr>
            <w:tcW w:w="1263" w:type="dxa"/>
            <w:tcBorders>
              <w:top w:val="nil"/>
              <w:left w:val="nil"/>
              <w:bottom w:val="single" w:sz="4" w:space="0" w:color="auto"/>
              <w:right w:val="single" w:sz="4" w:space="0" w:color="auto"/>
            </w:tcBorders>
            <w:shd w:val="clear" w:color="auto" w:fill="auto"/>
            <w:noWrap/>
            <w:vAlign w:val="bottom"/>
            <w:hideMark/>
          </w:tcPr>
          <w:p w14:paraId="427A0905"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96" w:type="dxa"/>
            <w:tcBorders>
              <w:top w:val="nil"/>
              <w:left w:val="nil"/>
              <w:bottom w:val="single" w:sz="4" w:space="0" w:color="auto"/>
              <w:right w:val="single" w:sz="4" w:space="0" w:color="auto"/>
            </w:tcBorders>
            <w:shd w:val="clear" w:color="auto" w:fill="auto"/>
            <w:noWrap/>
            <w:vAlign w:val="bottom"/>
            <w:hideMark/>
          </w:tcPr>
          <w:p w14:paraId="5EB8E326"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hideMark/>
          </w:tcPr>
          <w:p w14:paraId="75EF1CF1"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150,0</w:t>
            </w:r>
          </w:p>
        </w:tc>
        <w:tc>
          <w:tcPr>
            <w:tcW w:w="761" w:type="dxa"/>
            <w:tcBorders>
              <w:top w:val="nil"/>
              <w:left w:val="nil"/>
              <w:bottom w:val="single" w:sz="4" w:space="0" w:color="auto"/>
              <w:right w:val="single" w:sz="4" w:space="0" w:color="auto"/>
            </w:tcBorders>
            <w:shd w:val="clear" w:color="auto" w:fill="auto"/>
            <w:noWrap/>
            <w:vAlign w:val="bottom"/>
            <w:hideMark/>
          </w:tcPr>
          <w:p w14:paraId="71363838"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80" w:type="dxa"/>
            <w:tcBorders>
              <w:top w:val="nil"/>
              <w:left w:val="nil"/>
              <w:bottom w:val="nil"/>
              <w:right w:val="nil"/>
            </w:tcBorders>
            <w:shd w:val="clear" w:color="auto" w:fill="auto"/>
            <w:noWrap/>
            <w:vAlign w:val="bottom"/>
            <w:hideMark/>
          </w:tcPr>
          <w:p w14:paraId="4817A11F"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0,0</w:t>
            </w:r>
          </w:p>
        </w:tc>
        <w:tc>
          <w:tcPr>
            <w:tcW w:w="853" w:type="dxa"/>
            <w:tcBorders>
              <w:top w:val="nil"/>
              <w:left w:val="single" w:sz="4" w:space="0" w:color="auto"/>
              <w:bottom w:val="single" w:sz="4" w:space="0" w:color="auto"/>
              <w:right w:val="single" w:sz="4" w:space="0" w:color="auto"/>
            </w:tcBorders>
            <w:shd w:val="clear" w:color="auto" w:fill="auto"/>
            <w:hideMark/>
          </w:tcPr>
          <w:p w14:paraId="4D8D07F0"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298,5</w:t>
            </w:r>
          </w:p>
        </w:tc>
      </w:tr>
      <w:tr w:rsidR="009371DC" w:rsidRPr="008860BA" w14:paraId="63959128" w14:textId="77777777" w:rsidTr="009371DC">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78810A02" w14:textId="34189960" w:rsidR="009371DC" w:rsidRPr="008860BA" w:rsidRDefault="009371DC">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Fondul social (24%)</w:t>
            </w:r>
          </w:p>
        </w:tc>
        <w:tc>
          <w:tcPr>
            <w:tcW w:w="673" w:type="dxa"/>
            <w:tcBorders>
              <w:top w:val="nil"/>
              <w:left w:val="nil"/>
              <w:bottom w:val="single" w:sz="4" w:space="0" w:color="auto"/>
              <w:right w:val="single" w:sz="4" w:space="0" w:color="auto"/>
            </w:tcBorders>
            <w:shd w:val="clear" w:color="auto" w:fill="auto"/>
            <w:noWrap/>
            <w:vAlign w:val="bottom"/>
            <w:hideMark/>
          </w:tcPr>
          <w:p w14:paraId="0969F826"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41618260"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18.392,5</w:t>
            </w:r>
          </w:p>
        </w:tc>
        <w:tc>
          <w:tcPr>
            <w:tcW w:w="1218" w:type="dxa"/>
            <w:tcBorders>
              <w:top w:val="nil"/>
              <w:left w:val="nil"/>
              <w:bottom w:val="single" w:sz="4" w:space="0" w:color="auto"/>
              <w:right w:val="single" w:sz="4" w:space="0" w:color="auto"/>
            </w:tcBorders>
            <w:shd w:val="clear" w:color="auto" w:fill="auto"/>
            <w:noWrap/>
            <w:vAlign w:val="bottom"/>
            <w:hideMark/>
          </w:tcPr>
          <w:p w14:paraId="54D37C08"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18.392,5</w:t>
            </w:r>
          </w:p>
        </w:tc>
        <w:tc>
          <w:tcPr>
            <w:tcW w:w="1137" w:type="dxa"/>
            <w:tcBorders>
              <w:top w:val="nil"/>
              <w:left w:val="nil"/>
              <w:bottom w:val="single" w:sz="4" w:space="0" w:color="auto"/>
              <w:right w:val="single" w:sz="4" w:space="0" w:color="auto"/>
            </w:tcBorders>
            <w:shd w:val="clear" w:color="auto" w:fill="auto"/>
            <w:hideMark/>
          </w:tcPr>
          <w:p w14:paraId="504A32F8"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14.986,9</w:t>
            </w:r>
          </w:p>
        </w:tc>
        <w:tc>
          <w:tcPr>
            <w:tcW w:w="1263" w:type="dxa"/>
            <w:tcBorders>
              <w:top w:val="nil"/>
              <w:left w:val="nil"/>
              <w:bottom w:val="single" w:sz="4" w:space="0" w:color="auto"/>
              <w:right w:val="single" w:sz="4" w:space="0" w:color="auto"/>
            </w:tcBorders>
            <w:shd w:val="clear" w:color="auto" w:fill="auto"/>
            <w:hideMark/>
          </w:tcPr>
          <w:p w14:paraId="49923BCB"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26,7</w:t>
            </w:r>
          </w:p>
        </w:tc>
        <w:tc>
          <w:tcPr>
            <w:tcW w:w="1196" w:type="dxa"/>
            <w:tcBorders>
              <w:top w:val="nil"/>
              <w:left w:val="nil"/>
              <w:bottom w:val="single" w:sz="4" w:space="0" w:color="auto"/>
              <w:right w:val="single" w:sz="4" w:space="0" w:color="auto"/>
            </w:tcBorders>
            <w:shd w:val="clear" w:color="auto" w:fill="auto"/>
            <w:noWrap/>
            <w:vAlign w:val="bottom"/>
            <w:hideMark/>
          </w:tcPr>
          <w:p w14:paraId="0A0CC393"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hideMark/>
          </w:tcPr>
          <w:p w14:paraId="26B7964D"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1.962,0</w:t>
            </w:r>
          </w:p>
        </w:tc>
        <w:tc>
          <w:tcPr>
            <w:tcW w:w="761" w:type="dxa"/>
            <w:tcBorders>
              <w:top w:val="nil"/>
              <w:left w:val="nil"/>
              <w:bottom w:val="single" w:sz="4" w:space="0" w:color="auto"/>
              <w:right w:val="single" w:sz="4" w:space="0" w:color="auto"/>
            </w:tcBorders>
            <w:shd w:val="clear" w:color="auto" w:fill="auto"/>
            <w:hideMark/>
          </w:tcPr>
          <w:p w14:paraId="6C0DCEC7"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488,0</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14:paraId="68C29B15"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98,9</w:t>
            </w:r>
          </w:p>
        </w:tc>
        <w:tc>
          <w:tcPr>
            <w:tcW w:w="853" w:type="dxa"/>
            <w:tcBorders>
              <w:top w:val="nil"/>
              <w:left w:val="nil"/>
              <w:bottom w:val="single" w:sz="4" w:space="0" w:color="auto"/>
              <w:right w:val="single" w:sz="4" w:space="0" w:color="auto"/>
            </w:tcBorders>
            <w:shd w:val="clear" w:color="auto" w:fill="auto"/>
            <w:hideMark/>
          </w:tcPr>
          <w:p w14:paraId="0CC458F6"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830,0</w:t>
            </w:r>
          </w:p>
        </w:tc>
      </w:tr>
      <w:tr w:rsidR="009371DC" w:rsidRPr="008860BA" w14:paraId="33F4487D" w14:textId="77777777" w:rsidTr="009371DC">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7BEEA9C8" w14:textId="4E7823E2" w:rsidR="009371DC" w:rsidRPr="008860BA" w:rsidRDefault="009371DC" w:rsidP="009371DC">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Indemniza</w:t>
            </w:r>
            <w:r w:rsidR="00B13B9A" w:rsidRPr="008860BA">
              <w:rPr>
                <w:rFonts w:asciiTheme="majorHAnsi" w:eastAsia="Times New Roman" w:hAnsiTheme="majorHAnsi" w:cstheme="majorHAnsi"/>
                <w:sz w:val="18"/>
                <w:szCs w:val="18"/>
                <w:lang w:val="ro-MD"/>
              </w:rPr>
              <w:t>ț</w:t>
            </w:r>
            <w:r w:rsidRPr="008860BA">
              <w:rPr>
                <w:rFonts w:asciiTheme="majorHAnsi" w:eastAsia="Times New Roman" w:hAnsiTheme="majorHAnsi" w:cstheme="majorHAnsi"/>
                <w:sz w:val="18"/>
                <w:szCs w:val="18"/>
                <w:lang w:val="ro-MD"/>
              </w:rPr>
              <w:t>ie unică</w:t>
            </w:r>
          </w:p>
        </w:tc>
        <w:tc>
          <w:tcPr>
            <w:tcW w:w="673" w:type="dxa"/>
            <w:tcBorders>
              <w:top w:val="nil"/>
              <w:left w:val="nil"/>
              <w:bottom w:val="single" w:sz="4" w:space="0" w:color="auto"/>
              <w:right w:val="single" w:sz="4" w:space="0" w:color="auto"/>
            </w:tcBorders>
            <w:shd w:val="clear" w:color="auto" w:fill="auto"/>
            <w:noWrap/>
            <w:vAlign w:val="bottom"/>
            <w:hideMark/>
          </w:tcPr>
          <w:p w14:paraId="0DF46056"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73206E53"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220,0</w:t>
            </w:r>
          </w:p>
        </w:tc>
        <w:tc>
          <w:tcPr>
            <w:tcW w:w="1218" w:type="dxa"/>
            <w:tcBorders>
              <w:top w:val="nil"/>
              <w:left w:val="nil"/>
              <w:bottom w:val="single" w:sz="4" w:space="0" w:color="auto"/>
              <w:right w:val="single" w:sz="4" w:space="0" w:color="auto"/>
            </w:tcBorders>
            <w:shd w:val="clear" w:color="auto" w:fill="auto"/>
            <w:noWrap/>
            <w:vAlign w:val="bottom"/>
            <w:hideMark/>
          </w:tcPr>
          <w:p w14:paraId="3E355100"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220,0</w:t>
            </w:r>
          </w:p>
        </w:tc>
        <w:tc>
          <w:tcPr>
            <w:tcW w:w="1137" w:type="dxa"/>
            <w:tcBorders>
              <w:top w:val="nil"/>
              <w:left w:val="nil"/>
              <w:bottom w:val="single" w:sz="4" w:space="0" w:color="auto"/>
              <w:right w:val="single" w:sz="4" w:space="0" w:color="auto"/>
            </w:tcBorders>
            <w:shd w:val="clear" w:color="auto" w:fill="auto"/>
            <w:hideMark/>
          </w:tcPr>
          <w:p w14:paraId="1E7147BE"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1263" w:type="dxa"/>
            <w:tcBorders>
              <w:top w:val="nil"/>
              <w:left w:val="nil"/>
              <w:bottom w:val="single" w:sz="4" w:space="0" w:color="auto"/>
              <w:right w:val="single" w:sz="4" w:space="0" w:color="auto"/>
            </w:tcBorders>
            <w:shd w:val="clear" w:color="auto" w:fill="auto"/>
            <w:hideMark/>
          </w:tcPr>
          <w:p w14:paraId="7AD9F639"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1196" w:type="dxa"/>
            <w:tcBorders>
              <w:top w:val="nil"/>
              <w:left w:val="nil"/>
              <w:bottom w:val="single" w:sz="4" w:space="0" w:color="auto"/>
              <w:right w:val="single" w:sz="4" w:space="0" w:color="auto"/>
            </w:tcBorders>
            <w:shd w:val="clear" w:color="auto" w:fill="auto"/>
            <w:noWrap/>
            <w:vAlign w:val="bottom"/>
            <w:hideMark/>
          </w:tcPr>
          <w:p w14:paraId="16C7DD60"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hideMark/>
          </w:tcPr>
          <w:p w14:paraId="0C845850"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761" w:type="dxa"/>
            <w:tcBorders>
              <w:top w:val="nil"/>
              <w:left w:val="nil"/>
              <w:bottom w:val="single" w:sz="4" w:space="0" w:color="auto"/>
              <w:right w:val="single" w:sz="4" w:space="0" w:color="auto"/>
            </w:tcBorders>
            <w:shd w:val="clear" w:color="auto" w:fill="auto"/>
            <w:hideMark/>
          </w:tcPr>
          <w:p w14:paraId="4C3C9D86"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880" w:type="dxa"/>
            <w:tcBorders>
              <w:top w:val="nil"/>
              <w:left w:val="nil"/>
              <w:bottom w:val="single" w:sz="4" w:space="0" w:color="auto"/>
              <w:right w:val="single" w:sz="4" w:space="0" w:color="auto"/>
            </w:tcBorders>
            <w:shd w:val="clear" w:color="auto" w:fill="auto"/>
            <w:noWrap/>
            <w:vAlign w:val="bottom"/>
            <w:hideMark/>
          </w:tcPr>
          <w:p w14:paraId="4C73FAD1"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220,0</w:t>
            </w:r>
          </w:p>
        </w:tc>
        <w:tc>
          <w:tcPr>
            <w:tcW w:w="853" w:type="dxa"/>
            <w:tcBorders>
              <w:top w:val="nil"/>
              <w:left w:val="nil"/>
              <w:bottom w:val="single" w:sz="4" w:space="0" w:color="auto"/>
              <w:right w:val="single" w:sz="4" w:space="0" w:color="auto"/>
            </w:tcBorders>
            <w:shd w:val="clear" w:color="auto" w:fill="auto"/>
            <w:hideMark/>
          </w:tcPr>
          <w:p w14:paraId="1869F54D"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r>
      <w:tr w:rsidR="009371DC" w:rsidRPr="008860BA" w14:paraId="3CBD329E" w14:textId="77777777" w:rsidTr="009371DC">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3D8DC21F" w14:textId="77777777" w:rsidR="009371DC" w:rsidRPr="008860BA" w:rsidRDefault="009371DC" w:rsidP="009371DC">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Gaz</w:t>
            </w:r>
          </w:p>
        </w:tc>
        <w:tc>
          <w:tcPr>
            <w:tcW w:w="673" w:type="dxa"/>
            <w:tcBorders>
              <w:top w:val="nil"/>
              <w:left w:val="nil"/>
              <w:bottom w:val="single" w:sz="4" w:space="0" w:color="auto"/>
              <w:right w:val="single" w:sz="4" w:space="0" w:color="auto"/>
            </w:tcBorders>
            <w:shd w:val="clear" w:color="auto" w:fill="auto"/>
            <w:noWrap/>
            <w:vAlign w:val="bottom"/>
            <w:hideMark/>
          </w:tcPr>
          <w:p w14:paraId="025CE985"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41774704"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1.140,3</w:t>
            </w:r>
          </w:p>
        </w:tc>
        <w:tc>
          <w:tcPr>
            <w:tcW w:w="1218" w:type="dxa"/>
            <w:tcBorders>
              <w:top w:val="nil"/>
              <w:left w:val="nil"/>
              <w:bottom w:val="single" w:sz="4" w:space="0" w:color="auto"/>
              <w:right w:val="single" w:sz="4" w:space="0" w:color="auto"/>
            </w:tcBorders>
            <w:shd w:val="clear" w:color="auto" w:fill="auto"/>
            <w:noWrap/>
            <w:vAlign w:val="bottom"/>
            <w:hideMark/>
          </w:tcPr>
          <w:p w14:paraId="17EC4B09"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1.140,3</w:t>
            </w:r>
          </w:p>
        </w:tc>
        <w:tc>
          <w:tcPr>
            <w:tcW w:w="1137" w:type="dxa"/>
            <w:tcBorders>
              <w:top w:val="nil"/>
              <w:left w:val="nil"/>
              <w:bottom w:val="single" w:sz="4" w:space="0" w:color="auto"/>
              <w:right w:val="single" w:sz="4" w:space="0" w:color="auto"/>
            </w:tcBorders>
            <w:shd w:val="clear" w:color="auto" w:fill="auto"/>
            <w:hideMark/>
          </w:tcPr>
          <w:p w14:paraId="5F0755EF"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854,6</w:t>
            </w:r>
          </w:p>
        </w:tc>
        <w:tc>
          <w:tcPr>
            <w:tcW w:w="1263" w:type="dxa"/>
            <w:tcBorders>
              <w:top w:val="nil"/>
              <w:left w:val="nil"/>
              <w:bottom w:val="single" w:sz="4" w:space="0" w:color="auto"/>
              <w:right w:val="single" w:sz="4" w:space="0" w:color="auto"/>
            </w:tcBorders>
            <w:shd w:val="clear" w:color="auto" w:fill="auto"/>
            <w:noWrap/>
            <w:vAlign w:val="bottom"/>
            <w:hideMark/>
          </w:tcPr>
          <w:p w14:paraId="37789E79"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96" w:type="dxa"/>
            <w:tcBorders>
              <w:top w:val="nil"/>
              <w:left w:val="nil"/>
              <w:bottom w:val="single" w:sz="4" w:space="0" w:color="auto"/>
              <w:right w:val="single" w:sz="4" w:space="0" w:color="auto"/>
            </w:tcBorders>
            <w:shd w:val="clear" w:color="auto" w:fill="auto"/>
            <w:noWrap/>
            <w:vAlign w:val="bottom"/>
            <w:hideMark/>
          </w:tcPr>
          <w:p w14:paraId="296449F8"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077689E9"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761" w:type="dxa"/>
            <w:tcBorders>
              <w:top w:val="nil"/>
              <w:left w:val="nil"/>
              <w:bottom w:val="single" w:sz="4" w:space="0" w:color="auto"/>
              <w:right w:val="single" w:sz="4" w:space="0" w:color="auto"/>
            </w:tcBorders>
            <w:shd w:val="clear" w:color="auto" w:fill="auto"/>
            <w:noWrap/>
            <w:vAlign w:val="bottom"/>
            <w:hideMark/>
          </w:tcPr>
          <w:p w14:paraId="699568D0"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80" w:type="dxa"/>
            <w:tcBorders>
              <w:top w:val="nil"/>
              <w:left w:val="nil"/>
              <w:bottom w:val="nil"/>
              <w:right w:val="nil"/>
            </w:tcBorders>
            <w:shd w:val="clear" w:color="auto" w:fill="auto"/>
            <w:noWrap/>
            <w:vAlign w:val="bottom"/>
            <w:hideMark/>
          </w:tcPr>
          <w:p w14:paraId="23E2E41B"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31,7</w:t>
            </w:r>
          </w:p>
        </w:tc>
        <w:tc>
          <w:tcPr>
            <w:tcW w:w="853" w:type="dxa"/>
            <w:tcBorders>
              <w:top w:val="nil"/>
              <w:left w:val="single" w:sz="4" w:space="0" w:color="auto"/>
              <w:bottom w:val="single" w:sz="4" w:space="0" w:color="auto"/>
              <w:right w:val="single" w:sz="4" w:space="0" w:color="auto"/>
            </w:tcBorders>
            <w:shd w:val="clear" w:color="auto" w:fill="auto"/>
            <w:hideMark/>
          </w:tcPr>
          <w:p w14:paraId="5255B2E7"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254,0</w:t>
            </w:r>
          </w:p>
        </w:tc>
      </w:tr>
      <w:tr w:rsidR="009371DC" w:rsidRPr="008860BA" w14:paraId="7FAA007B" w14:textId="77777777" w:rsidTr="009371DC">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414BA40D" w14:textId="54F9AB2C" w:rsidR="009371DC" w:rsidRPr="008860BA" w:rsidRDefault="009371DC" w:rsidP="009371DC">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Materiale de construc</w:t>
            </w:r>
            <w:r w:rsidR="00B13B9A" w:rsidRPr="008860BA">
              <w:rPr>
                <w:rFonts w:asciiTheme="majorHAnsi" w:eastAsia="Times New Roman" w:hAnsiTheme="majorHAnsi" w:cstheme="majorHAnsi"/>
                <w:sz w:val="18"/>
                <w:szCs w:val="18"/>
                <w:lang w:val="ro-MD"/>
              </w:rPr>
              <w:t>ț</w:t>
            </w:r>
            <w:r w:rsidRPr="008860BA">
              <w:rPr>
                <w:rFonts w:asciiTheme="majorHAnsi" w:eastAsia="Times New Roman" w:hAnsiTheme="majorHAnsi" w:cstheme="majorHAnsi"/>
                <w:sz w:val="18"/>
                <w:szCs w:val="18"/>
                <w:lang w:val="ro-MD"/>
              </w:rPr>
              <w:t>ie</w:t>
            </w:r>
          </w:p>
        </w:tc>
        <w:tc>
          <w:tcPr>
            <w:tcW w:w="673" w:type="dxa"/>
            <w:tcBorders>
              <w:top w:val="nil"/>
              <w:left w:val="nil"/>
              <w:bottom w:val="single" w:sz="4" w:space="0" w:color="auto"/>
              <w:right w:val="single" w:sz="4" w:space="0" w:color="auto"/>
            </w:tcBorders>
            <w:shd w:val="clear" w:color="auto" w:fill="auto"/>
            <w:noWrap/>
            <w:vAlign w:val="bottom"/>
            <w:hideMark/>
          </w:tcPr>
          <w:p w14:paraId="0DE15999"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1936F204"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113,3</w:t>
            </w:r>
          </w:p>
        </w:tc>
        <w:tc>
          <w:tcPr>
            <w:tcW w:w="1218" w:type="dxa"/>
            <w:tcBorders>
              <w:top w:val="nil"/>
              <w:left w:val="nil"/>
              <w:bottom w:val="single" w:sz="4" w:space="0" w:color="auto"/>
              <w:right w:val="single" w:sz="4" w:space="0" w:color="auto"/>
            </w:tcBorders>
            <w:shd w:val="clear" w:color="auto" w:fill="auto"/>
            <w:noWrap/>
            <w:vAlign w:val="bottom"/>
            <w:hideMark/>
          </w:tcPr>
          <w:p w14:paraId="6BEF361A"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113,3</w:t>
            </w:r>
          </w:p>
        </w:tc>
        <w:tc>
          <w:tcPr>
            <w:tcW w:w="1137" w:type="dxa"/>
            <w:tcBorders>
              <w:top w:val="nil"/>
              <w:left w:val="nil"/>
              <w:bottom w:val="single" w:sz="4" w:space="0" w:color="auto"/>
              <w:right w:val="single" w:sz="4" w:space="0" w:color="auto"/>
            </w:tcBorders>
            <w:shd w:val="clear" w:color="auto" w:fill="auto"/>
            <w:hideMark/>
          </w:tcPr>
          <w:p w14:paraId="52FB7B8E"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98,6</w:t>
            </w:r>
          </w:p>
        </w:tc>
        <w:tc>
          <w:tcPr>
            <w:tcW w:w="1263" w:type="dxa"/>
            <w:tcBorders>
              <w:top w:val="nil"/>
              <w:left w:val="nil"/>
              <w:bottom w:val="single" w:sz="4" w:space="0" w:color="auto"/>
              <w:right w:val="single" w:sz="4" w:space="0" w:color="auto"/>
            </w:tcBorders>
            <w:shd w:val="clear" w:color="auto" w:fill="auto"/>
            <w:noWrap/>
            <w:vAlign w:val="bottom"/>
            <w:hideMark/>
          </w:tcPr>
          <w:p w14:paraId="14BFD706"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96" w:type="dxa"/>
            <w:tcBorders>
              <w:top w:val="nil"/>
              <w:left w:val="nil"/>
              <w:bottom w:val="single" w:sz="4" w:space="0" w:color="auto"/>
              <w:right w:val="single" w:sz="4" w:space="0" w:color="auto"/>
            </w:tcBorders>
            <w:shd w:val="clear" w:color="auto" w:fill="auto"/>
            <w:noWrap/>
            <w:vAlign w:val="bottom"/>
            <w:hideMark/>
          </w:tcPr>
          <w:p w14:paraId="1EA8ABE4"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47D711D6"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761" w:type="dxa"/>
            <w:tcBorders>
              <w:top w:val="nil"/>
              <w:left w:val="nil"/>
              <w:bottom w:val="single" w:sz="4" w:space="0" w:color="auto"/>
              <w:right w:val="single" w:sz="4" w:space="0" w:color="auto"/>
            </w:tcBorders>
            <w:shd w:val="clear" w:color="auto" w:fill="auto"/>
            <w:noWrap/>
            <w:vAlign w:val="bottom"/>
            <w:hideMark/>
          </w:tcPr>
          <w:p w14:paraId="20D40793"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14:paraId="01335B29"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10,1</w:t>
            </w:r>
          </w:p>
        </w:tc>
        <w:tc>
          <w:tcPr>
            <w:tcW w:w="853" w:type="dxa"/>
            <w:tcBorders>
              <w:top w:val="nil"/>
              <w:left w:val="nil"/>
              <w:bottom w:val="single" w:sz="4" w:space="0" w:color="auto"/>
              <w:right w:val="single" w:sz="4" w:space="0" w:color="auto"/>
            </w:tcBorders>
            <w:shd w:val="clear" w:color="auto" w:fill="auto"/>
            <w:hideMark/>
          </w:tcPr>
          <w:p w14:paraId="2A3CF5AF"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4,6</w:t>
            </w:r>
          </w:p>
        </w:tc>
      </w:tr>
      <w:tr w:rsidR="009371DC" w:rsidRPr="008860BA" w14:paraId="07A7FBE7" w14:textId="77777777" w:rsidTr="009371DC">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37E16615" w14:textId="77777777" w:rsidR="009371DC" w:rsidRPr="008860BA" w:rsidRDefault="009371DC" w:rsidP="009371DC">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Materiale de uz gospodăresc</w:t>
            </w:r>
          </w:p>
        </w:tc>
        <w:tc>
          <w:tcPr>
            <w:tcW w:w="673" w:type="dxa"/>
            <w:tcBorders>
              <w:top w:val="nil"/>
              <w:left w:val="nil"/>
              <w:bottom w:val="single" w:sz="4" w:space="0" w:color="auto"/>
              <w:right w:val="single" w:sz="4" w:space="0" w:color="auto"/>
            </w:tcBorders>
            <w:shd w:val="clear" w:color="auto" w:fill="auto"/>
            <w:noWrap/>
            <w:vAlign w:val="bottom"/>
            <w:hideMark/>
          </w:tcPr>
          <w:p w14:paraId="5D160B5E"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31BF09E3"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400,7</w:t>
            </w:r>
          </w:p>
        </w:tc>
        <w:tc>
          <w:tcPr>
            <w:tcW w:w="1218" w:type="dxa"/>
            <w:tcBorders>
              <w:top w:val="nil"/>
              <w:left w:val="nil"/>
              <w:bottom w:val="single" w:sz="4" w:space="0" w:color="auto"/>
              <w:right w:val="single" w:sz="4" w:space="0" w:color="auto"/>
            </w:tcBorders>
            <w:shd w:val="clear" w:color="auto" w:fill="auto"/>
            <w:noWrap/>
            <w:vAlign w:val="bottom"/>
            <w:hideMark/>
          </w:tcPr>
          <w:p w14:paraId="08EB2328"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400,7</w:t>
            </w:r>
          </w:p>
        </w:tc>
        <w:tc>
          <w:tcPr>
            <w:tcW w:w="1137" w:type="dxa"/>
            <w:tcBorders>
              <w:top w:val="nil"/>
              <w:left w:val="nil"/>
              <w:bottom w:val="single" w:sz="4" w:space="0" w:color="auto"/>
              <w:right w:val="single" w:sz="4" w:space="0" w:color="auto"/>
            </w:tcBorders>
            <w:shd w:val="clear" w:color="auto" w:fill="auto"/>
            <w:hideMark/>
          </w:tcPr>
          <w:p w14:paraId="3FB07944"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343,5</w:t>
            </w:r>
          </w:p>
        </w:tc>
        <w:tc>
          <w:tcPr>
            <w:tcW w:w="1263" w:type="dxa"/>
            <w:tcBorders>
              <w:top w:val="nil"/>
              <w:left w:val="nil"/>
              <w:bottom w:val="single" w:sz="4" w:space="0" w:color="auto"/>
              <w:right w:val="single" w:sz="4" w:space="0" w:color="auto"/>
            </w:tcBorders>
            <w:shd w:val="clear" w:color="auto" w:fill="auto"/>
            <w:hideMark/>
          </w:tcPr>
          <w:p w14:paraId="70290755"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0,3</w:t>
            </w:r>
          </w:p>
        </w:tc>
        <w:tc>
          <w:tcPr>
            <w:tcW w:w="1196" w:type="dxa"/>
            <w:tcBorders>
              <w:top w:val="nil"/>
              <w:left w:val="nil"/>
              <w:bottom w:val="single" w:sz="4" w:space="0" w:color="auto"/>
              <w:right w:val="single" w:sz="4" w:space="0" w:color="auto"/>
            </w:tcBorders>
            <w:shd w:val="clear" w:color="auto" w:fill="auto"/>
            <w:noWrap/>
            <w:vAlign w:val="bottom"/>
            <w:hideMark/>
          </w:tcPr>
          <w:p w14:paraId="710B3BB7"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hideMark/>
          </w:tcPr>
          <w:p w14:paraId="56FED4CA"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12,0</w:t>
            </w:r>
          </w:p>
        </w:tc>
        <w:tc>
          <w:tcPr>
            <w:tcW w:w="761" w:type="dxa"/>
            <w:tcBorders>
              <w:top w:val="nil"/>
              <w:left w:val="nil"/>
              <w:bottom w:val="single" w:sz="4" w:space="0" w:color="auto"/>
              <w:right w:val="single" w:sz="4" w:space="0" w:color="auto"/>
            </w:tcBorders>
            <w:shd w:val="clear" w:color="auto" w:fill="auto"/>
            <w:noWrap/>
            <w:vAlign w:val="bottom"/>
            <w:hideMark/>
          </w:tcPr>
          <w:p w14:paraId="09362639"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80" w:type="dxa"/>
            <w:tcBorders>
              <w:top w:val="nil"/>
              <w:left w:val="nil"/>
              <w:bottom w:val="single" w:sz="4" w:space="0" w:color="auto"/>
              <w:right w:val="single" w:sz="4" w:space="0" w:color="auto"/>
            </w:tcBorders>
            <w:shd w:val="clear" w:color="auto" w:fill="auto"/>
            <w:noWrap/>
            <w:vAlign w:val="bottom"/>
            <w:hideMark/>
          </w:tcPr>
          <w:p w14:paraId="7D650E34"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31,7</w:t>
            </w:r>
          </w:p>
        </w:tc>
        <w:tc>
          <w:tcPr>
            <w:tcW w:w="853" w:type="dxa"/>
            <w:tcBorders>
              <w:top w:val="nil"/>
              <w:left w:val="nil"/>
              <w:bottom w:val="single" w:sz="4" w:space="0" w:color="auto"/>
              <w:right w:val="single" w:sz="4" w:space="0" w:color="auto"/>
            </w:tcBorders>
            <w:shd w:val="clear" w:color="auto" w:fill="auto"/>
            <w:hideMark/>
          </w:tcPr>
          <w:p w14:paraId="28DED542"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13,3</w:t>
            </w:r>
          </w:p>
        </w:tc>
      </w:tr>
      <w:tr w:rsidR="009371DC" w:rsidRPr="008860BA" w14:paraId="50ACE10E" w14:textId="77777777" w:rsidTr="009371DC">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527785DD" w14:textId="77777777" w:rsidR="009371DC" w:rsidRPr="008860BA" w:rsidRDefault="009371DC" w:rsidP="009371DC">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xml:space="preserve">Medicamente </w:t>
            </w:r>
          </w:p>
        </w:tc>
        <w:tc>
          <w:tcPr>
            <w:tcW w:w="673" w:type="dxa"/>
            <w:tcBorders>
              <w:top w:val="nil"/>
              <w:left w:val="nil"/>
              <w:bottom w:val="single" w:sz="4" w:space="0" w:color="auto"/>
              <w:right w:val="single" w:sz="4" w:space="0" w:color="auto"/>
            </w:tcBorders>
            <w:shd w:val="clear" w:color="auto" w:fill="auto"/>
            <w:noWrap/>
            <w:vAlign w:val="bottom"/>
            <w:hideMark/>
          </w:tcPr>
          <w:p w14:paraId="4E574AEC"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05E21F32"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23.489,6</w:t>
            </w:r>
          </w:p>
        </w:tc>
        <w:tc>
          <w:tcPr>
            <w:tcW w:w="1218" w:type="dxa"/>
            <w:tcBorders>
              <w:top w:val="nil"/>
              <w:left w:val="nil"/>
              <w:bottom w:val="single" w:sz="4" w:space="0" w:color="auto"/>
              <w:right w:val="single" w:sz="4" w:space="0" w:color="auto"/>
            </w:tcBorders>
            <w:shd w:val="clear" w:color="auto" w:fill="auto"/>
            <w:noWrap/>
            <w:vAlign w:val="bottom"/>
            <w:hideMark/>
          </w:tcPr>
          <w:p w14:paraId="4ED38460"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23.489,6</w:t>
            </w:r>
          </w:p>
        </w:tc>
        <w:tc>
          <w:tcPr>
            <w:tcW w:w="1137" w:type="dxa"/>
            <w:tcBorders>
              <w:top w:val="nil"/>
              <w:left w:val="nil"/>
              <w:bottom w:val="single" w:sz="4" w:space="0" w:color="auto"/>
              <w:right w:val="single" w:sz="4" w:space="0" w:color="auto"/>
            </w:tcBorders>
            <w:shd w:val="clear" w:color="auto" w:fill="auto"/>
            <w:hideMark/>
          </w:tcPr>
          <w:p w14:paraId="238A2E18"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4.851,0</w:t>
            </w:r>
          </w:p>
        </w:tc>
        <w:tc>
          <w:tcPr>
            <w:tcW w:w="1263" w:type="dxa"/>
            <w:tcBorders>
              <w:top w:val="nil"/>
              <w:left w:val="nil"/>
              <w:bottom w:val="single" w:sz="4" w:space="0" w:color="auto"/>
              <w:right w:val="single" w:sz="4" w:space="0" w:color="auto"/>
            </w:tcBorders>
            <w:shd w:val="clear" w:color="auto" w:fill="auto"/>
            <w:noWrap/>
            <w:vAlign w:val="bottom"/>
            <w:hideMark/>
          </w:tcPr>
          <w:p w14:paraId="071712AF"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96" w:type="dxa"/>
            <w:tcBorders>
              <w:top w:val="nil"/>
              <w:left w:val="nil"/>
              <w:bottom w:val="single" w:sz="4" w:space="0" w:color="auto"/>
              <w:right w:val="single" w:sz="4" w:space="0" w:color="auto"/>
            </w:tcBorders>
            <w:shd w:val="clear" w:color="auto" w:fill="auto"/>
            <w:noWrap/>
            <w:vAlign w:val="bottom"/>
            <w:hideMark/>
          </w:tcPr>
          <w:p w14:paraId="1B346D63"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hideMark/>
          </w:tcPr>
          <w:p w14:paraId="45553014"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67,4</w:t>
            </w:r>
          </w:p>
        </w:tc>
        <w:tc>
          <w:tcPr>
            <w:tcW w:w="761" w:type="dxa"/>
            <w:tcBorders>
              <w:top w:val="nil"/>
              <w:left w:val="nil"/>
              <w:bottom w:val="single" w:sz="4" w:space="0" w:color="auto"/>
              <w:right w:val="single" w:sz="4" w:space="0" w:color="auto"/>
            </w:tcBorders>
            <w:shd w:val="clear" w:color="auto" w:fill="auto"/>
            <w:noWrap/>
            <w:vAlign w:val="bottom"/>
            <w:hideMark/>
          </w:tcPr>
          <w:p w14:paraId="7022432F"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80" w:type="dxa"/>
            <w:tcBorders>
              <w:top w:val="nil"/>
              <w:left w:val="nil"/>
              <w:bottom w:val="single" w:sz="4" w:space="0" w:color="auto"/>
              <w:right w:val="single" w:sz="4" w:space="0" w:color="auto"/>
            </w:tcBorders>
            <w:shd w:val="clear" w:color="auto" w:fill="auto"/>
            <w:noWrap/>
            <w:vAlign w:val="bottom"/>
            <w:hideMark/>
          </w:tcPr>
          <w:p w14:paraId="6D784CB2"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196,9</w:t>
            </w:r>
          </w:p>
        </w:tc>
        <w:tc>
          <w:tcPr>
            <w:tcW w:w="853" w:type="dxa"/>
            <w:tcBorders>
              <w:top w:val="nil"/>
              <w:left w:val="nil"/>
              <w:bottom w:val="single" w:sz="4" w:space="0" w:color="auto"/>
              <w:right w:val="single" w:sz="4" w:space="0" w:color="auto"/>
            </w:tcBorders>
            <w:shd w:val="clear" w:color="auto" w:fill="auto"/>
            <w:hideMark/>
          </w:tcPr>
          <w:p w14:paraId="3B2334C9"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18.374,4</w:t>
            </w:r>
          </w:p>
        </w:tc>
      </w:tr>
      <w:tr w:rsidR="009371DC" w:rsidRPr="008860BA" w14:paraId="1A28D0A7" w14:textId="77777777" w:rsidTr="009371DC">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1342AE5B" w14:textId="77777777" w:rsidR="009371DC" w:rsidRPr="008860BA" w:rsidRDefault="009371DC" w:rsidP="009371DC">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Paza</w:t>
            </w:r>
          </w:p>
        </w:tc>
        <w:tc>
          <w:tcPr>
            <w:tcW w:w="673" w:type="dxa"/>
            <w:tcBorders>
              <w:top w:val="nil"/>
              <w:left w:val="nil"/>
              <w:bottom w:val="single" w:sz="4" w:space="0" w:color="auto"/>
              <w:right w:val="single" w:sz="4" w:space="0" w:color="auto"/>
            </w:tcBorders>
            <w:shd w:val="clear" w:color="auto" w:fill="auto"/>
            <w:noWrap/>
            <w:vAlign w:val="bottom"/>
            <w:hideMark/>
          </w:tcPr>
          <w:p w14:paraId="00278B7D"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081EF741"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496,7</w:t>
            </w:r>
          </w:p>
        </w:tc>
        <w:tc>
          <w:tcPr>
            <w:tcW w:w="1218" w:type="dxa"/>
            <w:tcBorders>
              <w:top w:val="nil"/>
              <w:left w:val="nil"/>
              <w:bottom w:val="single" w:sz="4" w:space="0" w:color="auto"/>
              <w:right w:val="single" w:sz="4" w:space="0" w:color="auto"/>
            </w:tcBorders>
            <w:shd w:val="clear" w:color="auto" w:fill="auto"/>
            <w:noWrap/>
            <w:vAlign w:val="bottom"/>
            <w:hideMark/>
          </w:tcPr>
          <w:p w14:paraId="27003EF9"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496,7</w:t>
            </w:r>
          </w:p>
        </w:tc>
        <w:tc>
          <w:tcPr>
            <w:tcW w:w="1137" w:type="dxa"/>
            <w:tcBorders>
              <w:top w:val="nil"/>
              <w:left w:val="nil"/>
              <w:bottom w:val="single" w:sz="4" w:space="0" w:color="auto"/>
              <w:right w:val="single" w:sz="4" w:space="0" w:color="auto"/>
            </w:tcBorders>
            <w:shd w:val="clear" w:color="auto" w:fill="auto"/>
            <w:hideMark/>
          </w:tcPr>
          <w:p w14:paraId="4F7CADD0"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496,7</w:t>
            </w:r>
          </w:p>
        </w:tc>
        <w:tc>
          <w:tcPr>
            <w:tcW w:w="1263" w:type="dxa"/>
            <w:tcBorders>
              <w:top w:val="nil"/>
              <w:left w:val="nil"/>
              <w:bottom w:val="single" w:sz="4" w:space="0" w:color="auto"/>
              <w:right w:val="single" w:sz="4" w:space="0" w:color="auto"/>
            </w:tcBorders>
            <w:shd w:val="clear" w:color="auto" w:fill="auto"/>
            <w:noWrap/>
            <w:vAlign w:val="bottom"/>
            <w:hideMark/>
          </w:tcPr>
          <w:p w14:paraId="7D24ED92"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96" w:type="dxa"/>
            <w:tcBorders>
              <w:top w:val="nil"/>
              <w:left w:val="nil"/>
              <w:bottom w:val="single" w:sz="4" w:space="0" w:color="auto"/>
              <w:right w:val="single" w:sz="4" w:space="0" w:color="auto"/>
            </w:tcBorders>
            <w:shd w:val="clear" w:color="auto" w:fill="auto"/>
            <w:noWrap/>
            <w:vAlign w:val="bottom"/>
            <w:hideMark/>
          </w:tcPr>
          <w:p w14:paraId="0CBAFCDE"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7C8389D1"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761" w:type="dxa"/>
            <w:tcBorders>
              <w:top w:val="nil"/>
              <w:left w:val="nil"/>
              <w:bottom w:val="single" w:sz="4" w:space="0" w:color="auto"/>
              <w:right w:val="single" w:sz="4" w:space="0" w:color="auto"/>
            </w:tcBorders>
            <w:shd w:val="clear" w:color="auto" w:fill="auto"/>
            <w:noWrap/>
            <w:vAlign w:val="bottom"/>
            <w:hideMark/>
          </w:tcPr>
          <w:p w14:paraId="5D4B0777"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80" w:type="dxa"/>
            <w:tcBorders>
              <w:top w:val="nil"/>
              <w:left w:val="nil"/>
              <w:bottom w:val="nil"/>
              <w:right w:val="nil"/>
            </w:tcBorders>
            <w:shd w:val="clear" w:color="auto" w:fill="auto"/>
            <w:noWrap/>
            <w:vAlign w:val="bottom"/>
            <w:hideMark/>
          </w:tcPr>
          <w:p w14:paraId="226A59D7"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0,0</w:t>
            </w:r>
          </w:p>
        </w:tc>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65055F60"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r>
      <w:tr w:rsidR="009371DC" w:rsidRPr="008860BA" w14:paraId="1D5EA7F7" w14:textId="77777777" w:rsidTr="009371DC">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2AD943ED" w14:textId="77777777" w:rsidR="009371DC" w:rsidRPr="008860BA" w:rsidRDefault="009371DC" w:rsidP="009371DC">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Penalitate</w:t>
            </w:r>
          </w:p>
        </w:tc>
        <w:tc>
          <w:tcPr>
            <w:tcW w:w="673" w:type="dxa"/>
            <w:tcBorders>
              <w:top w:val="nil"/>
              <w:left w:val="nil"/>
              <w:bottom w:val="single" w:sz="4" w:space="0" w:color="auto"/>
              <w:right w:val="single" w:sz="4" w:space="0" w:color="auto"/>
            </w:tcBorders>
            <w:shd w:val="clear" w:color="auto" w:fill="auto"/>
            <w:noWrap/>
            <w:vAlign w:val="bottom"/>
            <w:hideMark/>
          </w:tcPr>
          <w:p w14:paraId="6C0FA9D8"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2FF3C000"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8,5</w:t>
            </w:r>
          </w:p>
        </w:tc>
        <w:tc>
          <w:tcPr>
            <w:tcW w:w="1218" w:type="dxa"/>
            <w:tcBorders>
              <w:top w:val="nil"/>
              <w:left w:val="nil"/>
              <w:bottom w:val="single" w:sz="4" w:space="0" w:color="auto"/>
              <w:right w:val="single" w:sz="4" w:space="0" w:color="auto"/>
            </w:tcBorders>
            <w:shd w:val="clear" w:color="auto" w:fill="auto"/>
            <w:noWrap/>
            <w:vAlign w:val="bottom"/>
            <w:hideMark/>
          </w:tcPr>
          <w:p w14:paraId="351995A5"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8,5</w:t>
            </w:r>
          </w:p>
        </w:tc>
        <w:tc>
          <w:tcPr>
            <w:tcW w:w="1137" w:type="dxa"/>
            <w:tcBorders>
              <w:top w:val="nil"/>
              <w:left w:val="nil"/>
              <w:bottom w:val="single" w:sz="4" w:space="0" w:color="auto"/>
              <w:right w:val="single" w:sz="4" w:space="0" w:color="auto"/>
            </w:tcBorders>
            <w:shd w:val="clear" w:color="auto" w:fill="auto"/>
            <w:hideMark/>
          </w:tcPr>
          <w:p w14:paraId="318EA605"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1263" w:type="dxa"/>
            <w:tcBorders>
              <w:top w:val="nil"/>
              <w:left w:val="nil"/>
              <w:bottom w:val="single" w:sz="4" w:space="0" w:color="auto"/>
              <w:right w:val="single" w:sz="4" w:space="0" w:color="auto"/>
            </w:tcBorders>
            <w:shd w:val="clear" w:color="auto" w:fill="auto"/>
            <w:noWrap/>
            <w:vAlign w:val="bottom"/>
            <w:hideMark/>
          </w:tcPr>
          <w:p w14:paraId="4883E7CE"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96" w:type="dxa"/>
            <w:tcBorders>
              <w:top w:val="nil"/>
              <w:left w:val="nil"/>
              <w:bottom w:val="single" w:sz="4" w:space="0" w:color="auto"/>
              <w:right w:val="single" w:sz="4" w:space="0" w:color="auto"/>
            </w:tcBorders>
            <w:shd w:val="clear" w:color="auto" w:fill="auto"/>
            <w:noWrap/>
            <w:vAlign w:val="bottom"/>
            <w:hideMark/>
          </w:tcPr>
          <w:p w14:paraId="0760A973"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22514B90"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761" w:type="dxa"/>
            <w:tcBorders>
              <w:top w:val="nil"/>
              <w:left w:val="nil"/>
              <w:bottom w:val="single" w:sz="4" w:space="0" w:color="auto"/>
              <w:right w:val="single" w:sz="4" w:space="0" w:color="auto"/>
            </w:tcBorders>
            <w:shd w:val="clear" w:color="auto" w:fill="auto"/>
            <w:noWrap/>
            <w:vAlign w:val="bottom"/>
            <w:hideMark/>
          </w:tcPr>
          <w:p w14:paraId="23CCA24A"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14:paraId="7C7AB597"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8,5</w:t>
            </w:r>
          </w:p>
        </w:tc>
        <w:tc>
          <w:tcPr>
            <w:tcW w:w="853" w:type="dxa"/>
            <w:tcBorders>
              <w:top w:val="nil"/>
              <w:left w:val="nil"/>
              <w:bottom w:val="single" w:sz="4" w:space="0" w:color="auto"/>
              <w:right w:val="single" w:sz="4" w:space="0" w:color="auto"/>
            </w:tcBorders>
            <w:shd w:val="clear" w:color="auto" w:fill="auto"/>
            <w:noWrap/>
            <w:vAlign w:val="bottom"/>
            <w:hideMark/>
          </w:tcPr>
          <w:p w14:paraId="0A95515A"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r>
      <w:tr w:rsidR="009371DC" w:rsidRPr="008860BA" w14:paraId="09062DD0" w14:textId="77777777" w:rsidTr="009371DC">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535E6008" w14:textId="2EC0BCA9" w:rsidR="009371DC" w:rsidRPr="008860BA" w:rsidRDefault="009371DC">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Perfec</w:t>
            </w:r>
            <w:r w:rsidR="00E10604" w:rsidRPr="008860BA">
              <w:rPr>
                <w:rFonts w:asciiTheme="majorHAnsi" w:eastAsia="Times New Roman" w:hAnsiTheme="majorHAnsi" w:cstheme="majorHAnsi"/>
                <w:sz w:val="18"/>
                <w:szCs w:val="18"/>
                <w:lang w:val="ro-MD"/>
              </w:rPr>
              <w:t>ț</w:t>
            </w:r>
            <w:r w:rsidRPr="008860BA">
              <w:rPr>
                <w:rFonts w:asciiTheme="majorHAnsi" w:eastAsia="Times New Roman" w:hAnsiTheme="majorHAnsi" w:cstheme="majorHAnsi"/>
                <w:sz w:val="18"/>
                <w:szCs w:val="18"/>
                <w:lang w:val="ro-MD"/>
              </w:rPr>
              <w:t>ionarea cadrelor</w:t>
            </w:r>
          </w:p>
        </w:tc>
        <w:tc>
          <w:tcPr>
            <w:tcW w:w="673" w:type="dxa"/>
            <w:tcBorders>
              <w:top w:val="nil"/>
              <w:left w:val="nil"/>
              <w:bottom w:val="single" w:sz="4" w:space="0" w:color="auto"/>
              <w:right w:val="single" w:sz="4" w:space="0" w:color="auto"/>
            </w:tcBorders>
            <w:shd w:val="clear" w:color="auto" w:fill="auto"/>
            <w:noWrap/>
            <w:vAlign w:val="bottom"/>
            <w:hideMark/>
          </w:tcPr>
          <w:p w14:paraId="669700AD"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4A01CAA8"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123,7</w:t>
            </w:r>
          </w:p>
        </w:tc>
        <w:tc>
          <w:tcPr>
            <w:tcW w:w="1218" w:type="dxa"/>
            <w:tcBorders>
              <w:top w:val="nil"/>
              <w:left w:val="nil"/>
              <w:bottom w:val="single" w:sz="4" w:space="0" w:color="auto"/>
              <w:right w:val="single" w:sz="4" w:space="0" w:color="auto"/>
            </w:tcBorders>
            <w:shd w:val="clear" w:color="auto" w:fill="auto"/>
            <w:noWrap/>
            <w:vAlign w:val="bottom"/>
            <w:hideMark/>
          </w:tcPr>
          <w:p w14:paraId="41C878C1"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123,7</w:t>
            </w:r>
          </w:p>
        </w:tc>
        <w:tc>
          <w:tcPr>
            <w:tcW w:w="1137" w:type="dxa"/>
            <w:tcBorders>
              <w:top w:val="nil"/>
              <w:left w:val="nil"/>
              <w:bottom w:val="single" w:sz="4" w:space="0" w:color="auto"/>
              <w:right w:val="single" w:sz="4" w:space="0" w:color="auto"/>
            </w:tcBorders>
            <w:shd w:val="clear" w:color="auto" w:fill="auto"/>
            <w:hideMark/>
          </w:tcPr>
          <w:p w14:paraId="42CD6944"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123,7</w:t>
            </w:r>
          </w:p>
        </w:tc>
        <w:tc>
          <w:tcPr>
            <w:tcW w:w="1263" w:type="dxa"/>
            <w:tcBorders>
              <w:top w:val="nil"/>
              <w:left w:val="nil"/>
              <w:bottom w:val="single" w:sz="4" w:space="0" w:color="auto"/>
              <w:right w:val="single" w:sz="4" w:space="0" w:color="auto"/>
            </w:tcBorders>
            <w:shd w:val="clear" w:color="auto" w:fill="auto"/>
            <w:noWrap/>
            <w:vAlign w:val="bottom"/>
            <w:hideMark/>
          </w:tcPr>
          <w:p w14:paraId="5D4C37C8"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96" w:type="dxa"/>
            <w:tcBorders>
              <w:top w:val="nil"/>
              <w:left w:val="nil"/>
              <w:bottom w:val="single" w:sz="4" w:space="0" w:color="auto"/>
              <w:right w:val="single" w:sz="4" w:space="0" w:color="auto"/>
            </w:tcBorders>
            <w:shd w:val="clear" w:color="auto" w:fill="auto"/>
            <w:noWrap/>
            <w:vAlign w:val="bottom"/>
            <w:hideMark/>
          </w:tcPr>
          <w:p w14:paraId="5004EAF1"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67B5FFFB"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761" w:type="dxa"/>
            <w:tcBorders>
              <w:top w:val="nil"/>
              <w:left w:val="nil"/>
              <w:bottom w:val="single" w:sz="4" w:space="0" w:color="auto"/>
              <w:right w:val="single" w:sz="4" w:space="0" w:color="auto"/>
            </w:tcBorders>
            <w:shd w:val="clear" w:color="auto" w:fill="auto"/>
            <w:noWrap/>
            <w:vAlign w:val="bottom"/>
            <w:hideMark/>
          </w:tcPr>
          <w:p w14:paraId="4C2A379E"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80" w:type="dxa"/>
            <w:tcBorders>
              <w:top w:val="nil"/>
              <w:left w:val="nil"/>
              <w:bottom w:val="nil"/>
              <w:right w:val="nil"/>
            </w:tcBorders>
            <w:shd w:val="clear" w:color="auto" w:fill="auto"/>
            <w:noWrap/>
            <w:vAlign w:val="bottom"/>
            <w:hideMark/>
          </w:tcPr>
          <w:p w14:paraId="0AA496C5"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0,0</w:t>
            </w:r>
          </w:p>
        </w:tc>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6738CC65"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r>
      <w:tr w:rsidR="009371DC" w:rsidRPr="008860BA" w14:paraId="28E67665" w14:textId="77777777" w:rsidTr="009371DC">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4D184659" w14:textId="77777777" w:rsidR="009371DC" w:rsidRPr="008860BA" w:rsidRDefault="009371DC" w:rsidP="009371DC">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Piese de schimb</w:t>
            </w:r>
          </w:p>
        </w:tc>
        <w:tc>
          <w:tcPr>
            <w:tcW w:w="673" w:type="dxa"/>
            <w:tcBorders>
              <w:top w:val="nil"/>
              <w:left w:val="nil"/>
              <w:bottom w:val="single" w:sz="4" w:space="0" w:color="auto"/>
              <w:right w:val="single" w:sz="4" w:space="0" w:color="auto"/>
            </w:tcBorders>
            <w:shd w:val="clear" w:color="auto" w:fill="auto"/>
            <w:noWrap/>
            <w:vAlign w:val="bottom"/>
            <w:hideMark/>
          </w:tcPr>
          <w:p w14:paraId="374FB09B"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0736EFD9"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46,7</w:t>
            </w:r>
          </w:p>
        </w:tc>
        <w:tc>
          <w:tcPr>
            <w:tcW w:w="1218" w:type="dxa"/>
            <w:tcBorders>
              <w:top w:val="nil"/>
              <w:left w:val="nil"/>
              <w:bottom w:val="single" w:sz="4" w:space="0" w:color="auto"/>
              <w:right w:val="single" w:sz="4" w:space="0" w:color="auto"/>
            </w:tcBorders>
            <w:shd w:val="clear" w:color="auto" w:fill="auto"/>
            <w:noWrap/>
            <w:vAlign w:val="bottom"/>
            <w:hideMark/>
          </w:tcPr>
          <w:p w14:paraId="619BFA86"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46,7</w:t>
            </w:r>
          </w:p>
        </w:tc>
        <w:tc>
          <w:tcPr>
            <w:tcW w:w="1137" w:type="dxa"/>
            <w:tcBorders>
              <w:top w:val="nil"/>
              <w:left w:val="nil"/>
              <w:bottom w:val="single" w:sz="4" w:space="0" w:color="auto"/>
              <w:right w:val="single" w:sz="4" w:space="0" w:color="auto"/>
            </w:tcBorders>
            <w:shd w:val="clear" w:color="auto" w:fill="auto"/>
            <w:hideMark/>
          </w:tcPr>
          <w:p w14:paraId="37E6C457"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12,5</w:t>
            </w:r>
          </w:p>
        </w:tc>
        <w:tc>
          <w:tcPr>
            <w:tcW w:w="1263" w:type="dxa"/>
            <w:tcBorders>
              <w:top w:val="nil"/>
              <w:left w:val="nil"/>
              <w:bottom w:val="single" w:sz="4" w:space="0" w:color="auto"/>
              <w:right w:val="single" w:sz="4" w:space="0" w:color="auto"/>
            </w:tcBorders>
            <w:shd w:val="clear" w:color="auto" w:fill="auto"/>
            <w:hideMark/>
          </w:tcPr>
          <w:p w14:paraId="2B071965"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5,6</w:t>
            </w:r>
          </w:p>
        </w:tc>
        <w:tc>
          <w:tcPr>
            <w:tcW w:w="1196" w:type="dxa"/>
            <w:tcBorders>
              <w:top w:val="nil"/>
              <w:left w:val="nil"/>
              <w:bottom w:val="single" w:sz="4" w:space="0" w:color="auto"/>
              <w:right w:val="single" w:sz="4" w:space="0" w:color="auto"/>
            </w:tcBorders>
            <w:shd w:val="clear" w:color="auto" w:fill="auto"/>
            <w:noWrap/>
            <w:vAlign w:val="bottom"/>
            <w:hideMark/>
          </w:tcPr>
          <w:p w14:paraId="4A65FEB9"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45E9E08A"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761" w:type="dxa"/>
            <w:tcBorders>
              <w:top w:val="nil"/>
              <w:left w:val="nil"/>
              <w:bottom w:val="single" w:sz="4" w:space="0" w:color="auto"/>
              <w:right w:val="single" w:sz="4" w:space="0" w:color="auto"/>
            </w:tcBorders>
            <w:shd w:val="clear" w:color="auto" w:fill="auto"/>
            <w:noWrap/>
            <w:vAlign w:val="bottom"/>
            <w:hideMark/>
          </w:tcPr>
          <w:p w14:paraId="3857E619"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14:paraId="1F23305D"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7,1</w:t>
            </w:r>
          </w:p>
        </w:tc>
        <w:tc>
          <w:tcPr>
            <w:tcW w:w="853" w:type="dxa"/>
            <w:tcBorders>
              <w:top w:val="nil"/>
              <w:left w:val="nil"/>
              <w:bottom w:val="single" w:sz="4" w:space="0" w:color="auto"/>
              <w:right w:val="single" w:sz="4" w:space="0" w:color="auto"/>
            </w:tcBorders>
            <w:shd w:val="clear" w:color="auto" w:fill="auto"/>
            <w:hideMark/>
          </w:tcPr>
          <w:p w14:paraId="24032D1D"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21,6</w:t>
            </w:r>
          </w:p>
        </w:tc>
      </w:tr>
      <w:tr w:rsidR="009371DC" w:rsidRPr="008860BA" w14:paraId="71D2433F" w14:textId="77777777" w:rsidTr="009371DC">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2C58D7C2" w14:textId="77777777" w:rsidR="009371DC" w:rsidRPr="008860BA" w:rsidRDefault="009371DC" w:rsidP="009371DC">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Produse petroliere</w:t>
            </w:r>
          </w:p>
        </w:tc>
        <w:tc>
          <w:tcPr>
            <w:tcW w:w="673" w:type="dxa"/>
            <w:tcBorders>
              <w:top w:val="nil"/>
              <w:left w:val="nil"/>
              <w:bottom w:val="single" w:sz="4" w:space="0" w:color="auto"/>
              <w:right w:val="single" w:sz="4" w:space="0" w:color="auto"/>
            </w:tcBorders>
            <w:shd w:val="clear" w:color="auto" w:fill="auto"/>
            <w:noWrap/>
            <w:vAlign w:val="bottom"/>
            <w:hideMark/>
          </w:tcPr>
          <w:p w14:paraId="675A09DC"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04393BB4"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693,7</w:t>
            </w:r>
          </w:p>
        </w:tc>
        <w:tc>
          <w:tcPr>
            <w:tcW w:w="1218" w:type="dxa"/>
            <w:tcBorders>
              <w:top w:val="nil"/>
              <w:left w:val="nil"/>
              <w:bottom w:val="single" w:sz="4" w:space="0" w:color="auto"/>
              <w:right w:val="single" w:sz="4" w:space="0" w:color="auto"/>
            </w:tcBorders>
            <w:shd w:val="clear" w:color="auto" w:fill="auto"/>
            <w:noWrap/>
            <w:vAlign w:val="bottom"/>
            <w:hideMark/>
          </w:tcPr>
          <w:p w14:paraId="22B428C2"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693,7</w:t>
            </w:r>
          </w:p>
        </w:tc>
        <w:tc>
          <w:tcPr>
            <w:tcW w:w="1137" w:type="dxa"/>
            <w:tcBorders>
              <w:top w:val="nil"/>
              <w:left w:val="nil"/>
              <w:bottom w:val="single" w:sz="4" w:space="0" w:color="auto"/>
              <w:right w:val="single" w:sz="4" w:space="0" w:color="auto"/>
            </w:tcBorders>
            <w:shd w:val="clear" w:color="auto" w:fill="auto"/>
            <w:hideMark/>
          </w:tcPr>
          <w:p w14:paraId="748C4F13"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105,7</w:t>
            </w:r>
          </w:p>
        </w:tc>
        <w:tc>
          <w:tcPr>
            <w:tcW w:w="1263" w:type="dxa"/>
            <w:tcBorders>
              <w:top w:val="nil"/>
              <w:left w:val="nil"/>
              <w:bottom w:val="single" w:sz="4" w:space="0" w:color="auto"/>
              <w:right w:val="single" w:sz="4" w:space="0" w:color="auto"/>
            </w:tcBorders>
            <w:shd w:val="clear" w:color="auto" w:fill="auto"/>
            <w:hideMark/>
          </w:tcPr>
          <w:p w14:paraId="45C2795F"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169,8</w:t>
            </w:r>
          </w:p>
        </w:tc>
        <w:tc>
          <w:tcPr>
            <w:tcW w:w="1196" w:type="dxa"/>
            <w:tcBorders>
              <w:top w:val="nil"/>
              <w:left w:val="nil"/>
              <w:bottom w:val="single" w:sz="4" w:space="0" w:color="auto"/>
              <w:right w:val="single" w:sz="4" w:space="0" w:color="auto"/>
            </w:tcBorders>
            <w:shd w:val="clear" w:color="auto" w:fill="auto"/>
            <w:noWrap/>
            <w:vAlign w:val="bottom"/>
            <w:hideMark/>
          </w:tcPr>
          <w:p w14:paraId="50B719E3"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1B68F448"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761" w:type="dxa"/>
            <w:tcBorders>
              <w:top w:val="nil"/>
              <w:left w:val="nil"/>
              <w:bottom w:val="single" w:sz="4" w:space="0" w:color="auto"/>
              <w:right w:val="single" w:sz="4" w:space="0" w:color="auto"/>
            </w:tcBorders>
            <w:shd w:val="clear" w:color="auto" w:fill="auto"/>
            <w:noWrap/>
            <w:vAlign w:val="bottom"/>
            <w:hideMark/>
          </w:tcPr>
          <w:p w14:paraId="24702754"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80" w:type="dxa"/>
            <w:tcBorders>
              <w:top w:val="nil"/>
              <w:left w:val="nil"/>
              <w:bottom w:val="single" w:sz="4" w:space="0" w:color="auto"/>
              <w:right w:val="single" w:sz="4" w:space="0" w:color="auto"/>
            </w:tcBorders>
            <w:shd w:val="clear" w:color="auto" w:fill="auto"/>
            <w:noWrap/>
            <w:vAlign w:val="bottom"/>
            <w:hideMark/>
          </w:tcPr>
          <w:p w14:paraId="7DA18BB1"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77,9</w:t>
            </w:r>
          </w:p>
        </w:tc>
        <w:tc>
          <w:tcPr>
            <w:tcW w:w="853" w:type="dxa"/>
            <w:tcBorders>
              <w:top w:val="nil"/>
              <w:left w:val="nil"/>
              <w:bottom w:val="single" w:sz="4" w:space="0" w:color="auto"/>
              <w:right w:val="single" w:sz="4" w:space="0" w:color="auto"/>
            </w:tcBorders>
            <w:shd w:val="clear" w:color="auto" w:fill="auto"/>
            <w:hideMark/>
          </w:tcPr>
          <w:p w14:paraId="3978FEC3"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340,3</w:t>
            </w:r>
          </w:p>
        </w:tc>
      </w:tr>
      <w:tr w:rsidR="009371DC" w:rsidRPr="008860BA" w14:paraId="5A799343" w14:textId="77777777" w:rsidTr="009371DC">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2A6AC1DF" w14:textId="77777777" w:rsidR="009371DC" w:rsidRPr="008860BA" w:rsidRDefault="009371DC" w:rsidP="009371DC">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Produse sanguine</w:t>
            </w:r>
          </w:p>
        </w:tc>
        <w:tc>
          <w:tcPr>
            <w:tcW w:w="673" w:type="dxa"/>
            <w:tcBorders>
              <w:top w:val="nil"/>
              <w:left w:val="nil"/>
              <w:bottom w:val="single" w:sz="4" w:space="0" w:color="auto"/>
              <w:right w:val="single" w:sz="4" w:space="0" w:color="auto"/>
            </w:tcBorders>
            <w:shd w:val="clear" w:color="auto" w:fill="auto"/>
            <w:noWrap/>
            <w:vAlign w:val="bottom"/>
            <w:hideMark/>
          </w:tcPr>
          <w:p w14:paraId="5C9C56C3"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74B94D01"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56,7</w:t>
            </w:r>
          </w:p>
        </w:tc>
        <w:tc>
          <w:tcPr>
            <w:tcW w:w="1218" w:type="dxa"/>
            <w:tcBorders>
              <w:top w:val="nil"/>
              <w:left w:val="nil"/>
              <w:bottom w:val="single" w:sz="4" w:space="0" w:color="auto"/>
              <w:right w:val="single" w:sz="4" w:space="0" w:color="auto"/>
            </w:tcBorders>
            <w:shd w:val="clear" w:color="auto" w:fill="auto"/>
            <w:noWrap/>
            <w:vAlign w:val="bottom"/>
            <w:hideMark/>
          </w:tcPr>
          <w:p w14:paraId="03CC1B39"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56,7</w:t>
            </w:r>
          </w:p>
        </w:tc>
        <w:tc>
          <w:tcPr>
            <w:tcW w:w="1137" w:type="dxa"/>
            <w:tcBorders>
              <w:top w:val="nil"/>
              <w:left w:val="nil"/>
              <w:bottom w:val="single" w:sz="4" w:space="0" w:color="auto"/>
              <w:right w:val="single" w:sz="4" w:space="0" w:color="auto"/>
            </w:tcBorders>
            <w:shd w:val="clear" w:color="auto" w:fill="auto"/>
            <w:hideMark/>
          </w:tcPr>
          <w:p w14:paraId="483D16EC"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1263" w:type="dxa"/>
            <w:tcBorders>
              <w:top w:val="nil"/>
              <w:left w:val="nil"/>
              <w:bottom w:val="single" w:sz="4" w:space="0" w:color="auto"/>
              <w:right w:val="single" w:sz="4" w:space="0" w:color="auto"/>
            </w:tcBorders>
            <w:shd w:val="clear" w:color="auto" w:fill="auto"/>
            <w:noWrap/>
            <w:vAlign w:val="bottom"/>
            <w:hideMark/>
          </w:tcPr>
          <w:p w14:paraId="6AA544EE"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96" w:type="dxa"/>
            <w:tcBorders>
              <w:top w:val="nil"/>
              <w:left w:val="nil"/>
              <w:bottom w:val="single" w:sz="4" w:space="0" w:color="auto"/>
              <w:right w:val="single" w:sz="4" w:space="0" w:color="auto"/>
            </w:tcBorders>
            <w:shd w:val="clear" w:color="auto" w:fill="auto"/>
            <w:noWrap/>
            <w:vAlign w:val="bottom"/>
            <w:hideMark/>
          </w:tcPr>
          <w:p w14:paraId="61525F90"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3028EFE1"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761" w:type="dxa"/>
            <w:tcBorders>
              <w:top w:val="nil"/>
              <w:left w:val="nil"/>
              <w:bottom w:val="single" w:sz="4" w:space="0" w:color="auto"/>
              <w:right w:val="single" w:sz="4" w:space="0" w:color="auto"/>
            </w:tcBorders>
            <w:shd w:val="clear" w:color="auto" w:fill="auto"/>
            <w:noWrap/>
            <w:vAlign w:val="bottom"/>
            <w:hideMark/>
          </w:tcPr>
          <w:p w14:paraId="2D87590A"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80" w:type="dxa"/>
            <w:tcBorders>
              <w:top w:val="nil"/>
              <w:left w:val="nil"/>
              <w:bottom w:val="single" w:sz="4" w:space="0" w:color="auto"/>
              <w:right w:val="single" w:sz="4" w:space="0" w:color="auto"/>
            </w:tcBorders>
            <w:shd w:val="clear" w:color="auto" w:fill="auto"/>
            <w:noWrap/>
            <w:vAlign w:val="bottom"/>
            <w:hideMark/>
          </w:tcPr>
          <w:p w14:paraId="3C6FA75B"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hideMark/>
          </w:tcPr>
          <w:p w14:paraId="227415EB"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56,7</w:t>
            </w:r>
          </w:p>
        </w:tc>
      </w:tr>
      <w:tr w:rsidR="009371DC" w:rsidRPr="008860BA" w14:paraId="06110994" w14:textId="77777777" w:rsidTr="009371DC">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051368B4" w14:textId="32D94333" w:rsidR="009371DC" w:rsidRPr="008860BA" w:rsidRDefault="009371DC">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Protec</w:t>
            </w:r>
            <w:r w:rsidR="00E10604" w:rsidRPr="008860BA">
              <w:rPr>
                <w:rFonts w:asciiTheme="majorHAnsi" w:eastAsia="Times New Roman" w:hAnsiTheme="majorHAnsi" w:cstheme="majorHAnsi"/>
                <w:sz w:val="18"/>
                <w:szCs w:val="18"/>
                <w:lang w:val="ro-MD"/>
              </w:rPr>
              <w:t>ț</w:t>
            </w:r>
            <w:r w:rsidRPr="008860BA">
              <w:rPr>
                <w:rFonts w:asciiTheme="majorHAnsi" w:eastAsia="Times New Roman" w:hAnsiTheme="majorHAnsi" w:cstheme="majorHAnsi"/>
                <w:sz w:val="18"/>
                <w:szCs w:val="18"/>
                <w:lang w:val="ro-MD"/>
              </w:rPr>
              <w:t>ia muncii (produse alimentare)</w:t>
            </w:r>
          </w:p>
        </w:tc>
        <w:tc>
          <w:tcPr>
            <w:tcW w:w="673" w:type="dxa"/>
            <w:tcBorders>
              <w:top w:val="nil"/>
              <w:left w:val="nil"/>
              <w:bottom w:val="single" w:sz="4" w:space="0" w:color="auto"/>
              <w:right w:val="single" w:sz="4" w:space="0" w:color="auto"/>
            </w:tcBorders>
            <w:shd w:val="clear" w:color="auto" w:fill="auto"/>
            <w:noWrap/>
            <w:vAlign w:val="bottom"/>
            <w:hideMark/>
          </w:tcPr>
          <w:p w14:paraId="54A4826D"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462C82EA"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232,9</w:t>
            </w:r>
          </w:p>
        </w:tc>
        <w:tc>
          <w:tcPr>
            <w:tcW w:w="1218" w:type="dxa"/>
            <w:tcBorders>
              <w:top w:val="nil"/>
              <w:left w:val="nil"/>
              <w:bottom w:val="single" w:sz="4" w:space="0" w:color="auto"/>
              <w:right w:val="single" w:sz="4" w:space="0" w:color="auto"/>
            </w:tcBorders>
            <w:shd w:val="clear" w:color="auto" w:fill="auto"/>
            <w:noWrap/>
            <w:vAlign w:val="bottom"/>
            <w:hideMark/>
          </w:tcPr>
          <w:p w14:paraId="34A71364"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232,9</w:t>
            </w:r>
          </w:p>
        </w:tc>
        <w:tc>
          <w:tcPr>
            <w:tcW w:w="1137" w:type="dxa"/>
            <w:tcBorders>
              <w:top w:val="nil"/>
              <w:left w:val="nil"/>
              <w:bottom w:val="single" w:sz="4" w:space="0" w:color="auto"/>
              <w:right w:val="single" w:sz="4" w:space="0" w:color="auto"/>
            </w:tcBorders>
            <w:shd w:val="clear" w:color="auto" w:fill="auto"/>
            <w:hideMark/>
          </w:tcPr>
          <w:p w14:paraId="089FA8A4"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213,0</w:t>
            </w:r>
          </w:p>
        </w:tc>
        <w:tc>
          <w:tcPr>
            <w:tcW w:w="1263" w:type="dxa"/>
            <w:tcBorders>
              <w:top w:val="nil"/>
              <w:left w:val="nil"/>
              <w:bottom w:val="single" w:sz="4" w:space="0" w:color="auto"/>
              <w:right w:val="single" w:sz="4" w:space="0" w:color="auto"/>
            </w:tcBorders>
            <w:shd w:val="clear" w:color="auto" w:fill="auto"/>
            <w:noWrap/>
            <w:vAlign w:val="bottom"/>
            <w:hideMark/>
          </w:tcPr>
          <w:p w14:paraId="70154FBA"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96" w:type="dxa"/>
            <w:tcBorders>
              <w:top w:val="nil"/>
              <w:left w:val="nil"/>
              <w:bottom w:val="single" w:sz="4" w:space="0" w:color="auto"/>
              <w:right w:val="single" w:sz="4" w:space="0" w:color="auto"/>
            </w:tcBorders>
            <w:shd w:val="clear" w:color="auto" w:fill="auto"/>
            <w:noWrap/>
            <w:vAlign w:val="bottom"/>
            <w:hideMark/>
          </w:tcPr>
          <w:p w14:paraId="7CA07C97"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33D8ADF5"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761" w:type="dxa"/>
            <w:tcBorders>
              <w:top w:val="nil"/>
              <w:left w:val="nil"/>
              <w:bottom w:val="single" w:sz="4" w:space="0" w:color="auto"/>
              <w:right w:val="single" w:sz="4" w:space="0" w:color="auto"/>
            </w:tcBorders>
            <w:shd w:val="clear" w:color="auto" w:fill="auto"/>
            <w:noWrap/>
            <w:vAlign w:val="bottom"/>
            <w:hideMark/>
          </w:tcPr>
          <w:p w14:paraId="1A9668A6"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80" w:type="dxa"/>
            <w:tcBorders>
              <w:top w:val="nil"/>
              <w:left w:val="nil"/>
              <w:bottom w:val="single" w:sz="4" w:space="0" w:color="auto"/>
              <w:right w:val="single" w:sz="4" w:space="0" w:color="auto"/>
            </w:tcBorders>
            <w:shd w:val="clear" w:color="auto" w:fill="auto"/>
            <w:noWrap/>
            <w:vAlign w:val="bottom"/>
            <w:hideMark/>
          </w:tcPr>
          <w:p w14:paraId="17395736"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hideMark/>
          </w:tcPr>
          <w:p w14:paraId="0DD38138"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20,0</w:t>
            </w:r>
          </w:p>
        </w:tc>
      </w:tr>
      <w:tr w:rsidR="009371DC" w:rsidRPr="008860BA" w14:paraId="28908884" w14:textId="77777777" w:rsidTr="009371DC">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56A92A23" w14:textId="77777777" w:rsidR="009371DC" w:rsidRPr="008860BA" w:rsidRDefault="009371DC" w:rsidP="009371DC">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Rechizite de birou</w:t>
            </w:r>
          </w:p>
        </w:tc>
        <w:tc>
          <w:tcPr>
            <w:tcW w:w="673" w:type="dxa"/>
            <w:tcBorders>
              <w:top w:val="nil"/>
              <w:left w:val="nil"/>
              <w:bottom w:val="single" w:sz="4" w:space="0" w:color="auto"/>
              <w:right w:val="single" w:sz="4" w:space="0" w:color="auto"/>
            </w:tcBorders>
            <w:shd w:val="clear" w:color="auto" w:fill="auto"/>
            <w:noWrap/>
            <w:vAlign w:val="bottom"/>
            <w:hideMark/>
          </w:tcPr>
          <w:p w14:paraId="32C26379"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666EDBDE"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196,8</w:t>
            </w:r>
          </w:p>
        </w:tc>
        <w:tc>
          <w:tcPr>
            <w:tcW w:w="1218" w:type="dxa"/>
            <w:tcBorders>
              <w:top w:val="nil"/>
              <w:left w:val="nil"/>
              <w:bottom w:val="single" w:sz="4" w:space="0" w:color="auto"/>
              <w:right w:val="single" w:sz="4" w:space="0" w:color="auto"/>
            </w:tcBorders>
            <w:shd w:val="clear" w:color="auto" w:fill="auto"/>
            <w:noWrap/>
            <w:vAlign w:val="bottom"/>
            <w:hideMark/>
          </w:tcPr>
          <w:p w14:paraId="45F5B55B"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196,8</w:t>
            </w:r>
          </w:p>
        </w:tc>
        <w:tc>
          <w:tcPr>
            <w:tcW w:w="1137" w:type="dxa"/>
            <w:tcBorders>
              <w:top w:val="nil"/>
              <w:left w:val="nil"/>
              <w:bottom w:val="single" w:sz="4" w:space="0" w:color="auto"/>
              <w:right w:val="single" w:sz="4" w:space="0" w:color="auto"/>
            </w:tcBorders>
            <w:shd w:val="clear" w:color="auto" w:fill="auto"/>
            <w:hideMark/>
          </w:tcPr>
          <w:p w14:paraId="7E3B3880"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30,2</w:t>
            </w:r>
          </w:p>
        </w:tc>
        <w:tc>
          <w:tcPr>
            <w:tcW w:w="1263" w:type="dxa"/>
            <w:tcBorders>
              <w:top w:val="nil"/>
              <w:left w:val="nil"/>
              <w:bottom w:val="single" w:sz="4" w:space="0" w:color="auto"/>
              <w:right w:val="single" w:sz="4" w:space="0" w:color="auto"/>
            </w:tcBorders>
            <w:shd w:val="clear" w:color="auto" w:fill="auto"/>
            <w:noWrap/>
            <w:vAlign w:val="bottom"/>
            <w:hideMark/>
          </w:tcPr>
          <w:p w14:paraId="40F37B8A"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96" w:type="dxa"/>
            <w:tcBorders>
              <w:top w:val="nil"/>
              <w:left w:val="nil"/>
              <w:bottom w:val="single" w:sz="4" w:space="0" w:color="auto"/>
              <w:right w:val="single" w:sz="4" w:space="0" w:color="auto"/>
            </w:tcBorders>
            <w:shd w:val="clear" w:color="auto" w:fill="auto"/>
            <w:noWrap/>
            <w:vAlign w:val="bottom"/>
            <w:hideMark/>
          </w:tcPr>
          <w:p w14:paraId="57D72C7B"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74D2523B"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761" w:type="dxa"/>
            <w:tcBorders>
              <w:top w:val="nil"/>
              <w:left w:val="nil"/>
              <w:bottom w:val="single" w:sz="4" w:space="0" w:color="auto"/>
              <w:right w:val="single" w:sz="4" w:space="0" w:color="auto"/>
            </w:tcBorders>
            <w:shd w:val="clear" w:color="auto" w:fill="auto"/>
            <w:noWrap/>
            <w:vAlign w:val="bottom"/>
            <w:hideMark/>
          </w:tcPr>
          <w:p w14:paraId="43A9A2AF"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80" w:type="dxa"/>
            <w:tcBorders>
              <w:top w:val="nil"/>
              <w:left w:val="nil"/>
              <w:bottom w:val="single" w:sz="4" w:space="0" w:color="auto"/>
              <w:right w:val="single" w:sz="4" w:space="0" w:color="auto"/>
            </w:tcBorders>
            <w:shd w:val="clear" w:color="auto" w:fill="auto"/>
            <w:noWrap/>
            <w:vAlign w:val="bottom"/>
            <w:hideMark/>
          </w:tcPr>
          <w:p w14:paraId="5DD2FA26"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14,2</w:t>
            </w:r>
          </w:p>
        </w:tc>
        <w:tc>
          <w:tcPr>
            <w:tcW w:w="853" w:type="dxa"/>
            <w:tcBorders>
              <w:top w:val="nil"/>
              <w:left w:val="nil"/>
              <w:bottom w:val="single" w:sz="4" w:space="0" w:color="auto"/>
              <w:right w:val="single" w:sz="4" w:space="0" w:color="auto"/>
            </w:tcBorders>
            <w:shd w:val="clear" w:color="auto" w:fill="auto"/>
            <w:hideMark/>
          </w:tcPr>
          <w:p w14:paraId="01D37733"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152,5</w:t>
            </w:r>
          </w:p>
        </w:tc>
      </w:tr>
      <w:tr w:rsidR="009371DC" w:rsidRPr="008860BA" w14:paraId="36F4E7C1" w14:textId="77777777" w:rsidTr="009371DC">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4BD1F125" w14:textId="77777777" w:rsidR="009371DC" w:rsidRPr="008860BA" w:rsidRDefault="009371DC" w:rsidP="009371DC">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Remunerarea muncii</w:t>
            </w:r>
          </w:p>
        </w:tc>
        <w:tc>
          <w:tcPr>
            <w:tcW w:w="673" w:type="dxa"/>
            <w:tcBorders>
              <w:top w:val="nil"/>
              <w:left w:val="nil"/>
              <w:bottom w:val="single" w:sz="4" w:space="0" w:color="auto"/>
              <w:right w:val="single" w:sz="4" w:space="0" w:color="auto"/>
            </w:tcBorders>
            <w:shd w:val="clear" w:color="auto" w:fill="auto"/>
            <w:noWrap/>
            <w:vAlign w:val="bottom"/>
            <w:hideMark/>
          </w:tcPr>
          <w:p w14:paraId="501CE3F8"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7F627E87"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76.643,2</w:t>
            </w:r>
          </w:p>
        </w:tc>
        <w:tc>
          <w:tcPr>
            <w:tcW w:w="1218" w:type="dxa"/>
            <w:tcBorders>
              <w:top w:val="nil"/>
              <w:left w:val="nil"/>
              <w:bottom w:val="single" w:sz="4" w:space="0" w:color="auto"/>
              <w:right w:val="single" w:sz="4" w:space="0" w:color="auto"/>
            </w:tcBorders>
            <w:shd w:val="clear" w:color="auto" w:fill="auto"/>
            <w:noWrap/>
            <w:vAlign w:val="bottom"/>
            <w:hideMark/>
          </w:tcPr>
          <w:p w14:paraId="009CEE4B"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76.643,2</w:t>
            </w:r>
          </w:p>
        </w:tc>
        <w:tc>
          <w:tcPr>
            <w:tcW w:w="1137" w:type="dxa"/>
            <w:tcBorders>
              <w:top w:val="nil"/>
              <w:left w:val="nil"/>
              <w:bottom w:val="single" w:sz="4" w:space="0" w:color="auto"/>
              <w:right w:val="single" w:sz="4" w:space="0" w:color="auto"/>
            </w:tcBorders>
            <w:shd w:val="clear" w:color="auto" w:fill="auto"/>
            <w:hideMark/>
          </w:tcPr>
          <w:p w14:paraId="1F6E606E"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62.453,3</w:t>
            </w:r>
          </w:p>
        </w:tc>
        <w:tc>
          <w:tcPr>
            <w:tcW w:w="1263" w:type="dxa"/>
            <w:tcBorders>
              <w:top w:val="nil"/>
              <w:left w:val="nil"/>
              <w:bottom w:val="single" w:sz="4" w:space="0" w:color="auto"/>
              <w:right w:val="single" w:sz="4" w:space="0" w:color="auto"/>
            </w:tcBorders>
            <w:shd w:val="clear" w:color="auto" w:fill="auto"/>
            <w:hideMark/>
          </w:tcPr>
          <w:p w14:paraId="687623BE"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111,2</w:t>
            </w:r>
          </w:p>
        </w:tc>
        <w:tc>
          <w:tcPr>
            <w:tcW w:w="1196" w:type="dxa"/>
            <w:tcBorders>
              <w:top w:val="nil"/>
              <w:left w:val="nil"/>
              <w:bottom w:val="single" w:sz="4" w:space="0" w:color="auto"/>
              <w:right w:val="single" w:sz="4" w:space="0" w:color="auto"/>
            </w:tcBorders>
            <w:shd w:val="clear" w:color="auto" w:fill="auto"/>
            <w:noWrap/>
            <w:vAlign w:val="bottom"/>
            <w:hideMark/>
          </w:tcPr>
          <w:p w14:paraId="174615D1"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hideMark/>
          </w:tcPr>
          <w:p w14:paraId="76BFB05D"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8.175,0</w:t>
            </w:r>
          </w:p>
        </w:tc>
        <w:tc>
          <w:tcPr>
            <w:tcW w:w="761" w:type="dxa"/>
            <w:tcBorders>
              <w:top w:val="nil"/>
              <w:left w:val="nil"/>
              <w:bottom w:val="single" w:sz="4" w:space="0" w:color="auto"/>
              <w:right w:val="single" w:sz="4" w:space="0" w:color="auto"/>
            </w:tcBorders>
            <w:shd w:val="clear" w:color="auto" w:fill="auto"/>
            <w:hideMark/>
          </w:tcPr>
          <w:p w14:paraId="32DDDDE4"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2.033,5</w:t>
            </w:r>
          </w:p>
        </w:tc>
        <w:tc>
          <w:tcPr>
            <w:tcW w:w="880" w:type="dxa"/>
            <w:tcBorders>
              <w:top w:val="nil"/>
              <w:left w:val="nil"/>
              <w:bottom w:val="single" w:sz="4" w:space="0" w:color="auto"/>
              <w:right w:val="single" w:sz="4" w:space="0" w:color="auto"/>
            </w:tcBorders>
            <w:shd w:val="clear" w:color="auto" w:fill="auto"/>
            <w:hideMark/>
          </w:tcPr>
          <w:p w14:paraId="04964248"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411,9</w:t>
            </w:r>
          </w:p>
        </w:tc>
        <w:tc>
          <w:tcPr>
            <w:tcW w:w="853" w:type="dxa"/>
            <w:tcBorders>
              <w:top w:val="nil"/>
              <w:left w:val="nil"/>
              <w:bottom w:val="single" w:sz="4" w:space="0" w:color="auto"/>
              <w:right w:val="single" w:sz="4" w:space="0" w:color="auto"/>
            </w:tcBorders>
            <w:shd w:val="clear" w:color="auto" w:fill="auto"/>
            <w:hideMark/>
          </w:tcPr>
          <w:p w14:paraId="13797E74"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3.458,3</w:t>
            </w:r>
          </w:p>
        </w:tc>
      </w:tr>
      <w:tr w:rsidR="009371DC" w:rsidRPr="008860BA" w14:paraId="7655D478" w14:textId="77777777" w:rsidTr="009371DC">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6C6BB91E" w14:textId="53F3BF69" w:rsidR="009371DC" w:rsidRPr="008860BA" w:rsidRDefault="009371DC">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Repara</w:t>
            </w:r>
            <w:r w:rsidR="00E10604" w:rsidRPr="008860BA">
              <w:rPr>
                <w:rFonts w:asciiTheme="majorHAnsi" w:eastAsia="Times New Roman" w:hAnsiTheme="majorHAnsi" w:cstheme="majorHAnsi"/>
                <w:sz w:val="18"/>
                <w:szCs w:val="18"/>
                <w:lang w:val="ro-MD"/>
              </w:rPr>
              <w:t>ț</w:t>
            </w:r>
            <w:r w:rsidRPr="008860BA">
              <w:rPr>
                <w:rFonts w:asciiTheme="majorHAnsi" w:eastAsia="Times New Roman" w:hAnsiTheme="majorHAnsi" w:cstheme="majorHAnsi"/>
                <w:sz w:val="18"/>
                <w:szCs w:val="18"/>
                <w:lang w:val="ro-MD"/>
              </w:rPr>
              <w:t>ia curenta si deservirea MF</w:t>
            </w:r>
          </w:p>
        </w:tc>
        <w:tc>
          <w:tcPr>
            <w:tcW w:w="673" w:type="dxa"/>
            <w:tcBorders>
              <w:top w:val="nil"/>
              <w:left w:val="nil"/>
              <w:bottom w:val="single" w:sz="4" w:space="0" w:color="auto"/>
              <w:right w:val="single" w:sz="4" w:space="0" w:color="auto"/>
            </w:tcBorders>
            <w:shd w:val="clear" w:color="auto" w:fill="auto"/>
            <w:noWrap/>
            <w:vAlign w:val="bottom"/>
            <w:hideMark/>
          </w:tcPr>
          <w:p w14:paraId="7BA9A436"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360DB69C"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847,1</w:t>
            </w:r>
          </w:p>
        </w:tc>
        <w:tc>
          <w:tcPr>
            <w:tcW w:w="1218" w:type="dxa"/>
            <w:tcBorders>
              <w:top w:val="nil"/>
              <w:left w:val="nil"/>
              <w:bottom w:val="single" w:sz="4" w:space="0" w:color="auto"/>
              <w:right w:val="single" w:sz="4" w:space="0" w:color="auto"/>
            </w:tcBorders>
            <w:shd w:val="clear" w:color="auto" w:fill="auto"/>
            <w:noWrap/>
            <w:vAlign w:val="bottom"/>
            <w:hideMark/>
          </w:tcPr>
          <w:p w14:paraId="4723566A"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847,1</w:t>
            </w:r>
          </w:p>
        </w:tc>
        <w:tc>
          <w:tcPr>
            <w:tcW w:w="1137" w:type="dxa"/>
            <w:tcBorders>
              <w:top w:val="nil"/>
              <w:left w:val="nil"/>
              <w:bottom w:val="single" w:sz="4" w:space="0" w:color="auto"/>
              <w:right w:val="single" w:sz="4" w:space="0" w:color="auto"/>
            </w:tcBorders>
            <w:shd w:val="clear" w:color="auto" w:fill="auto"/>
            <w:hideMark/>
          </w:tcPr>
          <w:p w14:paraId="31B6EEE2"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608,1</w:t>
            </w:r>
          </w:p>
        </w:tc>
        <w:tc>
          <w:tcPr>
            <w:tcW w:w="1263" w:type="dxa"/>
            <w:tcBorders>
              <w:top w:val="nil"/>
              <w:left w:val="nil"/>
              <w:bottom w:val="single" w:sz="4" w:space="0" w:color="auto"/>
              <w:right w:val="single" w:sz="4" w:space="0" w:color="auto"/>
            </w:tcBorders>
            <w:shd w:val="clear" w:color="auto" w:fill="auto"/>
            <w:hideMark/>
          </w:tcPr>
          <w:p w14:paraId="51F72DCA"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61,0</w:t>
            </w:r>
          </w:p>
        </w:tc>
        <w:tc>
          <w:tcPr>
            <w:tcW w:w="1196" w:type="dxa"/>
            <w:tcBorders>
              <w:top w:val="nil"/>
              <w:left w:val="nil"/>
              <w:bottom w:val="single" w:sz="4" w:space="0" w:color="auto"/>
              <w:right w:val="single" w:sz="4" w:space="0" w:color="auto"/>
            </w:tcBorders>
            <w:shd w:val="clear" w:color="auto" w:fill="auto"/>
            <w:noWrap/>
            <w:vAlign w:val="bottom"/>
            <w:hideMark/>
          </w:tcPr>
          <w:p w14:paraId="12A4887C"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hideMark/>
          </w:tcPr>
          <w:p w14:paraId="4D14B851"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93,8</w:t>
            </w:r>
          </w:p>
        </w:tc>
        <w:tc>
          <w:tcPr>
            <w:tcW w:w="761" w:type="dxa"/>
            <w:tcBorders>
              <w:top w:val="nil"/>
              <w:left w:val="nil"/>
              <w:bottom w:val="single" w:sz="4" w:space="0" w:color="auto"/>
              <w:right w:val="single" w:sz="4" w:space="0" w:color="auto"/>
            </w:tcBorders>
            <w:shd w:val="clear" w:color="auto" w:fill="auto"/>
            <w:noWrap/>
            <w:vAlign w:val="bottom"/>
            <w:hideMark/>
          </w:tcPr>
          <w:p w14:paraId="2EEFC8E7"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80" w:type="dxa"/>
            <w:tcBorders>
              <w:top w:val="nil"/>
              <w:left w:val="nil"/>
              <w:bottom w:val="single" w:sz="4" w:space="0" w:color="auto"/>
              <w:right w:val="single" w:sz="4" w:space="0" w:color="auto"/>
            </w:tcBorders>
            <w:shd w:val="clear" w:color="auto" w:fill="auto"/>
            <w:noWrap/>
            <w:vAlign w:val="bottom"/>
            <w:hideMark/>
          </w:tcPr>
          <w:p w14:paraId="3FFB18B7"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66,8</w:t>
            </w:r>
          </w:p>
        </w:tc>
        <w:tc>
          <w:tcPr>
            <w:tcW w:w="853" w:type="dxa"/>
            <w:tcBorders>
              <w:top w:val="nil"/>
              <w:left w:val="nil"/>
              <w:bottom w:val="single" w:sz="4" w:space="0" w:color="auto"/>
              <w:right w:val="single" w:sz="4" w:space="0" w:color="auto"/>
            </w:tcBorders>
            <w:shd w:val="clear" w:color="auto" w:fill="auto"/>
            <w:hideMark/>
          </w:tcPr>
          <w:p w14:paraId="1EEFF34F"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17,4</w:t>
            </w:r>
          </w:p>
        </w:tc>
      </w:tr>
      <w:tr w:rsidR="009371DC" w:rsidRPr="008860BA" w14:paraId="2579B0F3" w14:textId="77777777" w:rsidTr="009371DC">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55C4F754" w14:textId="77777777" w:rsidR="009371DC" w:rsidRPr="008860BA" w:rsidRDefault="009371DC" w:rsidP="009371DC">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xml:space="preserve">Salubritatea, evacuarea deseurilor </w:t>
            </w:r>
          </w:p>
        </w:tc>
        <w:tc>
          <w:tcPr>
            <w:tcW w:w="673" w:type="dxa"/>
            <w:tcBorders>
              <w:top w:val="nil"/>
              <w:left w:val="nil"/>
              <w:bottom w:val="single" w:sz="4" w:space="0" w:color="auto"/>
              <w:right w:val="single" w:sz="4" w:space="0" w:color="auto"/>
            </w:tcBorders>
            <w:shd w:val="clear" w:color="auto" w:fill="auto"/>
            <w:noWrap/>
            <w:vAlign w:val="bottom"/>
            <w:hideMark/>
          </w:tcPr>
          <w:p w14:paraId="0051358D"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46800224"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617,9</w:t>
            </w:r>
          </w:p>
        </w:tc>
        <w:tc>
          <w:tcPr>
            <w:tcW w:w="1218" w:type="dxa"/>
            <w:tcBorders>
              <w:top w:val="nil"/>
              <w:left w:val="nil"/>
              <w:bottom w:val="single" w:sz="4" w:space="0" w:color="auto"/>
              <w:right w:val="single" w:sz="4" w:space="0" w:color="auto"/>
            </w:tcBorders>
            <w:shd w:val="clear" w:color="auto" w:fill="auto"/>
            <w:noWrap/>
            <w:vAlign w:val="bottom"/>
            <w:hideMark/>
          </w:tcPr>
          <w:p w14:paraId="37DF0775"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617,9</w:t>
            </w:r>
          </w:p>
        </w:tc>
        <w:tc>
          <w:tcPr>
            <w:tcW w:w="1137" w:type="dxa"/>
            <w:tcBorders>
              <w:top w:val="nil"/>
              <w:left w:val="nil"/>
              <w:bottom w:val="single" w:sz="4" w:space="0" w:color="auto"/>
              <w:right w:val="single" w:sz="4" w:space="0" w:color="auto"/>
            </w:tcBorders>
            <w:shd w:val="clear" w:color="auto" w:fill="auto"/>
            <w:hideMark/>
          </w:tcPr>
          <w:p w14:paraId="022DD658"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364,2</w:t>
            </w:r>
          </w:p>
        </w:tc>
        <w:tc>
          <w:tcPr>
            <w:tcW w:w="1263" w:type="dxa"/>
            <w:tcBorders>
              <w:top w:val="nil"/>
              <w:left w:val="nil"/>
              <w:bottom w:val="single" w:sz="4" w:space="0" w:color="auto"/>
              <w:right w:val="single" w:sz="4" w:space="0" w:color="auto"/>
            </w:tcBorders>
            <w:shd w:val="clear" w:color="auto" w:fill="auto"/>
            <w:noWrap/>
            <w:vAlign w:val="bottom"/>
            <w:hideMark/>
          </w:tcPr>
          <w:p w14:paraId="3384A258"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96" w:type="dxa"/>
            <w:tcBorders>
              <w:top w:val="nil"/>
              <w:left w:val="nil"/>
              <w:bottom w:val="single" w:sz="4" w:space="0" w:color="auto"/>
              <w:right w:val="single" w:sz="4" w:space="0" w:color="auto"/>
            </w:tcBorders>
            <w:shd w:val="clear" w:color="auto" w:fill="auto"/>
            <w:noWrap/>
            <w:vAlign w:val="bottom"/>
            <w:hideMark/>
          </w:tcPr>
          <w:p w14:paraId="0254E28A"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hideMark/>
          </w:tcPr>
          <w:p w14:paraId="0D838713"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162,3</w:t>
            </w:r>
          </w:p>
        </w:tc>
        <w:tc>
          <w:tcPr>
            <w:tcW w:w="761" w:type="dxa"/>
            <w:tcBorders>
              <w:top w:val="nil"/>
              <w:left w:val="nil"/>
              <w:bottom w:val="single" w:sz="4" w:space="0" w:color="auto"/>
              <w:right w:val="single" w:sz="4" w:space="0" w:color="auto"/>
            </w:tcBorders>
            <w:shd w:val="clear" w:color="auto" w:fill="auto"/>
            <w:noWrap/>
            <w:vAlign w:val="bottom"/>
            <w:hideMark/>
          </w:tcPr>
          <w:p w14:paraId="09E1AD90"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80" w:type="dxa"/>
            <w:tcBorders>
              <w:top w:val="nil"/>
              <w:left w:val="nil"/>
              <w:bottom w:val="single" w:sz="4" w:space="0" w:color="auto"/>
              <w:right w:val="single" w:sz="4" w:space="0" w:color="auto"/>
            </w:tcBorders>
            <w:shd w:val="clear" w:color="auto" w:fill="auto"/>
            <w:noWrap/>
            <w:vAlign w:val="bottom"/>
            <w:hideMark/>
          </w:tcPr>
          <w:p w14:paraId="31CC26A2"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91,4</w:t>
            </w:r>
          </w:p>
        </w:tc>
        <w:tc>
          <w:tcPr>
            <w:tcW w:w="853" w:type="dxa"/>
            <w:tcBorders>
              <w:top w:val="nil"/>
              <w:left w:val="nil"/>
              <w:bottom w:val="single" w:sz="4" w:space="0" w:color="auto"/>
              <w:right w:val="single" w:sz="4" w:space="0" w:color="auto"/>
            </w:tcBorders>
            <w:shd w:val="clear" w:color="auto" w:fill="auto"/>
            <w:noWrap/>
            <w:vAlign w:val="bottom"/>
            <w:hideMark/>
          </w:tcPr>
          <w:p w14:paraId="7FF2ECF7"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r>
      <w:tr w:rsidR="009371DC" w:rsidRPr="008860BA" w14:paraId="1F780A1F" w14:textId="77777777" w:rsidTr="009371DC">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48861F70" w14:textId="77777777" w:rsidR="009371DC" w:rsidRPr="008860BA" w:rsidRDefault="009371DC" w:rsidP="009371DC">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xml:space="preserve">Servicii medicale </w:t>
            </w:r>
          </w:p>
        </w:tc>
        <w:tc>
          <w:tcPr>
            <w:tcW w:w="673" w:type="dxa"/>
            <w:tcBorders>
              <w:top w:val="nil"/>
              <w:left w:val="nil"/>
              <w:bottom w:val="single" w:sz="4" w:space="0" w:color="auto"/>
              <w:right w:val="single" w:sz="4" w:space="0" w:color="auto"/>
            </w:tcBorders>
            <w:shd w:val="clear" w:color="auto" w:fill="auto"/>
            <w:noWrap/>
            <w:vAlign w:val="bottom"/>
            <w:hideMark/>
          </w:tcPr>
          <w:p w14:paraId="5C70D843"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7025749A"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420,2</w:t>
            </w:r>
          </w:p>
        </w:tc>
        <w:tc>
          <w:tcPr>
            <w:tcW w:w="1218" w:type="dxa"/>
            <w:tcBorders>
              <w:top w:val="nil"/>
              <w:left w:val="nil"/>
              <w:bottom w:val="single" w:sz="4" w:space="0" w:color="auto"/>
              <w:right w:val="single" w:sz="4" w:space="0" w:color="auto"/>
            </w:tcBorders>
            <w:shd w:val="clear" w:color="auto" w:fill="auto"/>
            <w:noWrap/>
            <w:vAlign w:val="bottom"/>
            <w:hideMark/>
          </w:tcPr>
          <w:p w14:paraId="67F73838"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420,2</w:t>
            </w:r>
          </w:p>
        </w:tc>
        <w:tc>
          <w:tcPr>
            <w:tcW w:w="1137" w:type="dxa"/>
            <w:tcBorders>
              <w:top w:val="nil"/>
              <w:left w:val="nil"/>
              <w:bottom w:val="single" w:sz="4" w:space="0" w:color="auto"/>
              <w:right w:val="single" w:sz="4" w:space="0" w:color="auto"/>
            </w:tcBorders>
            <w:shd w:val="clear" w:color="auto" w:fill="auto"/>
            <w:hideMark/>
          </w:tcPr>
          <w:p w14:paraId="1234BB5A"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401,8</w:t>
            </w:r>
          </w:p>
        </w:tc>
        <w:tc>
          <w:tcPr>
            <w:tcW w:w="1263" w:type="dxa"/>
            <w:tcBorders>
              <w:top w:val="nil"/>
              <w:left w:val="nil"/>
              <w:bottom w:val="single" w:sz="4" w:space="0" w:color="auto"/>
              <w:right w:val="single" w:sz="4" w:space="0" w:color="auto"/>
            </w:tcBorders>
            <w:shd w:val="clear" w:color="auto" w:fill="auto"/>
            <w:noWrap/>
            <w:vAlign w:val="bottom"/>
            <w:hideMark/>
          </w:tcPr>
          <w:p w14:paraId="0C041A9B"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96" w:type="dxa"/>
            <w:tcBorders>
              <w:top w:val="nil"/>
              <w:left w:val="nil"/>
              <w:bottom w:val="single" w:sz="4" w:space="0" w:color="auto"/>
              <w:right w:val="single" w:sz="4" w:space="0" w:color="auto"/>
            </w:tcBorders>
            <w:shd w:val="clear" w:color="auto" w:fill="auto"/>
            <w:noWrap/>
            <w:vAlign w:val="bottom"/>
            <w:hideMark/>
          </w:tcPr>
          <w:p w14:paraId="147D548C"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27214718"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761" w:type="dxa"/>
            <w:tcBorders>
              <w:top w:val="nil"/>
              <w:left w:val="nil"/>
              <w:bottom w:val="single" w:sz="4" w:space="0" w:color="auto"/>
              <w:right w:val="single" w:sz="4" w:space="0" w:color="auto"/>
            </w:tcBorders>
            <w:shd w:val="clear" w:color="auto" w:fill="auto"/>
            <w:noWrap/>
            <w:vAlign w:val="bottom"/>
            <w:hideMark/>
          </w:tcPr>
          <w:p w14:paraId="42B11B17"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80" w:type="dxa"/>
            <w:tcBorders>
              <w:top w:val="nil"/>
              <w:left w:val="nil"/>
              <w:bottom w:val="single" w:sz="4" w:space="0" w:color="auto"/>
              <w:right w:val="single" w:sz="4" w:space="0" w:color="auto"/>
            </w:tcBorders>
            <w:shd w:val="clear" w:color="auto" w:fill="auto"/>
            <w:noWrap/>
            <w:vAlign w:val="bottom"/>
            <w:hideMark/>
          </w:tcPr>
          <w:p w14:paraId="1F69241D"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0,0</w:t>
            </w:r>
          </w:p>
        </w:tc>
        <w:tc>
          <w:tcPr>
            <w:tcW w:w="853" w:type="dxa"/>
            <w:tcBorders>
              <w:top w:val="nil"/>
              <w:left w:val="nil"/>
              <w:bottom w:val="single" w:sz="4" w:space="0" w:color="auto"/>
              <w:right w:val="single" w:sz="4" w:space="0" w:color="auto"/>
            </w:tcBorders>
            <w:shd w:val="clear" w:color="auto" w:fill="auto"/>
            <w:hideMark/>
          </w:tcPr>
          <w:p w14:paraId="1F9B2F73"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18,4</w:t>
            </w:r>
          </w:p>
        </w:tc>
      </w:tr>
      <w:tr w:rsidR="009371DC" w:rsidRPr="008860BA" w14:paraId="69930B43" w14:textId="77777777" w:rsidTr="009371DC">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5B291BB4" w14:textId="49030EB6" w:rsidR="009371DC" w:rsidRPr="008860BA" w:rsidRDefault="009371DC">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Suport sistem informa</w:t>
            </w:r>
            <w:r w:rsidR="00E10604" w:rsidRPr="008860BA">
              <w:rPr>
                <w:rFonts w:asciiTheme="majorHAnsi" w:eastAsia="Times New Roman" w:hAnsiTheme="majorHAnsi" w:cstheme="majorHAnsi"/>
                <w:sz w:val="18"/>
                <w:szCs w:val="18"/>
                <w:lang w:val="ro-MD"/>
              </w:rPr>
              <w:t>ț</w:t>
            </w:r>
            <w:r w:rsidRPr="008860BA">
              <w:rPr>
                <w:rFonts w:asciiTheme="majorHAnsi" w:eastAsia="Times New Roman" w:hAnsiTheme="majorHAnsi" w:cstheme="majorHAnsi"/>
                <w:sz w:val="18"/>
                <w:szCs w:val="18"/>
                <w:lang w:val="ro-MD"/>
              </w:rPr>
              <w:t>ional</w:t>
            </w:r>
          </w:p>
        </w:tc>
        <w:tc>
          <w:tcPr>
            <w:tcW w:w="673" w:type="dxa"/>
            <w:tcBorders>
              <w:top w:val="nil"/>
              <w:left w:val="nil"/>
              <w:bottom w:val="single" w:sz="4" w:space="0" w:color="auto"/>
              <w:right w:val="single" w:sz="4" w:space="0" w:color="auto"/>
            </w:tcBorders>
            <w:shd w:val="clear" w:color="auto" w:fill="auto"/>
            <w:noWrap/>
            <w:vAlign w:val="bottom"/>
            <w:hideMark/>
          </w:tcPr>
          <w:p w14:paraId="5318BD6E"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7727F428"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518,6</w:t>
            </w:r>
          </w:p>
        </w:tc>
        <w:tc>
          <w:tcPr>
            <w:tcW w:w="1218" w:type="dxa"/>
            <w:tcBorders>
              <w:top w:val="nil"/>
              <w:left w:val="nil"/>
              <w:bottom w:val="single" w:sz="4" w:space="0" w:color="auto"/>
              <w:right w:val="single" w:sz="4" w:space="0" w:color="auto"/>
            </w:tcBorders>
            <w:shd w:val="clear" w:color="auto" w:fill="auto"/>
            <w:noWrap/>
            <w:vAlign w:val="bottom"/>
            <w:hideMark/>
          </w:tcPr>
          <w:p w14:paraId="52CEA282"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518,6</w:t>
            </w:r>
          </w:p>
        </w:tc>
        <w:tc>
          <w:tcPr>
            <w:tcW w:w="1137" w:type="dxa"/>
            <w:tcBorders>
              <w:top w:val="nil"/>
              <w:left w:val="nil"/>
              <w:bottom w:val="single" w:sz="4" w:space="0" w:color="auto"/>
              <w:right w:val="single" w:sz="4" w:space="0" w:color="auto"/>
            </w:tcBorders>
            <w:shd w:val="clear" w:color="auto" w:fill="auto"/>
            <w:hideMark/>
          </w:tcPr>
          <w:p w14:paraId="5C3D385B"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509,2</w:t>
            </w:r>
          </w:p>
        </w:tc>
        <w:tc>
          <w:tcPr>
            <w:tcW w:w="1263" w:type="dxa"/>
            <w:tcBorders>
              <w:top w:val="nil"/>
              <w:left w:val="nil"/>
              <w:bottom w:val="single" w:sz="4" w:space="0" w:color="auto"/>
              <w:right w:val="single" w:sz="4" w:space="0" w:color="auto"/>
            </w:tcBorders>
            <w:shd w:val="clear" w:color="auto" w:fill="auto"/>
            <w:noWrap/>
            <w:vAlign w:val="bottom"/>
            <w:hideMark/>
          </w:tcPr>
          <w:p w14:paraId="33A7E0D0"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96" w:type="dxa"/>
            <w:tcBorders>
              <w:top w:val="nil"/>
              <w:left w:val="nil"/>
              <w:bottom w:val="single" w:sz="4" w:space="0" w:color="auto"/>
              <w:right w:val="single" w:sz="4" w:space="0" w:color="auto"/>
            </w:tcBorders>
            <w:shd w:val="clear" w:color="auto" w:fill="auto"/>
            <w:noWrap/>
            <w:vAlign w:val="bottom"/>
            <w:hideMark/>
          </w:tcPr>
          <w:p w14:paraId="4A6858AA"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201E4814"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761" w:type="dxa"/>
            <w:tcBorders>
              <w:top w:val="nil"/>
              <w:left w:val="nil"/>
              <w:bottom w:val="single" w:sz="4" w:space="0" w:color="auto"/>
              <w:right w:val="single" w:sz="4" w:space="0" w:color="auto"/>
            </w:tcBorders>
            <w:shd w:val="clear" w:color="auto" w:fill="auto"/>
            <w:noWrap/>
            <w:vAlign w:val="bottom"/>
            <w:hideMark/>
          </w:tcPr>
          <w:p w14:paraId="44BFE455"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80" w:type="dxa"/>
            <w:tcBorders>
              <w:top w:val="nil"/>
              <w:left w:val="nil"/>
              <w:bottom w:val="single" w:sz="4" w:space="0" w:color="auto"/>
              <w:right w:val="single" w:sz="4" w:space="0" w:color="auto"/>
            </w:tcBorders>
            <w:shd w:val="clear" w:color="auto" w:fill="auto"/>
            <w:hideMark/>
          </w:tcPr>
          <w:p w14:paraId="10A76C25"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9,4</w:t>
            </w:r>
          </w:p>
        </w:tc>
        <w:tc>
          <w:tcPr>
            <w:tcW w:w="853" w:type="dxa"/>
            <w:tcBorders>
              <w:top w:val="nil"/>
              <w:left w:val="nil"/>
              <w:bottom w:val="single" w:sz="4" w:space="0" w:color="auto"/>
              <w:right w:val="single" w:sz="4" w:space="0" w:color="auto"/>
            </w:tcBorders>
            <w:shd w:val="clear" w:color="auto" w:fill="auto"/>
            <w:noWrap/>
            <w:vAlign w:val="bottom"/>
            <w:hideMark/>
          </w:tcPr>
          <w:p w14:paraId="01EC8410"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r>
      <w:tr w:rsidR="009371DC" w:rsidRPr="008860BA" w14:paraId="4118834A" w14:textId="77777777" w:rsidTr="009371DC">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4924050C" w14:textId="155847B8" w:rsidR="009371DC" w:rsidRPr="008860BA" w:rsidRDefault="009371DC">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Taxa pentru drepturile de import</w:t>
            </w:r>
            <w:r w:rsidR="00E10604" w:rsidRPr="008860BA">
              <w:rPr>
                <w:rFonts w:asciiTheme="majorHAnsi" w:eastAsia="Times New Roman" w:hAnsiTheme="majorHAnsi" w:cstheme="majorHAnsi"/>
                <w:sz w:val="18"/>
                <w:szCs w:val="18"/>
                <w:lang w:val="ro-MD"/>
              </w:rPr>
              <w:t>-</w:t>
            </w:r>
            <w:r w:rsidRPr="008860BA">
              <w:rPr>
                <w:rFonts w:asciiTheme="majorHAnsi" w:eastAsia="Times New Roman" w:hAnsiTheme="majorHAnsi" w:cstheme="majorHAnsi"/>
                <w:sz w:val="18"/>
                <w:szCs w:val="18"/>
                <w:lang w:val="ro-MD"/>
              </w:rPr>
              <w:t>export</w:t>
            </w:r>
          </w:p>
        </w:tc>
        <w:tc>
          <w:tcPr>
            <w:tcW w:w="673" w:type="dxa"/>
            <w:tcBorders>
              <w:top w:val="nil"/>
              <w:left w:val="nil"/>
              <w:bottom w:val="single" w:sz="4" w:space="0" w:color="auto"/>
              <w:right w:val="single" w:sz="4" w:space="0" w:color="auto"/>
            </w:tcBorders>
            <w:shd w:val="clear" w:color="auto" w:fill="auto"/>
            <w:noWrap/>
            <w:vAlign w:val="bottom"/>
            <w:hideMark/>
          </w:tcPr>
          <w:p w14:paraId="05E289EF"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5ED250DE"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3,2</w:t>
            </w:r>
          </w:p>
        </w:tc>
        <w:tc>
          <w:tcPr>
            <w:tcW w:w="1218" w:type="dxa"/>
            <w:tcBorders>
              <w:top w:val="nil"/>
              <w:left w:val="nil"/>
              <w:bottom w:val="single" w:sz="4" w:space="0" w:color="auto"/>
              <w:right w:val="single" w:sz="4" w:space="0" w:color="auto"/>
            </w:tcBorders>
            <w:shd w:val="clear" w:color="auto" w:fill="auto"/>
            <w:noWrap/>
            <w:vAlign w:val="bottom"/>
            <w:hideMark/>
          </w:tcPr>
          <w:p w14:paraId="45753395"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3,2</w:t>
            </w:r>
          </w:p>
        </w:tc>
        <w:tc>
          <w:tcPr>
            <w:tcW w:w="1137" w:type="dxa"/>
            <w:tcBorders>
              <w:top w:val="nil"/>
              <w:left w:val="nil"/>
              <w:bottom w:val="single" w:sz="4" w:space="0" w:color="auto"/>
              <w:right w:val="single" w:sz="4" w:space="0" w:color="auto"/>
            </w:tcBorders>
            <w:shd w:val="clear" w:color="auto" w:fill="auto"/>
            <w:hideMark/>
          </w:tcPr>
          <w:p w14:paraId="3C48BA4A"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1263" w:type="dxa"/>
            <w:tcBorders>
              <w:top w:val="nil"/>
              <w:left w:val="nil"/>
              <w:bottom w:val="single" w:sz="4" w:space="0" w:color="auto"/>
              <w:right w:val="single" w:sz="4" w:space="0" w:color="auto"/>
            </w:tcBorders>
            <w:shd w:val="clear" w:color="auto" w:fill="auto"/>
            <w:noWrap/>
            <w:vAlign w:val="bottom"/>
            <w:hideMark/>
          </w:tcPr>
          <w:p w14:paraId="4D1F7695"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96" w:type="dxa"/>
            <w:tcBorders>
              <w:top w:val="nil"/>
              <w:left w:val="nil"/>
              <w:bottom w:val="single" w:sz="4" w:space="0" w:color="auto"/>
              <w:right w:val="single" w:sz="4" w:space="0" w:color="auto"/>
            </w:tcBorders>
            <w:shd w:val="clear" w:color="auto" w:fill="auto"/>
            <w:noWrap/>
            <w:vAlign w:val="bottom"/>
            <w:hideMark/>
          </w:tcPr>
          <w:p w14:paraId="4B1519D4"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038CC2D8"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761" w:type="dxa"/>
            <w:tcBorders>
              <w:top w:val="nil"/>
              <w:left w:val="nil"/>
              <w:bottom w:val="single" w:sz="4" w:space="0" w:color="auto"/>
              <w:right w:val="single" w:sz="4" w:space="0" w:color="auto"/>
            </w:tcBorders>
            <w:shd w:val="clear" w:color="auto" w:fill="auto"/>
            <w:noWrap/>
            <w:vAlign w:val="bottom"/>
            <w:hideMark/>
          </w:tcPr>
          <w:p w14:paraId="4A1B905D"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80" w:type="dxa"/>
            <w:tcBorders>
              <w:top w:val="nil"/>
              <w:left w:val="nil"/>
              <w:bottom w:val="single" w:sz="4" w:space="0" w:color="auto"/>
              <w:right w:val="single" w:sz="4" w:space="0" w:color="auto"/>
            </w:tcBorders>
            <w:shd w:val="clear" w:color="auto" w:fill="auto"/>
            <w:hideMark/>
          </w:tcPr>
          <w:p w14:paraId="1E7E2CF5"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853" w:type="dxa"/>
            <w:tcBorders>
              <w:top w:val="nil"/>
              <w:left w:val="nil"/>
              <w:bottom w:val="single" w:sz="4" w:space="0" w:color="auto"/>
              <w:right w:val="single" w:sz="4" w:space="0" w:color="auto"/>
            </w:tcBorders>
            <w:shd w:val="clear" w:color="auto" w:fill="auto"/>
            <w:hideMark/>
          </w:tcPr>
          <w:p w14:paraId="698F7F6E"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3,2</w:t>
            </w:r>
          </w:p>
        </w:tc>
      </w:tr>
      <w:tr w:rsidR="009371DC" w:rsidRPr="008860BA" w14:paraId="27581E9E" w14:textId="77777777" w:rsidTr="009371DC">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64719009" w14:textId="76C40B06" w:rsidR="009371DC" w:rsidRPr="008860BA" w:rsidRDefault="009371DC">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Taxa pentru achizi</w:t>
            </w:r>
            <w:r w:rsidR="00E10604" w:rsidRPr="008860BA">
              <w:rPr>
                <w:rFonts w:asciiTheme="majorHAnsi" w:eastAsia="Times New Roman" w:hAnsiTheme="majorHAnsi" w:cstheme="majorHAnsi"/>
                <w:sz w:val="18"/>
                <w:szCs w:val="18"/>
                <w:lang w:val="ro-MD"/>
              </w:rPr>
              <w:t>ț</w:t>
            </w:r>
            <w:r w:rsidRPr="008860BA">
              <w:rPr>
                <w:rFonts w:asciiTheme="majorHAnsi" w:eastAsia="Times New Roman" w:hAnsiTheme="majorHAnsi" w:cstheme="majorHAnsi"/>
                <w:sz w:val="18"/>
                <w:szCs w:val="18"/>
                <w:lang w:val="ro-MD"/>
              </w:rPr>
              <w:t>ii publice</w:t>
            </w:r>
          </w:p>
        </w:tc>
        <w:tc>
          <w:tcPr>
            <w:tcW w:w="673" w:type="dxa"/>
            <w:tcBorders>
              <w:top w:val="nil"/>
              <w:left w:val="nil"/>
              <w:bottom w:val="single" w:sz="4" w:space="0" w:color="auto"/>
              <w:right w:val="single" w:sz="4" w:space="0" w:color="auto"/>
            </w:tcBorders>
            <w:shd w:val="clear" w:color="auto" w:fill="auto"/>
            <w:noWrap/>
            <w:vAlign w:val="bottom"/>
            <w:hideMark/>
          </w:tcPr>
          <w:p w14:paraId="73AFA785"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34BA9BFE"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46,9</w:t>
            </w:r>
          </w:p>
        </w:tc>
        <w:tc>
          <w:tcPr>
            <w:tcW w:w="1218" w:type="dxa"/>
            <w:tcBorders>
              <w:top w:val="nil"/>
              <w:left w:val="nil"/>
              <w:bottom w:val="single" w:sz="4" w:space="0" w:color="auto"/>
              <w:right w:val="single" w:sz="4" w:space="0" w:color="auto"/>
            </w:tcBorders>
            <w:shd w:val="clear" w:color="auto" w:fill="auto"/>
            <w:noWrap/>
            <w:vAlign w:val="bottom"/>
            <w:hideMark/>
          </w:tcPr>
          <w:p w14:paraId="75FF30B8"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46,9</w:t>
            </w:r>
          </w:p>
        </w:tc>
        <w:tc>
          <w:tcPr>
            <w:tcW w:w="1137" w:type="dxa"/>
            <w:tcBorders>
              <w:top w:val="nil"/>
              <w:left w:val="nil"/>
              <w:bottom w:val="single" w:sz="4" w:space="0" w:color="auto"/>
              <w:right w:val="single" w:sz="4" w:space="0" w:color="auto"/>
            </w:tcBorders>
            <w:shd w:val="clear" w:color="auto" w:fill="auto"/>
            <w:hideMark/>
          </w:tcPr>
          <w:p w14:paraId="59FCEDB1"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32,5</w:t>
            </w:r>
          </w:p>
        </w:tc>
        <w:tc>
          <w:tcPr>
            <w:tcW w:w="1263" w:type="dxa"/>
            <w:tcBorders>
              <w:top w:val="nil"/>
              <w:left w:val="nil"/>
              <w:bottom w:val="single" w:sz="4" w:space="0" w:color="auto"/>
              <w:right w:val="single" w:sz="4" w:space="0" w:color="auto"/>
            </w:tcBorders>
            <w:shd w:val="clear" w:color="auto" w:fill="auto"/>
            <w:noWrap/>
            <w:vAlign w:val="bottom"/>
            <w:hideMark/>
          </w:tcPr>
          <w:p w14:paraId="57377A0A"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96" w:type="dxa"/>
            <w:tcBorders>
              <w:top w:val="nil"/>
              <w:left w:val="nil"/>
              <w:bottom w:val="single" w:sz="4" w:space="0" w:color="auto"/>
              <w:right w:val="single" w:sz="4" w:space="0" w:color="auto"/>
            </w:tcBorders>
            <w:shd w:val="clear" w:color="auto" w:fill="auto"/>
            <w:noWrap/>
            <w:vAlign w:val="bottom"/>
            <w:hideMark/>
          </w:tcPr>
          <w:p w14:paraId="0651AA34"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hideMark/>
          </w:tcPr>
          <w:p w14:paraId="05FB34D5"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14,4</w:t>
            </w:r>
          </w:p>
        </w:tc>
        <w:tc>
          <w:tcPr>
            <w:tcW w:w="761" w:type="dxa"/>
            <w:tcBorders>
              <w:top w:val="nil"/>
              <w:left w:val="nil"/>
              <w:bottom w:val="single" w:sz="4" w:space="0" w:color="auto"/>
              <w:right w:val="single" w:sz="4" w:space="0" w:color="auto"/>
            </w:tcBorders>
            <w:shd w:val="clear" w:color="auto" w:fill="auto"/>
            <w:noWrap/>
            <w:vAlign w:val="bottom"/>
            <w:hideMark/>
          </w:tcPr>
          <w:p w14:paraId="11267BBD"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80" w:type="dxa"/>
            <w:tcBorders>
              <w:top w:val="nil"/>
              <w:left w:val="nil"/>
              <w:bottom w:val="single" w:sz="4" w:space="0" w:color="auto"/>
              <w:right w:val="single" w:sz="4" w:space="0" w:color="auto"/>
            </w:tcBorders>
            <w:shd w:val="clear" w:color="auto" w:fill="auto"/>
            <w:noWrap/>
            <w:vAlign w:val="bottom"/>
            <w:hideMark/>
          </w:tcPr>
          <w:p w14:paraId="0C65C985"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37F0AE36"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r>
      <w:tr w:rsidR="009371DC" w:rsidRPr="008860BA" w14:paraId="74239678" w14:textId="77777777" w:rsidTr="009371DC">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7A9B546F" w14:textId="77777777" w:rsidR="009371DC" w:rsidRPr="008860BA" w:rsidRDefault="009371DC" w:rsidP="009371DC">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Transfer intern</w:t>
            </w:r>
          </w:p>
        </w:tc>
        <w:tc>
          <w:tcPr>
            <w:tcW w:w="673" w:type="dxa"/>
            <w:tcBorders>
              <w:top w:val="nil"/>
              <w:left w:val="nil"/>
              <w:bottom w:val="single" w:sz="4" w:space="0" w:color="auto"/>
              <w:right w:val="single" w:sz="4" w:space="0" w:color="auto"/>
            </w:tcBorders>
            <w:shd w:val="clear" w:color="auto" w:fill="auto"/>
            <w:noWrap/>
            <w:vAlign w:val="bottom"/>
            <w:hideMark/>
          </w:tcPr>
          <w:p w14:paraId="340319A4"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75FB7108"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1,4</w:t>
            </w:r>
          </w:p>
        </w:tc>
        <w:tc>
          <w:tcPr>
            <w:tcW w:w="1218" w:type="dxa"/>
            <w:tcBorders>
              <w:top w:val="nil"/>
              <w:left w:val="nil"/>
              <w:bottom w:val="single" w:sz="4" w:space="0" w:color="auto"/>
              <w:right w:val="single" w:sz="4" w:space="0" w:color="auto"/>
            </w:tcBorders>
            <w:shd w:val="clear" w:color="auto" w:fill="auto"/>
            <w:noWrap/>
            <w:vAlign w:val="bottom"/>
            <w:hideMark/>
          </w:tcPr>
          <w:p w14:paraId="4A2C328C"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1,4</w:t>
            </w:r>
          </w:p>
        </w:tc>
        <w:tc>
          <w:tcPr>
            <w:tcW w:w="1137" w:type="dxa"/>
            <w:tcBorders>
              <w:top w:val="nil"/>
              <w:left w:val="nil"/>
              <w:bottom w:val="single" w:sz="4" w:space="0" w:color="auto"/>
              <w:right w:val="single" w:sz="4" w:space="0" w:color="auto"/>
            </w:tcBorders>
            <w:shd w:val="clear" w:color="auto" w:fill="auto"/>
            <w:hideMark/>
          </w:tcPr>
          <w:p w14:paraId="1C9BFB67"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1263" w:type="dxa"/>
            <w:tcBorders>
              <w:top w:val="nil"/>
              <w:left w:val="nil"/>
              <w:bottom w:val="single" w:sz="4" w:space="0" w:color="auto"/>
              <w:right w:val="single" w:sz="4" w:space="0" w:color="auto"/>
            </w:tcBorders>
            <w:shd w:val="clear" w:color="auto" w:fill="auto"/>
            <w:noWrap/>
            <w:vAlign w:val="bottom"/>
            <w:hideMark/>
          </w:tcPr>
          <w:p w14:paraId="27087064"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96" w:type="dxa"/>
            <w:tcBorders>
              <w:top w:val="nil"/>
              <w:left w:val="nil"/>
              <w:bottom w:val="single" w:sz="4" w:space="0" w:color="auto"/>
              <w:right w:val="single" w:sz="4" w:space="0" w:color="auto"/>
            </w:tcBorders>
            <w:shd w:val="clear" w:color="auto" w:fill="auto"/>
            <w:noWrap/>
            <w:vAlign w:val="bottom"/>
            <w:hideMark/>
          </w:tcPr>
          <w:p w14:paraId="09CC7B3B"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hideMark/>
          </w:tcPr>
          <w:p w14:paraId="04A0442E"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761" w:type="dxa"/>
            <w:tcBorders>
              <w:top w:val="nil"/>
              <w:left w:val="nil"/>
              <w:bottom w:val="single" w:sz="4" w:space="0" w:color="auto"/>
              <w:right w:val="single" w:sz="4" w:space="0" w:color="auto"/>
            </w:tcBorders>
            <w:shd w:val="clear" w:color="auto" w:fill="auto"/>
            <w:noWrap/>
            <w:vAlign w:val="bottom"/>
            <w:hideMark/>
          </w:tcPr>
          <w:p w14:paraId="13643F9A"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80" w:type="dxa"/>
            <w:tcBorders>
              <w:top w:val="nil"/>
              <w:left w:val="nil"/>
              <w:bottom w:val="single" w:sz="4" w:space="0" w:color="auto"/>
              <w:right w:val="single" w:sz="4" w:space="0" w:color="auto"/>
            </w:tcBorders>
            <w:shd w:val="clear" w:color="auto" w:fill="auto"/>
            <w:hideMark/>
          </w:tcPr>
          <w:p w14:paraId="07E8B4D7"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1,4</w:t>
            </w:r>
          </w:p>
        </w:tc>
        <w:tc>
          <w:tcPr>
            <w:tcW w:w="853" w:type="dxa"/>
            <w:tcBorders>
              <w:top w:val="nil"/>
              <w:left w:val="nil"/>
              <w:bottom w:val="single" w:sz="4" w:space="0" w:color="auto"/>
              <w:right w:val="single" w:sz="4" w:space="0" w:color="auto"/>
            </w:tcBorders>
            <w:shd w:val="clear" w:color="auto" w:fill="auto"/>
            <w:hideMark/>
          </w:tcPr>
          <w:p w14:paraId="056E50EF"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r>
      <w:tr w:rsidR="009371DC" w:rsidRPr="008860BA" w14:paraId="588ADB52" w14:textId="77777777" w:rsidTr="009371DC">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14507BE6" w14:textId="77777777" w:rsidR="009371DC" w:rsidRPr="008860BA" w:rsidRDefault="009371DC" w:rsidP="009371DC">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Uzura OMVSD</w:t>
            </w:r>
          </w:p>
        </w:tc>
        <w:tc>
          <w:tcPr>
            <w:tcW w:w="673" w:type="dxa"/>
            <w:tcBorders>
              <w:top w:val="nil"/>
              <w:left w:val="nil"/>
              <w:bottom w:val="single" w:sz="4" w:space="0" w:color="auto"/>
              <w:right w:val="single" w:sz="4" w:space="0" w:color="auto"/>
            </w:tcBorders>
            <w:shd w:val="clear" w:color="auto" w:fill="auto"/>
            <w:noWrap/>
            <w:vAlign w:val="bottom"/>
            <w:hideMark/>
          </w:tcPr>
          <w:p w14:paraId="6EADD53C"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1DDA3EDB"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937,1</w:t>
            </w:r>
          </w:p>
        </w:tc>
        <w:tc>
          <w:tcPr>
            <w:tcW w:w="1218" w:type="dxa"/>
            <w:tcBorders>
              <w:top w:val="nil"/>
              <w:left w:val="nil"/>
              <w:bottom w:val="single" w:sz="4" w:space="0" w:color="auto"/>
              <w:right w:val="single" w:sz="4" w:space="0" w:color="auto"/>
            </w:tcBorders>
            <w:shd w:val="clear" w:color="auto" w:fill="auto"/>
            <w:noWrap/>
            <w:vAlign w:val="bottom"/>
            <w:hideMark/>
          </w:tcPr>
          <w:p w14:paraId="58AA2C4D"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937,1</w:t>
            </w:r>
          </w:p>
        </w:tc>
        <w:tc>
          <w:tcPr>
            <w:tcW w:w="1137" w:type="dxa"/>
            <w:tcBorders>
              <w:top w:val="nil"/>
              <w:left w:val="nil"/>
              <w:bottom w:val="single" w:sz="4" w:space="0" w:color="auto"/>
              <w:right w:val="single" w:sz="4" w:space="0" w:color="auto"/>
            </w:tcBorders>
            <w:shd w:val="clear" w:color="auto" w:fill="auto"/>
            <w:hideMark/>
          </w:tcPr>
          <w:p w14:paraId="13727086"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82,6</w:t>
            </w:r>
          </w:p>
        </w:tc>
        <w:tc>
          <w:tcPr>
            <w:tcW w:w="1263" w:type="dxa"/>
            <w:tcBorders>
              <w:top w:val="nil"/>
              <w:left w:val="nil"/>
              <w:bottom w:val="nil"/>
              <w:right w:val="single" w:sz="4" w:space="0" w:color="auto"/>
            </w:tcBorders>
            <w:shd w:val="clear" w:color="auto" w:fill="auto"/>
            <w:hideMark/>
          </w:tcPr>
          <w:p w14:paraId="28538365"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7,9</w:t>
            </w:r>
          </w:p>
        </w:tc>
        <w:tc>
          <w:tcPr>
            <w:tcW w:w="1196" w:type="dxa"/>
            <w:tcBorders>
              <w:top w:val="nil"/>
              <w:left w:val="nil"/>
              <w:bottom w:val="single" w:sz="4" w:space="0" w:color="auto"/>
              <w:right w:val="single" w:sz="4" w:space="0" w:color="auto"/>
            </w:tcBorders>
            <w:shd w:val="clear" w:color="auto" w:fill="auto"/>
            <w:noWrap/>
            <w:vAlign w:val="bottom"/>
            <w:hideMark/>
          </w:tcPr>
          <w:p w14:paraId="26E494CE"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2A2D77E2"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761" w:type="dxa"/>
            <w:tcBorders>
              <w:top w:val="nil"/>
              <w:left w:val="nil"/>
              <w:bottom w:val="single" w:sz="4" w:space="0" w:color="auto"/>
              <w:right w:val="single" w:sz="4" w:space="0" w:color="auto"/>
            </w:tcBorders>
            <w:shd w:val="clear" w:color="auto" w:fill="auto"/>
            <w:noWrap/>
            <w:vAlign w:val="bottom"/>
            <w:hideMark/>
          </w:tcPr>
          <w:p w14:paraId="2D5CD2CC"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80" w:type="dxa"/>
            <w:tcBorders>
              <w:top w:val="nil"/>
              <w:left w:val="nil"/>
              <w:bottom w:val="single" w:sz="4" w:space="0" w:color="auto"/>
              <w:right w:val="single" w:sz="4" w:space="0" w:color="auto"/>
            </w:tcBorders>
            <w:shd w:val="clear" w:color="auto" w:fill="auto"/>
            <w:hideMark/>
          </w:tcPr>
          <w:p w14:paraId="5D0FB0B4"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9,4</w:t>
            </w:r>
          </w:p>
        </w:tc>
        <w:tc>
          <w:tcPr>
            <w:tcW w:w="853" w:type="dxa"/>
            <w:tcBorders>
              <w:top w:val="nil"/>
              <w:left w:val="nil"/>
              <w:bottom w:val="single" w:sz="4" w:space="0" w:color="auto"/>
              <w:right w:val="single" w:sz="4" w:space="0" w:color="auto"/>
            </w:tcBorders>
            <w:shd w:val="clear" w:color="auto" w:fill="auto"/>
            <w:hideMark/>
          </w:tcPr>
          <w:p w14:paraId="3DFAC601"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837,1</w:t>
            </w:r>
          </w:p>
        </w:tc>
      </w:tr>
      <w:tr w:rsidR="009371DC" w:rsidRPr="008860BA" w14:paraId="11F654A0" w14:textId="77777777" w:rsidTr="009371DC">
        <w:trPr>
          <w:trHeight w:val="2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620CB327" w14:textId="77777777" w:rsidR="009371DC" w:rsidRPr="008860BA" w:rsidRDefault="009371DC" w:rsidP="009371DC">
            <w:pPr>
              <w:spacing w:after="0" w:line="240" w:lineRule="auto"/>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Cheltuieli administrative</w:t>
            </w:r>
          </w:p>
        </w:tc>
        <w:tc>
          <w:tcPr>
            <w:tcW w:w="673" w:type="dxa"/>
            <w:tcBorders>
              <w:top w:val="nil"/>
              <w:left w:val="nil"/>
              <w:bottom w:val="single" w:sz="4" w:space="0" w:color="auto"/>
              <w:right w:val="single" w:sz="4" w:space="0" w:color="auto"/>
            </w:tcBorders>
            <w:shd w:val="clear" w:color="auto" w:fill="auto"/>
            <w:noWrap/>
            <w:vAlign w:val="bottom"/>
            <w:hideMark/>
          </w:tcPr>
          <w:p w14:paraId="1C41BB42" w14:textId="77777777" w:rsidR="009371DC" w:rsidRPr="008860BA" w:rsidRDefault="009371DC" w:rsidP="009371DC">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713</w:t>
            </w:r>
          </w:p>
        </w:tc>
        <w:tc>
          <w:tcPr>
            <w:tcW w:w="1170" w:type="dxa"/>
            <w:tcBorders>
              <w:top w:val="nil"/>
              <w:left w:val="nil"/>
              <w:bottom w:val="single" w:sz="4" w:space="0" w:color="auto"/>
              <w:right w:val="single" w:sz="4" w:space="0" w:color="auto"/>
            </w:tcBorders>
            <w:shd w:val="clear" w:color="auto" w:fill="auto"/>
            <w:noWrap/>
            <w:vAlign w:val="bottom"/>
            <w:hideMark/>
          </w:tcPr>
          <w:p w14:paraId="20B98F85" w14:textId="77777777" w:rsidR="009371DC" w:rsidRPr="008860BA" w:rsidRDefault="009371DC" w:rsidP="009371DC">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12.852,5</w:t>
            </w:r>
          </w:p>
        </w:tc>
        <w:tc>
          <w:tcPr>
            <w:tcW w:w="1218" w:type="dxa"/>
            <w:tcBorders>
              <w:top w:val="nil"/>
              <w:left w:val="nil"/>
              <w:bottom w:val="single" w:sz="4" w:space="0" w:color="auto"/>
              <w:right w:val="single" w:sz="4" w:space="0" w:color="auto"/>
            </w:tcBorders>
            <w:shd w:val="clear" w:color="auto" w:fill="auto"/>
            <w:noWrap/>
            <w:vAlign w:val="bottom"/>
            <w:hideMark/>
          </w:tcPr>
          <w:p w14:paraId="09C3B22B"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12.852,5</w:t>
            </w:r>
          </w:p>
        </w:tc>
        <w:tc>
          <w:tcPr>
            <w:tcW w:w="1137" w:type="dxa"/>
            <w:tcBorders>
              <w:top w:val="nil"/>
              <w:left w:val="nil"/>
              <w:bottom w:val="single" w:sz="4" w:space="0" w:color="auto"/>
              <w:right w:val="single" w:sz="4" w:space="0" w:color="auto"/>
            </w:tcBorders>
            <w:shd w:val="clear" w:color="auto" w:fill="auto"/>
            <w:noWrap/>
            <w:vAlign w:val="bottom"/>
            <w:hideMark/>
          </w:tcPr>
          <w:p w14:paraId="3396CEB9" w14:textId="77777777" w:rsidR="009371DC" w:rsidRPr="008860BA" w:rsidRDefault="009371DC" w:rsidP="009371DC">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12.764,1</w:t>
            </w:r>
          </w:p>
        </w:tc>
        <w:tc>
          <w:tcPr>
            <w:tcW w:w="1263" w:type="dxa"/>
            <w:tcBorders>
              <w:top w:val="single" w:sz="4" w:space="0" w:color="auto"/>
              <w:left w:val="nil"/>
              <w:bottom w:val="single" w:sz="4" w:space="0" w:color="auto"/>
              <w:right w:val="single" w:sz="4" w:space="0" w:color="auto"/>
            </w:tcBorders>
            <w:shd w:val="clear" w:color="auto" w:fill="auto"/>
            <w:noWrap/>
            <w:vAlign w:val="bottom"/>
            <w:hideMark/>
          </w:tcPr>
          <w:p w14:paraId="3B856467" w14:textId="77777777" w:rsidR="009371DC" w:rsidRPr="008860BA" w:rsidRDefault="009371DC" w:rsidP="009371DC">
            <w:pPr>
              <w:spacing w:after="0" w:line="240" w:lineRule="auto"/>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 </w:t>
            </w:r>
          </w:p>
        </w:tc>
        <w:tc>
          <w:tcPr>
            <w:tcW w:w="1196" w:type="dxa"/>
            <w:tcBorders>
              <w:top w:val="nil"/>
              <w:left w:val="nil"/>
              <w:bottom w:val="single" w:sz="4" w:space="0" w:color="auto"/>
              <w:right w:val="single" w:sz="4" w:space="0" w:color="auto"/>
            </w:tcBorders>
            <w:shd w:val="clear" w:color="auto" w:fill="auto"/>
            <w:noWrap/>
            <w:vAlign w:val="bottom"/>
            <w:hideMark/>
          </w:tcPr>
          <w:p w14:paraId="07698B0E" w14:textId="77777777" w:rsidR="009371DC" w:rsidRPr="008860BA" w:rsidRDefault="009371DC" w:rsidP="009371DC">
            <w:pPr>
              <w:spacing w:after="0" w:line="240" w:lineRule="auto"/>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77083E12" w14:textId="77777777" w:rsidR="009371DC" w:rsidRPr="008860BA" w:rsidRDefault="009371DC" w:rsidP="009371DC">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43,0</w:t>
            </w:r>
          </w:p>
        </w:tc>
        <w:tc>
          <w:tcPr>
            <w:tcW w:w="761" w:type="dxa"/>
            <w:tcBorders>
              <w:top w:val="nil"/>
              <w:left w:val="nil"/>
              <w:bottom w:val="single" w:sz="4" w:space="0" w:color="auto"/>
              <w:right w:val="single" w:sz="4" w:space="0" w:color="auto"/>
            </w:tcBorders>
            <w:shd w:val="clear" w:color="auto" w:fill="auto"/>
            <w:noWrap/>
            <w:vAlign w:val="bottom"/>
            <w:hideMark/>
          </w:tcPr>
          <w:p w14:paraId="12423C44" w14:textId="77777777" w:rsidR="009371DC" w:rsidRPr="008860BA" w:rsidRDefault="009371DC" w:rsidP="009371DC">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7,2</w:t>
            </w:r>
          </w:p>
        </w:tc>
        <w:tc>
          <w:tcPr>
            <w:tcW w:w="880" w:type="dxa"/>
            <w:tcBorders>
              <w:top w:val="nil"/>
              <w:left w:val="nil"/>
              <w:bottom w:val="single" w:sz="4" w:space="0" w:color="auto"/>
              <w:right w:val="single" w:sz="4" w:space="0" w:color="auto"/>
            </w:tcBorders>
            <w:shd w:val="clear" w:color="auto" w:fill="auto"/>
            <w:noWrap/>
            <w:vAlign w:val="bottom"/>
            <w:hideMark/>
          </w:tcPr>
          <w:p w14:paraId="120EBCC5" w14:textId="77777777" w:rsidR="009371DC" w:rsidRPr="008860BA" w:rsidRDefault="009371DC" w:rsidP="009371DC">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37,2</w:t>
            </w:r>
          </w:p>
        </w:tc>
        <w:tc>
          <w:tcPr>
            <w:tcW w:w="853" w:type="dxa"/>
            <w:tcBorders>
              <w:top w:val="nil"/>
              <w:left w:val="nil"/>
              <w:bottom w:val="single" w:sz="4" w:space="0" w:color="auto"/>
              <w:right w:val="single" w:sz="4" w:space="0" w:color="auto"/>
            </w:tcBorders>
            <w:shd w:val="clear" w:color="auto" w:fill="auto"/>
            <w:noWrap/>
            <w:vAlign w:val="bottom"/>
            <w:hideMark/>
          </w:tcPr>
          <w:p w14:paraId="5A6C90A8" w14:textId="77777777" w:rsidR="009371DC" w:rsidRPr="008860BA" w:rsidRDefault="009371DC" w:rsidP="009371DC">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1,0</w:t>
            </w:r>
          </w:p>
        </w:tc>
      </w:tr>
      <w:tr w:rsidR="009371DC" w:rsidRPr="008860BA" w14:paraId="0D518305" w14:textId="77777777" w:rsidTr="009371DC">
        <w:trPr>
          <w:trHeight w:val="2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32193E91"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Fondul social ( 24 %)</w:t>
            </w:r>
          </w:p>
        </w:tc>
        <w:tc>
          <w:tcPr>
            <w:tcW w:w="673" w:type="dxa"/>
            <w:tcBorders>
              <w:top w:val="nil"/>
              <w:left w:val="nil"/>
              <w:bottom w:val="single" w:sz="4" w:space="0" w:color="auto"/>
              <w:right w:val="single" w:sz="4" w:space="0" w:color="auto"/>
            </w:tcBorders>
            <w:shd w:val="clear" w:color="auto" w:fill="auto"/>
            <w:noWrap/>
            <w:vAlign w:val="bottom"/>
            <w:hideMark/>
          </w:tcPr>
          <w:p w14:paraId="0D81FC3F"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noWrap/>
            <w:vAlign w:val="bottom"/>
            <w:hideMark/>
          </w:tcPr>
          <w:p w14:paraId="4EB6BFDF"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2.372,6</w:t>
            </w:r>
          </w:p>
        </w:tc>
        <w:tc>
          <w:tcPr>
            <w:tcW w:w="1218" w:type="dxa"/>
            <w:tcBorders>
              <w:top w:val="nil"/>
              <w:left w:val="nil"/>
              <w:bottom w:val="single" w:sz="4" w:space="0" w:color="auto"/>
              <w:right w:val="single" w:sz="4" w:space="0" w:color="auto"/>
            </w:tcBorders>
            <w:shd w:val="clear" w:color="auto" w:fill="auto"/>
            <w:noWrap/>
            <w:vAlign w:val="bottom"/>
            <w:hideMark/>
          </w:tcPr>
          <w:p w14:paraId="53EBB6B0"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2.372,6</w:t>
            </w:r>
          </w:p>
        </w:tc>
        <w:tc>
          <w:tcPr>
            <w:tcW w:w="1137" w:type="dxa"/>
            <w:tcBorders>
              <w:top w:val="nil"/>
              <w:left w:val="nil"/>
              <w:bottom w:val="single" w:sz="4" w:space="0" w:color="auto"/>
              <w:right w:val="single" w:sz="4" w:space="0" w:color="auto"/>
            </w:tcBorders>
            <w:shd w:val="clear" w:color="auto" w:fill="auto"/>
            <w:noWrap/>
            <w:vAlign w:val="bottom"/>
            <w:hideMark/>
          </w:tcPr>
          <w:p w14:paraId="14CC4E43"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2.372,6</w:t>
            </w:r>
          </w:p>
        </w:tc>
        <w:tc>
          <w:tcPr>
            <w:tcW w:w="1263" w:type="dxa"/>
            <w:tcBorders>
              <w:top w:val="nil"/>
              <w:left w:val="nil"/>
              <w:bottom w:val="single" w:sz="4" w:space="0" w:color="auto"/>
              <w:right w:val="single" w:sz="4" w:space="0" w:color="auto"/>
            </w:tcBorders>
            <w:shd w:val="clear" w:color="auto" w:fill="auto"/>
            <w:noWrap/>
            <w:vAlign w:val="bottom"/>
            <w:hideMark/>
          </w:tcPr>
          <w:p w14:paraId="7CE32F63"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96" w:type="dxa"/>
            <w:tcBorders>
              <w:top w:val="nil"/>
              <w:left w:val="nil"/>
              <w:bottom w:val="single" w:sz="4" w:space="0" w:color="auto"/>
              <w:right w:val="single" w:sz="4" w:space="0" w:color="auto"/>
            </w:tcBorders>
            <w:shd w:val="clear" w:color="auto" w:fill="auto"/>
            <w:noWrap/>
            <w:vAlign w:val="bottom"/>
            <w:hideMark/>
          </w:tcPr>
          <w:p w14:paraId="329DDB02"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6CE7A0E2"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761" w:type="dxa"/>
            <w:tcBorders>
              <w:top w:val="nil"/>
              <w:left w:val="nil"/>
              <w:bottom w:val="single" w:sz="4" w:space="0" w:color="auto"/>
              <w:right w:val="single" w:sz="4" w:space="0" w:color="auto"/>
            </w:tcBorders>
            <w:shd w:val="clear" w:color="auto" w:fill="auto"/>
            <w:noWrap/>
            <w:vAlign w:val="bottom"/>
            <w:hideMark/>
          </w:tcPr>
          <w:p w14:paraId="0D13F10C"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80" w:type="dxa"/>
            <w:tcBorders>
              <w:top w:val="nil"/>
              <w:left w:val="nil"/>
              <w:bottom w:val="single" w:sz="4" w:space="0" w:color="auto"/>
              <w:right w:val="single" w:sz="4" w:space="0" w:color="auto"/>
            </w:tcBorders>
            <w:shd w:val="clear" w:color="auto" w:fill="auto"/>
            <w:noWrap/>
            <w:vAlign w:val="bottom"/>
            <w:hideMark/>
          </w:tcPr>
          <w:p w14:paraId="5112FF0C"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60CF5735"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r>
      <w:tr w:rsidR="009371DC" w:rsidRPr="008860BA" w14:paraId="43B8EAEF" w14:textId="77777777" w:rsidTr="009371DC">
        <w:trPr>
          <w:trHeight w:val="2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0B1C0679"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Remunerarea muncii</w:t>
            </w:r>
          </w:p>
        </w:tc>
        <w:tc>
          <w:tcPr>
            <w:tcW w:w="673" w:type="dxa"/>
            <w:tcBorders>
              <w:top w:val="nil"/>
              <w:left w:val="nil"/>
              <w:bottom w:val="single" w:sz="4" w:space="0" w:color="auto"/>
              <w:right w:val="single" w:sz="4" w:space="0" w:color="auto"/>
            </w:tcBorders>
            <w:shd w:val="clear" w:color="auto" w:fill="auto"/>
            <w:noWrap/>
            <w:vAlign w:val="bottom"/>
            <w:hideMark/>
          </w:tcPr>
          <w:p w14:paraId="4D311783"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noWrap/>
            <w:vAlign w:val="bottom"/>
            <w:hideMark/>
          </w:tcPr>
          <w:p w14:paraId="6F5FE856"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9.885,8</w:t>
            </w:r>
          </w:p>
        </w:tc>
        <w:tc>
          <w:tcPr>
            <w:tcW w:w="1218" w:type="dxa"/>
            <w:tcBorders>
              <w:top w:val="nil"/>
              <w:left w:val="nil"/>
              <w:bottom w:val="single" w:sz="4" w:space="0" w:color="auto"/>
              <w:right w:val="single" w:sz="4" w:space="0" w:color="auto"/>
            </w:tcBorders>
            <w:shd w:val="clear" w:color="auto" w:fill="auto"/>
            <w:noWrap/>
            <w:vAlign w:val="bottom"/>
            <w:hideMark/>
          </w:tcPr>
          <w:p w14:paraId="4D610CB9"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9.885,8</w:t>
            </w:r>
          </w:p>
        </w:tc>
        <w:tc>
          <w:tcPr>
            <w:tcW w:w="1137" w:type="dxa"/>
            <w:tcBorders>
              <w:top w:val="nil"/>
              <w:left w:val="nil"/>
              <w:bottom w:val="single" w:sz="4" w:space="0" w:color="auto"/>
              <w:right w:val="single" w:sz="4" w:space="0" w:color="auto"/>
            </w:tcBorders>
            <w:shd w:val="clear" w:color="auto" w:fill="auto"/>
            <w:noWrap/>
            <w:vAlign w:val="bottom"/>
            <w:hideMark/>
          </w:tcPr>
          <w:p w14:paraId="1F31FB30"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9.885,8</w:t>
            </w:r>
          </w:p>
        </w:tc>
        <w:tc>
          <w:tcPr>
            <w:tcW w:w="1263" w:type="dxa"/>
            <w:tcBorders>
              <w:top w:val="nil"/>
              <w:left w:val="nil"/>
              <w:bottom w:val="single" w:sz="4" w:space="0" w:color="auto"/>
              <w:right w:val="single" w:sz="4" w:space="0" w:color="auto"/>
            </w:tcBorders>
            <w:shd w:val="clear" w:color="auto" w:fill="auto"/>
            <w:noWrap/>
            <w:vAlign w:val="bottom"/>
            <w:hideMark/>
          </w:tcPr>
          <w:p w14:paraId="5B7E1C14"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96" w:type="dxa"/>
            <w:tcBorders>
              <w:top w:val="nil"/>
              <w:left w:val="nil"/>
              <w:bottom w:val="single" w:sz="4" w:space="0" w:color="auto"/>
              <w:right w:val="single" w:sz="4" w:space="0" w:color="auto"/>
            </w:tcBorders>
            <w:shd w:val="clear" w:color="auto" w:fill="auto"/>
            <w:noWrap/>
            <w:vAlign w:val="bottom"/>
            <w:hideMark/>
          </w:tcPr>
          <w:p w14:paraId="10081B96"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221707AF"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761" w:type="dxa"/>
            <w:tcBorders>
              <w:top w:val="nil"/>
              <w:left w:val="nil"/>
              <w:bottom w:val="single" w:sz="4" w:space="0" w:color="auto"/>
              <w:right w:val="single" w:sz="4" w:space="0" w:color="auto"/>
            </w:tcBorders>
            <w:shd w:val="clear" w:color="auto" w:fill="auto"/>
            <w:noWrap/>
            <w:vAlign w:val="bottom"/>
            <w:hideMark/>
          </w:tcPr>
          <w:p w14:paraId="688E9545"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80" w:type="dxa"/>
            <w:tcBorders>
              <w:top w:val="nil"/>
              <w:left w:val="nil"/>
              <w:bottom w:val="single" w:sz="4" w:space="0" w:color="auto"/>
              <w:right w:val="single" w:sz="4" w:space="0" w:color="auto"/>
            </w:tcBorders>
            <w:shd w:val="clear" w:color="auto" w:fill="auto"/>
            <w:noWrap/>
            <w:vAlign w:val="bottom"/>
            <w:hideMark/>
          </w:tcPr>
          <w:p w14:paraId="410169F5"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6E4AB970"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r>
      <w:tr w:rsidR="009371DC" w:rsidRPr="008860BA" w14:paraId="0213FD39" w14:textId="77777777" w:rsidTr="009371DC">
        <w:trPr>
          <w:trHeight w:val="2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2819A65F" w14:textId="6A20502D" w:rsidR="009371DC" w:rsidRPr="008860BA" w:rsidRDefault="002101A1"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Incapacitate temporară de muncă</w:t>
            </w:r>
          </w:p>
        </w:tc>
        <w:tc>
          <w:tcPr>
            <w:tcW w:w="673" w:type="dxa"/>
            <w:tcBorders>
              <w:top w:val="nil"/>
              <w:left w:val="nil"/>
              <w:bottom w:val="single" w:sz="4" w:space="0" w:color="auto"/>
              <w:right w:val="single" w:sz="4" w:space="0" w:color="auto"/>
            </w:tcBorders>
            <w:shd w:val="clear" w:color="auto" w:fill="auto"/>
            <w:noWrap/>
            <w:vAlign w:val="bottom"/>
            <w:hideMark/>
          </w:tcPr>
          <w:p w14:paraId="7B10524A"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noWrap/>
            <w:vAlign w:val="bottom"/>
            <w:hideMark/>
          </w:tcPr>
          <w:p w14:paraId="3C31E189"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558,3</w:t>
            </w:r>
          </w:p>
        </w:tc>
        <w:tc>
          <w:tcPr>
            <w:tcW w:w="1218" w:type="dxa"/>
            <w:tcBorders>
              <w:top w:val="nil"/>
              <w:left w:val="nil"/>
              <w:bottom w:val="single" w:sz="4" w:space="0" w:color="auto"/>
              <w:right w:val="single" w:sz="4" w:space="0" w:color="auto"/>
            </w:tcBorders>
            <w:shd w:val="clear" w:color="auto" w:fill="auto"/>
            <w:noWrap/>
            <w:vAlign w:val="bottom"/>
            <w:hideMark/>
          </w:tcPr>
          <w:p w14:paraId="60A619F6"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558,3</w:t>
            </w:r>
          </w:p>
        </w:tc>
        <w:tc>
          <w:tcPr>
            <w:tcW w:w="1137" w:type="dxa"/>
            <w:tcBorders>
              <w:top w:val="nil"/>
              <w:left w:val="nil"/>
              <w:bottom w:val="single" w:sz="4" w:space="0" w:color="auto"/>
              <w:right w:val="single" w:sz="4" w:space="0" w:color="auto"/>
            </w:tcBorders>
            <w:shd w:val="clear" w:color="auto" w:fill="auto"/>
            <w:noWrap/>
            <w:vAlign w:val="bottom"/>
            <w:hideMark/>
          </w:tcPr>
          <w:p w14:paraId="5F3EE05C"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505,8</w:t>
            </w:r>
          </w:p>
        </w:tc>
        <w:tc>
          <w:tcPr>
            <w:tcW w:w="1263" w:type="dxa"/>
            <w:tcBorders>
              <w:top w:val="nil"/>
              <w:left w:val="nil"/>
              <w:bottom w:val="single" w:sz="4" w:space="0" w:color="auto"/>
              <w:right w:val="single" w:sz="4" w:space="0" w:color="auto"/>
            </w:tcBorders>
            <w:shd w:val="clear" w:color="auto" w:fill="auto"/>
            <w:noWrap/>
            <w:vAlign w:val="bottom"/>
            <w:hideMark/>
          </w:tcPr>
          <w:p w14:paraId="0A321C24"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96" w:type="dxa"/>
            <w:tcBorders>
              <w:top w:val="nil"/>
              <w:left w:val="nil"/>
              <w:bottom w:val="single" w:sz="4" w:space="0" w:color="auto"/>
              <w:right w:val="single" w:sz="4" w:space="0" w:color="auto"/>
            </w:tcBorders>
            <w:shd w:val="clear" w:color="auto" w:fill="auto"/>
            <w:noWrap/>
            <w:vAlign w:val="bottom"/>
            <w:hideMark/>
          </w:tcPr>
          <w:p w14:paraId="3F6E4813"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04CFE72F"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43,0</w:t>
            </w:r>
          </w:p>
        </w:tc>
        <w:tc>
          <w:tcPr>
            <w:tcW w:w="761" w:type="dxa"/>
            <w:tcBorders>
              <w:top w:val="nil"/>
              <w:left w:val="nil"/>
              <w:bottom w:val="single" w:sz="4" w:space="0" w:color="auto"/>
              <w:right w:val="single" w:sz="4" w:space="0" w:color="auto"/>
            </w:tcBorders>
            <w:shd w:val="clear" w:color="auto" w:fill="auto"/>
            <w:noWrap/>
            <w:vAlign w:val="bottom"/>
            <w:hideMark/>
          </w:tcPr>
          <w:p w14:paraId="36E4A73A"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7,2</w:t>
            </w:r>
          </w:p>
        </w:tc>
        <w:tc>
          <w:tcPr>
            <w:tcW w:w="880" w:type="dxa"/>
            <w:tcBorders>
              <w:top w:val="nil"/>
              <w:left w:val="nil"/>
              <w:bottom w:val="single" w:sz="4" w:space="0" w:color="auto"/>
              <w:right w:val="single" w:sz="4" w:space="0" w:color="auto"/>
            </w:tcBorders>
            <w:shd w:val="clear" w:color="auto" w:fill="auto"/>
            <w:noWrap/>
            <w:vAlign w:val="bottom"/>
            <w:hideMark/>
          </w:tcPr>
          <w:p w14:paraId="7CF03BE6"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2,3</w:t>
            </w:r>
          </w:p>
        </w:tc>
        <w:tc>
          <w:tcPr>
            <w:tcW w:w="853" w:type="dxa"/>
            <w:tcBorders>
              <w:top w:val="nil"/>
              <w:left w:val="nil"/>
              <w:bottom w:val="single" w:sz="4" w:space="0" w:color="auto"/>
              <w:right w:val="single" w:sz="4" w:space="0" w:color="auto"/>
            </w:tcBorders>
            <w:shd w:val="clear" w:color="auto" w:fill="auto"/>
            <w:noWrap/>
            <w:vAlign w:val="bottom"/>
            <w:hideMark/>
          </w:tcPr>
          <w:p w14:paraId="2736F2F9"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r>
      <w:tr w:rsidR="009371DC" w:rsidRPr="008860BA" w14:paraId="57A3AF49" w14:textId="77777777" w:rsidTr="009371DC">
        <w:trPr>
          <w:trHeight w:val="2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53E6211D"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Taxa pentru drum</w:t>
            </w:r>
          </w:p>
        </w:tc>
        <w:tc>
          <w:tcPr>
            <w:tcW w:w="673" w:type="dxa"/>
            <w:tcBorders>
              <w:top w:val="nil"/>
              <w:left w:val="nil"/>
              <w:bottom w:val="single" w:sz="4" w:space="0" w:color="auto"/>
              <w:right w:val="single" w:sz="4" w:space="0" w:color="auto"/>
            </w:tcBorders>
            <w:shd w:val="clear" w:color="auto" w:fill="auto"/>
            <w:noWrap/>
            <w:vAlign w:val="bottom"/>
            <w:hideMark/>
          </w:tcPr>
          <w:p w14:paraId="3E913239"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noWrap/>
            <w:vAlign w:val="bottom"/>
            <w:hideMark/>
          </w:tcPr>
          <w:p w14:paraId="634099A2"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35,9</w:t>
            </w:r>
          </w:p>
        </w:tc>
        <w:tc>
          <w:tcPr>
            <w:tcW w:w="1218" w:type="dxa"/>
            <w:tcBorders>
              <w:top w:val="nil"/>
              <w:left w:val="nil"/>
              <w:bottom w:val="single" w:sz="4" w:space="0" w:color="auto"/>
              <w:right w:val="single" w:sz="4" w:space="0" w:color="auto"/>
            </w:tcBorders>
            <w:shd w:val="clear" w:color="auto" w:fill="auto"/>
            <w:noWrap/>
            <w:vAlign w:val="bottom"/>
            <w:hideMark/>
          </w:tcPr>
          <w:p w14:paraId="4052CF64"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35,9</w:t>
            </w:r>
          </w:p>
        </w:tc>
        <w:tc>
          <w:tcPr>
            <w:tcW w:w="1137" w:type="dxa"/>
            <w:tcBorders>
              <w:top w:val="nil"/>
              <w:left w:val="nil"/>
              <w:bottom w:val="single" w:sz="4" w:space="0" w:color="auto"/>
              <w:right w:val="single" w:sz="4" w:space="0" w:color="auto"/>
            </w:tcBorders>
            <w:shd w:val="clear" w:color="auto" w:fill="auto"/>
            <w:noWrap/>
            <w:vAlign w:val="bottom"/>
            <w:hideMark/>
          </w:tcPr>
          <w:p w14:paraId="43EB0C9D"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263" w:type="dxa"/>
            <w:tcBorders>
              <w:top w:val="nil"/>
              <w:left w:val="nil"/>
              <w:bottom w:val="single" w:sz="4" w:space="0" w:color="auto"/>
              <w:right w:val="single" w:sz="4" w:space="0" w:color="auto"/>
            </w:tcBorders>
            <w:shd w:val="clear" w:color="auto" w:fill="auto"/>
            <w:noWrap/>
            <w:vAlign w:val="bottom"/>
            <w:hideMark/>
          </w:tcPr>
          <w:p w14:paraId="2B4FC258"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96" w:type="dxa"/>
            <w:tcBorders>
              <w:top w:val="nil"/>
              <w:left w:val="nil"/>
              <w:bottom w:val="single" w:sz="4" w:space="0" w:color="auto"/>
              <w:right w:val="single" w:sz="4" w:space="0" w:color="auto"/>
            </w:tcBorders>
            <w:shd w:val="clear" w:color="auto" w:fill="auto"/>
            <w:noWrap/>
            <w:vAlign w:val="bottom"/>
            <w:hideMark/>
          </w:tcPr>
          <w:p w14:paraId="2DDF859C"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73156AC4"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761" w:type="dxa"/>
            <w:tcBorders>
              <w:top w:val="nil"/>
              <w:left w:val="nil"/>
              <w:bottom w:val="single" w:sz="4" w:space="0" w:color="auto"/>
              <w:right w:val="single" w:sz="4" w:space="0" w:color="auto"/>
            </w:tcBorders>
            <w:shd w:val="clear" w:color="auto" w:fill="auto"/>
            <w:noWrap/>
            <w:vAlign w:val="bottom"/>
            <w:hideMark/>
          </w:tcPr>
          <w:p w14:paraId="17ADCAC8"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80" w:type="dxa"/>
            <w:tcBorders>
              <w:top w:val="nil"/>
              <w:left w:val="nil"/>
              <w:bottom w:val="single" w:sz="4" w:space="0" w:color="auto"/>
              <w:right w:val="single" w:sz="4" w:space="0" w:color="auto"/>
            </w:tcBorders>
            <w:shd w:val="clear" w:color="auto" w:fill="auto"/>
            <w:hideMark/>
          </w:tcPr>
          <w:p w14:paraId="01490B97"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34,9</w:t>
            </w:r>
          </w:p>
        </w:tc>
        <w:tc>
          <w:tcPr>
            <w:tcW w:w="853" w:type="dxa"/>
            <w:tcBorders>
              <w:top w:val="nil"/>
              <w:left w:val="nil"/>
              <w:bottom w:val="single" w:sz="4" w:space="0" w:color="auto"/>
              <w:right w:val="single" w:sz="4" w:space="0" w:color="auto"/>
            </w:tcBorders>
            <w:shd w:val="clear" w:color="auto" w:fill="auto"/>
            <w:hideMark/>
          </w:tcPr>
          <w:p w14:paraId="6A4E446B" w14:textId="77777777" w:rsidR="009371DC" w:rsidRPr="008860BA" w:rsidRDefault="009371DC" w:rsidP="009371DC">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1,0</w:t>
            </w:r>
          </w:p>
        </w:tc>
      </w:tr>
      <w:tr w:rsidR="009371DC" w:rsidRPr="008860BA" w14:paraId="68E7CBB6" w14:textId="77777777" w:rsidTr="009371DC">
        <w:trPr>
          <w:trHeight w:val="20"/>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3D8876D6" w14:textId="77777777" w:rsidR="009371DC" w:rsidRPr="008860BA" w:rsidRDefault="009371DC" w:rsidP="009371DC">
            <w:pPr>
              <w:spacing w:after="0" w:line="240" w:lineRule="auto"/>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Alte cheltuieli</w:t>
            </w:r>
          </w:p>
        </w:tc>
        <w:tc>
          <w:tcPr>
            <w:tcW w:w="673" w:type="dxa"/>
            <w:tcBorders>
              <w:top w:val="nil"/>
              <w:left w:val="nil"/>
              <w:bottom w:val="single" w:sz="4" w:space="0" w:color="auto"/>
              <w:right w:val="single" w:sz="4" w:space="0" w:color="auto"/>
            </w:tcBorders>
            <w:shd w:val="clear" w:color="auto" w:fill="auto"/>
            <w:vAlign w:val="bottom"/>
            <w:hideMark/>
          </w:tcPr>
          <w:p w14:paraId="3743B820" w14:textId="77777777" w:rsidR="009371DC" w:rsidRPr="008860BA" w:rsidRDefault="009371DC" w:rsidP="009371DC">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714</w:t>
            </w:r>
          </w:p>
        </w:tc>
        <w:tc>
          <w:tcPr>
            <w:tcW w:w="1170" w:type="dxa"/>
            <w:tcBorders>
              <w:top w:val="nil"/>
              <w:left w:val="nil"/>
              <w:bottom w:val="single" w:sz="4" w:space="0" w:color="auto"/>
              <w:right w:val="single" w:sz="4" w:space="0" w:color="auto"/>
            </w:tcBorders>
            <w:shd w:val="clear" w:color="auto" w:fill="auto"/>
            <w:vAlign w:val="bottom"/>
            <w:hideMark/>
          </w:tcPr>
          <w:p w14:paraId="3BFB68EF" w14:textId="77777777" w:rsidR="009371DC" w:rsidRPr="008860BA" w:rsidRDefault="009371DC" w:rsidP="009371DC">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106,1</w:t>
            </w:r>
          </w:p>
        </w:tc>
        <w:tc>
          <w:tcPr>
            <w:tcW w:w="1218" w:type="dxa"/>
            <w:tcBorders>
              <w:top w:val="nil"/>
              <w:left w:val="nil"/>
              <w:bottom w:val="single" w:sz="4" w:space="0" w:color="auto"/>
              <w:right w:val="single" w:sz="4" w:space="0" w:color="auto"/>
            </w:tcBorders>
            <w:shd w:val="clear" w:color="auto" w:fill="auto"/>
            <w:noWrap/>
            <w:vAlign w:val="bottom"/>
            <w:hideMark/>
          </w:tcPr>
          <w:p w14:paraId="36F57357"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106,1</w:t>
            </w:r>
          </w:p>
        </w:tc>
        <w:tc>
          <w:tcPr>
            <w:tcW w:w="1137" w:type="dxa"/>
            <w:tcBorders>
              <w:top w:val="nil"/>
              <w:left w:val="nil"/>
              <w:bottom w:val="single" w:sz="4" w:space="0" w:color="auto"/>
              <w:right w:val="single" w:sz="4" w:space="0" w:color="auto"/>
            </w:tcBorders>
            <w:shd w:val="clear" w:color="auto" w:fill="auto"/>
            <w:vAlign w:val="bottom"/>
            <w:hideMark/>
          </w:tcPr>
          <w:p w14:paraId="01569445" w14:textId="77777777" w:rsidR="009371DC" w:rsidRPr="008860BA" w:rsidRDefault="009371DC" w:rsidP="009371DC">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0,2</w:t>
            </w:r>
          </w:p>
        </w:tc>
        <w:tc>
          <w:tcPr>
            <w:tcW w:w="1263" w:type="dxa"/>
            <w:tcBorders>
              <w:top w:val="nil"/>
              <w:left w:val="nil"/>
              <w:bottom w:val="single" w:sz="4" w:space="0" w:color="auto"/>
              <w:right w:val="single" w:sz="4" w:space="0" w:color="auto"/>
            </w:tcBorders>
            <w:shd w:val="clear" w:color="auto" w:fill="auto"/>
            <w:vAlign w:val="bottom"/>
            <w:hideMark/>
          </w:tcPr>
          <w:p w14:paraId="7182CF5D" w14:textId="77777777" w:rsidR="009371DC" w:rsidRPr="008860BA" w:rsidRDefault="009371DC" w:rsidP="009371DC">
            <w:pPr>
              <w:spacing w:after="0" w:line="240" w:lineRule="auto"/>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 </w:t>
            </w:r>
          </w:p>
        </w:tc>
        <w:tc>
          <w:tcPr>
            <w:tcW w:w="1196" w:type="dxa"/>
            <w:tcBorders>
              <w:top w:val="nil"/>
              <w:left w:val="nil"/>
              <w:bottom w:val="single" w:sz="4" w:space="0" w:color="auto"/>
              <w:right w:val="single" w:sz="4" w:space="0" w:color="auto"/>
            </w:tcBorders>
            <w:shd w:val="clear" w:color="auto" w:fill="auto"/>
            <w:vAlign w:val="bottom"/>
            <w:hideMark/>
          </w:tcPr>
          <w:p w14:paraId="425A1ABF" w14:textId="77777777" w:rsidR="009371DC" w:rsidRPr="008860BA" w:rsidRDefault="009371DC" w:rsidP="009371DC">
            <w:pPr>
              <w:spacing w:after="0" w:line="240" w:lineRule="auto"/>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vAlign w:val="bottom"/>
            <w:hideMark/>
          </w:tcPr>
          <w:p w14:paraId="15C0EF6D" w14:textId="77777777" w:rsidR="009371DC" w:rsidRPr="008860BA" w:rsidRDefault="009371DC" w:rsidP="009371DC">
            <w:pPr>
              <w:spacing w:after="0" w:line="240" w:lineRule="auto"/>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 </w:t>
            </w:r>
          </w:p>
        </w:tc>
        <w:tc>
          <w:tcPr>
            <w:tcW w:w="761" w:type="dxa"/>
            <w:tcBorders>
              <w:top w:val="nil"/>
              <w:left w:val="nil"/>
              <w:bottom w:val="single" w:sz="4" w:space="0" w:color="auto"/>
              <w:right w:val="single" w:sz="4" w:space="0" w:color="auto"/>
            </w:tcBorders>
            <w:shd w:val="clear" w:color="auto" w:fill="auto"/>
            <w:vAlign w:val="bottom"/>
            <w:hideMark/>
          </w:tcPr>
          <w:p w14:paraId="25ADDA80" w14:textId="77777777" w:rsidR="009371DC" w:rsidRPr="008860BA" w:rsidRDefault="009371DC" w:rsidP="009371DC">
            <w:pPr>
              <w:spacing w:after="0" w:line="240" w:lineRule="auto"/>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 </w:t>
            </w:r>
          </w:p>
        </w:tc>
        <w:tc>
          <w:tcPr>
            <w:tcW w:w="880" w:type="dxa"/>
            <w:tcBorders>
              <w:top w:val="nil"/>
              <w:left w:val="nil"/>
              <w:bottom w:val="single" w:sz="4" w:space="0" w:color="auto"/>
              <w:right w:val="single" w:sz="4" w:space="0" w:color="auto"/>
            </w:tcBorders>
            <w:shd w:val="clear" w:color="auto" w:fill="auto"/>
            <w:vAlign w:val="bottom"/>
            <w:hideMark/>
          </w:tcPr>
          <w:p w14:paraId="19A4394B" w14:textId="77777777" w:rsidR="009371DC" w:rsidRPr="008860BA" w:rsidRDefault="009371DC" w:rsidP="009371DC">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86,1</w:t>
            </w:r>
          </w:p>
        </w:tc>
        <w:tc>
          <w:tcPr>
            <w:tcW w:w="853" w:type="dxa"/>
            <w:tcBorders>
              <w:top w:val="nil"/>
              <w:left w:val="nil"/>
              <w:bottom w:val="single" w:sz="4" w:space="0" w:color="auto"/>
              <w:right w:val="single" w:sz="4" w:space="0" w:color="auto"/>
            </w:tcBorders>
            <w:shd w:val="clear" w:color="auto" w:fill="auto"/>
            <w:vAlign w:val="bottom"/>
            <w:hideMark/>
          </w:tcPr>
          <w:p w14:paraId="4C36AF16" w14:textId="77777777" w:rsidR="009371DC" w:rsidRPr="008860BA" w:rsidRDefault="009371DC" w:rsidP="009371DC">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19,8</w:t>
            </w:r>
          </w:p>
        </w:tc>
      </w:tr>
      <w:tr w:rsidR="009371DC" w:rsidRPr="008860BA" w14:paraId="0383ECA2" w14:textId="77777777" w:rsidTr="009371DC">
        <w:trPr>
          <w:trHeight w:val="2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1F7EF477"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Materiale de uz gospodăresc</w:t>
            </w:r>
          </w:p>
        </w:tc>
        <w:tc>
          <w:tcPr>
            <w:tcW w:w="673" w:type="dxa"/>
            <w:tcBorders>
              <w:top w:val="nil"/>
              <w:left w:val="nil"/>
              <w:bottom w:val="single" w:sz="4" w:space="0" w:color="auto"/>
              <w:right w:val="single" w:sz="4" w:space="0" w:color="auto"/>
            </w:tcBorders>
            <w:shd w:val="clear" w:color="auto" w:fill="auto"/>
            <w:noWrap/>
            <w:vAlign w:val="bottom"/>
            <w:hideMark/>
          </w:tcPr>
          <w:p w14:paraId="6475298F"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noWrap/>
            <w:vAlign w:val="bottom"/>
            <w:hideMark/>
          </w:tcPr>
          <w:p w14:paraId="7DC832DB"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0,3</w:t>
            </w:r>
          </w:p>
        </w:tc>
        <w:tc>
          <w:tcPr>
            <w:tcW w:w="1218" w:type="dxa"/>
            <w:tcBorders>
              <w:top w:val="nil"/>
              <w:left w:val="nil"/>
              <w:bottom w:val="single" w:sz="4" w:space="0" w:color="auto"/>
              <w:right w:val="single" w:sz="4" w:space="0" w:color="auto"/>
            </w:tcBorders>
            <w:shd w:val="clear" w:color="auto" w:fill="auto"/>
            <w:noWrap/>
            <w:vAlign w:val="bottom"/>
            <w:hideMark/>
          </w:tcPr>
          <w:p w14:paraId="0453E895"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0,3</w:t>
            </w:r>
          </w:p>
        </w:tc>
        <w:tc>
          <w:tcPr>
            <w:tcW w:w="1137" w:type="dxa"/>
            <w:tcBorders>
              <w:top w:val="nil"/>
              <w:left w:val="nil"/>
              <w:bottom w:val="single" w:sz="4" w:space="0" w:color="auto"/>
              <w:right w:val="single" w:sz="4" w:space="0" w:color="auto"/>
            </w:tcBorders>
            <w:shd w:val="clear" w:color="auto" w:fill="auto"/>
            <w:noWrap/>
            <w:vAlign w:val="bottom"/>
            <w:hideMark/>
          </w:tcPr>
          <w:p w14:paraId="220E5AB2"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0,2</w:t>
            </w:r>
          </w:p>
        </w:tc>
        <w:tc>
          <w:tcPr>
            <w:tcW w:w="1263" w:type="dxa"/>
            <w:tcBorders>
              <w:top w:val="nil"/>
              <w:left w:val="nil"/>
              <w:bottom w:val="single" w:sz="4" w:space="0" w:color="auto"/>
              <w:right w:val="single" w:sz="4" w:space="0" w:color="auto"/>
            </w:tcBorders>
            <w:shd w:val="clear" w:color="auto" w:fill="auto"/>
            <w:noWrap/>
            <w:vAlign w:val="bottom"/>
            <w:hideMark/>
          </w:tcPr>
          <w:p w14:paraId="1BBA2BD8"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96" w:type="dxa"/>
            <w:tcBorders>
              <w:top w:val="nil"/>
              <w:left w:val="nil"/>
              <w:bottom w:val="single" w:sz="4" w:space="0" w:color="auto"/>
              <w:right w:val="single" w:sz="4" w:space="0" w:color="auto"/>
            </w:tcBorders>
            <w:shd w:val="clear" w:color="auto" w:fill="auto"/>
            <w:noWrap/>
            <w:vAlign w:val="bottom"/>
            <w:hideMark/>
          </w:tcPr>
          <w:p w14:paraId="5030B464"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77853FA2"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761" w:type="dxa"/>
            <w:tcBorders>
              <w:top w:val="nil"/>
              <w:left w:val="nil"/>
              <w:bottom w:val="single" w:sz="4" w:space="0" w:color="auto"/>
              <w:right w:val="single" w:sz="4" w:space="0" w:color="auto"/>
            </w:tcBorders>
            <w:shd w:val="clear" w:color="auto" w:fill="auto"/>
            <w:noWrap/>
            <w:vAlign w:val="bottom"/>
            <w:hideMark/>
          </w:tcPr>
          <w:p w14:paraId="4DE72BDA"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80" w:type="dxa"/>
            <w:tcBorders>
              <w:top w:val="nil"/>
              <w:left w:val="nil"/>
              <w:bottom w:val="single" w:sz="4" w:space="0" w:color="auto"/>
              <w:right w:val="single" w:sz="4" w:space="0" w:color="auto"/>
            </w:tcBorders>
            <w:shd w:val="clear" w:color="auto" w:fill="auto"/>
            <w:noWrap/>
            <w:vAlign w:val="bottom"/>
            <w:hideMark/>
          </w:tcPr>
          <w:p w14:paraId="388A29BB"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276FB51D"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r>
      <w:tr w:rsidR="009371DC" w:rsidRPr="008860BA" w14:paraId="08BB7218" w14:textId="77777777" w:rsidTr="009371DC">
        <w:trPr>
          <w:trHeight w:val="2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7719C72F" w14:textId="59E7D353" w:rsidR="009371DC" w:rsidRPr="008860BA" w:rsidRDefault="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Deplas</w:t>
            </w:r>
            <w:r w:rsidR="00E10604" w:rsidRPr="008860BA">
              <w:rPr>
                <w:rFonts w:asciiTheme="majorHAnsi" w:eastAsia="Times New Roman" w:hAnsiTheme="majorHAnsi" w:cstheme="majorHAnsi"/>
                <w:color w:val="000000"/>
                <w:sz w:val="18"/>
                <w:szCs w:val="18"/>
                <w:lang w:val="ro-MD"/>
              </w:rPr>
              <w:t>ă</w:t>
            </w:r>
            <w:r w:rsidRPr="008860BA">
              <w:rPr>
                <w:rFonts w:asciiTheme="majorHAnsi" w:eastAsia="Times New Roman" w:hAnsiTheme="majorHAnsi" w:cstheme="majorHAnsi"/>
                <w:color w:val="000000"/>
                <w:sz w:val="18"/>
                <w:szCs w:val="18"/>
                <w:lang w:val="ro-MD"/>
              </w:rPr>
              <w:t xml:space="preserve">ri </w:t>
            </w:r>
          </w:p>
        </w:tc>
        <w:tc>
          <w:tcPr>
            <w:tcW w:w="673" w:type="dxa"/>
            <w:tcBorders>
              <w:top w:val="nil"/>
              <w:left w:val="nil"/>
              <w:bottom w:val="single" w:sz="4" w:space="0" w:color="auto"/>
              <w:right w:val="single" w:sz="4" w:space="0" w:color="auto"/>
            </w:tcBorders>
            <w:shd w:val="clear" w:color="auto" w:fill="auto"/>
            <w:noWrap/>
            <w:vAlign w:val="bottom"/>
            <w:hideMark/>
          </w:tcPr>
          <w:p w14:paraId="32FB4917"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noWrap/>
            <w:vAlign w:val="bottom"/>
            <w:hideMark/>
          </w:tcPr>
          <w:p w14:paraId="6D2FCA4C"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105,8</w:t>
            </w:r>
          </w:p>
        </w:tc>
        <w:tc>
          <w:tcPr>
            <w:tcW w:w="1218" w:type="dxa"/>
            <w:tcBorders>
              <w:top w:val="nil"/>
              <w:left w:val="nil"/>
              <w:bottom w:val="single" w:sz="4" w:space="0" w:color="auto"/>
              <w:right w:val="single" w:sz="4" w:space="0" w:color="auto"/>
            </w:tcBorders>
            <w:shd w:val="clear" w:color="auto" w:fill="auto"/>
            <w:noWrap/>
            <w:vAlign w:val="bottom"/>
            <w:hideMark/>
          </w:tcPr>
          <w:p w14:paraId="5D70C8BC"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105,8</w:t>
            </w:r>
          </w:p>
        </w:tc>
        <w:tc>
          <w:tcPr>
            <w:tcW w:w="1137" w:type="dxa"/>
            <w:tcBorders>
              <w:top w:val="nil"/>
              <w:left w:val="nil"/>
              <w:bottom w:val="single" w:sz="4" w:space="0" w:color="auto"/>
              <w:right w:val="single" w:sz="4" w:space="0" w:color="auto"/>
            </w:tcBorders>
            <w:shd w:val="clear" w:color="auto" w:fill="auto"/>
            <w:noWrap/>
            <w:vAlign w:val="bottom"/>
            <w:hideMark/>
          </w:tcPr>
          <w:p w14:paraId="4AD1A957"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263" w:type="dxa"/>
            <w:tcBorders>
              <w:top w:val="nil"/>
              <w:left w:val="nil"/>
              <w:bottom w:val="single" w:sz="4" w:space="0" w:color="auto"/>
              <w:right w:val="single" w:sz="4" w:space="0" w:color="auto"/>
            </w:tcBorders>
            <w:shd w:val="clear" w:color="auto" w:fill="auto"/>
            <w:noWrap/>
            <w:vAlign w:val="bottom"/>
            <w:hideMark/>
          </w:tcPr>
          <w:p w14:paraId="685A4EA9"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96" w:type="dxa"/>
            <w:tcBorders>
              <w:top w:val="nil"/>
              <w:left w:val="nil"/>
              <w:bottom w:val="single" w:sz="4" w:space="0" w:color="auto"/>
              <w:right w:val="single" w:sz="4" w:space="0" w:color="auto"/>
            </w:tcBorders>
            <w:shd w:val="clear" w:color="auto" w:fill="auto"/>
            <w:noWrap/>
            <w:vAlign w:val="bottom"/>
            <w:hideMark/>
          </w:tcPr>
          <w:p w14:paraId="6B88A459"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7415ED4E"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761" w:type="dxa"/>
            <w:tcBorders>
              <w:top w:val="nil"/>
              <w:left w:val="nil"/>
              <w:bottom w:val="single" w:sz="4" w:space="0" w:color="auto"/>
              <w:right w:val="single" w:sz="4" w:space="0" w:color="auto"/>
            </w:tcBorders>
            <w:shd w:val="clear" w:color="auto" w:fill="auto"/>
            <w:noWrap/>
            <w:vAlign w:val="bottom"/>
            <w:hideMark/>
          </w:tcPr>
          <w:p w14:paraId="083DB6A9"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80" w:type="dxa"/>
            <w:tcBorders>
              <w:top w:val="nil"/>
              <w:left w:val="nil"/>
              <w:bottom w:val="single" w:sz="4" w:space="0" w:color="auto"/>
              <w:right w:val="single" w:sz="4" w:space="0" w:color="auto"/>
            </w:tcBorders>
            <w:shd w:val="clear" w:color="auto" w:fill="auto"/>
            <w:noWrap/>
            <w:vAlign w:val="bottom"/>
            <w:hideMark/>
          </w:tcPr>
          <w:p w14:paraId="42952578"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86,1</w:t>
            </w:r>
          </w:p>
        </w:tc>
        <w:tc>
          <w:tcPr>
            <w:tcW w:w="853" w:type="dxa"/>
            <w:tcBorders>
              <w:top w:val="nil"/>
              <w:left w:val="nil"/>
              <w:bottom w:val="single" w:sz="4" w:space="0" w:color="auto"/>
              <w:right w:val="single" w:sz="4" w:space="0" w:color="auto"/>
            </w:tcBorders>
            <w:shd w:val="clear" w:color="auto" w:fill="auto"/>
            <w:noWrap/>
            <w:vAlign w:val="bottom"/>
            <w:hideMark/>
          </w:tcPr>
          <w:p w14:paraId="6ECB4FA5" w14:textId="77777777" w:rsidR="009371DC" w:rsidRPr="008860BA" w:rsidRDefault="009371DC" w:rsidP="009371DC">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19,8</w:t>
            </w:r>
          </w:p>
        </w:tc>
      </w:tr>
      <w:tr w:rsidR="009371DC" w:rsidRPr="008860BA" w14:paraId="373936A9" w14:textId="77777777" w:rsidTr="009371DC">
        <w:trPr>
          <w:trHeight w:val="2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1A14ADA8" w14:textId="77777777" w:rsidR="009371DC" w:rsidRPr="008860BA" w:rsidRDefault="009371DC" w:rsidP="009371DC">
            <w:pPr>
              <w:spacing w:after="0" w:line="240" w:lineRule="auto"/>
              <w:rPr>
                <w:rFonts w:asciiTheme="majorHAnsi" w:eastAsia="Times New Roman" w:hAnsiTheme="majorHAnsi" w:cstheme="majorHAnsi"/>
                <w:b/>
                <w:bCs/>
                <w:sz w:val="18"/>
                <w:szCs w:val="18"/>
                <w:lang w:val="ro-MD"/>
              </w:rPr>
            </w:pPr>
            <w:r w:rsidRPr="008860BA">
              <w:rPr>
                <w:rFonts w:asciiTheme="majorHAnsi" w:eastAsia="Times New Roman" w:hAnsiTheme="majorHAnsi" w:cstheme="majorHAnsi"/>
                <w:b/>
                <w:bCs/>
                <w:sz w:val="18"/>
                <w:szCs w:val="18"/>
                <w:lang w:val="ro-MD"/>
              </w:rPr>
              <w:t>Cheltuieli financiare</w:t>
            </w:r>
          </w:p>
        </w:tc>
        <w:tc>
          <w:tcPr>
            <w:tcW w:w="673" w:type="dxa"/>
            <w:tcBorders>
              <w:top w:val="nil"/>
              <w:left w:val="nil"/>
              <w:bottom w:val="single" w:sz="4" w:space="0" w:color="auto"/>
              <w:right w:val="single" w:sz="4" w:space="0" w:color="auto"/>
            </w:tcBorders>
            <w:shd w:val="clear" w:color="auto" w:fill="auto"/>
            <w:vAlign w:val="bottom"/>
            <w:hideMark/>
          </w:tcPr>
          <w:p w14:paraId="2656BC95" w14:textId="77777777" w:rsidR="009371DC" w:rsidRPr="008860BA" w:rsidRDefault="009371DC" w:rsidP="009371DC">
            <w:pPr>
              <w:spacing w:after="0" w:line="240" w:lineRule="auto"/>
              <w:jc w:val="right"/>
              <w:rPr>
                <w:rFonts w:asciiTheme="majorHAnsi" w:eastAsia="Times New Roman" w:hAnsiTheme="majorHAnsi" w:cstheme="majorHAnsi"/>
                <w:b/>
                <w:bCs/>
                <w:sz w:val="18"/>
                <w:szCs w:val="18"/>
                <w:lang w:val="ro-MD"/>
              </w:rPr>
            </w:pPr>
            <w:r w:rsidRPr="008860BA">
              <w:rPr>
                <w:rFonts w:asciiTheme="majorHAnsi" w:eastAsia="Times New Roman" w:hAnsiTheme="majorHAnsi" w:cstheme="majorHAnsi"/>
                <w:b/>
                <w:bCs/>
                <w:sz w:val="18"/>
                <w:szCs w:val="18"/>
                <w:lang w:val="ro-MD"/>
              </w:rPr>
              <w:t>722</w:t>
            </w:r>
          </w:p>
        </w:tc>
        <w:tc>
          <w:tcPr>
            <w:tcW w:w="1170" w:type="dxa"/>
            <w:tcBorders>
              <w:top w:val="nil"/>
              <w:left w:val="nil"/>
              <w:bottom w:val="single" w:sz="4" w:space="0" w:color="auto"/>
              <w:right w:val="single" w:sz="4" w:space="0" w:color="auto"/>
            </w:tcBorders>
            <w:shd w:val="clear" w:color="auto" w:fill="auto"/>
            <w:noWrap/>
            <w:vAlign w:val="bottom"/>
            <w:hideMark/>
          </w:tcPr>
          <w:p w14:paraId="688D5C98" w14:textId="77777777" w:rsidR="009371DC" w:rsidRPr="008860BA" w:rsidRDefault="009371DC" w:rsidP="009371DC">
            <w:pPr>
              <w:spacing w:after="0" w:line="240" w:lineRule="auto"/>
              <w:jc w:val="right"/>
              <w:rPr>
                <w:rFonts w:asciiTheme="majorHAnsi" w:eastAsia="Times New Roman" w:hAnsiTheme="majorHAnsi" w:cstheme="majorHAnsi"/>
                <w:b/>
                <w:bCs/>
                <w:sz w:val="18"/>
                <w:szCs w:val="18"/>
                <w:lang w:val="ro-MD"/>
              </w:rPr>
            </w:pPr>
            <w:r w:rsidRPr="008860BA">
              <w:rPr>
                <w:rFonts w:asciiTheme="majorHAnsi" w:eastAsia="Times New Roman" w:hAnsiTheme="majorHAnsi" w:cstheme="majorHAnsi"/>
                <w:b/>
                <w:bCs/>
                <w:sz w:val="18"/>
                <w:szCs w:val="18"/>
                <w:lang w:val="ro-MD"/>
              </w:rPr>
              <w:t>297,7</w:t>
            </w:r>
          </w:p>
        </w:tc>
        <w:tc>
          <w:tcPr>
            <w:tcW w:w="1218" w:type="dxa"/>
            <w:tcBorders>
              <w:top w:val="nil"/>
              <w:left w:val="nil"/>
              <w:bottom w:val="single" w:sz="4" w:space="0" w:color="auto"/>
              <w:right w:val="single" w:sz="4" w:space="0" w:color="auto"/>
            </w:tcBorders>
            <w:shd w:val="clear" w:color="auto" w:fill="auto"/>
            <w:noWrap/>
            <w:vAlign w:val="bottom"/>
            <w:hideMark/>
          </w:tcPr>
          <w:p w14:paraId="12262377" w14:textId="77777777" w:rsidR="009371DC" w:rsidRPr="008860BA" w:rsidRDefault="009371DC" w:rsidP="009371DC">
            <w:pPr>
              <w:spacing w:after="0" w:line="240" w:lineRule="auto"/>
              <w:jc w:val="right"/>
              <w:rPr>
                <w:rFonts w:asciiTheme="majorHAnsi" w:eastAsia="Times New Roman" w:hAnsiTheme="majorHAnsi" w:cstheme="majorHAnsi"/>
                <w:b/>
                <w:bCs/>
                <w:sz w:val="18"/>
                <w:szCs w:val="18"/>
                <w:lang w:val="ro-MD"/>
              </w:rPr>
            </w:pPr>
            <w:r w:rsidRPr="008860BA">
              <w:rPr>
                <w:rFonts w:asciiTheme="majorHAnsi" w:eastAsia="Times New Roman" w:hAnsiTheme="majorHAnsi" w:cstheme="majorHAnsi"/>
                <w:b/>
                <w:bCs/>
                <w:sz w:val="18"/>
                <w:szCs w:val="18"/>
                <w:lang w:val="ro-MD"/>
              </w:rPr>
              <w:t>297,7</w:t>
            </w:r>
          </w:p>
        </w:tc>
        <w:tc>
          <w:tcPr>
            <w:tcW w:w="1137" w:type="dxa"/>
            <w:tcBorders>
              <w:top w:val="nil"/>
              <w:left w:val="nil"/>
              <w:bottom w:val="single" w:sz="4" w:space="0" w:color="auto"/>
              <w:right w:val="single" w:sz="4" w:space="0" w:color="auto"/>
            </w:tcBorders>
            <w:shd w:val="clear" w:color="auto" w:fill="auto"/>
            <w:noWrap/>
            <w:vAlign w:val="bottom"/>
            <w:hideMark/>
          </w:tcPr>
          <w:p w14:paraId="5C2B4374"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263" w:type="dxa"/>
            <w:tcBorders>
              <w:top w:val="nil"/>
              <w:left w:val="nil"/>
              <w:bottom w:val="single" w:sz="4" w:space="0" w:color="auto"/>
              <w:right w:val="single" w:sz="4" w:space="0" w:color="auto"/>
            </w:tcBorders>
            <w:shd w:val="clear" w:color="auto" w:fill="auto"/>
            <w:noWrap/>
            <w:vAlign w:val="bottom"/>
            <w:hideMark/>
          </w:tcPr>
          <w:p w14:paraId="02C78DF7"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96" w:type="dxa"/>
            <w:tcBorders>
              <w:top w:val="nil"/>
              <w:left w:val="nil"/>
              <w:bottom w:val="single" w:sz="4" w:space="0" w:color="auto"/>
              <w:right w:val="single" w:sz="4" w:space="0" w:color="auto"/>
            </w:tcBorders>
            <w:shd w:val="clear" w:color="auto" w:fill="auto"/>
            <w:noWrap/>
            <w:vAlign w:val="bottom"/>
            <w:hideMark/>
          </w:tcPr>
          <w:p w14:paraId="3C9DE185"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0FE18C47"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761" w:type="dxa"/>
            <w:tcBorders>
              <w:top w:val="nil"/>
              <w:left w:val="nil"/>
              <w:bottom w:val="single" w:sz="4" w:space="0" w:color="auto"/>
              <w:right w:val="single" w:sz="4" w:space="0" w:color="auto"/>
            </w:tcBorders>
            <w:shd w:val="clear" w:color="auto" w:fill="auto"/>
            <w:noWrap/>
            <w:vAlign w:val="bottom"/>
            <w:hideMark/>
          </w:tcPr>
          <w:p w14:paraId="5ACF4BEB"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80" w:type="dxa"/>
            <w:tcBorders>
              <w:top w:val="nil"/>
              <w:left w:val="nil"/>
              <w:bottom w:val="single" w:sz="4" w:space="0" w:color="auto"/>
              <w:right w:val="single" w:sz="4" w:space="0" w:color="auto"/>
            </w:tcBorders>
            <w:shd w:val="clear" w:color="auto" w:fill="auto"/>
            <w:noWrap/>
            <w:vAlign w:val="bottom"/>
            <w:hideMark/>
          </w:tcPr>
          <w:p w14:paraId="5DA06530"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6D56D513" w14:textId="77777777" w:rsidR="009371DC" w:rsidRPr="008860BA" w:rsidRDefault="009371DC" w:rsidP="009371DC">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r>
      <w:tr w:rsidR="009371DC" w:rsidRPr="008860BA" w14:paraId="58BB5725" w14:textId="77777777" w:rsidTr="009371DC">
        <w:trPr>
          <w:trHeight w:val="2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28F2B582" w14:textId="2DA2F198" w:rsidR="009371DC" w:rsidRPr="008860BA" w:rsidRDefault="009371DC">
            <w:pPr>
              <w:spacing w:after="0" w:line="240" w:lineRule="auto"/>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 xml:space="preserve">Total </w:t>
            </w:r>
            <w:r w:rsidR="00E10604" w:rsidRPr="008860BA">
              <w:rPr>
                <w:rFonts w:asciiTheme="majorHAnsi" w:eastAsia="Times New Roman" w:hAnsiTheme="majorHAnsi" w:cstheme="majorHAnsi"/>
                <w:b/>
                <w:bCs/>
                <w:color w:val="000000"/>
                <w:sz w:val="18"/>
                <w:szCs w:val="18"/>
                <w:lang w:val="ro-MD"/>
              </w:rPr>
              <w:t>c</w:t>
            </w:r>
            <w:r w:rsidRPr="008860BA">
              <w:rPr>
                <w:rFonts w:asciiTheme="majorHAnsi" w:eastAsia="Times New Roman" w:hAnsiTheme="majorHAnsi" w:cstheme="majorHAnsi"/>
                <w:b/>
                <w:bCs/>
                <w:color w:val="000000"/>
                <w:sz w:val="18"/>
                <w:szCs w:val="18"/>
                <w:lang w:val="ro-MD"/>
              </w:rPr>
              <w:t>heltuieli</w:t>
            </w:r>
          </w:p>
        </w:tc>
        <w:tc>
          <w:tcPr>
            <w:tcW w:w="673" w:type="dxa"/>
            <w:tcBorders>
              <w:top w:val="nil"/>
              <w:left w:val="nil"/>
              <w:bottom w:val="single" w:sz="4" w:space="0" w:color="auto"/>
              <w:right w:val="single" w:sz="4" w:space="0" w:color="auto"/>
            </w:tcBorders>
            <w:shd w:val="clear" w:color="auto" w:fill="auto"/>
            <w:noWrap/>
            <w:vAlign w:val="bottom"/>
            <w:hideMark/>
          </w:tcPr>
          <w:p w14:paraId="0229F3FA" w14:textId="77777777" w:rsidR="009371DC" w:rsidRPr="008860BA" w:rsidRDefault="009371DC" w:rsidP="009371DC">
            <w:pPr>
              <w:spacing w:after="0" w:line="240" w:lineRule="auto"/>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noWrap/>
            <w:vAlign w:val="bottom"/>
            <w:hideMark/>
          </w:tcPr>
          <w:p w14:paraId="1E8176B1" w14:textId="77777777" w:rsidR="009371DC" w:rsidRPr="008860BA" w:rsidRDefault="009371DC" w:rsidP="009371DC">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157.401,2</w:t>
            </w:r>
          </w:p>
        </w:tc>
        <w:tc>
          <w:tcPr>
            <w:tcW w:w="1218" w:type="dxa"/>
            <w:tcBorders>
              <w:top w:val="nil"/>
              <w:left w:val="nil"/>
              <w:bottom w:val="single" w:sz="4" w:space="0" w:color="auto"/>
              <w:right w:val="single" w:sz="4" w:space="0" w:color="auto"/>
            </w:tcBorders>
            <w:shd w:val="clear" w:color="auto" w:fill="auto"/>
            <w:noWrap/>
            <w:vAlign w:val="bottom"/>
            <w:hideMark/>
          </w:tcPr>
          <w:p w14:paraId="67B338F8" w14:textId="77777777" w:rsidR="009371DC" w:rsidRPr="008860BA" w:rsidRDefault="009371DC" w:rsidP="009371DC">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157.401,2</w:t>
            </w:r>
          </w:p>
        </w:tc>
        <w:tc>
          <w:tcPr>
            <w:tcW w:w="1137" w:type="dxa"/>
            <w:tcBorders>
              <w:top w:val="nil"/>
              <w:left w:val="nil"/>
              <w:bottom w:val="single" w:sz="4" w:space="0" w:color="auto"/>
              <w:right w:val="single" w:sz="4" w:space="0" w:color="auto"/>
            </w:tcBorders>
            <w:shd w:val="clear" w:color="auto" w:fill="auto"/>
            <w:noWrap/>
            <w:vAlign w:val="bottom"/>
            <w:hideMark/>
          </w:tcPr>
          <w:p w14:paraId="619D7CAD" w14:textId="77777777" w:rsidR="009371DC" w:rsidRPr="008860BA" w:rsidRDefault="009371DC" w:rsidP="009371DC">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107.728,1</w:t>
            </w:r>
          </w:p>
        </w:tc>
        <w:tc>
          <w:tcPr>
            <w:tcW w:w="1263" w:type="dxa"/>
            <w:tcBorders>
              <w:top w:val="nil"/>
              <w:left w:val="nil"/>
              <w:bottom w:val="single" w:sz="4" w:space="0" w:color="auto"/>
              <w:right w:val="single" w:sz="4" w:space="0" w:color="auto"/>
            </w:tcBorders>
            <w:shd w:val="clear" w:color="auto" w:fill="auto"/>
            <w:noWrap/>
            <w:vAlign w:val="bottom"/>
            <w:hideMark/>
          </w:tcPr>
          <w:p w14:paraId="71C4D8FA" w14:textId="77777777" w:rsidR="009371DC" w:rsidRPr="008860BA" w:rsidRDefault="009371DC" w:rsidP="009371DC">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466,5</w:t>
            </w:r>
          </w:p>
        </w:tc>
        <w:tc>
          <w:tcPr>
            <w:tcW w:w="1196" w:type="dxa"/>
            <w:tcBorders>
              <w:top w:val="nil"/>
              <w:left w:val="nil"/>
              <w:bottom w:val="single" w:sz="4" w:space="0" w:color="auto"/>
              <w:right w:val="single" w:sz="4" w:space="0" w:color="auto"/>
            </w:tcBorders>
            <w:shd w:val="clear" w:color="auto" w:fill="auto"/>
            <w:noWrap/>
            <w:vAlign w:val="bottom"/>
            <w:hideMark/>
          </w:tcPr>
          <w:p w14:paraId="27C4F0BF" w14:textId="77777777" w:rsidR="009371DC" w:rsidRPr="008860BA" w:rsidRDefault="009371DC" w:rsidP="009371DC">
            <w:pPr>
              <w:spacing w:after="0" w:line="240" w:lineRule="auto"/>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4954A807" w14:textId="77777777" w:rsidR="009371DC" w:rsidRPr="008860BA" w:rsidRDefault="009371DC" w:rsidP="009371DC">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12.349,3</w:t>
            </w:r>
          </w:p>
        </w:tc>
        <w:tc>
          <w:tcPr>
            <w:tcW w:w="761" w:type="dxa"/>
            <w:tcBorders>
              <w:top w:val="nil"/>
              <w:left w:val="nil"/>
              <w:bottom w:val="single" w:sz="4" w:space="0" w:color="auto"/>
              <w:right w:val="single" w:sz="4" w:space="0" w:color="auto"/>
            </w:tcBorders>
            <w:shd w:val="clear" w:color="auto" w:fill="auto"/>
            <w:noWrap/>
            <w:vAlign w:val="bottom"/>
            <w:hideMark/>
          </w:tcPr>
          <w:p w14:paraId="4FBEE9D0" w14:textId="77777777" w:rsidR="009371DC" w:rsidRPr="008860BA" w:rsidRDefault="009371DC" w:rsidP="009371DC">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2.646,0</w:t>
            </w:r>
          </w:p>
        </w:tc>
        <w:tc>
          <w:tcPr>
            <w:tcW w:w="880" w:type="dxa"/>
            <w:tcBorders>
              <w:top w:val="nil"/>
              <w:left w:val="nil"/>
              <w:bottom w:val="single" w:sz="4" w:space="0" w:color="auto"/>
              <w:right w:val="single" w:sz="4" w:space="0" w:color="auto"/>
            </w:tcBorders>
            <w:shd w:val="clear" w:color="auto" w:fill="auto"/>
            <w:noWrap/>
            <w:vAlign w:val="bottom"/>
            <w:hideMark/>
          </w:tcPr>
          <w:p w14:paraId="6A1C9F29" w14:textId="77777777" w:rsidR="009371DC" w:rsidRPr="008860BA" w:rsidRDefault="009371DC" w:rsidP="009371DC">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2.489,9</w:t>
            </w:r>
          </w:p>
        </w:tc>
        <w:tc>
          <w:tcPr>
            <w:tcW w:w="853" w:type="dxa"/>
            <w:tcBorders>
              <w:top w:val="nil"/>
              <w:left w:val="nil"/>
              <w:bottom w:val="single" w:sz="4" w:space="0" w:color="auto"/>
              <w:right w:val="single" w:sz="4" w:space="0" w:color="auto"/>
            </w:tcBorders>
            <w:shd w:val="clear" w:color="auto" w:fill="auto"/>
            <w:noWrap/>
            <w:vAlign w:val="bottom"/>
            <w:hideMark/>
          </w:tcPr>
          <w:p w14:paraId="6712D67D" w14:textId="77777777" w:rsidR="009371DC" w:rsidRPr="008860BA" w:rsidRDefault="009371DC" w:rsidP="009371DC">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31.423,9</w:t>
            </w:r>
          </w:p>
        </w:tc>
      </w:tr>
      <w:tr w:rsidR="009371DC" w:rsidRPr="008860BA" w14:paraId="09AE164C" w14:textId="77777777" w:rsidTr="009371DC">
        <w:trPr>
          <w:trHeight w:val="2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260B0933" w14:textId="77777777" w:rsidR="009371DC" w:rsidRPr="008860BA" w:rsidRDefault="009371DC" w:rsidP="009371DC">
            <w:pPr>
              <w:spacing w:after="0" w:line="240" w:lineRule="auto"/>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Rezultat financiar</w:t>
            </w:r>
          </w:p>
        </w:tc>
        <w:tc>
          <w:tcPr>
            <w:tcW w:w="673" w:type="dxa"/>
            <w:tcBorders>
              <w:top w:val="nil"/>
              <w:left w:val="nil"/>
              <w:bottom w:val="single" w:sz="4" w:space="0" w:color="auto"/>
              <w:right w:val="single" w:sz="4" w:space="0" w:color="auto"/>
            </w:tcBorders>
            <w:shd w:val="clear" w:color="auto" w:fill="auto"/>
            <w:noWrap/>
            <w:vAlign w:val="bottom"/>
            <w:hideMark/>
          </w:tcPr>
          <w:p w14:paraId="106CAC71" w14:textId="77777777" w:rsidR="009371DC" w:rsidRPr="008860BA" w:rsidRDefault="009371DC" w:rsidP="009371DC">
            <w:pPr>
              <w:spacing w:after="0" w:line="240" w:lineRule="auto"/>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noWrap/>
            <w:vAlign w:val="bottom"/>
            <w:hideMark/>
          </w:tcPr>
          <w:p w14:paraId="34202665" w14:textId="77777777" w:rsidR="009371DC" w:rsidRPr="008860BA" w:rsidRDefault="009371DC" w:rsidP="009371DC">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0,0</w:t>
            </w:r>
          </w:p>
        </w:tc>
        <w:tc>
          <w:tcPr>
            <w:tcW w:w="1218" w:type="dxa"/>
            <w:tcBorders>
              <w:top w:val="nil"/>
              <w:left w:val="nil"/>
              <w:bottom w:val="single" w:sz="4" w:space="0" w:color="auto"/>
              <w:right w:val="single" w:sz="4" w:space="0" w:color="auto"/>
            </w:tcBorders>
            <w:shd w:val="clear" w:color="auto" w:fill="auto"/>
            <w:noWrap/>
            <w:vAlign w:val="bottom"/>
            <w:hideMark/>
          </w:tcPr>
          <w:p w14:paraId="506DC523" w14:textId="77777777" w:rsidR="009371DC" w:rsidRPr="008860BA" w:rsidRDefault="009371DC" w:rsidP="009371DC">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0,0</w:t>
            </w:r>
          </w:p>
        </w:tc>
        <w:tc>
          <w:tcPr>
            <w:tcW w:w="1137" w:type="dxa"/>
            <w:tcBorders>
              <w:top w:val="nil"/>
              <w:left w:val="nil"/>
              <w:bottom w:val="single" w:sz="4" w:space="0" w:color="auto"/>
              <w:right w:val="single" w:sz="4" w:space="0" w:color="auto"/>
            </w:tcBorders>
            <w:shd w:val="clear" w:color="auto" w:fill="auto"/>
            <w:noWrap/>
            <w:vAlign w:val="bottom"/>
            <w:hideMark/>
          </w:tcPr>
          <w:p w14:paraId="1E309E64" w14:textId="77777777" w:rsidR="009371DC" w:rsidRPr="008860BA" w:rsidRDefault="009371DC" w:rsidP="009371DC">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-6.499,9</w:t>
            </w:r>
          </w:p>
        </w:tc>
        <w:tc>
          <w:tcPr>
            <w:tcW w:w="1263" w:type="dxa"/>
            <w:tcBorders>
              <w:top w:val="nil"/>
              <w:left w:val="nil"/>
              <w:bottom w:val="single" w:sz="4" w:space="0" w:color="auto"/>
              <w:right w:val="single" w:sz="4" w:space="0" w:color="auto"/>
            </w:tcBorders>
            <w:shd w:val="clear" w:color="auto" w:fill="auto"/>
            <w:noWrap/>
            <w:vAlign w:val="bottom"/>
            <w:hideMark/>
          </w:tcPr>
          <w:p w14:paraId="4A393187" w14:textId="77777777" w:rsidR="009371DC" w:rsidRPr="008860BA" w:rsidRDefault="009371DC" w:rsidP="009371DC">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-65,5</w:t>
            </w:r>
          </w:p>
        </w:tc>
        <w:tc>
          <w:tcPr>
            <w:tcW w:w="1196" w:type="dxa"/>
            <w:tcBorders>
              <w:top w:val="nil"/>
              <w:left w:val="nil"/>
              <w:bottom w:val="single" w:sz="4" w:space="0" w:color="auto"/>
              <w:right w:val="single" w:sz="4" w:space="0" w:color="auto"/>
            </w:tcBorders>
            <w:shd w:val="clear" w:color="auto" w:fill="auto"/>
            <w:noWrap/>
            <w:vAlign w:val="bottom"/>
            <w:hideMark/>
          </w:tcPr>
          <w:p w14:paraId="0F2DE1A9" w14:textId="77777777" w:rsidR="009371DC" w:rsidRPr="008860BA" w:rsidRDefault="009371DC" w:rsidP="009371DC">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1.576,6</w:t>
            </w:r>
          </w:p>
        </w:tc>
        <w:tc>
          <w:tcPr>
            <w:tcW w:w="1111" w:type="dxa"/>
            <w:tcBorders>
              <w:top w:val="nil"/>
              <w:left w:val="nil"/>
              <w:bottom w:val="single" w:sz="4" w:space="0" w:color="auto"/>
              <w:right w:val="single" w:sz="4" w:space="0" w:color="auto"/>
            </w:tcBorders>
            <w:shd w:val="clear" w:color="auto" w:fill="auto"/>
            <w:noWrap/>
            <w:vAlign w:val="bottom"/>
            <w:hideMark/>
          </w:tcPr>
          <w:p w14:paraId="6E36CD29" w14:textId="77777777" w:rsidR="009371DC" w:rsidRPr="008860BA" w:rsidRDefault="009371DC" w:rsidP="009371DC">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102,6</w:t>
            </w:r>
          </w:p>
        </w:tc>
        <w:tc>
          <w:tcPr>
            <w:tcW w:w="761" w:type="dxa"/>
            <w:tcBorders>
              <w:top w:val="nil"/>
              <w:left w:val="nil"/>
              <w:bottom w:val="single" w:sz="4" w:space="0" w:color="auto"/>
              <w:right w:val="single" w:sz="4" w:space="0" w:color="auto"/>
            </w:tcBorders>
            <w:shd w:val="clear" w:color="auto" w:fill="auto"/>
            <w:noWrap/>
            <w:vAlign w:val="bottom"/>
            <w:hideMark/>
          </w:tcPr>
          <w:p w14:paraId="476983A6" w14:textId="77777777" w:rsidR="009371DC" w:rsidRPr="008860BA" w:rsidRDefault="009371DC" w:rsidP="009371DC">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437,4</w:t>
            </w:r>
          </w:p>
        </w:tc>
        <w:tc>
          <w:tcPr>
            <w:tcW w:w="880" w:type="dxa"/>
            <w:tcBorders>
              <w:top w:val="nil"/>
              <w:left w:val="nil"/>
              <w:bottom w:val="single" w:sz="4" w:space="0" w:color="auto"/>
              <w:right w:val="single" w:sz="4" w:space="0" w:color="auto"/>
            </w:tcBorders>
            <w:shd w:val="clear" w:color="auto" w:fill="auto"/>
            <w:noWrap/>
            <w:vAlign w:val="bottom"/>
            <w:hideMark/>
          </w:tcPr>
          <w:p w14:paraId="35EC448F" w14:textId="77777777" w:rsidR="009371DC" w:rsidRPr="008860BA" w:rsidRDefault="009371DC" w:rsidP="009371DC">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-1.152,4</w:t>
            </w:r>
          </w:p>
        </w:tc>
        <w:tc>
          <w:tcPr>
            <w:tcW w:w="853" w:type="dxa"/>
            <w:tcBorders>
              <w:top w:val="nil"/>
              <w:left w:val="nil"/>
              <w:bottom w:val="single" w:sz="4" w:space="0" w:color="auto"/>
              <w:right w:val="single" w:sz="4" w:space="0" w:color="auto"/>
            </w:tcBorders>
            <w:shd w:val="clear" w:color="auto" w:fill="auto"/>
            <w:noWrap/>
            <w:vAlign w:val="bottom"/>
            <w:hideMark/>
          </w:tcPr>
          <w:p w14:paraId="440EDFD7" w14:textId="77777777" w:rsidR="009371DC" w:rsidRPr="008860BA" w:rsidRDefault="009371DC" w:rsidP="009371DC">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5.625,8</w:t>
            </w:r>
          </w:p>
        </w:tc>
      </w:tr>
    </w:tbl>
    <w:p w14:paraId="5E4D8D3F" w14:textId="3698A269" w:rsidR="009371DC" w:rsidRPr="008860BA" w:rsidRDefault="0023258A" w:rsidP="009371DC">
      <w:pPr>
        <w:rPr>
          <w:rFonts w:asciiTheme="majorHAnsi" w:hAnsiTheme="majorHAnsi" w:cstheme="majorHAnsi"/>
          <w:lang w:val="ro-MD"/>
        </w:rPr>
      </w:pPr>
      <w:r w:rsidRPr="008860BA">
        <w:rPr>
          <w:rFonts w:asciiTheme="majorHAnsi" w:hAnsiTheme="majorHAnsi" w:cstheme="majorHAnsi"/>
          <w:lang w:val="ro-MD"/>
        </w:rPr>
        <w:t>Sursa: Eviden</w:t>
      </w:r>
      <w:r w:rsidR="00B13B9A" w:rsidRPr="008860BA">
        <w:rPr>
          <w:rFonts w:asciiTheme="majorHAnsi" w:hAnsiTheme="majorHAnsi" w:cstheme="majorHAnsi"/>
          <w:lang w:val="ro-MD"/>
        </w:rPr>
        <w:t>ț</w:t>
      </w:r>
      <w:r w:rsidRPr="008860BA">
        <w:rPr>
          <w:rFonts w:asciiTheme="majorHAnsi" w:hAnsiTheme="majorHAnsi" w:cstheme="majorHAnsi"/>
          <w:lang w:val="ro-MD"/>
        </w:rPr>
        <w:t>a contabilă a IMSP</w:t>
      </w:r>
      <w:r w:rsidR="00E10604" w:rsidRPr="008860BA">
        <w:rPr>
          <w:rFonts w:asciiTheme="majorHAnsi" w:hAnsiTheme="majorHAnsi" w:cstheme="majorHAnsi"/>
          <w:lang w:val="ro-MD"/>
        </w:rPr>
        <w:t xml:space="preserve"> IFP</w:t>
      </w:r>
      <w:r w:rsidR="00885EE0" w:rsidRPr="008860BA">
        <w:rPr>
          <w:rFonts w:asciiTheme="majorHAnsi" w:hAnsiTheme="majorHAnsi" w:cstheme="majorHAnsi"/>
          <w:lang w:val="ro-MD"/>
        </w:rPr>
        <w:t xml:space="preserve"> </w:t>
      </w:r>
      <w:r w:rsidR="00885EE0" w:rsidRPr="008860BA">
        <w:rPr>
          <w:rFonts w:asciiTheme="majorHAnsi" w:hAnsiTheme="majorHAnsi" w:cstheme="majorHAnsi"/>
          <w:i/>
          <w:lang w:val="ro-MD"/>
        </w:rPr>
        <w:t>„Chiril Draganiuc”</w:t>
      </w:r>
      <w:r w:rsidR="00E10604" w:rsidRPr="008860BA">
        <w:rPr>
          <w:rFonts w:asciiTheme="majorHAnsi" w:hAnsiTheme="majorHAnsi" w:cstheme="majorHAnsi"/>
          <w:lang w:val="ro-MD"/>
        </w:rPr>
        <w:t>.</w:t>
      </w:r>
    </w:p>
    <w:p w14:paraId="3B0E1E63" w14:textId="1388D210" w:rsidR="0023258A" w:rsidRPr="008860BA" w:rsidRDefault="0023258A" w:rsidP="0023258A">
      <w:pPr>
        <w:pStyle w:val="3"/>
        <w:jc w:val="right"/>
        <w:rPr>
          <w:rFonts w:cstheme="majorHAnsi"/>
          <w:b/>
          <w:color w:val="auto"/>
        </w:rPr>
      </w:pPr>
      <w:bookmarkStart w:id="74" w:name="_Toc154562544"/>
      <w:r w:rsidRPr="008860BA">
        <w:rPr>
          <w:rFonts w:cstheme="majorHAnsi"/>
          <w:b/>
          <w:color w:val="auto"/>
        </w:rPr>
        <w:t>Anexa nr.21</w:t>
      </w:r>
      <w:bookmarkEnd w:id="74"/>
    </w:p>
    <w:p w14:paraId="02EF6DB5" w14:textId="63D4DEA5" w:rsidR="006A0356" w:rsidRPr="008860BA" w:rsidRDefault="006A0356" w:rsidP="006A0356">
      <w:pPr>
        <w:jc w:val="center"/>
        <w:rPr>
          <w:rFonts w:asciiTheme="majorHAnsi" w:hAnsiTheme="majorHAnsi" w:cstheme="majorHAnsi"/>
          <w:b/>
          <w:sz w:val="24"/>
          <w:lang w:val="ro-MD"/>
        </w:rPr>
      </w:pPr>
      <w:r w:rsidRPr="008860BA">
        <w:rPr>
          <w:rFonts w:asciiTheme="majorHAnsi" w:hAnsiTheme="majorHAnsi" w:cstheme="majorHAnsi"/>
          <w:b/>
          <w:sz w:val="24"/>
          <w:lang w:val="ro-MD"/>
        </w:rPr>
        <w:t>Analiza repartizării cheltuielilor pe tipuri de servicii în anul 2022</w:t>
      </w:r>
    </w:p>
    <w:tbl>
      <w:tblPr>
        <w:tblW w:w="14104" w:type="dxa"/>
        <w:tblLook w:val="04A0" w:firstRow="1" w:lastRow="0" w:firstColumn="1" w:lastColumn="0" w:noHBand="0" w:noVBand="1"/>
      </w:tblPr>
      <w:tblGrid>
        <w:gridCol w:w="3681"/>
        <w:gridCol w:w="693"/>
        <w:gridCol w:w="1170"/>
        <w:gridCol w:w="1275"/>
        <w:gridCol w:w="1137"/>
        <w:gridCol w:w="1273"/>
        <w:gridCol w:w="1134"/>
        <w:gridCol w:w="1111"/>
        <w:gridCol w:w="853"/>
        <w:gridCol w:w="853"/>
        <w:gridCol w:w="944"/>
      </w:tblGrid>
      <w:tr w:rsidR="006A0356" w:rsidRPr="008860BA" w14:paraId="1DA84066" w14:textId="77777777" w:rsidTr="006A0356">
        <w:trPr>
          <w:trHeight w:val="20"/>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4B0A84" w14:textId="77777777" w:rsidR="006A0356" w:rsidRPr="008860BA" w:rsidRDefault="006A0356" w:rsidP="006A0356">
            <w:pPr>
              <w:spacing w:after="0" w:line="240" w:lineRule="auto"/>
              <w:jc w:val="center"/>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Anul 2021</w:t>
            </w:r>
          </w:p>
        </w:tc>
        <w:tc>
          <w:tcPr>
            <w:tcW w:w="673" w:type="dxa"/>
            <w:tcBorders>
              <w:top w:val="single" w:sz="4" w:space="0" w:color="auto"/>
              <w:left w:val="nil"/>
              <w:bottom w:val="single" w:sz="4" w:space="0" w:color="auto"/>
              <w:right w:val="single" w:sz="4" w:space="0" w:color="auto"/>
            </w:tcBorders>
            <w:shd w:val="clear" w:color="auto" w:fill="auto"/>
            <w:noWrap/>
            <w:vAlign w:val="center"/>
            <w:hideMark/>
          </w:tcPr>
          <w:p w14:paraId="43DF6104" w14:textId="5F1B10E9" w:rsidR="006A0356" w:rsidRPr="008860BA" w:rsidRDefault="00E10604" w:rsidP="006A0356">
            <w:pPr>
              <w:spacing w:after="0" w:line="240" w:lineRule="auto"/>
              <w:jc w:val="center"/>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C</w:t>
            </w:r>
            <w:r w:rsidR="006A0356" w:rsidRPr="008860BA">
              <w:rPr>
                <w:rFonts w:asciiTheme="majorHAnsi" w:eastAsia="Times New Roman" w:hAnsiTheme="majorHAnsi" w:cstheme="majorHAnsi"/>
                <w:b/>
                <w:bCs/>
                <w:color w:val="000000"/>
                <w:sz w:val="18"/>
                <w:szCs w:val="18"/>
                <w:lang w:val="ro-MD"/>
              </w:rPr>
              <w:t>ontul</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6B99A20E" w14:textId="004AA080" w:rsidR="006A0356" w:rsidRPr="008860BA" w:rsidRDefault="006A0356" w:rsidP="006A0356">
            <w:pPr>
              <w:spacing w:after="0" w:line="240" w:lineRule="auto"/>
              <w:jc w:val="center"/>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Suma totală conform situa</w:t>
            </w:r>
            <w:r w:rsidR="00B13B9A" w:rsidRPr="008860BA">
              <w:rPr>
                <w:rFonts w:asciiTheme="majorHAnsi" w:eastAsia="Times New Roman" w:hAnsiTheme="majorHAnsi" w:cstheme="majorHAnsi"/>
                <w:b/>
                <w:bCs/>
                <w:color w:val="000000"/>
                <w:sz w:val="18"/>
                <w:szCs w:val="18"/>
                <w:lang w:val="ro-MD"/>
              </w:rPr>
              <w:t>ț</w:t>
            </w:r>
            <w:r w:rsidRPr="008860BA">
              <w:rPr>
                <w:rFonts w:asciiTheme="majorHAnsi" w:eastAsia="Times New Roman" w:hAnsiTheme="majorHAnsi" w:cstheme="majorHAnsi"/>
                <w:b/>
                <w:bCs/>
                <w:color w:val="000000"/>
                <w:sz w:val="18"/>
                <w:szCs w:val="18"/>
                <w:lang w:val="ro-MD"/>
              </w:rPr>
              <w:t>iei financiare</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FEAD77C" w14:textId="77777777" w:rsidR="006A0356" w:rsidRPr="008860BA" w:rsidRDefault="006A0356" w:rsidP="006A0356">
            <w:pPr>
              <w:spacing w:after="0" w:line="240" w:lineRule="auto"/>
              <w:jc w:val="center"/>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Total, inclusiv</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14:paraId="6F59BF88" w14:textId="77777777" w:rsidR="006A0356" w:rsidRPr="008860BA" w:rsidRDefault="006A0356" w:rsidP="006A0356">
            <w:pPr>
              <w:spacing w:after="0" w:line="240" w:lineRule="auto"/>
              <w:jc w:val="center"/>
              <w:rPr>
                <w:rFonts w:asciiTheme="majorHAnsi" w:eastAsia="Times New Roman" w:hAnsiTheme="majorHAnsi" w:cstheme="majorHAnsi"/>
                <w:b/>
                <w:bCs/>
                <w:sz w:val="18"/>
                <w:szCs w:val="18"/>
                <w:lang w:val="ro-MD"/>
              </w:rPr>
            </w:pPr>
            <w:r w:rsidRPr="008860BA">
              <w:rPr>
                <w:rFonts w:asciiTheme="majorHAnsi" w:eastAsia="Times New Roman" w:hAnsiTheme="majorHAnsi" w:cstheme="majorHAnsi"/>
                <w:b/>
                <w:bCs/>
                <w:sz w:val="18"/>
                <w:szCs w:val="18"/>
                <w:lang w:val="ro-MD"/>
              </w:rPr>
              <w:t xml:space="preserve">Spitaliceasca </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14:paraId="6115BE9D" w14:textId="77777777" w:rsidR="006A0356" w:rsidRPr="008860BA" w:rsidRDefault="006A0356" w:rsidP="006A0356">
            <w:pPr>
              <w:spacing w:after="0" w:line="240" w:lineRule="auto"/>
              <w:jc w:val="center"/>
              <w:rPr>
                <w:rFonts w:asciiTheme="majorHAnsi" w:eastAsia="Times New Roman" w:hAnsiTheme="majorHAnsi" w:cstheme="majorHAnsi"/>
                <w:b/>
                <w:bCs/>
                <w:sz w:val="18"/>
                <w:szCs w:val="18"/>
                <w:lang w:val="ro-MD"/>
              </w:rPr>
            </w:pPr>
            <w:r w:rsidRPr="008860BA">
              <w:rPr>
                <w:rFonts w:asciiTheme="majorHAnsi" w:eastAsia="Times New Roman" w:hAnsiTheme="majorHAnsi" w:cstheme="majorHAnsi"/>
                <w:b/>
                <w:bCs/>
                <w:sz w:val="18"/>
                <w:szCs w:val="18"/>
                <w:lang w:val="ro-MD"/>
              </w:rPr>
              <w:t xml:space="preserve">CNAM examinări profilactice (radiografie mobila)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A3E70C4" w14:textId="2A5EE22F" w:rsidR="006A0356" w:rsidRPr="008860BA" w:rsidRDefault="006A0356">
            <w:pPr>
              <w:spacing w:after="0" w:line="240" w:lineRule="auto"/>
              <w:jc w:val="center"/>
              <w:rPr>
                <w:rFonts w:asciiTheme="majorHAnsi" w:eastAsia="Times New Roman" w:hAnsiTheme="majorHAnsi" w:cstheme="majorHAnsi"/>
                <w:b/>
                <w:bCs/>
                <w:sz w:val="18"/>
                <w:szCs w:val="18"/>
                <w:lang w:val="ro-MD"/>
              </w:rPr>
            </w:pPr>
            <w:r w:rsidRPr="008860BA">
              <w:rPr>
                <w:rFonts w:asciiTheme="majorHAnsi" w:eastAsia="Times New Roman" w:hAnsiTheme="majorHAnsi" w:cstheme="majorHAnsi"/>
                <w:b/>
                <w:bCs/>
                <w:sz w:val="18"/>
                <w:szCs w:val="18"/>
                <w:lang w:val="ro-MD"/>
              </w:rPr>
              <w:t>Aloca</w:t>
            </w:r>
            <w:r w:rsidR="00E10604" w:rsidRPr="008860BA">
              <w:rPr>
                <w:rFonts w:asciiTheme="majorHAnsi" w:eastAsia="Times New Roman" w:hAnsiTheme="majorHAnsi" w:cstheme="majorHAnsi"/>
                <w:b/>
                <w:bCs/>
                <w:sz w:val="18"/>
                <w:szCs w:val="18"/>
                <w:lang w:val="ro-MD"/>
              </w:rPr>
              <w:t>ț</w:t>
            </w:r>
            <w:r w:rsidRPr="008860BA">
              <w:rPr>
                <w:rFonts w:asciiTheme="majorHAnsi" w:eastAsia="Times New Roman" w:hAnsiTheme="majorHAnsi" w:cstheme="majorHAnsi"/>
                <w:b/>
                <w:bCs/>
                <w:sz w:val="18"/>
                <w:szCs w:val="18"/>
                <w:lang w:val="ro-MD"/>
              </w:rPr>
              <w:t>ii CNAM    reziden</w:t>
            </w:r>
            <w:r w:rsidR="00E10604" w:rsidRPr="008860BA">
              <w:rPr>
                <w:rFonts w:asciiTheme="majorHAnsi" w:eastAsia="Times New Roman" w:hAnsiTheme="majorHAnsi" w:cstheme="majorHAnsi"/>
                <w:b/>
                <w:bCs/>
                <w:sz w:val="18"/>
                <w:szCs w:val="18"/>
                <w:lang w:val="ro-MD"/>
              </w:rPr>
              <w:t>ț</w:t>
            </w:r>
            <w:r w:rsidRPr="008860BA">
              <w:rPr>
                <w:rFonts w:asciiTheme="majorHAnsi" w:eastAsia="Times New Roman" w:hAnsiTheme="majorHAnsi" w:cstheme="majorHAnsi"/>
                <w:b/>
                <w:bCs/>
                <w:sz w:val="18"/>
                <w:szCs w:val="18"/>
                <w:lang w:val="ro-MD"/>
              </w:rPr>
              <w:t>i</w:t>
            </w:r>
          </w:p>
        </w:tc>
        <w:tc>
          <w:tcPr>
            <w:tcW w:w="1111" w:type="dxa"/>
            <w:tcBorders>
              <w:top w:val="single" w:sz="4" w:space="0" w:color="auto"/>
              <w:left w:val="nil"/>
              <w:bottom w:val="single" w:sz="4" w:space="0" w:color="auto"/>
              <w:right w:val="single" w:sz="4" w:space="0" w:color="auto"/>
            </w:tcBorders>
            <w:shd w:val="clear" w:color="auto" w:fill="auto"/>
            <w:vAlign w:val="center"/>
            <w:hideMark/>
          </w:tcPr>
          <w:p w14:paraId="6878DFF9" w14:textId="77777777" w:rsidR="006A0356" w:rsidRPr="008860BA" w:rsidRDefault="006A0356" w:rsidP="006A0356">
            <w:pPr>
              <w:spacing w:after="0" w:line="240" w:lineRule="auto"/>
              <w:jc w:val="center"/>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Consultativă +LNR</w:t>
            </w: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00354C52" w14:textId="1517FB05" w:rsidR="006A0356" w:rsidRPr="008860BA" w:rsidRDefault="00E10604" w:rsidP="006A0356">
            <w:pPr>
              <w:spacing w:after="0" w:line="240" w:lineRule="auto"/>
              <w:jc w:val="center"/>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Ș</w:t>
            </w:r>
            <w:r w:rsidR="006A0356" w:rsidRPr="008860BA">
              <w:rPr>
                <w:rFonts w:asciiTheme="majorHAnsi" w:eastAsia="Times New Roman" w:hAnsiTheme="majorHAnsi" w:cstheme="majorHAnsi"/>
                <w:b/>
                <w:bCs/>
                <w:color w:val="000000"/>
                <w:sz w:val="18"/>
                <w:szCs w:val="18"/>
                <w:lang w:val="ro-MD"/>
              </w:rPr>
              <w:t>tiin</w:t>
            </w:r>
            <w:r w:rsidR="00B13B9A" w:rsidRPr="008860BA">
              <w:rPr>
                <w:rFonts w:asciiTheme="majorHAnsi" w:eastAsia="Times New Roman" w:hAnsiTheme="majorHAnsi" w:cstheme="majorHAnsi"/>
                <w:b/>
                <w:bCs/>
                <w:color w:val="000000"/>
                <w:sz w:val="18"/>
                <w:szCs w:val="18"/>
                <w:lang w:val="ro-MD"/>
              </w:rPr>
              <w:t>ț</w:t>
            </w:r>
            <w:r w:rsidR="006A0356" w:rsidRPr="008860BA">
              <w:rPr>
                <w:rFonts w:asciiTheme="majorHAnsi" w:eastAsia="Times New Roman" w:hAnsiTheme="majorHAnsi" w:cstheme="majorHAnsi"/>
                <w:b/>
                <w:bCs/>
                <w:color w:val="000000"/>
                <w:sz w:val="18"/>
                <w:szCs w:val="18"/>
                <w:lang w:val="ro-MD"/>
              </w:rPr>
              <w:t xml:space="preserve">ă </w:t>
            </w: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17BD98BE" w14:textId="77777777" w:rsidR="006A0356" w:rsidRPr="008860BA" w:rsidRDefault="006A0356" w:rsidP="006A0356">
            <w:pPr>
              <w:spacing w:after="0" w:line="240" w:lineRule="auto"/>
              <w:jc w:val="center"/>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 xml:space="preserve">Servicii contra plată </w:t>
            </w:r>
          </w:p>
        </w:tc>
        <w:tc>
          <w:tcPr>
            <w:tcW w:w="944" w:type="dxa"/>
            <w:tcBorders>
              <w:top w:val="single" w:sz="4" w:space="0" w:color="auto"/>
              <w:left w:val="nil"/>
              <w:bottom w:val="single" w:sz="4" w:space="0" w:color="auto"/>
              <w:right w:val="single" w:sz="4" w:space="0" w:color="auto"/>
            </w:tcBorders>
            <w:shd w:val="clear" w:color="auto" w:fill="auto"/>
            <w:vAlign w:val="center"/>
            <w:hideMark/>
          </w:tcPr>
          <w:p w14:paraId="5F997848" w14:textId="77777777" w:rsidR="006A0356" w:rsidRPr="008860BA" w:rsidRDefault="006A0356" w:rsidP="006A0356">
            <w:pPr>
              <w:spacing w:after="0" w:line="240" w:lineRule="auto"/>
              <w:jc w:val="center"/>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 xml:space="preserve">Proiect </w:t>
            </w:r>
          </w:p>
        </w:tc>
      </w:tr>
      <w:tr w:rsidR="006A0356" w:rsidRPr="008860BA" w14:paraId="0E0CE61A" w14:textId="77777777" w:rsidTr="006A0356">
        <w:trPr>
          <w:trHeight w:val="2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5ABB57BA" w14:textId="5405AF67" w:rsidR="006A0356" w:rsidRPr="008860BA" w:rsidRDefault="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Venituri din v</w:t>
            </w:r>
            <w:r w:rsidR="00E10604" w:rsidRPr="008860BA">
              <w:rPr>
                <w:rFonts w:asciiTheme="majorHAnsi" w:eastAsia="Times New Roman" w:hAnsiTheme="majorHAnsi" w:cstheme="majorHAnsi"/>
                <w:color w:val="000000"/>
                <w:sz w:val="18"/>
                <w:szCs w:val="18"/>
                <w:lang w:val="ro-MD"/>
              </w:rPr>
              <w:t>â</w:t>
            </w:r>
            <w:r w:rsidRPr="008860BA">
              <w:rPr>
                <w:rFonts w:asciiTheme="majorHAnsi" w:eastAsia="Times New Roman" w:hAnsiTheme="majorHAnsi" w:cstheme="majorHAnsi"/>
                <w:color w:val="000000"/>
                <w:sz w:val="18"/>
                <w:szCs w:val="18"/>
                <w:lang w:val="ro-MD"/>
              </w:rPr>
              <w:t>nzări</w:t>
            </w:r>
          </w:p>
        </w:tc>
        <w:tc>
          <w:tcPr>
            <w:tcW w:w="673" w:type="dxa"/>
            <w:tcBorders>
              <w:top w:val="nil"/>
              <w:left w:val="nil"/>
              <w:bottom w:val="single" w:sz="4" w:space="0" w:color="auto"/>
              <w:right w:val="single" w:sz="4" w:space="0" w:color="auto"/>
            </w:tcBorders>
            <w:shd w:val="clear" w:color="auto" w:fill="auto"/>
            <w:noWrap/>
            <w:vAlign w:val="bottom"/>
            <w:hideMark/>
          </w:tcPr>
          <w:p w14:paraId="60217022"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611</w:t>
            </w:r>
          </w:p>
        </w:tc>
        <w:tc>
          <w:tcPr>
            <w:tcW w:w="1170" w:type="dxa"/>
            <w:tcBorders>
              <w:top w:val="nil"/>
              <w:left w:val="nil"/>
              <w:bottom w:val="single" w:sz="4" w:space="0" w:color="auto"/>
              <w:right w:val="single" w:sz="4" w:space="0" w:color="auto"/>
            </w:tcBorders>
            <w:shd w:val="clear" w:color="auto" w:fill="auto"/>
            <w:noWrap/>
            <w:vAlign w:val="bottom"/>
            <w:hideMark/>
          </w:tcPr>
          <w:p w14:paraId="7DD7A1F6" w14:textId="77777777" w:rsidR="006A0356" w:rsidRPr="008860BA" w:rsidRDefault="006A0356" w:rsidP="006A0356">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159.964,28</w:t>
            </w:r>
          </w:p>
        </w:tc>
        <w:tc>
          <w:tcPr>
            <w:tcW w:w="1275" w:type="dxa"/>
            <w:tcBorders>
              <w:top w:val="nil"/>
              <w:left w:val="nil"/>
              <w:bottom w:val="single" w:sz="4" w:space="0" w:color="auto"/>
              <w:right w:val="single" w:sz="4" w:space="0" w:color="auto"/>
            </w:tcBorders>
            <w:shd w:val="clear" w:color="auto" w:fill="auto"/>
            <w:noWrap/>
            <w:vAlign w:val="bottom"/>
            <w:hideMark/>
          </w:tcPr>
          <w:p w14:paraId="546D63DC" w14:textId="77777777" w:rsidR="006A0356" w:rsidRPr="008860BA" w:rsidRDefault="006A0356" w:rsidP="006A0356">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159.964,28</w:t>
            </w:r>
          </w:p>
        </w:tc>
        <w:tc>
          <w:tcPr>
            <w:tcW w:w="1137" w:type="dxa"/>
            <w:tcBorders>
              <w:top w:val="single" w:sz="8" w:space="0" w:color="auto"/>
              <w:left w:val="nil"/>
              <w:bottom w:val="nil"/>
              <w:right w:val="single" w:sz="4" w:space="0" w:color="auto"/>
            </w:tcBorders>
            <w:shd w:val="clear" w:color="auto" w:fill="auto"/>
            <w:hideMark/>
          </w:tcPr>
          <w:p w14:paraId="039CD4C1" w14:textId="77777777" w:rsidR="006A0356" w:rsidRPr="008860BA" w:rsidRDefault="006A0356" w:rsidP="006A0356">
            <w:pPr>
              <w:spacing w:after="0" w:line="240" w:lineRule="auto"/>
              <w:jc w:val="right"/>
              <w:rPr>
                <w:rFonts w:asciiTheme="majorHAnsi" w:eastAsia="Times New Roman" w:hAnsiTheme="majorHAnsi" w:cstheme="majorHAnsi"/>
                <w:b/>
                <w:bCs/>
                <w:sz w:val="18"/>
                <w:szCs w:val="18"/>
                <w:lang w:val="ro-MD"/>
              </w:rPr>
            </w:pPr>
            <w:r w:rsidRPr="008860BA">
              <w:rPr>
                <w:rFonts w:asciiTheme="majorHAnsi" w:eastAsia="Times New Roman" w:hAnsiTheme="majorHAnsi" w:cstheme="majorHAnsi"/>
                <w:b/>
                <w:bCs/>
                <w:sz w:val="18"/>
                <w:szCs w:val="18"/>
                <w:lang w:val="ro-MD"/>
              </w:rPr>
              <w:t>102.177,97</w:t>
            </w:r>
          </w:p>
        </w:tc>
        <w:tc>
          <w:tcPr>
            <w:tcW w:w="1273" w:type="dxa"/>
            <w:tcBorders>
              <w:top w:val="single" w:sz="8" w:space="0" w:color="auto"/>
              <w:left w:val="nil"/>
              <w:bottom w:val="nil"/>
              <w:right w:val="single" w:sz="4" w:space="0" w:color="auto"/>
            </w:tcBorders>
            <w:shd w:val="clear" w:color="auto" w:fill="auto"/>
            <w:hideMark/>
          </w:tcPr>
          <w:p w14:paraId="329A9DD2" w14:textId="77777777" w:rsidR="006A0356" w:rsidRPr="008860BA" w:rsidRDefault="006A0356" w:rsidP="006A0356">
            <w:pPr>
              <w:spacing w:after="0" w:line="240" w:lineRule="auto"/>
              <w:jc w:val="right"/>
              <w:rPr>
                <w:rFonts w:asciiTheme="majorHAnsi" w:eastAsia="Times New Roman" w:hAnsiTheme="majorHAnsi" w:cstheme="majorHAnsi"/>
                <w:b/>
                <w:bCs/>
                <w:sz w:val="18"/>
                <w:szCs w:val="18"/>
                <w:lang w:val="ro-MD"/>
              </w:rPr>
            </w:pPr>
            <w:r w:rsidRPr="008860BA">
              <w:rPr>
                <w:rFonts w:asciiTheme="majorHAnsi" w:eastAsia="Times New Roman" w:hAnsiTheme="majorHAnsi" w:cstheme="majorHAnsi"/>
                <w:b/>
                <w:bCs/>
                <w:sz w:val="18"/>
                <w:szCs w:val="18"/>
                <w:lang w:val="ro-MD"/>
              </w:rPr>
              <w:t>1.153,20</w:t>
            </w:r>
          </w:p>
        </w:tc>
        <w:tc>
          <w:tcPr>
            <w:tcW w:w="1134" w:type="dxa"/>
            <w:tcBorders>
              <w:top w:val="single" w:sz="8" w:space="0" w:color="auto"/>
              <w:left w:val="nil"/>
              <w:bottom w:val="nil"/>
              <w:right w:val="single" w:sz="4" w:space="0" w:color="auto"/>
            </w:tcBorders>
            <w:shd w:val="clear" w:color="auto" w:fill="auto"/>
            <w:hideMark/>
          </w:tcPr>
          <w:p w14:paraId="70A5537C" w14:textId="77777777" w:rsidR="006A0356" w:rsidRPr="008860BA" w:rsidRDefault="006A0356" w:rsidP="006A0356">
            <w:pPr>
              <w:spacing w:after="0" w:line="240" w:lineRule="auto"/>
              <w:jc w:val="right"/>
              <w:rPr>
                <w:rFonts w:asciiTheme="majorHAnsi" w:eastAsia="Times New Roman" w:hAnsiTheme="majorHAnsi" w:cstheme="majorHAnsi"/>
                <w:b/>
                <w:bCs/>
                <w:sz w:val="18"/>
                <w:szCs w:val="18"/>
                <w:lang w:val="ro-MD"/>
              </w:rPr>
            </w:pPr>
            <w:r w:rsidRPr="008860BA">
              <w:rPr>
                <w:rFonts w:asciiTheme="majorHAnsi" w:eastAsia="Times New Roman" w:hAnsiTheme="majorHAnsi" w:cstheme="majorHAnsi"/>
                <w:b/>
                <w:bCs/>
                <w:sz w:val="18"/>
                <w:szCs w:val="18"/>
                <w:lang w:val="ro-MD"/>
              </w:rPr>
              <w:t>1.049,15</w:t>
            </w:r>
          </w:p>
        </w:tc>
        <w:tc>
          <w:tcPr>
            <w:tcW w:w="1111" w:type="dxa"/>
            <w:tcBorders>
              <w:top w:val="single" w:sz="8" w:space="0" w:color="auto"/>
              <w:left w:val="nil"/>
              <w:bottom w:val="nil"/>
              <w:right w:val="single" w:sz="4" w:space="0" w:color="auto"/>
            </w:tcBorders>
            <w:shd w:val="clear" w:color="auto" w:fill="auto"/>
            <w:hideMark/>
          </w:tcPr>
          <w:p w14:paraId="11809FDB" w14:textId="77777777" w:rsidR="006A0356" w:rsidRPr="008860BA" w:rsidRDefault="006A0356" w:rsidP="006A0356">
            <w:pPr>
              <w:spacing w:after="0" w:line="240" w:lineRule="auto"/>
              <w:jc w:val="right"/>
              <w:rPr>
                <w:rFonts w:asciiTheme="majorHAnsi" w:eastAsia="Times New Roman" w:hAnsiTheme="majorHAnsi" w:cstheme="majorHAnsi"/>
                <w:b/>
                <w:bCs/>
                <w:sz w:val="18"/>
                <w:szCs w:val="18"/>
                <w:lang w:val="ro-MD"/>
              </w:rPr>
            </w:pPr>
            <w:r w:rsidRPr="008860BA">
              <w:rPr>
                <w:rFonts w:asciiTheme="majorHAnsi" w:eastAsia="Times New Roman" w:hAnsiTheme="majorHAnsi" w:cstheme="majorHAnsi"/>
                <w:b/>
                <w:bCs/>
                <w:sz w:val="18"/>
                <w:szCs w:val="18"/>
                <w:lang w:val="ro-MD"/>
              </w:rPr>
              <w:t>13.510,11</w:t>
            </w:r>
          </w:p>
        </w:tc>
        <w:tc>
          <w:tcPr>
            <w:tcW w:w="853" w:type="dxa"/>
            <w:tcBorders>
              <w:top w:val="single" w:sz="8" w:space="0" w:color="auto"/>
              <w:left w:val="nil"/>
              <w:bottom w:val="nil"/>
              <w:right w:val="single" w:sz="4" w:space="0" w:color="auto"/>
            </w:tcBorders>
            <w:shd w:val="clear" w:color="auto" w:fill="auto"/>
            <w:hideMark/>
          </w:tcPr>
          <w:p w14:paraId="0E8145F1" w14:textId="77777777" w:rsidR="006A0356" w:rsidRPr="008860BA" w:rsidRDefault="006A0356" w:rsidP="006A0356">
            <w:pPr>
              <w:spacing w:after="0" w:line="240" w:lineRule="auto"/>
              <w:jc w:val="right"/>
              <w:rPr>
                <w:rFonts w:asciiTheme="majorHAnsi" w:eastAsia="Times New Roman" w:hAnsiTheme="majorHAnsi" w:cstheme="majorHAnsi"/>
                <w:b/>
                <w:bCs/>
                <w:sz w:val="18"/>
                <w:szCs w:val="18"/>
                <w:lang w:val="ro-MD"/>
              </w:rPr>
            </w:pPr>
            <w:r w:rsidRPr="008860BA">
              <w:rPr>
                <w:rFonts w:asciiTheme="majorHAnsi" w:eastAsia="Times New Roman" w:hAnsiTheme="majorHAnsi" w:cstheme="majorHAnsi"/>
                <w:b/>
                <w:bCs/>
                <w:sz w:val="18"/>
                <w:szCs w:val="18"/>
                <w:lang w:val="ro-MD"/>
              </w:rPr>
              <w:t>1.729,00</w:t>
            </w:r>
          </w:p>
        </w:tc>
        <w:tc>
          <w:tcPr>
            <w:tcW w:w="853" w:type="dxa"/>
            <w:tcBorders>
              <w:top w:val="single" w:sz="8" w:space="0" w:color="auto"/>
              <w:left w:val="nil"/>
              <w:bottom w:val="nil"/>
              <w:right w:val="single" w:sz="4" w:space="0" w:color="auto"/>
            </w:tcBorders>
            <w:shd w:val="clear" w:color="auto" w:fill="auto"/>
            <w:hideMark/>
          </w:tcPr>
          <w:p w14:paraId="1064D691" w14:textId="77777777" w:rsidR="006A0356" w:rsidRPr="008860BA" w:rsidRDefault="006A0356" w:rsidP="006A0356">
            <w:pPr>
              <w:spacing w:after="0" w:line="240" w:lineRule="auto"/>
              <w:jc w:val="right"/>
              <w:rPr>
                <w:rFonts w:asciiTheme="majorHAnsi" w:eastAsia="Times New Roman" w:hAnsiTheme="majorHAnsi" w:cstheme="majorHAnsi"/>
                <w:b/>
                <w:bCs/>
                <w:sz w:val="18"/>
                <w:szCs w:val="18"/>
                <w:lang w:val="ro-MD"/>
              </w:rPr>
            </w:pPr>
            <w:r w:rsidRPr="008860BA">
              <w:rPr>
                <w:rFonts w:asciiTheme="majorHAnsi" w:eastAsia="Times New Roman" w:hAnsiTheme="majorHAnsi" w:cstheme="majorHAnsi"/>
                <w:b/>
                <w:bCs/>
                <w:sz w:val="18"/>
                <w:szCs w:val="18"/>
                <w:lang w:val="ro-MD"/>
              </w:rPr>
              <w:t>1.959,72</w:t>
            </w:r>
          </w:p>
        </w:tc>
        <w:tc>
          <w:tcPr>
            <w:tcW w:w="944" w:type="dxa"/>
            <w:tcBorders>
              <w:top w:val="single" w:sz="8" w:space="0" w:color="auto"/>
              <w:left w:val="nil"/>
              <w:bottom w:val="nil"/>
              <w:right w:val="single" w:sz="4" w:space="0" w:color="auto"/>
            </w:tcBorders>
            <w:shd w:val="clear" w:color="auto" w:fill="auto"/>
            <w:hideMark/>
          </w:tcPr>
          <w:p w14:paraId="07882C01" w14:textId="77777777" w:rsidR="006A0356" w:rsidRPr="008860BA" w:rsidRDefault="006A0356" w:rsidP="006A0356">
            <w:pPr>
              <w:spacing w:after="0" w:line="240" w:lineRule="auto"/>
              <w:jc w:val="right"/>
              <w:rPr>
                <w:rFonts w:asciiTheme="majorHAnsi" w:eastAsia="Times New Roman" w:hAnsiTheme="majorHAnsi" w:cstheme="majorHAnsi"/>
                <w:b/>
                <w:bCs/>
                <w:sz w:val="18"/>
                <w:szCs w:val="18"/>
                <w:lang w:val="ro-MD"/>
              </w:rPr>
            </w:pPr>
            <w:r w:rsidRPr="008860BA">
              <w:rPr>
                <w:rFonts w:asciiTheme="majorHAnsi" w:eastAsia="Times New Roman" w:hAnsiTheme="majorHAnsi" w:cstheme="majorHAnsi"/>
                <w:b/>
                <w:bCs/>
                <w:sz w:val="18"/>
                <w:szCs w:val="18"/>
                <w:lang w:val="ro-MD"/>
              </w:rPr>
              <w:t>38.385,14</w:t>
            </w:r>
          </w:p>
        </w:tc>
      </w:tr>
      <w:tr w:rsidR="006A0356" w:rsidRPr="008860BA" w14:paraId="1A0A0033" w14:textId="77777777" w:rsidTr="006A0356">
        <w:trPr>
          <w:trHeight w:val="20"/>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1FE42EB7" w14:textId="4E099905"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Alte venituri din activitatea opera</w:t>
            </w:r>
            <w:r w:rsidR="00B13B9A" w:rsidRPr="008860BA">
              <w:rPr>
                <w:rFonts w:asciiTheme="majorHAnsi" w:eastAsia="Times New Roman" w:hAnsiTheme="majorHAnsi" w:cstheme="majorHAnsi"/>
                <w:color w:val="000000"/>
                <w:sz w:val="18"/>
                <w:szCs w:val="18"/>
                <w:lang w:val="ro-MD"/>
              </w:rPr>
              <w:t>ț</w:t>
            </w:r>
            <w:r w:rsidRPr="008860BA">
              <w:rPr>
                <w:rFonts w:asciiTheme="majorHAnsi" w:eastAsia="Times New Roman" w:hAnsiTheme="majorHAnsi" w:cstheme="majorHAnsi"/>
                <w:color w:val="000000"/>
                <w:sz w:val="18"/>
                <w:szCs w:val="18"/>
                <w:lang w:val="ro-MD"/>
              </w:rPr>
              <w:t>ională</w:t>
            </w:r>
          </w:p>
        </w:tc>
        <w:tc>
          <w:tcPr>
            <w:tcW w:w="673" w:type="dxa"/>
            <w:tcBorders>
              <w:top w:val="nil"/>
              <w:left w:val="nil"/>
              <w:bottom w:val="single" w:sz="4" w:space="0" w:color="auto"/>
              <w:right w:val="single" w:sz="4" w:space="0" w:color="auto"/>
            </w:tcBorders>
            <w:shd w:val="clear" w:color="auto" w:fill="auto"/>
            <w:noWrap/>
            <w:vAlign w:val="bottom"/>
            <w:hideMark/>
          </w:tcPr>
          <w:p w14:paraId="0FE0EFF6"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612</w:t>
            </w:r>
          </w:p>
        </w:tc>
        <w:tc>
          <w:tcPr>
            <w:tcW w:w="1170" w:type="dxa"/>
            <w:tcBorders>
              <w:top w:val="nil"/>
              <w:left w:val="nil"/>
              <w:bottom w:val="single" w:sz="4" w:space="0" w:color="auto"/>
              <w:right w:val="single" w:sz="4" w:space="0" w:color="auto"/>
            </w:tcBorders>
            <w:shd w:val="clear" w:color="auto" w:fill="auto"/>
            <w:noWrap/>
            <w:vAlign w:val="bottom"/>
            <w:hideMark/>
          </w:tcPr>
          <w:p w14:paraId="43625CCD" w14:textId="77777777" w:rsidR="006A0356" w:rsidRPr="008860BA" w:rsidRDefault="006A0356" w:rsidP="006A0356">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87,18</w:t>
            </w:r>
          </w:p>
        </w:tc>
        <w:tc>
          <w:tcPr>
            <w:tcW w:w="1275" w:type="dxa"/>
            <w:tcBorders>
              <w:top w:val="nil"/>
              <w:left w:val="nil"/>
              <w:bottom w:val="single" w:sz="4" w:space="0" w:color="auto"/>
              <w:right w:val="single" w:sz="4" w:space="0" w:color="auto"/>
            </w:tcBorders>
            <w:shd w:val="clear" w:color="auto" w:fill="auto"/>
            <w:noWrap/>
            <w:vAlign w:val="bottom"/>
            <w:hideMark/>
          </w:tcPr>
          <w:p w14:paraId="2F8EF34C" w14:textId="77777777" w:rsidR="006A0356" w:rsidRPr="008860BA" w:rsidRDefault="006A0356" w:rsidP="006A0356">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87,18</w:t>
            </w:r>
          </w:p>
        </w:tc>
        <w:tc>
          <w:tcPr>
            <w:tcW w:w="1137" w:type="dxa"/>
            <w:tcBorders>
              <w:top w:val="single" w:sz="4" w:space="0" w:color="auto"/>
              <w:left w:val="nil"/>
              <w:bottom w:val="single" w:sz="4" w:space="0" w:color="auto"/>
              <w:right w:val="single" w:sz="4" w:space="0" w:color="auto"/>
            </w:tcBorders>
            <w:shd w:val="clear" w:color="auto" w:fill="auto"/>
            <w:noWrap/>
            <w:vAlign w:val="bottom"/>
            <w:hideMark/>
          </w:tcPr>
          <w:p w14:paraId="1A1887BF"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14:paraId="3A1C7BC2"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1C4A55A"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single" w:sz="4" w:space="0" w:color="auto"/>
              <w:left w:val="nil"/>
              <w:bottom w:val="single" w:sz="4" w:space="0" w:color="auto"/>
              <w:right w:val="single" w:sz="4" w:space="0" w:color="auto"/>
            </w:tcBorders>
            <w:shd w:val="clear" w:color="auto" w:fill="auto"/>
            <w:noWrap/>
            <w:vAlign w:val="bottom"/>
            <w:hideMark/>
          </w:tcPr>
          <w:p w14:paraId="200872C5"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single" w:sz="4" w:space="0" w:color="auto"/>
              <w:left w:val="nil"/>
              <w:bottom w:val="single" w:sz="4" w:space="0" w:color="auto"/>
              <w:right w:val="single" w:sz="4" w:space="0" w:color="auto"/>
            </w:tcBorders>
            <w:shd w:val="clear" w:color="auto" w:fill="auto"/>
            <w:noWrap/>
            <w:vAlign w:val="bottom"/>
            <w:hideMark/>
          </w:tcPr>
          <w:p w14:paraId="7F27B9D1"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single" w:sz="4" w:space="0" w:color="auto"/>
              <w:left w:val="nil"/>
              <w:bottom w:val="nil"/>
              <w:right w:val="single" w:sz="4" w:space="0" w:color="auto"/>
            </w:tcBorders>
            <w:shd w:val="clear" w:color="auto" w:fill="auto"/>
            <w:hideMark/>
          </w:tcPr>
          <w:p w14:paraId="3210875B" w14:textId="77777777" w:rsidR="006A0356" w:rsidRPr="008860BA" w:rsidRDefault="006A0356" w:rsidP="006A0356">
            <w:pPr>
              <w:spacing w:after="0" w:line="240" w:lineRule="auto"/>
              <w:jc w:val="right"/>
              <w:rPr>
                <w:rFonts w:asciiTheme="majorHAnsi" w:eastAsia="Times New Roman" w:hAnsiTheme="majorHAnsi" w:cstheme="majorHAnsi"/>
                <w:b/>
                <w:bCs/>
                <w:sz w:val="18"/>
                <w:szCs w:val="18"/>
                <w:lang w:val="ro-MD"/>
              </w:rPr>
            </w:pPr>
            <w:r w:rsidRPr="008860BA">
              <w:rPr>
                <w:rFonts w:asciiTheme="majorHAnsi" w:eastAsia="Times New Roman" w:hAnsiTheme="majorHAnsi" w:cstheme="majorHAnsi"/>
                <w:b/>
                <w:bCs/>
                <w:sz w:val="18"/>
                <w:szCs w:val="18"/>
                <w:lang w:val="ro-MD"/>
              </w:rPr>
              <w:t> </w:t>
            </w:r>
          </w:p>
        </w:tc>
        <w:tc>
          <w:tcPr>
            <w:tcW w:w="944" w:type="dxa"/>
            <w:tcBorders>
              <w:top w:val="single" w:sz="4" w:space="0" w:color="auto"/>
              <w:left w:val="nil"/>
              <w:bottom w:val="single" w:sz="4" w:space="0" w:color="auto"/>
              <w:right w:val="single" w:sz="4" w:space="0" w:color="auto"/>
            </w:tcBorders>
            <w:shd w:val="clear" w:color="auto" w:fill="auto"/>
            <w:noWrap/>
            <w:vAlign w:val="bottom"/>
            <w:hideMark/>
          </w:tcPr>
          <w:p w14:paraId="3F256E6C"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r>
      <w:tr w:rsidR="006A0356" w:rsidRPr="008860BA" w14:paraId="2B894191" w14:textId="77777777" w:rsidTr="006A0356">
        <w:trPr>
          <w:trHeight w:val="20"/>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0CB66BA3" w14:textId="7926F248" w:rsidR="006A0356" w:rsidRPr="008860BA" w:rsidRDefault="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Dob</w:t>
            </w:r>
            <w:r w:rsidR="00E10604" w:rsidRPr="008860BA">
              <w:rPr>
                <w:rFonts w:asciiTheme="majorHAnsi" w:eastAsia="Times New Roman" w:hAnsiTheme="majorHAnsi" w:cstheme="majorHAnsi"/>
                <w:color w:val="000000"/>
                <w:sz w:val="18"/>
                <w:szCs w:val="18"/>
                <w:lang w:val="ro-MD"/>
              </w:rPr>
              <w:t>â</w:t>
            </w:r>
            <w:r w:rsidRPr="008860BA">
              <w:rPr>
                <w:rFonts w:asciiTheme="majorHAnsi" w:eastAsia="Times New Roman" w:hAnsiTheme="majorHAnsi" w:cstheme="majorHAnsi"/>
                <w:color w:val="000000"/>
                <w:sz w:val="18"/>
                <w:szCs w:val="18"/>
                <w:lang w:val="ro-MD"/>
              </w:rPr>
              <w:t>nda bancară</w:t>
            </w:r>
          </w:p>
        </w:tc>
        <w:tc>
          <w:tcPr>
            <w:tcW w:w="673" w:type="dxa"/>
            <w:tcBorders>
              <w:top w:val="nil"/>
              <w:left w:val="nil"/>
              <w:bottom w:val="single" w:sz="4" w:space="0" w:color="auto"/>
              <w:right w:val="single" w:sz="4" w:space="0" w:color="auto"/>
            </w:tcBorders>
            <w:shd w:val="clear" w:color="auto" w:fill="auto"/>
            <w:vAlign w:val="bottom"/>
            <w:hideMark/>
          </w:tcPr>
          <w:p w14:paraId="4D4C0E27"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621</w:t>
            </w:r>
          </w:p>
        </w:tc>
        <w:tc>
          <w:tcPr>
            <w:tcW w:w="1170" w:type="dxa"/>
            <w:tcBorders>
              <w:top w:val="nil"/>
              <w:left w:val="nil"/>
              <w:bottom w:val="single" w:sz="4" w:space="0" w:color="auto"/>
              <w:right w:val="single" w:sz="4" w:space="0" w:color="auto"/>
            </w:tcBorders>
            <w:shd w:val="clear" w:color="auto" w:fill="auto"/>
            <w:noWrap/>
            <w:vAlign w:val="bottom"/>
            <w:hideMark/>
          </w:tcPr>
          <w:p w14:paraId="79C7C202" w14:textId="77777777" w:rsidR="006A0356" w:rsidRPr="008860BA" w:rsidRDefault="006A0356" w:rsidP="006A0356">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14,28</w:t>
            </w:r>
          </w:p>
        </w:tc>
        <w:tc>
          <w:tcPr>
            <w:tcW w:w="1275" w:type="dxa"/>
            <w:tcBorders>
              <w:top w:val="nil"/>
              <w:left w:val="nil"/>
              <w:bottom w:val="single" w:sz="4" w:space="0" w:color="auto"/>
              <w:right w:val="single" w:sz="4" w:space="0" w:color="auto"/>
            </w:tcBorders>
            <w:shd w:val="clear" w:color="auto" w:fill="auto"/>
            <w:noWrap/>
            <w:vAlign w:val="bottom"/>
            <w:hideMark/>
          </w:tcPr>
          <w:p w14:paraId="7F6AD0BE" w14:textId="77777777" w:rsidR="006A0356" w:rsidRPr="008860BA" w:rsidRDefault="006A0356" w:rsidP="006A0356">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14,28</w:t>
            </w:r>
          </w:p>
        </w:tc>
        <w:tc>
          <w:tcPr>
            <w:tcW w:w="1137" w:type="dxa"/>
            <w:tcBorders>
              <w:top w:val="nil"/>
              <w:left w:val="nil"/>
              <w:bottom w:val="single" w:sz="4" w:space="0" w:color="auto"/>
              <w:right w:val="single" w:sz="4" w:space="0" w:color="auto"/>
            </w:tcBorders>
            <w:shd w:val="clear" w:color="auto" w:fill="auto"/>
            <w:vAlign w:val="bottom"/>
            <w:hideMark/>
          </w:tcPr>
          <w:p w14:paraId="3FD6F957"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273" w:type="dxa"/>
            <w:tcBorders>
              <w:top w:val="nil"/>
              <w:left w:val="nil"/>
              <w:bottom w:val="single" w:sz="4" w:space="0" w:color="auto"/>
              <w:right w:val="single" w:sz="4" w:space="0" w:color="auto"/>
            </w:tcBorders>
            <w:shd w:val="clear" w:color="auto" w:fill="auto"/>
            <w:vAlign w:val="bottom"/>
            <w:hideMark/>
          </w:tcPr>
          <w:p w14:paraId="3528633C"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34" w:type="dxa"/>
            <w:tcBorders>
              <w:top w:val="nil"/>
              <w:left w:val="nil"/>
              <w:bottom w:val="single" w:sz="4" w:space="0" w:color="auto"/>
              <w:right w:val="single" w:sz="4" w:space="0" w:color="auto"/>
            </w:tcBorders>
            <w:shd w:val="clear" w:color="auto" w:fill="auto"/>
            <w:vAlign w:val="bottom"/>
            <w:hideMark/>
          </w:tcPr>
          <w:p w14:paraId="6973CC76"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vAlign w:val="bottom"/>
            <w:hideMark/>
          </w:tcPr>
          <w:p w14:paraId="1A77B8A4"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vAlign w:val="bottom"/>
            <w:hideMark/>
          </w:tcPr>
          <w:p w14:paraId="7DF32306"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single" w:sz="4" w:space="0" w:color="auto"/>
              <w:left w:val="nil"/>
              <w:bottom w:val="single" w:sz="4" w:space="0" w:color="auto"/>
              <w:right w:val="single" w:sz="4" w:space="0" w:color="auto"/>
            </w:tcBorders>
            <w:shd w:val="clear" w:color="auto" w:fill="auto"/>
            <w:vAlign w:val="bottom"/>
            <w:hideMark/>
          </w:tcPr>
          <w:p w14:paraId="739386E7"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944" w:type="dxa"/>
            <w:tcBorders>
              <w:top w:val="nil"/>
              <w:left w:val="nil"/>
              <w:bottom w:val="single" w:sz="4" w:space="0" w:color="auto"/>
              <w:right w:val="single" w:sz="4" w:space="0" w:color="auto"/>
            </w:tcBorders>
            <w:shd w:val="clear" w:color="auto" w:fill="auto"/>
            <w:vAlign w:val="bottom"/>
            <w:hideMark/>
          </w:tcPr>
          <w:p w14:paraId="7DAB3125"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r>
      <w:tr w:rsidR="006A0356" w:rsidRPr="008860BA" w14:paraId="4CC367CF" w14:textId="77777777" w:rsidTr="006A0356">
        <w:trPr>
          <w:trHeight w:val="20"/>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4BA52B85" w14:textId="78A379AC"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Diferen</w:t>
            </w:r>
            <w:r w:rsidR="00B13B9A" w:rsidRPr="008860BA">
              <w:rPr>
                <w:rFonts w:asciiTheme="majorHAnsi" w:eastAsia="Times New Roman" w:hAnsiTheme="majorHAnsi" w:cstheme="majorHAnsi"/>
                <w:color w:val="000000"/>
                <w:sz w:val="18"/>
                <w:szCs w:val="18"/>
                <w:lang w:val="ro-MD"/>
              </w:rPr>
              <w:t>ț</w:t>
            </w:r>
            <w:r w:rsidRPr="008860BA">
              <w:rPr>
                <w:rFonts w:asciiTheme="majorHAnsi" w:eastAsia="Times New Roman" w:hAnsiTheme="majorHAnsi" w:cstheme="majorHAnsi"/>
                <w:color w:val="000000"/>
                <w:sz w:val="18"/>
                <w:szCs w:val="18"/>
                <w:lang w:val="ro-MD"/>
              </w:rPr>
              <w:t>a de curs valutar</w:t>
            </w:r>
          </w:p>
        </w:tc>
        <w:tc>
          <w:tcPr>
            <w:tcW w:w="673" w:type="dxa"/>
            <w:tcBorders>
              <w:top w:val="nil"/>
              <w:left w:val="nil"/>
              <w:bottom w:val="single" w:sz="4" w:space="0" w:color="auto"/>
              <w:right w:val="single" w:sz="4" w:space="0" w:color="auto"/>
            </w:tcBorders>
            <w:shd w:val="clear" w:color="auto" w:fill="auto"/>
            <w:vAlign w:val="bottom"/>
            <w:hideMark/>
          </w:tcPr>
          <w:p w14:paraId="1A8370F9"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622</w:t>
            </w:r>
          </w:p>
        </w:tc>
        <w:tc>
          <w:tcPr>
            <w:tcW w:w="1170" w:type="dxa"/>
            <w:tcBorders>
              <w:top w:val="nil"/>
              <w:left w:val="nil"/>
              <w:bottom w:val="single" w:sz="4" w:space="0" w:color="auto"/>
              <w:right w:val="single" w:sz="4" w:space="0" w:color="auto"/>
            </w:tcBorders>
            <w:shd w:val="clear" w:color="auto" w:fill="auto"/>
            <w:noWrap/>
            <w:vAlign w:val="bottom"/>
            <w:hideMark/>
          </w:tcPr>
          <w:p w14:paraId="3F91CA43" w14:textId="77777777" w:rsidR="006A0356" w:rsidRPr="008860BA" w:rsidRDefault="006A0356" w:rsidP="006A0356">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534,61</w:t>
            </w:r>
          </w:p>
        </w:tc>
        <w:tc>
          <w:tcPr>
            <w:tcW w:w="1275" w:type="dxa"/>
            <w:tcBorders>
              <w:top w:val="nil"/>
              <w:left w:val="nil"/>
              <w:bottom w:val="single" w:sz="4" w:space="0" w:color="auto"/>
              <w:right w:val="single" w:sz="4" w:space="0" w:color="auto"/>
            </w:tcBorders>
            <w:shd w:val="clear" w:color="auto" w:fill="auto"/>
            <w:noWrap/>
            <w:vAlign w:val="bottom"/>
            <w:hideMark/>
          </w:tcPr>
          <w:p w14:paraId="570942F5" w14:textId="77777777" w:rsidR="006A0356" w:rsidRPr="008860BA" w:rsidRDefault="006A0356" w:rsidP="006A0356">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534,61</w:t>
            </w:r>
          </w:p>
        </w:tc>
        <w:tc>
          <w:tcPr>
            <w:tcW w:w="1137" w:type="dxa"/>
            <w:tcBorders>
              <w:top w:val="nil"/>
              <w:left w:val="nil"/>
              <w:bottom w:val="single" w:sz="4" w:space="0" w:color="auto"/>
              <w:right w:val="single" w:sz="4" w:space="0" w:color="auto"/>
            </w:tcBorders>
            <w:shd w:val="clear" w:color="auto" w:fill="auto"/>
            <w:vAlign w:val="bottom"/>
            <w:hideMark/>
          </w:tcPr>
          <w:p w14:paraId="195A89F2"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273" w:type="dxa"/>
            <w:tcBorders>
              <w:top w:val="nil"/>
              <w:left w:val="nil"/>
              <w:bottom w:val="single" w:sz="4" w:space="0" w:color="auto"/>
              <w:right w:val="single" w:sz="4" w:space="0" w:color="auto"/>
            </w:tcBorders>
            <w:shd w:val="clear" w:color="auto" w:fill="auto"/>
            <w:vAlign w:val="bottom"/>
            <w:hideMark/>
          </w:tcPr>
          <w:p w14:paraId="416AD3B1"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34" w:type="dxa"/>
            <w:tcBorders>
              <w:top w:val="nil"/>
              <w:left w:val="nil"/>
              <w:bottom w:val="single" w:sz="4" w:space="0" w:color="auto"/>
              <w:right w:val="single" w:sz="4" w:space="0" w:color="auto"/>
            </w:tcBorders>
            <w:shd w:val="clear" w:color="auto" w:fill="auto"/>
            <w:vAlign w:val="bottom"/>
            <w:hideMark/>
          </w:tcPr>
          <w:p w14:paraId="3A4811C8"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vAlign w:val="bottom"/>
            <w:hideMark/>
          </w:tcPr>
          <w:p w14:paraId="79DEEF62"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vAlign w:val="bottom"/>
            <w:hideMark/>
          </w:tcPr>
          <w:p w14:paraId="7892789C"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vAlign w:val="bottom"/>
            <w:hideMark/>
          </w:tcPr>
          <w:p w14:paraId="2629FC2C"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944" w:type="dxa"/>
            <w:tcBorders>
              <w:top w:val="nil"/>
              <w:left w:val="nil"/>
              <w:bottom w:val="single" w:sz="4" w:space="0" w:color="auto"/>
              <w:right w:val="single" w:sz="4" w:space="0" w:color="auto"/>
            </w:tcBorders>
            <w:shd w:val="clear" w:color="auto" w:fill="auto"/>
            <w:vAlign w:val="bottom"/>
            <w:hideMark/>
          </w:tcPr>
          <w:p w14:paraId="33BBF56F"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r>
      <w:tr w:rsidR="006A0356" w:rsidRPr="008860BA" w14:paraId="601A2956" w14:textId="77777777" w:rsidTr="006A0356">
        <w:trPr>
          <w:trHeight w:val="2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7F724AC9" w14:textId="74531225" w:rsidR="006A0356" w:rsidRPr="008860BA" w:rsidRDefault="006A0356" w:rsidP="006A0356">
            <w:pPr>
              <w:spacing w:after="0" w:line="240" w:lineRule="auto"/>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Total Venit</w:t>
            </w:r>
          </w:p>
        </w:tc>
        <w:tc>
          <w:tcPr>
            <w:tcW w:w="673" w:type="dxa"/>
            <w:tcBorders>
              <w:top w:val="nil"/>
              <w:left w:val="nil"/>
              <w:bottom w:val="single" w:sz="4" w:space="0" w:color="auto"/>
              <w:right w:val="single" w:sz="4" w:space="0" w:color="auto"/>
            </w:tcBorders>
            <w:shd w:val="clear" w:color="auto" w:fill="auto"/>
            <w:noWrap/>
            <w:vAlign w:val="bottom"/>
            <w:hideMark/>
          </w:tcPr>
          <w:p w14:paraId="5EABF203" w14:textId="77777777" w:rsidR="006A0356" w:rsidRPr="008860BA" w:rsidRDefault="006A0356" w:rsidP="006A0356">
            <w:pPr>
              <w:spacing w:after="0" w:line="240" w:lineRule="auto"/>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noWrap/>
            <w:vAlign w:val="bottom"/>
            <w:hideMark/>
          </w:tcPr>
          <w:p w14:paraId="057033A3" w14:textId="77777777" w:rsidR="006A0356" w:rsidRPr="008860BA" w:rsidRDefault="006A0356" w:rsidP="006A0356">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160.600,36</w:t>
            </w:r>
          </w:p>
        </w:tc>
        <w:tc>
          <w:tcPr>
            <w:tcW w:w="1275" w:type="dxa"/>
            <w:tcBorders>
              <w:top w:val="nil"/>
              <w:left w:val="nil"/>
              <w:bottom w:val="single" w:sz="4" w:space="0" w:color="auto"/>
              <w:right w:val="single" w:sz="4" w:space="0" w:color="auto"/>
            </w:tcBorders>
            <w:shd w:val="clear" w:color="auto" w:fill="auto"/>
            <w:noWrap/>
            <w:vAlign w:val="bottom"/>
            <w:hideMark/>
          </w:tcPr>
          <w:p w14:paraId="3C799FD3" w14:textId="77777777" w:rsidR="006A0356" w:rsidRPr="008860BA" w:rsidRDefault="006A0356" w:rsidP="006A0356">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160.600,36</w:t>
            </w:r>
          </w:p>
        </w:tc>
        <w:tc>
          <w:tcPr>
            <w:tcW w:w="1137" w:type="dxa"/>
            <w:tcBorders>
              <w:top w:val="nil"/>
              <w:left w:val="nil"/>
              <w:bottom w:val="single" w:sz="4" w:space="0" w:color="auto"/>
              <w:right w:val="single" w:sz="4" w:space="0" w:color="auto"/>
            </w:tcBorders>
            <w:shd w:val="clear" w:color="auto" w:fill="auto"/>
            <w:noWrap/>
            <w:vAlign w:val="bottom"/>
            <w:hideMark/>
          </w:tcPr>
          <w:p w14:paraId="20F5308E" w14:textId="77777777" w:rsidR="006A0356" w:rsidRPr="008860BA" w:rsidRDefault="006A0356" w:rsidP="006A0356">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102.177,97</w:t>
            </w:r>
          </w:p>
        </w:tc>
        <w:tc>
          <w:tcPr>
            <w:tcW w:w="1273" w:type="dxa"/>
            <w:tcBorders>
              <w:top w:val="nil"/>
              <w:left w:val="nil"/>
              <w:bottom w:val="single" w:sz="4" w:space="0" w:color="auto"/>
              <w:right w:val="single" w:sz="4" w:space="0" w:color="auto"/>
            </w:tcBorders>
            <w:shd w:val="clear" w:color="auto" w:fill="auto"/>
            <w:noWrap/>
            <w:vAlign w:val="bottom"/>
            <w:hideMark/>
          </w:tcPr>
          <w:p w14:paraId="79547553" w14:textId="77777777" w:rsidR="006A0356" w:rsidRPr="008860BA" w:rsidRDefault="006A0356" w:rsidP="006A0356">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1.153,20</w:t>
            </w:r>
          </w:p>
        </w:tc>
        <w:tc>
          <w:tcPr>
            <w:tcW w:w="1134" w:type="dxa"/>
            <w:tcBorders>
              <w:top w:val="nil"/>
              <w:left w:val="nil"/>
              <w:bottom w:val="single" w:sz="4" w:space="0" w:color="auto"/>
              <w:right w:val="single" w:sz="4" w:space="0" w:color="auto"/>
            </w:tcBorders>
            <w:shd w:val="clear" w:color="auto" w:fill="auto"/>
            <w:noWrap/>
            <w:vAlign w:val="bottom"/>
            <w:hideMark/>
          </w:tcPr>
          <w:p w14:paraId="3825E4C4" w14:textId="77777777" w:rsidR="006A0356" w:rsidRPr="008860BA" w:rsidRDefault="006A0356" w:rsidP="006A0356">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1.049,15</w:t>
            </w:r>
          </w:p>
        </w:tc>
        <w:tc>
          <w:tcPr>
            <w:tcW w:w="1111" w:type="dxa"/>
            <w:tcBorders>
              <w:top w:val="nil"/>
              <w:left w:val="nil"/>
              <w:bottom w:val="single" w:sz="4" w:space="0" w:color="auto"/>
              <w:right w:val="single" w:sz="4" w:space="0" w:color="auto"/>
            </w:tcBorders>
            <w:shd w:val="clear" w:color="auto" w:fill="auto"/>
            <w:noWrap/>
            <w:vAlign w:val="bottom"/>
            <w:hideMark/>
          </w:tcPr>
          <w:p w14:paraId="20C61789" w14:textId="77777777" w:rsidR="006A0356" w:rsidRPr="008860BA" w:rsidRDefault="006A0356" w:rsidP="006A0356">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13.510,11</w:t>
            </w:r>
          </w:p>
        </w:tc>
        <w:tc>
          <w:tcPr>
            <w:tcW w:w="853" w:type="dxa"/>
            <w:tcBorders>
              <w:top w:val="nil"/>
              <w:left w:val="nil"/>
              <w:bottom w:val="single" w:sz="4" w:space="0" w:color="auto"/>
              <w:right w:val="single" w:sz="4" w:space="0" w:color="auto"/>
            </w:tcBorders>
            <w:shd w:val="clear" w:color="auto" w:fill="auto"/>
            <w:noWrap/>
            <w:vAlign w:val="bottom"/>
            <w:hideMark/>
          </w:tcPr>
          <w:p w14:paraId="6A819E8F" w14:textId="77777777" w:rsidR="006A0356" w:rsidRPr="008860BA" w:rsidRDefault="006A0356" w:rsidP="006A0356">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1.729,00</w:t>
            </w:r>
          </w:p>
        </w:tc>
        <w:tc>
          <w:tcPr>
            <w:tcW w:w="853" w:type="dxa"/>
            <w:tcBorders>
              <w:top w:val="nil"/>
              <w:left w:val="nil"/>
              <w:bottom w:val="single" w:sz="4" w:space="0" w:color="auto"/>
              <w:right w:val="single" w:sz="4" w:space="0" w:color="auto"/>
            </w:tcBorders>
            <w:shd w:val="clear" w:color="auto" w:fill="auto"/>
            <w:noWrap/>
            <w:vAlign w:val="bottom"/>
            <w:hideMark/>
          </w:tcPr>
          <w:p w14:paraId="09ACD235" w14:textId="77777777" w:rsidR="006A0356" w:rsidRPr="008860BA" w:rsidRDefault="006A0356" w:rsidP="006A0356">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1.959,72</w:t>
            </w:r>
          </w:p>
        </w:tc>
        <w:tc>
          <w:tcPr>
            <w:tcW w:w="944" w:type="dxa"/>
            <w:tcBorders>
              <w:top w:val="nil"/>
              <w:left w:val="nil"/>
              <w:bottom w:val="single" w:sz="4" w:space="0" w:color="auto"/>
              <w:right w:val="single" w:sz="4" w:space="0" w:color="auto"/>
            </w:tcBorders>
            <w:shd w:val="clear" w:color="auto" w:fill="auto"/>
            <w:noWrap/>
            <w:vAlign w:val="bottom"/>
            <w:hideMark/>
          </w:tcPr>
          <w:p w14:paraId="4608F134" w14:textId="77777777" w:rsidR="006A0356" w:rsidRPr="008860BA" w:rsidRDefault="006A0356" w:rsidP="006A0356">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38.385,14</w:t>
            </w:r>
          </w:p>
        </w:tc>
      </w:tr>
      <w:tr w:rsidR="006A0356" w:rsidRPr="008860BA" w14:paraId="1D0A0768" w14:textId="77777777" w:rsidTr="006A0356">
        <w:trPr>
          <w:trHeight w:val="2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66B0B317" w14:textId="6629BBA0" w:rsidR="006A0356" w:rsidRPr="008860BA" w:rsidRDefault="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Costul v</w:t>
            </w:r>
            <w:r w:rsidR="00E10604" w:rsidRPr="008860BA">
              <w:rPr>
                <w:rFonts w:asciiTheme="majorHAnsi" w:eastAsia="Times New Roman" w:hAnsiTheme="majorHAnsi" w:cstheme="majorHAnsi"/>
                <w:color w:val="000000"/>
                <w:sz w:val="18"/>
                <w:szCs w:val="18"/>
                <w:lang w:val="ro-MD"/>
              </w:rPr>
              <w:t>â</w:t>
            </w:r>
            <w:r w:rsidRPr="008860BA">
              <w:rPr>
                <w:rFonts w:asciiTheme="majorHAnsi" w:eastAsia="Times New Roman" w:hAnsiTheme="majorHAnsi" w:cstheme="majorHAnsi"/>
                <w:color w:val="000000"/>
                <w:sz w:val="18"/>
                <w:szCs w:val="18"/>
                <w:lang w:val="ro-MD"/>
              </w:rPr>
              <w:t>nzărilor, inclusiv:</w:t>
            </w:r>
          </w:p>
        </w:tc>
        <w:tc>
          <w:tcPr>
            <w:tcW w:w="673" w:type="dxa"/>
            <w:tcBorders>
              <w:top w:val="nil"/>
              <w:left w:val="nil"/>
              <w:bottom w:val="single" w:sz="4" w:space="0" w:color="auto"/>
              <w:right w:val="single" w:sz="4" w:space="0" w:color="auto"/>
            </w:tcBorders>
            <w:shd w:val="clear" w:color="auto" w:fill="auto"/>
            <w:noWrap/>
            <w:vAlign w:val="bottom"/>
            <w:hideMark/>
          </w:tcPr>
          <w:p w14:paraId="23D353F2"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711</w:t>
            </w:r>
          </w:p>
        </w:tc>
        <w:tc>
          <w:tcPr>
            <w:tcW w:w="1170" w:type="dxa"/>
            <w:tcBorders>
              <w:top w:val="nil"/>
              <w:left w:val="nil"/>
              <w:bottom w:val="single" w:sz="4" w:space="0" w:color="auto"/>
              <w:right w:val="single" w:sz="4" w:space="0" w:color="auto"/>
            </w:tcBorders>
            <w:shd w:val="clear" w:color="auto" w:fill="auto"/>
            <w:noWrap/>
            <w:vAlign w:val="bottom"/>
            <w:hideMark/>
          </w:tcPr>
          <w:p w14:paraId="7D48358A" w14:textId="77777777" w:rsidR="006A0356" w:rsidRPr="008860BA" w:rsidRDefault="006A0356" w:rsidP="006A0356">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142.743,09</w:t>
            </w:r>
          </w:p>
        </w:tc>
        <w:tc>
          <w:tcPr>
            <w:tcW w:w="1275" w:type="dxa"/>
            <w:tcBorders>
              <w:top w:val="nil"/>
              <w:left w:val="nil"/>
              <w:bottom w:val="single" w:sz="4" w:space="0" w:color="auto"/>
              <w:right w:val="single" w:sz="4" w:space="0" w:color="auto"/>
            </w:tcBorders>
            <w:shd w:val="clear" w:color="auto" w:fill="auto"/>
            <w:noWrap/>
            <w:vAlign w:val="bottom"/>
            <w:hideMark/>
          </w:tcPr>
          <w:p w14:paraId="563AEC0A" w14:textId="77777777" w:rsidR="006A0356" w:rsidRPr="008860BA" w:rsidRDefault="006A0356" w:rsidP="006A0356">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142.743,09</w:t>
            </w:r>
          </w:p>
        </w:tc>
        <w:tc>
          <w:tcPr>
            <w:tcW w:w="1137" w:type="dxa"/>
            <w:tcBorders>
              <w:top w:val="nil"/>
              <w:left w:val="nil"/>
              <w:bottom w:val="single" w:sz="4" w:space="0" w:color="auto"/>
              <w:right w:val="single" w:sz="4" w:space="0" w:color="auto"/>
            </w:tcBorders>
            <w:shd w:val="clear" w:color="auto" w:fill="auto"/>
            <w:noWrap/>
            <w:vAlign w:val="bottom"/>
            <w:hideMark/>
          </w:tcPr>
          <w:p w14:paraId="2D7E0DAE" w14:textId="77777777" w:rsidR="006A0356" w:rsidRPr="008860BA" w:rsidRDefault="006A0356" w:rsidP="006A0356">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85.003,02</w:t>
            </w:r>
          </w:p>
        </w:tc>
        <w:tc>
          <w:tcPr>
            <w:tcW w:w="1273" w:type="dxa"/>
            <w:tcBorders>
              <w:top w:val="nil"/>
              <w:left w:val="nil"/>
              <w:bottom w:val="single" w:sz="4" w:space="0" w:color="auto"/>
              <w:right w:val="single" w:sz="4" w:space="0" w:color="auto"/>
            </w:tcBorders>
            <w:shd w:val="clear" w:color="auto" w:fill="auto"/>
            <w:noWrap/>
            <w:vAlign w:val="bottom"/>
            <w:hideMark/>
          </w:tcPr>
          <w:p w14:paraId="57DFA214" w14:textId="77777777" w:rsidR="006A0356" w:rsidRPr="008860BA" w:rsidRDefault="006A0356" w:rsidP="006A0356">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450,57</w:t>
            </w:r>
          </w:p>
        </w:tc>
        <w:tc>
          <w:tcPr>
            <w:tcW w:w="1134" w:type="dxa"/>
            <w:tcBorders>
              <w:top w:val="nil"/>
              <w:left w:val="nil"/>
              <w:bottom w:val="single" w:sz="4" w:space="0" w:color="auto"/>
              <w:right w:val="single" w:sz="4" w:space="0" w:color="auto"/>
            </w:tcBorders>
            <w:shd w:val="clear" w:color="auto" w:fill="auto"/>
            <w:noWrap/>
            <w:vAlign w:val="bottom"/>
            <w:hideMark/>
          </w:tcPr>
          <w:p w14:paraId="3959B940" w14:textId="77777777" w:rsidR="006A0356" w:rsidRPr="008860BA" w:rsidRDefault="006A0356" w:rsidP="006A0356">
            <w:pPr>
              <w:spacing w:after="0" w:line="240" w:lineRule="auto"/>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422499E0" w14:textId="77777777" w:rsidR="006A0356" w:rsidRPr="008860BA" w:rsidRDefault="006A0356" w:rsidP="006A0356">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13.014,86</w:t>
            </w:r>
          </w:p>
        </w:tc>
        <w:tc>
          <w:tcPr>
            <w:tcW w:w="853" w:type="dxa"/>
            <w:tcBorders>
              <w:top w:val="nil"/>
              <w:left w:val="nil"/>
              <w:bottom w:val="single" w:sz="4" w:space="0" w:color="auto"/>
              <w:right w:val="single" w:sz="4" w:space="0" w:color="auto"/>
            </w:tcBorders>
            <w:shd w:val="clear" w:color="auto" w:fill="auto"/>
            <w:noWrap/>
            <w:vAlign w:val="bottom"/>
            <w:hideMark/>
          </w:tcPr>
          <w:p w14:paraId="1130071C" w14:textId="77777777" w:rsidR="006A0356" w:rsidRPr="008860BA" w:rsidRDefault="006A0356" w:rsidP="006A0356">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2.495,34</w:t>
            </w:r>
          </w:p>
        </w:tc>
        <w:tc>
          <w:tcPr>
            <w:tcW w:w="853" w:type="dxa"/>
            <w:tcBorders>
              <w:top w:val="nil"/>
              <w:left w:val="nil"/>
              <w:bottom w:val="single" w:sz="4" w:space="0" w:color="auto"/>
              <w:right w:val="single" w:sz="4" w:space="0" w:color="auto"/>
            </w:tcBorders>
            <w:shd w:val="clear" w:color="auto" w:fill="auto"/>
            <w:noWrap/>
            <w:vAlign w:val="bottom"/>
            <w:hideMark/>
          </w:tcPr>
          <w:p w14:paraId="7A8D83C0" w14:textId="77777777" w:rsidR="006A0356" w:rsidRPr="008860BA" w:rsidRDefault="006A0356" w:rsidP="006A0356">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1.867,58</w:t>
            </w:r>
          </w:p>
        </w:tc>
        <w:tc>
          <w:tcPr>
            <w:tcW w:w="944" w:type="dxa"/>
            <w:tcBorders>
              <w:top w:val="nil"/>
              <w:left w:val="nil"/>
              <w:bottom w:val="single" w:sz="4" w:space="0" w:color="auto"/>
              <w:right w:val="single" w:sz="4" w:space="0" w:color="auto"/>
            </w:tcBorders>
            <w:shd w:val="clear" w:color="auto" w:fill="auto"/>
            <w:noWrap/>
            <w:vAlign w:val="bottom"/>
            <w:hideMark/>
          </w:tcPr>
          <w:p w14:paraId="22046100" w14:textId="77777777" w:rsidR="006A0356" w:rsidRPr="008860BA" w:rsidRDefault="006A0356" w:rsidP="006A0356">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39.911,71</w:t>
            </w:r>
          </w:p>
        </w:tc>
      </w:tr>
      <w:tr w:rsidR="006A0356" w:rsidRPr="008860BA" w14:paraId="15A895E1" w14:textId="77777777" w:rsidTr="006A0356">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24CAE26C" w14:textId="6A0FD28C" w:rsidR="006A0356" w:rsidRPr="008860BA" w:rsidRDefault="006A0356">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Alimenta</w:t>
            </w:r>
            <w:r w:rsidR="00E10604" w:rsidRPr="008860BA">
              <w:rPr>
                <w:rFonts w:asciiTheme="majorHAnsi" w:eastAsia="Times New Roman" w:hAnsiTheme="majorHAnsi" w:cstheme="majorHAnsi"/>
                <w:sz w:val="18"/>
                <w:szCs w:val="18"/>
                <w:lang w:val="ro-MD"/>
              </w:rPr>
              <w:t>ț</w:t>
            </w:r>
            <w:r w:rsidRPr="008860BA">
              <w:rPr>
                <w:rFonts w:asciiTheme="majorHAnsi" w:eastAsia="Times New Roman" w:hAnsiTheme="majorHAnsi" w:cstheme="majorHAnsi"/>
                <w:sz w:val="18"/>
                <w:szCs w:val="18"/>
                <w:lang w:val="ro-MD"/>
              </w:rPr>
              <w:t>ia</w:t>
            </w:r>
          </w:p>
        </w:tc>
        <w:tc>
          <w:tcPr>
            <w:tcW w:w="673" w:type="dxa"/>
            <w:tcBorders>
              <w:top w:val="nil"/>
              <w:left w:val="nil"/>
              <w:bottom w:val="single" w:sz="4" w:space="0" w:color="auto"/>
              <w:right w:val="single" w:sz="4" w:space="0" w:color="auto"/>
            </w:tcBorders>
            <w:shd w:val="clear" w:color="auto" w:fill="auto"/>
            <w:noWrap/>
            <w:vAlign w:val="bottom"/>
            <w:hideMark/>
          </w:tcPr>
          <w:p w14:paraId="165D0135"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09041C08"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4.677,17</w:t>
            </w:r>
          </w:p>
        </w:tc>
        <w:tc>
          <w:tcPr>
            <w:tcW w:w="1275" w:type="dxa"/>
            <w:tcBorders>
              <w:top w:val="nil"/>
              <w:left w:val="nil"/>
              <w:bottom w:val="single" w:sz="4" w:space="0" w:color="auto"/>
              <w:right w:val="single" w:sz="4" w:space="0" w:color="auto"/>
            </w:tcBorders>
            <w:shd w:val="clear" w:color="auto" w:fill="auto"/>
            <w:noWrap/>
            <w:vAlign w:val="bottom"/>
            <w:hideMark/>
          </w:tcPr>
          <w:p w14:paraId="7DB42735"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4.677,17</w:t>
            </w:r>
          </w:p>
        </w:tc>
        <w:tc>
          <w:tcPr>
            <w:tcW w:w="1137" w:type="dxa"/>
            <w:tcBorders>
              <w:top w:val="nil"/>
              <w:left w:val="nil"/>
              <w:bottom w:val="single" w:sz="4" w:space="0" w:color="auto"/>
              <w:right w:val="single" w:sz="4" w:space="0" w:color="auto"/>
            </w:tcBorders>
            <w:shd w:val="clear" w:color="auto" w:fill="auto"/>
            <w:hideMark/>
          </w:tcPr>
          <w:p w14:paraId="03512753"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4.661,68</w:t>
            </w:r>
          </w:p>
        </w:tc>
        <w:tc>
          <w:tcPr>
            <w:tcW w:w="1273" w:type="dxa"/>
            <w:tcBorders>
              <w:top w:val="nil"/>
              <w:left w:val="nil"/>
              <w:bottom w:val="single" w:sz="4" w:space="0" w:color="auto"/>
              <w:right w:val="single" w:sz="4" w:space="0" w:color="auto"/>
            </w:tcBorders>
            <w:shd w:val="clear" w:color="auto" w:fill="auto"/>
            <w:noWrap/>
            <w:vAlign w:val="bottom"/>
            <w:hideMark/>
          </w:tcPr>
          <w:p w14:paraId="5B5E536C"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4CB33FE3"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13A6B64B"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7DAC1204"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0,00</w:t>
            </w:r>
          </w:p>
        </w:tc>
        <w:tc>
          <w:tcPr>
            <w:tcW w:w="853" w:type="dxa"/>
            <w:tcBorders>
              <w:top w:val="nil"/>
              <w:left w:val="nil"/>
              <w:bottom w:val="single" w:sz="4" w:space="0" w:color="auto"/>
              <w:right w:val="single" w:sz="4" w:space="0" w:color="auto"/>
            </w:tcBorders>
            <w:shd w:val="clear" w:color="auto" w:fill="auto"/>
            <w:noWrap/>
            <w:vAlign w:val="bottom"/>
            <w:hideMark/>
          </w:tcPr>
          <w:p w14:paraId="4D3C1B30"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0,00</w:t>
            </w:r>
          </w:p>
        </w:tc>
        <w:tc>
          <w:tcPr>
            <w:tcW w:w="944" w:type="dxa"/>
            <w:tcBorders>
              <w:top w:val="nil"/>
              <w:left w:val="nil"/>
              <w:bottom w:val="single" w:sz="4" w:space="0" w:color="auto"/>
              <w:right w:val="single" w:sz="4" w:space="0" w:color="auto"/>
            </w:tcBorders>
            <w:shd w:val="clear" w:color="auto" w:fill="auto"/>
            <w:noWrap/>
            <w:vAlign w:val="bottom"/>
            <w:hideMark/>
          </w:tcPr>
          <w:p w14:paraId="15EBE478"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15,49</w:t>
            </w:r>
          </w:p>
        </w:tc>
      </w:tr>
      <w:tr w:rsidR="006A0356" w:rsidRPr="008860BA" w14:paraId="564BDBD9" w14:textId="77777777" w:rsidTr="006A0356">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7F8A9ABF" w14:textId="77777777" w:rsidR="006A0356" w:rsidRPr="008860BA" w:rsidRDefault="006A0356" w:rsidP="006A0356">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Alte cheltuieli</w:t>
            </w:r>
          </w:p>
        </w:tc>
        <w:tc>
          <w:tcPr>
            <w:tcW w:w="673" w:type="dxa"/>
            <w:tcBorders>
              <w:top w:val="nil"/>
              <w:left w:val="nil"/>
              <w:bottom w:val="single" w:sz="4" w:space="0" w:color="auto"/>
              <w:right w:val="single" w:sz="4" w:space="0" w:color="auto"/>
            </w:tcBorders>
            <w:shd w:val="clear" w:color="auto" w:fill="auto"/>
            <w:noWrap/>
            <w:vAlign w:val="bottom"/>
            <w:hideMark/>
          </w:tcPr>
          <w:p w14:paraId="035F9291"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04867DDA"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1.136,33</w:t>
            </w:r>
          </w:p>
        </w:tc>
        <w:tc>
          <w:tcPr>
            <w:tcW w:w="1275" w:type="dxa"/>
            <w:tcBorders>
              <w:top w:val="nil"/>
              <w:left w:val="nil"/>
              <w:bottom w:val="single" w:sz="4" w:space="0" w:color="auto"/>
              <w:right w:val="single" w:sz="4" w:space="0" w:color="auto"/>
            </w:tcBorders>
            <w:shd w:val="clear" w:color="auto" w:fill="auto"/>
            <w:noWrap/>
            <w:vAlign w:val="bottom"/>
            <w:hideMark/>
          </w:tcPr>
          <w:p w14:paraId="3696B803"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1.136,33</w:t>
            </w:r>
          </w:p>
        </w:tc>
        <w:tc>
          <w:tcPr>
            <w:tcW w:w="1137" w:type="dxa"/>
            <w:tcBorders>
              <w:top w:val="nil"/>
              <w:left w:val="nil"/>
              <w:bottom w:val="single" w:sz="4" w:space="0" w:color="auto"/>
              <w:right w:val="single" w:sz="4" w:space="0" w:color="auto"/>
            </w:tcBorders>
            <w:shd w:val="clear" w:color="auto" w:fill="auto"/>
            <w:noWrap/>
            <w:vAlign w:val="bottom"/>
            <w:hideMark/>
          </w:tcPr>
          <w:p w14:paraId="4F1E1E2F"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42,28</w:t>
            </w:r>
          </w:p>
        </w:tc>
        <w:tc>
          <w:tcPr>
            <w:tcW w:w="1273" w:type="dxa"/>
            <w:tcBorders>
              <w:top w:val="nil"/>
              <w:left w:val="nil"/>
              <w:bottom w:val="single" w:sz="4" w:space="0" w:color="auto"/>
              <w:right w:val="single" w:sz="4" w:space="0" w:color="auto"/>
            </w:tcBorders>
            <w:shd w:val="clear" w:color="auto" w:fill="auto"/>
            <w:noWrap/>
            <w:vAlign w:val="bottom"/>
            <w:hideMark/>
          </w:tcPr>
          <w:p w14:paraId="5178DBC5"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2,00</w:t>
            </w:r>
          </w:p>
        </w:tc>
        <w:tc>
          <w:tcPr>
            <w:tcW w:w="1134" w:type="dxa"/>
            <w:tcBorders>
              <w:top w:val="nil"/>
              <w:left w:val="nil"/>
              <w:bottom w:val="single" w:sz="4" w:space="0" w:color="auto"/>
              <w:right w:val="single" w:sz="4" w:space="0" w:color="auto"/>
            </w:tcBorders>
            <w:shd w:val="clear" w:color="auto" w:fill="auto"/>
            <w:noWrap/>
            <w:vAlign w:val="bottom"/>
            <w:hideMark/>
          </w:tcPr>
          <w:p w14:paraId="24940795"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5DF3B200"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69007FCA"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9,34</w:t>
            </w:r>
          </w:p>
        </w:tc>
        <w:tc>
          <w:tcPr>
            <w:tcW w:w="853" w:type="dxa"/>
            <w:tcBorders>
              <w:top w:val="nil"/>
              <w:left w:val="nil"/>
              <w:bottom w:val="single" w:sz="4" w:space="0" w:color="auto"/>
              <w:right w:val="single" w:sz="4" w:space="0" w:color="auto"/>
            </w:tcBorders>
            <w:shd w:val="clear" w:color="auto" w:fill="auto"/>
            <w:noWrap/>
            <w:vAlign w:val="bottom"/>
            <w:hideMark/>
          </w:tcPr>
          <w:p w14:paraId="533367C3"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488,52</w:t>
            </w:r>
          </w:p>
        </w:tc>
        <w:tc>
          <w:tcPr>
            <w:tcW w:w="944" w:type="dxa"/>
            <w:tcBorders>
              <w:top w:val="nil"/>
              <w:left w:val="nil"/>
              <w:bottom w:val="single" w:sz="4" w:space="0" w:color="auto"/>
              <w:right w:val="single" w:sz="4" w:space="0" w:color="auto"/>
            </w:tcBorders>
            <w:shd w:val="clear" w:color="auto" w:fill="auto"/>
            <w:noWrap/>
            <w:vAlign w:val="bottom"/>
            <w:hideMark/>
          </w:tcPr>
          <w:p w14:paraId="76207595"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594,19</w:t>
            </w:r>
          </w:p>
        </w:tc>
      </w:tr>
      <w:tr w:rsidR="006A0356" w:rsidRPr="008860BA" w14:paraId="495E39F5" w14:textId="77777777" w:rsidTr="006A0356">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373E0473" w14:textId="77777777" w:rsidR="006A0356" w:rsidRPr="008860BA" w:rsidRDefault="006A0356" w:rsidP="006A0356">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Alte cheltuieli stream</w:t>
            </w:r>
          </w:p>
        </w:tc>
        <w:tc>
          <w:tcPr>
            <w:tcW w:w="673" w:type="dxa"/>
            <w:tcBorders>
              <w:top w:val="nil"/>
              <w:left w:val="nil"/>
              <w:bottom w:val="single" w:sz="4" w:space="0" w:color="auto"/>
              <w:right w:val="single" w:sz="4" w:space="0" w:color="auto"/>
            </w:tcBorders>
            <w:shd w:val="clear" w:color="auto" w:fill="auto"/>
            <w:noWrap/>
            <w:vAlign w:val="bottom"/>
            <w:hideMark/>
          </w:tcPr>
          <w:p w14:paraId="613D89D7"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10DDE3AF"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17,29</w:t>
            </w:r>
          </w:p>
        </w:tc>
        <w:tc>
          <w:tcPr>
            <w:tcW w:w="1275" w:type="dxa"/>
            <w:tcBorders>
              <w:top w:val="nil"/>
              <w:left w:val="nil"/>
              <w:bottom w:val="single" w:sz="4" w:space="0" w:color="auto"/>
              <w:right w:val="single" w:sz="4" w:space="0" w:color="auto"/>
            </w:tcBorders>
            <w:shd w:val="clear" w:color="auto" w:fill="auto"/>
            <w:noWrap/>
            <w:vAlign w:val="bottom"/>
            <w:hideMark/>
          </w:tcPr>
          <w:p w14:paraId="2B747D9A"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17,29</w:t>
            </w:r>
          </w:p>
        </w:tc>
        <w:tc>
          <w:tcPr>
            <w:tcW w:w="1137" w:type="dxa"/>
            <w:tcBorders>
              <w:top w:val="nil"/>
              <w:left w:val="nil"/>
              <w:bottom w:val="single" w:sz="4" w:space="0" w:color="auto"/>
              <w:right w:val="single" w:sz="4" w:space="0" w:color="auto"/>
            </w:tcBorders>
            <w:shd w:val="clear" w:color="auto" w:fill="auto"/>
            <w:hideMark/>
          </w:tcPr>
          <w:p w14:paraId="2F034C4C"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1273" w:type="dxa"/>
            <w:tcBorders>
              <w:top w:val="nil"/>
              <w:left w:val="nil"/>
              <w:bottom w:val="single" w:sz="4" w:space="0" w:color="auto"/>
              <w:right w:val="single" w:sz="4" w:space="0" w:color="auto"/>
            </w:tcBorders>
            <w:shd w:val="clear" w:color="auto" w:fill="auto"/>
            <w:noWrap/>
            <w:vAlign w:val="bottom"/>
            <w:hideMark/>
          </w:tcPr>
          <w:p w14:paraId="2C92C0CC"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34" w:type="dxa"/>
            <w:tcBorders>
              <w:top w:val="nil"/>
              <w:left w:val="nil"/>
              <w:bottom w:val="single" w:sz="4" w:space="0" w:color="auto"/>
              <w:right w:val="single" w:sz="4" w:space="0" w:color="auto"/>
            </w:tcBorders>
            <w:shd w:val="clear" w:color="auto" w:fill="auto"/>
            <w:noWrap/>
            <w:vAlign w:val="bottom"/>
            <w:hideMark/>
          </w:tcPr>
          <w:p w14:paraId="14FB2D00"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02FA1925"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hideMark/>
          </w:tcPr>
          <w:p w14:paraId="4FA34023"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853" w:type="dxa"/>
            <w:tcBorders>
              <w:top w:val="nil"/>
              <w:left w:val="nil"/>
              <w:bottom w:val="single" w:sz="4" w:space="0" w:color="auto"/>
              <w:right w:val="single" w:sz="4" w:space="0" w:color="auto"/>
            </w:tcBorders>
            <w:shd w:val="clear" w:color="auto" w:fill="auto"/>
            <w:hideMark/>
          </w:tcPr>
          <w:p w14:paraId="44E05230"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944" w:type="dxa"/>
            <w:tcBorders>
              <w:top w:val="nil"/>
              <w:left w:val="nil"/>
              <w:bottom w:val="single" w:sz="4" w:space="0" w:color="auto"/>
              <w:right w:val="single" w:sz="4" w:space="0" w:color="auto"/>
            </w:tcBorders>
            <w:shd w:val="clear" w:color="auto" w:fill="auto"/>
            <w:noWrap/>
            <w:vAlign w:val="bottom"/>
            <w:hideMark/>
          </w:tcPr>
          <w:p w14:paraId="6CBDD340"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17,29</w:t>
            </w:r>
          </w:p>
        </w:tc>
      </w:tr>
      <w:tr w:rsidR="006A0356" w:rsidRPr="008860BA" w14:paraId="0BCB9982" w14:textId="77777777" w:rsidTr="006A0356">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3EE241A6" w14:textId="77777777" w:rsidR="006A0356" w:rsidRPr="008860BA" w:rsidRDefault="006A0356" w:rsidP="006A0356">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Alte produse alimentare</w:t>
            </w:r>
          </w:p>
        </w:tc>
        <w:tc>
          <w:tcPr>
            <w:tcW w:w="673" w:type="dxa"/>
            <w:tcBorders>
              <w:top w:val="nil"/>
              <w:left w:val="nil"/>
              <w:bottom w:val="single" w:sz="4" w:space="0" w:color="auto"/>
              <w:right w:val="single" w:sz="4" w:space="0" w:color="auto"/>
            </w:tcBorders>
            <w:shd w:val="clear" w:color="auto" w:fill="auto"/>
            <w:noWrap/>
            <w:vAlign w:val="bottom"/>
            <w:hideMark/>
          </w:tcPr>
          <w:p w14:paraId="08FD4863"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77CEB196"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23,36</w:t>
            </w:r>
          </w:p>
        </w:tc>
        <w:tc>
          <w:tcPr>
            <w:tcW w:w="1275" w:type="dxa"/>
            <w:tcBorders>
              <w:top w:val="nil"/>
              <w:left w:val="nil"/>
              <w:bottom w:val="single" w:sz="4" w:space="0" w:color="auto"/>
              <w:right w:val="single" w:sz="4" w:space="0" w:color="auto"/>
            </w:tcBorders>
            <w:shd w:val="clear" w:color="auto" w:fill="auto"/>
            <w:noWrap/>
            <w:vAlign w:val="bottom"/>
            <w:hideMark/>
          </w:tcPr>
          <w:p w14:paraId="4F7FCD77"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23,36</w:t>
            </w:r>
          </w:p>
        </w:tc>
        <w:tc>
          <w:tcPr>
            <w:tcW w:w="1137" w:type="dxa"/>
            <w:tcBorders>
              <w:top w:val="nil"/>
              <w:left w:val="nil"/>
              <w:bottom w:val="single" w:sz="4" w:space="0" w:color="auto"/>
              <w:right w:val="single" w:sz="4" w:space="0" w:color="auto"/>
            </w:tcBorders>
            <w:shd w:val="clear" w:color="auto" w:fill="auto"/>
            <w:hideMark/>
          </w:tcPr>
          <w:p w14:paraId="74FA1F60"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23,36</w:t>
            </w:r>
          </w:p>
        </w:tc>
        <w:tc>
          <w:tcPr>
            <w:tcW w:w="1273" w:type="dxa"/>
            <w:tcBorders>
              <w:top w:val="nil"/>
              <w:left w:val="nil"/>
              <w:bottom w:val="single" w:sz="4" w:space="0" w:color="auto"/>
              <w:right w:val="single" w:sz="4" w:space="0" w:color="auto"/>
            </w:tcBorders>
            <w:shd w:val="clear" w:color="auto" w:fill="auto"/>
            <w:noWrap/>
            <w:vAlign w:val="bottom"/>
            <w:hideMark/>
          </w:tcPr>
          <w:p w14:paraId="3A929B37"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34" w:type="dxa"/>
            <w:tcBorders>
              <w:top w:val="nil"/>
              <w:left w:val="nil"/>
              <w:bottom w:val="single" w:sz="4" w:space="0" w:color="auto"/>
              <w:right w:val="single" w:sz="4" w:space="0" w:color="auto"/>
            </w:tcBorders>
            <w:shd w:val="clear" w:color="auto" w:fill="auto"/>
            <w:noWrap/>
            <w:vAlign w:val="bottom"/>
            <w:hideMark/>
          </w:tcPr>
          <w:p w14:paraId="255951D7"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6EA57C2B"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5D99805F"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64DE9500"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944" w:type="dxa"/>
            <w:tcBorders>
              <w:top w:val="nil"/>
              <w:left w:val="nil"/>
              <w:bottom w:val="single" w:sz="4" w:space="0" w:color="auto"/>
              <w:right w:val="single" w:sz="4" w:space="0" w:color="auto"/>
            </w:tcBorders>
            <w:shd w:val="clear" w:color="auto" w:fill="auto"/>
            <w:hideMark/>
          </w:tcPr>
          <w:p w14:paraId="4A070EB2"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r>
      <w:tr w:rsidR="006A0356" w:rsidRPr="008860BA" w14:paraId="359CC814" w14:textId="77777777" w:rsidTr="006A0356">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1CCCD7B6" w14:textId="77777777" w:rsidR="006A0356" w:rsidRPr="008860BA" w:rsidRDefault="006A0356" w:rsidP="006A0356">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Ambalaj</w:t>
            </w:r>
          </w:p>
        </w:tc>
        <w:tc>
          <w:tcPr>
            <w:tcW w:w="673" w:type="dxa"/>
            <w:tcBorders>
              <w:top w:val="nil"/>
              <w:left w:val="nil"/>
              <w:bottom w:val="single" w:sz="4" w:space="0" w:color="auto"/>
              <w:right w:val="single" w:sz="4" w:space="0" w:color="auto"/>
            </w:tcBorders>
            <w:shd w:val="clear" w:color="auto" w:fill="auto"/>
            <w:noWrap/>
            <w:vAlign w:val="bottom"/>
            <w:hideMark/>
          </w:tcPr>
          <w:p w14:paraId="797C1F87"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29D28A03"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58,50</w:t>
            </w:r>
          </w:p>
        </w:tc>
        <w:tc>
          <w:tcPr>
            <w:tcW w:w="1275" w:type="dxa"/>
            <w:tcBorders>
              <w:top w:val="nil"/>
              <w:left w:val="nil"/>
              <w:bottom w:val="single" w:sz="4" w:space="0" w:color="auto"/>
              <w:right w:val="single" w:sz="4" w:space="0" w:color="auto"/>
            </w:tcBorders>
            <w:shd w:val="clear" w:color="auto" w:fill="auto"/>
            <w:noWrap/>
            <w:vAlign w:val="bottom"/>
            <w:hideMark/>
          </w:tcPr>
          <w:p w14:paraId="0D055442"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58,50</w:t>
            </w:r>
          </w:p>
        </w:tc>
        <w:tc>
          <w:tcPr>
            <w:tcW w:w="1137" w:type="dxa"/>
            <w:tcBorders>
              <w:top w:val="nil"/>
              <w:left w:val="nil"/>
              <w:bottom w:val="single" w:sz="4" w:space="0" w:color="auto"/>
              <w:right w:val="single" w:sz="4" w:space="0" w:color="auto"/>
            </w:tcBorders>
            <w:shd w:val="clear" w:color="auto" w:fill="auto"/>
            <w:hideMark/>
          </w:tcPr>
          <w:p w14:paraId="207E202D"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4,48</w:t>
            </w:r>
          </w:p>
        </w:tc>
        <w:tc>
          <w:tcPr>
            <w:tcW w:w="1273" w:type="dxa"/>
            <w:tcBorders>
              <w:top w:val="nil"/>
              <w:left w:val="nil"/>
              <w:bottom w:val="single" w:sz="4" w:space="0" w:color="auto"/>
              <w:right w:val="single" w:sz="4" w:space="0" w:color="auto"/>
            </w:tcBorders>
            <w:shd w:val="clear" w:color="auto" w:fill="auto"/>
            <w:noWrap/>
            <w:vAlign w:val="bottom"/>
            <w:hideMark/>
          </w:tcPr>
          <w:p w14:paraId="21A51AAB"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FCCE10"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5E7A21A3"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23,95</w:t>
            </w:r>
          </w:p>
        </w:tc>
        <w:tc>
          <w:tcPr>
            <w:tcW w:w="853" w:type="dxa"/>
            <w:tcBorders>
              <w:top w:val="nil"/>
              <w:left w:val="nil"/>
              <w:bottom w:val="single" w:sz="4" w:space="0" w:color="auto"/>
              <w:right w:val="single" w:sz="4" w:space="0" w:color="auto"/>
            </w:tcBorders>
            <w:shd w:val="clear" w:color="auto" w:fill="auto"/>
            <w:noWrap/>
            <w:vAlign w:val="bottom"/>
            <w:hideMark/>
          </w:tcPr>
          <w:p w14:paraId="0E6964A7"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7C47067F"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27,11</w:t>
            </w:r>
          </w:p>
        </w:tc>
        <w:tc>
          <w:tcPr>
            <w:tcW w:w="944" w:type="dxa"/>
            <w:tcBorders>
              <w:top w:val="nil"/>
              <w:left w:val="nil"/>
              <w:bottom w:val="single" w:sz="4" w:space="0" w:color="auto"/>
              <w:right w:val="single" w:sz="4" w:space="0" w:color="auto"/>
            </w:tcBorders>
            <w:shd w:val="clear" w:color="auto" w:fill="auto"/>
            <w:noWrap/>
            <w:vAlign w:val="bottom"/>
            <w:hideMark/>
          </w:tcPr>
          <w:p w14:paraId="4BD1404E"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2,96</w:t>
            </w:r>
          </w:p>
        </w:tc>
      </w:tr>
      <w:tr w:rsidR="006A0356" w:rsidRPr="008860BA" w14:paraId="42E16C02" w14:textId="77777777" w:rsidTr="006A0356">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5AB475A4" w14:textId="77777777" w:rsidR="006A0356" w:rsidRPr="008860BA" w:rsidRDefault="006A0356" w:rsidP="006A0356">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Amortizarea IN</w:t>
            </w:r>
          </w:p>
        </w:tc>
        <w:tc>
          <w:tcPr>
            <w:tcW w:w="673" w:type="dxa"/>
            <w:tcBorders>
              <w:top w:val="nil"/>
              <w:left w:val="nil"/>
              <w:bottom w:val="single" w:sz="4" w:space="0" w:color="auto"/>
              <w:right w:val="single" w:sz="4" w:space="0" w:color="auto"/>
            </w:tcBorders>
            <w:shd w:val="clear" w:color="auto" w:fill="auto"/>
            <w:noWrap/>
            <w:vAlign w:val="bottom"/>
            <w:hideMark/>
          </w:tcPr>
          <w:p w14:paraId="5811EE44"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42EE90CD"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37,40</w:t>
            </w:r>
          </w:p>
        </w:tc>
        <w:tc>
          <w:tcPr>
            <w:tcW w:w="1275" w:type="dxa"/>
            <w:tcBorders>
              <w:top w:val="nil"/>
              <w:left w:val="nil"/>
              <w:bottom w:val="single" w:sz="4" w:space="0" w:color="auto"/>
              <w:right w:val="single" w:sz="4" w:space="0" w:color="auto"/>
            </w:tcBorders>
            <w:shd w:val="clear" w:color="auto" w:fill="auto"/>
            <w:noWrap/>
            <w:vAlign w:val="bottom"/>
            <w:hideMark/>
          </w:tcPr>
          <w:p w14:paraId="5535EA1A"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37,40</w:t>
            </w:r>
          </w:p>
        </w:tc>
        <w:tc>
          <w:tcPr>
            <w:tcW w:w="1137" w:type="dxa"/>
            <w:tcBorders>
              <w:top w:val="nil"/>
              <w:left w:val="nil"/>
              <w:bottom w:val="single" w:sz="4" w:space="0" w:color="auto"/>
              <w:right w:val="single" w:sz="4" w:space="0" w:color="auto"/>
            </w:tcBorders>
            <w:shd w:val="clear" w:color="auto" w:fill="auto"/>
            <w:hideMark/>
          </w:tcPr>
          <w:p w14:paraId="1062DB4A"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1273" w:type="dxa"/>
            <w:tcBorders>
              <w:top w:val="nil"/>
              <w:left w:val="nil"/>
              <w:bottom w:val="single" w:sz="4" w:space="0" w:color="auto"/>
              <w:right w:val="single" w:sz="4" w:space="0" w:color="auto"/>
            </w:tcBorders>
            <w:shd w:val="clear" w:color="auto" w:fill="auto"/>
            <w:noWrap/>
            <w:vAlign w:val="bottom"/>
            <w:hideMark/>
          </w:tcPr>
          <w:p w14:paraId="3B835251"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34" w:type="dxa"/>
            <w:tcBorders>
              <w:top w:val="nil"/>
              <w:left w:val="nil"/>
              <w:bottom w:val="single" w:sz="4" w:space="0" w:color="auto"/>
              <w:right w:val="single" w:sz="4" w:space="0" w:color="auto"/>
            </w:tcBorders>
            <w:shd w:val="clear" w:color="auto" w:fill="auto"/>
            <w:noWrap/>
            <w:vAlign w:val="bottom"/>
            <w:hideMark/>
          </w:tcPr>
          <w:p w14:paraId="37F9BC40"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02B7C064"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0,00</w:t>
            </w:r>
          </w:p>
        </w:tc>
        <w:tc>
          <w:tcPr>
            <w:tcW w:w="853" w:type="dxa"/>
            <w:tcBorders>
              <w:top w:val="nil"/>
              <w:left w:val="nil"/>
              <w:bottom w:val="single" w:sz="4" w:space="0" w:color="auto"/>
              <w:right w:val="single" w:sz="4" w:space="0" w:color="auto"/>
            </w:tcBorders>
            <w:shd w:val="clear" w:color="auto" w:fill="auto"/>
            <w:noWrap/>
            <w:vAlign w:val="bottom"/>
            <w:hideMark/>
          </w:tcPr>
          <w:p w14:paraId="5E5C6756"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19F53220"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7,90</w:t>
            </w:r>
          </w:p>
        </w:tc>
        <w:tc>
          <w:tcPr>
            <w:tcW w:w="944" w:type="dxa"/>
            <w:tcBorders>
              <w:top w:val="nil"/>
              <w:left w:val="nil"/>
              <w:bottom w:val="single" w:sz="4" w:space="0" w:color="auto"/>
              <w:right w:val="single" w:sz="4" w:space="0" w:color="auto"/>
            </w:tcBorders>
            <w:shd w:val="clear" w:color="auto" w:fill="auto"/>
            <w:noWrap/>
            <w:vAlign w:val="bottom"/>
            <w:hideMark/>
          </w:tcPr>
          <w:p w14:paraId="6E90C4F9"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29,50</w:t>
            </w:r>
          </w:p>
        </w:tc>
      </w:tr>
      <w:tr w:rsidR="006A0356" w:rsidRPr="008860BA" w14:paraId="09256033" w14:textId="77777777" w:rsidTr="006A0356">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5CF963C3" w14:textId="77777777" w:rsidR="006A0356" w:rsidRPr="008860BA" w:rsidRDefault="006A0356" w:rsidP="006A0356">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Amortizarea MF</w:t>
            </w:r>
          </w:p>
        </w:tc>
        <w:tc>
          <w:tcPr>
            <w:tcW w:w="673" w:type="dxa"/>
            <w:tcBorders>
              <w:top w:val="nil"/>
              <w:left w:val="nil"/>
              <w:bottom w:val="single" w:sz="4" w:space="0" w:color="auto"/>
              <w:right w:val="single" w:sz="4" w:space="0" w:color="auto"/>
            </w:tcBorders>
            <w:shd w:val="clear" w:color="auto" w:fill="auto"/>
            <w:noWrap/>
            <w:vAlign w:val="bottom"/>
            <w:hideMark/>
          </w:tcPr>
          <w:p w14:paraId="66752447"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36FD9BF9"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8.198,67</w:t>
            </w:r>
          </w:p>
        </w:tc>
        <w:tc>
          <w:tcPr>
            <w:tcW w:w="1275" w:type="dxa"/>
            <w:tcBorders>
              <w:top w:val="nil"/>
              <w:left w:val="nil"/>
              <w:bottom w:val="single" w:sz="4" w:space="0" w:color="auto"/>
              <w:right w:val="single" w:sz="4" w:space="0" w:color="auto"/>
            </w:tcBorders>
            <w:shd w:val="clear" w:color="auto" w:fill="auto"/>
            <w:noWrap/>
            <w:vAlign w:val="bottom"/>
            <w:hideMark/>
          </w:tcPr>
          <w:p w14:paraId="3A5573AD"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8.198,67</w:t>
            </w:r>
          </w:p>
        </w:tc>
        <w:tc>
          <w:tcPr>
            <w:tcW w:w="1137" w:type="dxa"/>
            <w:tcBorders>
              <w:top w:val="nil"/>
              <w:left w:val="nil"/>
              <w:bottom w:val="single" w:sz="4" w:space="0" w:color="auto"/>
              <w:right w:val="single" w:sz="4" w:space="0" w:color="auto"/>
            </w:tcBorders>
            <w:shd w:val="clear" w:color="auto" w:fill="auto"/>
            <w:hideMark/>
          </w:tcPr>
          <w:p w14:paraId="7B4393FA"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2.163,40</w:t>
            </w:r>
          </w:p>
        </w:tc>
        <w:tc>
          <w:tcPr>
            <w:tcW w:w="1273" w:type="dxa"/>
            <w:tcBorders>
              <w:top w:val="nil"/>
              <w:left w:val="nil"/>
              <w:bottom w:val="single" w:sz="4" w:space="0" w:color="auto"/>
              <w:right w:val="single" w:sz="4" w:space="0" w:color="auto"/>
            </w:tcBorders>
            <w:shd w:val="clear" w:color="auto" w:fill="auto"/>
            <w:noWrap/>
            <w:vAlign w:val="bottom"/>
            <w:hideMark/>
          </w:tcPr>
          <w:p w14:paraId="6A90DFBE"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0,48</w:t>
            </w:r>
          </w:p>
        </w:tc>
        <w:tc>
          <w:tcPr>
            <w:tcW w:w="1134" w:type="dxa"/>
            <w:tcBorders>
              <w:top w:val="nil"/>
              <w:left w:val="nil"/>
              <w:bottom w:val="single" w:sz="4" w:space="0" w:color="auto"/>
              <w:right w:val="single" w:sz="4" w:space="0" w:color="auto"/>
            </w:tcBorders>
            <w:shd w:val="clear" w:color="auto" w:fill="auto"/>
            <w:noWrap/>
            <w:vAlign w:val="bottom"/>
            <w:hideMark/>
          </w:tcPr>
          <w:p w14:paraId="52E47B07"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225090D0"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0,79</w:t>
            </w:r>
          </w:p>
        </w:tc>
        <w:tc>
          <w:tcPr>
            <w:tcW w:w="853" w:type="dxa"/>
            <w:tcBorders>
              <w:top w:val="nil"/>
              <w:left w:val="nil"/>
              <w:bottom w:val="single" w:sz="4" w:space="0" w:color="auto"/>
              <w:right w:val="single" w:sz="4" w:space="0" w:color="auto"/>
            </w:tcBorders>
            <w:shd w:val="clear" w:color="auto" w:fill="auto"/>
            <w:noWrap/>
            <w:vAlign w:val="bottom"/>
            <w:hideMark/>
          </w:tcPr>
          <w:p w14:paraId="07D04A2B"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108,28</w:t>
            </w:r>
          </w:p>
        </w:tc>
        <w:tc>
          <w:tcPr>
            <w:tcW w:w="853" w:type="dxa"/>
            <w:tcBorders>
              <w:top w:val="nil"/>
              <w:left w:val="nil"/>
              <w:bottom w:val="single" w:sz="4" w:space="0" w:color="auto"/>
              <w:right w:val="single" w:sz="4" w:space="0" w:color="auto"/>
            </w:tcBorders>
            <w:shd w:val="clear" w:color="auto" w:fill="auto"/>
            <w:noWrap/>
            <w:vAlign w:val="bottom"/>
            <w:hideMark/>
          </w:tcPr>
          <w:p w14:paraId="5CB9F57D"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68,11</w:t>
            </w:r>
          </w:p>
        </w:tc>
        <w:tc>
          <w:tcPr>
            <w:tcW w:w="944" w:type="dxa"/>
            <w:tcBorders>
              <w:top w:val="nil"/>
              <w:left w:val="nil"/>
              <w:bottom w:val="single" w:sz="4" w:space="0" w:color="auto"/>
              <w:right w:val="single" w:sz="4" w:space="0" w:color="auto"/>
            </w:tcBorders>
            <w:shd w:val="clear" w:color="auto" w:fill="auto"/>
            <w:noWrap/>
            <w:vAlign w:val="bottom"/>
            <w:hideMark/>
          </w:tcPr>
          <w:p w14:paraId="650B9A25"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5.857,62</w:t>
            </w:r>
          </w:p>
        </w:tc>
      </w:tr>
      <w:tr w:rsidR="006A0356" w:rsidRPr="008860BA" w14:paraId="647C6A38" w14:textId="77777777" w:rsidTr="006A0356">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79E8476F" w14:textId="77777777" w:rsidR="006A0356" w:rsidRPr="008860BA" w:rsidRDefault="006A0356" w:rsidP="006A0356">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Apa potabilă</w:t>
            </w:r>
          </w:p>
        </w:tc>
        <w:tc>
          <w:tcPr>
            <w:tcW w:w="673" w:type="dxa"/>
            <w:tcBorders>
              <w:top w:val="nil"/>
              <w:left w:val="nil"/>
              <w:bottom w:val="single" w:sz="4" w:space="0" w:color="auto"/>
              <w:right w:val="single" w:sz="4" w:space="0" w:color="auto"/>
            </w:tcBorders>
            <w:shd w:val="clear" w:color="auto" w:fill="auto"/>
            <w:noWrap/>
            <w:vAlign w:val="bottom"/>
            <w:hideMark/>
          </w:tcPr>
          <w:p w14:paraId="5F097564"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08E97824"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13,88</w:t>
            </w:r>
          </w:p>
        </w:tc>
        <w:tc>
          <w:tcPr>
            <w:tcW w:w="1275" w:type="dxa"/>
            <w:tcBorders>
              <w:top w:val="nil"/>
              <w:left w:val="nil"/>
              <w:bottom w:val="single" w:sz="4" w:space="0" w:color="auto"/>
              <w:right w:val="single" w:sz="4" w:space="0" w:color="auto"/>
            </w:tcBorders>
            <w:shd w:val="clear" w:color="auto" w:fill="auto"/>
            <w:noWrap/>
            <w:vAlign w:val="bottom"/>
            <w:hideMark/>
          </w:tcPr>
          <w:p w14:paraId="7FB2A563"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13,88</w:t>
            </w:r>
          </w:p>
        </w:tc>
        <w:tc>
          <w:tcPr>
            <w:tcW w:w="1137" w:type="dxa"/>
            <w:tcBorders>
              <w:top w:val="nil"/>
              <w:left w:val="nil"/>
              <w:bottom w:val="single" w:sz="4" w:space="0" w:color="auto"/>
              <w:right w:val="single" w:sz="4" w:space="0" w:color="auto"/>
            </w:tcBorders>
            <w:shd w:val="clear" w:color="auto" w:fill="auto"/>
            <w:noWrap/>
            <w:vAlign w:val="bottom"/>
            <w:hideMark/>
          </w:tcPr>
          <w:p w14:paraId="037FBC88"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273" w:type="dxa"/>
            <w:tcBorders>
              <w:top w:val="nil"/>
              <w:left w:val="nil"/>
              <w:bottom w:val="single" w:sz="4" w:space="0" w:color="auto"/>
              <w:right w:val="single" w:sz="4" w:space="0" w:color="auto"/>
            </w:tcBorders>
            <w:shd w:val="clear" w:color="auto" w:fill="auto"/>
            <w:noWrap/>
            <w:vAlign w:val="bottom"/>
            <w:hideMark/>
          </w:tcPr>
          <w:p w14:paraId="567060BB"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34" w:type="dxa"/>
            <w:tcBorders>
              <w:top w:val="nil"/>
              <w:left w:val="nil"/>
              <w:bottom w:val="single" w:sz="4" w:space="0" w:color="auto"/>
              <w:right w:val="single" w:sz="4" w:space="0" w:color="auto"/>
            </w:tcBorders>
            <w:shd w:val="clear" w:color="auto" w:fill="auto"/>
            <w:noWrap/>
            <w:vAlign w:val="bottom"/>
            <w:hideMark/>
          </w:tcPr>
          <w:p w14:paraId="303BD009"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hideMark/>
          </w:tcPr>
          <w:p w14:paraId="01A8A48B"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853" w:type="dxa"/>
            <w:tcBorders>
              <w:top w:val="nil"/>
              <w:left w:val="nil"/>
              <w:bottom w:val="single" w:sz="4" w:space="0" w:color="auto"/>
              <w:right w:val="single" w:sz="4" w:space="0" w:color="auto"/>
            </w:tcBorders>
            <w:shd w:val="clear" w:color="auto" w:fill="auto"/>
            <w:hideMark/>
          </w:tcPr>
          <w:p w14:paraId="3DBD0F9C"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190CA679"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13,88</w:t>
            </w:r>
          </w:p>
        </w:tc>
        <w:tc>
          <w:tcPr>
            <w:tcW w:w="944" w:type="dxa"/>
            <w:tcBorders>
              <w:top w:val="nil"/>
              <w:left w:val="nil"/>
              <w:bottom w:val="single" w:sz="4" w:space="0" w:color="auto"/>
              <w:right w:val="single" w:sz="4" w:space="0" w:color="auto"/>
            </w:tcBorders>
            <w:shd w:val="clear" w:color="auto" w:fill="auto"/>
            <w:noWrap/>
            <w:vAlign w:val="bottom"/>
            <w:hideMark/>
          </w:tcPr>
          <w:p w14:paraId="155B23E3"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r>
      <w:tr w:rsidR="006A0356" w:rsidRPr="008860BA" w14:paraId="05B4A1C8" w14:textId="77777777" w:rsidTr="006A0356">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1403CD60" w14:textId="7C0D3480" w:rsidR="006A0356" w:rsidRPr="008860BA" w:rsidRDefault="006A0356">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xml:space="preserve">Apa </w:t>
            </w:r>
            <w:r w:rsidR="00E10604" w:rsidRPr="008860BA">
              <w:rPr>
                <w:rFonts w:asciiTheme="majorHAnsi" w:eastAsia="Times New Roman" w:hAnsiTheme="majorHAnsi" w:cstheme="majorHAnsi"/>
                <w:sz w:val="18"/>
                <w:szCs w:val="18"/>
                <w:lang w:val="ro-MD"/>
              </w:rPr>
              <w:t>ș</w:t>
            </w:r>
            <w:r w:rsidRPr="008860BA">
              <w:rPr>
                <w:rFonts w:asciiTheme="majorHAnsi" w:eastAsia="Times New Roman" w:hAnsiTheme="majorHAnsi" w:cstheme="majorHAnsi"/>
                <w:sz w:val="18"/>
                <w:szCs w:val="18"/>
                <w:lang w:val="ro-MD"/>
              </w:rPr>
              <w:t>i canalizarea</w:t>
            </w:r>
          </w:p>
        </w:tc>
        <w:tc>
          <w:tcPr>
            <w:tcW w:w="673" w:type="dxa"/>
            <w:tcBorders>
              <w:top w:val="nil"/>
              <w:left w:val="nil"/>
              <w:bottom w:val="single" w:sz="4" w:space="0" w:color="auto"/>
              <w:right w:val="single" w:sz="4" w:space="0" w:color="auto"/>
            </w:tcBorders>
            <w:shd w:val="clear" w:color="auto" w:fill="auto"/>
            <w:noWrap/>
            <w:vAlign w:val="bottom"/>
            <w:hideMark/>
          </w:tcPr>
          <w:p w14:paraId="70EA85FB"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7022F188"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628,72</w:t>
            </w:r>
          </w:p>
        </w:tc>
        <w:tc>
          <w:tcPr>
            <w:tcW w:w="1275" w:type="dxa"/>
            <w:tcBorders>
              <w:top w:val="nil"/>
              <w:left w:val="nil"/>
              <w:bottom w:val="single" w:sz="4" w:space="0" w:color="auto"/>
              <w:right w:val="single" w:sz="4" w:space="0" w:color="auto"/>
            </w:tcBorders>
            <w:shd w:val="clear" w:color="auto" w:fill="auto"/>
            <w:noWrap/>
            <w:vAlign w:val="bottom"/>
            <w:hideMark/>
          </w:tcPr>
          <w:p w14:paraId="0798D849"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628,72</w:t>
            </w:r>
          </w:p>
        </w:tc>
        <w:tc>
          <w:tcPr>
            <w:tcW w:w="1137" w:type="dxa"/>
            <w:tcBorders>
              <w:top w:val="nil"/>
              <w:left w:val="nil"/>
              <w:bottom w:val="single" w:sz="4" w:space="0" w:color="auto"/>
              <w:right w:val="single" w:sz="4" w:space="0" w:color="auto"/>
            </w:tcBorders>
            <w:shd w:val="clear" w:color="auto" w:fill="auto"/>
            <w:hideMark/>
          </w:tcPr>
          <w:p w14:paraId="0DAE0EF6"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500,28</w:t>
            </w:r>
          </w:p>
        </w:tc>
        <w:tc>
          <w:tcPr>
            <w:tcW w:w="1273" w:type="dxa"/>
            <w:tcBorders>
              <w:top w:val="nil"/>
              <w:left w:val="nil"/>
              <w:bottom w:val="single" w:sz="4" w:space="0" w:color="auto"/>
              <w:right w:val="single" w:sz="4" w:space="0" w:color="auto"/>
            </w:tcBorders>
            <w:shd w:val="clear" w:color="auto" w:fill="auto"/>
            <w:noWrap/>
            <w:vAlign w:val="bottom"/>
            <w:hideMark/>
          </w:tcPr>
          <w:p w14:paraId="6980ADCF"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34" w:type="dxa"/>
            <w:tcBorders>
              <w:top w:val="nil"/>
              <w:left w:val="nil"/>
              <w:bottom w:val="single" w:sz="4" w:space="0" w:color="auto"/>
              <w:right w:val="single" w:sz="4" w:space="0" w:color="auto"/>
            </w:tcBorders>
            <w:shd w:val="clear" w:color="auto" w:fill="auto"/>
            <w:noWrap/>
            <w:vAlign w:val="bottom"/>
            <w:hideMark/>
          </w:tcPr>
          <w:p w14:paraId="0898D21E"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69C17C4C"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127,97</w:t>
            </w:r>
          </w:p>
        </w:tc>
        <w:tc>
          <w:tcPr>
            <w:tcW w:w="853" w:type="dxa"/>
            <w:tcBorders>
              <w:top w:val="nil"/>
              <w:left w:val="nil"/>
              <w:bottom w:val="single" w:sz="4" w:space="0" w:color="auto"/>
              <w:right w:val="single" w:sz="4" w:space="0" w:color="auto"/>
            </w:tcBorders>
            <w:shd w:val="clear" w:color="auto" w:fill="auto"/>
            <w:noWrap/>
            <w:vAlign w:val="bottom"/>
            <w:hideMark/>
          </w:tcPr>
          <w:p w14:paraId="3ECA60AD"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74EBAA5B"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0,47</w:t>
            </w:r>
          </w:p>
        </w:tc>
        <w:tc>
          <w:tcPr>
            <w:tcW w:w="944" w:type="dxa"/>
            <w:tcBorders>
              <w:top w:val="nil"/>
              <w:left w:val="nil"/>
              <w:bottom w:val="single" w:sz="4" w:space="0" w:color="auto"/>
              <w:right w:val="single" w:sz="4" w:space="0" w:color="auto"/>
            </w:tcBorders>
            <w:shd w:val="clear" w:color="auto" w:fill="auto"/>
            <w:noWrap/>
            <w:vAlign w:val="bottom"/>
            <w:hideMark/>
          </w:tcPr>
          <w:p w14:paraId="0FF35947"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r>
      <w:tr w:rsidR="006A0356" w:rsidRPr="008860BA" w14:paraId="5E3E98F4" w14:textId="77777777" w:rsidTr="006A0356">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7DAF36D7" w14:textId="02402C0C" w:rsidR="006A0356" w:rsidRPr="008860BA" w:rsidRDefault="006A0356" w:rsidP="006A0356">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Che</w:t>
            </w:r>
            <w:r w:rsidR="00E10604" w:rsidRPr="008860BA">
              <w:rPr>
                <w:rFonts w:asciiTheme="majorHAnsi" w:eastAsia="Times New Roman" w:hAnsiTheme="majorHAnsi" w:cstheme="majorHAnsi"/>
                <w:sz w:val="18"/>
                <w:szCs w:val="18"/>
                <w:lang w:val="ro-MD"/>
              </w:rPr>
              <w:t>l</w:t>
            </w:r>
            <w:r w:rsidRPr="008860BA">
              <w:rPr>
                <w:rFonts w:asciiTheme="majorHAnsi" w:eastAsia="Times New Roman" w:hAnsiTheme="majorHAnsi" w:cstheme="majorHAnsi"/>
                <w:sz w:val="18"/>
                <w:szCs w:val="18"/>
                <w:lang w:val="ro-MD"/>
              </w:rPr>
              <w:t>tuieli de reprezentare</w:t>
            </w:r>
          </w:p>
        </w:tc>
        <w:tc>
          <w:tcPr>
            <w:tcW w:w="673" w:type="dxa"/>
            <w:tcBorders>
              <w:top w:val="nil"/>
              <w:left w:val="nil"/>
              <w:bottom w:val="single" w:sz="4" w:space="0" w:color="auto"/>
              <w:right w:val="single" w:sz="4" w:space="0" w:color="auto"/>
            </w:tcBorders>
            <w:shd w:val="clear" w:color="auto" w:fill="auto"/>
            <w:noWrap/>
            <w:vAlign w:val="bottom"/>
            <w:hideMark/>
          </w:tcPr>
          <w:p w14:paraId="45D7D75B"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046DA4A4"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0,00</w:t>
            </w:r>
          </w:p>
        </w:tc>
        <w:tc>
          <w:tcPr>
            <w:tcW w:w="1275" w:type="dxa"/>
            <w:tcBorders>
              <w:top w:val="nil"/>
              <w:left w:val="nil"/>
              <w:bottom w:val="single" w:sz="4" w:space="0" w:color="auto"/>
              <w:right w:val="single" w:sz="4" w:space="0" w:color="auto"/>
            </w:tcBorders>
            <w:shd w:val="clear" w:color="auto" w:fill="auto"/>
            <w:noWrap/>
            <w:vAlign w:val="bottom"/>
            <w:hideMark/>
          </w:tcPr>
          <w:p w14:paraId="7D51CE3D"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37" w:type="dxa"/>
            <w:tcBorders>
              <w:top w:val="nil"/>
              <w:left w:val="nil"/>
              <w:bottom w:val="single" w:sz="4" w:space="0" w:color="auto"/>
              <w:right w:val="single" w:sz="4" w:space="0" w:color="auto"/>
            </w:tcBorders>
            <w:shd w:val="clear" w:color="auto" w:fill="auto"/>
            <w:hideMark/>
          </w:tcPr>
          <w:p w14:paraId="4661EFDF"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1273" w:type="dxa"/>
            <w:tcBorders>
              <w:top w:val="nil"/>
              <w:left w:val="nil"/>
              <w:bottom w:val="single" w:sz="4" w:space="0" w:color="auto"/>
              <w:right w:val="single" w:sz="4" w:space="0" w:color="auto"/>
            </w:tcBorders>
            <w:shd w:val="clear" w:color="auto" w:fill="auto"/>
            <w:noWrap/>
            <w:vAlign w:val="bottom"/>
            <w:hideMark/>
          </w:tcPr>
          <w:p w14:paraId="363C25A3"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34" w:type="dxa"/>
            <w:tcBorders>
              <w:top w:val="nil"/>
              <w:left w:val="nil"/>
              <w:bottom w:val="single" w:sz="4" w:space="0" w:color="auto"/>
              <w:right w:val="single" w:sz="4" w:space="0" w:color="auto"/>
            </w:tcBorders>
            <w:shd w:val="clear" w:color="auto" w:fill="auto"/>
            <w:noWrap/>
            <w:vAlign w:val="bottom"/>
            <w:hideMark/>
          </w:tcPr>
          <w:p w14:paraId="3C7CC012"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18E154EC"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1783A82B"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30D74992"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944" w:type="dxa"/>
            <w:tcBorders>
              <w:top w:val="nil"/>
              <w:left w:val="nil"/>
              <w:bottom w:val="single" w:sz="4" w:space="0" w:color="auto"/>
              <w:right w:val="single" w:sz="4" w:space="0" w:color="auto"/>
            </w:tcBorders>
            <w:shd w:val="clear" w:color="auto" w:fill="auto"/>
            <w:noWrap/>
            <w:vAlign w:val="bottom"/>
            <w:hideMark/>
          </w:tcPr>
          <w:p w14:paraId="4E2E389C"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r>
      <w:tr w:rsidR="006A0356" w:rsidRPr="008860BA" w14:paraId="74D32F08" w14:textId="77777777" w:rsidTr="006A0356">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227EB224" w14:textId="77777777" w:rsidR="006A0356" w:rsidRPr="008860BA" w:rsidRDefault="006A0356" w:rsidP="006A0356">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Cheltuieli de transport</w:t>
            </w:r>
          </w:p>
        </w:tc>
        <w:tc>
          <w:tcPr>
            <w:tcW w:w="673" w:type="dxa"/>
            <w:tcBorders>
              <w:top w:val="nil"/>
              <w:left w:val="nil"/>
              <w:bottom w:val="single" w:sz="4" w:space="0" w:color="auto"/>
              <w:right w:val="single" w:sz="4" w:space="0" w:color="auto"/>
            </w:tcBorders>
            <w:shd w:val="clear" w:color="auto" w:fill="auto"/>
            <w:noWrap/>
            <w:vAlign w:val="bottom"/>
            <w:hideMark/>
          </w:tcPr>
          <w:p w14:paraId="7184DF53"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1178619A"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112,33</w:t>
            </w:r>
          </w:p>
        </w:tc>
        <w:tc>
          <w:tcPr>
            <w:tcW w:w="1275" w:type="dxa"/>
            <w:tcBorders>
              <w:top w:val="nil"/>
              <w:left w:val="nil"/>
              <w:bottom w:val="single" w:sz="4" w:space="0" w:color="auto"/>
              <w:right w:val="single" w:sz="4" w:space="0" w:color="auto"/>
            </w:tcBorders>
            <w:shd w:val="clear" w:color="auto" w:fill="auto"/>
            <w:noWrap/>
            <w:vAlign w:val="bottom"/>
            <w:hideMark/>
          </w:tcPr>
          <w:p w14:paraId="5244FA88"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112,33</w:t>
            </w:r>
          </w:p>
        </w:tc>
        <w:tc>
          <w:tcPr>
            <w:tcW w:w="1137" w:type="dxa"/>
            <w:tcBorders>
              <w:top w:val="nil"/>
              <w:left w:val="nil"/>
              <w:bottom w:val="single" w:sz="4" w:space="0" w:color="auto"/>
              <w:right w:val="single" w:sz="4" w:space="0" w:color="auto"/>
            </w:tcBorders>
            <w:shd w:val="clear" w:color="auto" w:fill="auto"/>
            <w:noWrap/>
            <w:vAlign w:val="bottom"/>
            <w:hideMark/>
          </w:tcPr>
          <w:p w14:paraId="3B4C05FA"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39,95</w:t>
            </w:r>
          </w:p>
        </w:tc>
        <w:tc>
          <w:tcPr>
            <w:tcW w:w="1273" w:type="dxa"/>
            <w:tcBorders>
              <w:top w:val="nil"/>
              <w:left w:val="nil"/>
              <w:bottom w:val="single" w:sz="4" w:space="0" w:color="auto"/>
              <w:right w:val="single" w:sz="4" w:space="0" w:color="auto"/>
            </w:tcBorders>
            <w:shd w:val="clear" w:color="auto" w:fill="auto"/>
            <w:noWrap/>
            <w:vAlign w:val="bottom"/>
            <w:hideMark/>
          </w:tcPr>
          <w:p w14:paraId="6E8E281A"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7,56</w:t>
            </w:r>
          </w:p>
        </w:tc>
        <w:tc>
          <w:tcPr>
            <w:tcW w:w="1134" w:type="dxa"/>
            <w:tcBorders>
              <w:top w:val="nil"/>
              <w:left w:val="nil"/>
              <w:bottom w:val="single" w:sz="4" w:space="0" w:color="auto"/>
              <w:right w:val="single" w:sz="4" w:space="0" w:color="auto"/>
            </w:tcBorders>
            <w:shd w:val="clear" w:color="auto" w:fill="auto"/>
            <w:noWrap/>
            <w:vAlign w:val="bottom"/>
            <w:hideMark/>
          </w:tcPr>
          <w:p w14:paraId="5EA556F1"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0805522A"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4F2DDD57"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2D912268"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51,89</w:t>
            </w:r>
          </w:p>
        </w:tc>
        <w:tc>
          <w:tcPr>
            <w:tcW w:w="944" w:type="dxa"/>
            <w:tcBorders>
              <w:top w:val="nil"/>
              <w:left w:val="nil"/>
              <w:bottom w:val="single" w:sz="4" w:space="0" w:color="auto"/>
              <w:right w:val="single" w:sz="4" w:space="0" w:color="auto"/>
            </w:tcBorders>
            <w:shd w:val="clear" w:color="auto" w:fill="auto"/>
            <w:noWrap/>
            <w:vAlign w:val="bottom"/>
            <w:hideMark/>
          </w:tcPr>
          <w:p w14:paraId="33E1B46B"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12,93</w:t>
            </w:r>
          </w:p>
        </w:tc>
      </w:tr>
      <w:tr w:rsidR="006A0356" w:rsidRPr="008860BA" w14:paraId="44800C63" w14:textId="77777777" w:rsidTr="006A0356">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64C02EA7" w14:textId="21A40511" w:rsidR="006A0356" w:rsidRPr="008860BA" w:rsidRDefault="006A0356">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Comunica</w:t>
            </w:r>
            <w:r w:rsidR="00E10604" w:rsidRPr="008860BA">
              <w:rPr>
                <w:rFonts w:asciiTheme="majorHAnsi" w:eastAsia="Times New Roman" w:hAnsiTheme="majorHAnsi" w:cstheme="majorHAnsi"/>
                <w:sz w:val="18"/>
                <w:szCs w:val="18"/>
                <w:lang w:val="ro-MD"/>
              </w:rPr>
              <w:t>ț</w:t>
            </w:r>
            <w:r w:rsidRPr="008860BA">
              <w:rPr>
                <w:rFonts w:asciiTheme="majorHAnsi" w:eastAsia="Times New Roman" w:hAnsiTheme="majorHAnsi" w:cstheme="majorHAnsi"/>
                <w:sz w:val="18"/>
                <w:szCs w:val="18"/>
                <w:lang w:val="ro-MD"/>
              </w:rPr>
              <w:t>ii</w:t>
            </w:r>
          </w:p>
        </w:tc>
        <w:tc>
          <w:tcPr>
            <w:tcW w:w="673" w:type="dxa"/>
            <w:tcBorders>
              <w:top w:val="nil"/>
              <w:left w:val="nil"/>
              <w:bottom w:val="single" w:sz="4" w:space="0" w:color="auto"/>
              <w:right w:val="single" w:sz="4" w:space="0" w:color="auto"/>
            </w:tcBorders>
            <w:shd w:val="clear" w:color="auto" w:fill="auto"/>
            <w:noWrap/>
            <w:vAlign w:val="bottom"/>
            <w:hideMark/>
          </w:tcPr>
          <w:p w14:paraId="3BCABA79"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6B608CD2"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250,45</w:t>
            </w:r>
          </w:p>
        </w:tc>
        <w:tc>
          <w:tcPr>
            <w:tcW w:w="1275" w:type="dxa"/>
            <w:tcBorders>
              <w:top w:val="nil"/>
              <w:left w:val="nil"/>
              <w:bottom w:val="single" w:sz="4" w:space="0" w:color="auto"/>
              <w:right w:val="single" w:sz="4" w:space="0" w:color="auto"/>
            </w:tcBorders>
            <w:shd w:val="clear" w:color="auto" w:fill="auto"/>
            <w:noWrap/>
            <w:vAlign w:val="bottom"/>
            <w:hideMark/>
          </w:tcPr>
          <w:p w14:paraId="72073E76"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250,45</w:t>
            </w:r>
          </w:p>
        </w:tc>
        <w:tc>
          <w:tcPr>
            <w:tcW w:w="1137" w:type="dxa"/>
            <w:tcBorders>
              <w:top w:val="nil"/>
              <w:left w:val="nil"/>
              <w:bottom w:val="single" w:sz="4" w:space="0" w:color="auto"/>
              <w:right w:val="single" w:sz="4" w:space="0" w:color="auto"/>
            </w:tcBorders>
            <w:shd w:val="clear" w:color="auto" w:fill="auto"/>
            <w:noWrap/>
            <w:vAlign w:val="bottom"/>
            <w:hideMark/>
          </w:tcPr>
          <w:p w14:paraId="1AF41D8B"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117,71</w:t>
            </w:r>
          </w:p>
        </w:tc>
        <w:tc>
          <w:tcPr>
            <w:tcW w:w="1273" w:type="dxa"/>
            <w:tcBorders>
              <w:top w:val="nil"/>
              <w:left w:val="nil"/>
              <w:bottom w:val="single" w:sz="4" w:space="0" w:color="auto"/>
              <w:right w:val="single" w:sz="4" w:space="0" w:color="auto"/>
            </w:tcBorders>
            <w:shd w:val="clear" w:color="auto" w:fill="auto"/>
            <w:noWrap/>
            <w:vAlign w:val="bottom"/>
            <w:hideMark/>
          </w:tcPr>
          <w:p w14:paraId="221E2DE5"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34" w:type="dxa"/>
            <w:tcBorders>
              <w:top w:val="nil"/>
              <w:left w:val="nil"/>
              <w:bottom w:val="single" w:sz="4" w:space="0" w:color="auto"/>
              <w:right w:val="single" w:sz="4" w:space="0" w:color="auto"/>
            </w:tcBorders>
            <w:shd w:val="clear" w:color="auto" w:fill="auto"/>
            <w:noWrap/>
            <w:vAlign w:val="bottom"/>
            <w:hideMark/>
          </w:tcPr>
          <w:p w14:paraId="7AD38035"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1EEA5F2D"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25,05</w:t>
            </w:r>
          </w:p>
        </w:tc>
        <w:tc>
          <w:tcPr>
            <w:tcW w:w="853" w:type="dxa"/>
            <w:tcBorders>
              <w:top w:val="nil"/>
              <w:left w:val="nil"/>
              <w:bottom w:val="single" w:sz="4" w:space="0" w:color="auto"/>
              <w:right w:val="single" w:sz="4" w:space="0" w:color="auto"/>
            </w:tcBorders>
            <w:shd w:val="clear" w:color="auto" w:fill="auto"/>
            <w:noWrap/>
            <w:vAlign w:val="bottom"/>
            <w:hideMark/>
          </w:tcPr>
          <w:p w14:paraId="205206CF"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05DBF54A"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21,15</w:t>
            </w:r>
          </w:p>
        </w:tc>
        <w:tc>
          <w:tcPr>
            <w:tcW w:w="944" w:type="dxa"/>
            <w:tcBorders>
              <w:top w:val="nil"/>
              <w:left w:val="nil"/>
              <w:bottom w:val="single" w:sz="4" w:space="0" w:color="auto"/>
              <w:right w:val="single" w:sz="4" w:space="0" w:color="auto"/>
            </w:tcBorders>
            <w:shd w:val="clear" w:color="auto" w:fill="auto"/>
            <w:noWrap/>
            <w:vAlign w:val="bottom"/>
            <w:hideMark/>
          </w:tcPr>
          <w:p w14:paraId="625DD34D"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86,54</w:t>
            </w:r>
          </w:p>
        </w:tc>
      </w:tr>
      <w:tr w:rsidR="006A0356" w:rsidRPr="008860BA" w14:paraId="320BBE5A" w14:textId="77777777" w:rsidTr="006A0356">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7F67FC84" w14:textId="2C632CAD" w:rsidR="006A0356" w:rsidRPr="008860BA" w:rsidRDefault="006A0356">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Deplas</w:t>
            </w:r>
            <w:r w:rsidR="00E10604" w:rsidRPr="008860BA">
              <w:rPr>
                <w:rFonts w:asciiTheme="majorHAnsi" w:eastAsia="Times New Roman" w:hAnsiTheme="majorHAnsi" w:cstheme="majorHAnsi"/>
                <w:sz w:val="18"/>
                <w:szCs w:val="18"/>
                <w:lang w:val="ro-MD"/>
              </w:rPr>
              <w:t>ă</w:t>
            </w:r>
            <w:r w:rsidRPr="008860BA">
              <w:rPr>
                <w:rFonts w:asciiTheme="majorHAnsi" w:eastAsia="Times New Roman" w:hAnsiTheme="majorHAnsi" w:cstheme="majorHAnsi"/>
                <w:sz w:val="18"/>
                <w:szCs w:val="18"/>
                <w:lang w:val="ro-MD"/>
              </w:rPr>
              <w:t>ri</w:t>
            </w:r>
          </w:p>
        </w:tc>
        <w:tc>
          <w:tcPr>
            <w:tcW w:w="673" w:type="dxa"/>
            <w:tcBorders>
              <w:top w:val="nil"/>
              <w:left w:val="nil"/>
              <w:bottom w:val="single" w:sz="4" w:space="0" w:color="auto"/>
              <w:right w:val="single" w:sz="4" w:space="0" w:color="auto"/>
            </w:tcBorders>
            <w:shd w:val="clear" w:color="auto" w:fill="auto"/>
            <w:noWrap/>
            <w:vAlign w:val="bottom"/>
            <w:hideMark/>
          </w:tcPr>
          <w:p w14:paraId="534F49E4"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23D28613"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32,63</w:t>
            </w:r>
          </w:p>
        </w:tc>
        <w:tc>
          <w:tcPr>
            <w:tcW w:w="1275" w:type="dxa"/>
            <w:tcBorders>
              <w:top w:val="nil"/>
              <w:left w:val="nil"/>
              <w:bottom w:val="single" w:sz="4" w:space="0" w:color="auto"/>
              <w:right w:val="single" w:sz="4" w:space="0" w:color="auto"/>
            </w:tcBorders>
            <w:shd w:val="clear" w:color="auto" w:fill="auto"/>
            <w:noWrap/>
            <w:vAlign w:val="bottom"/>
            <w:hideMark/>
          </w:tcPr>
          <w:p w14:paraId="5E6E3D00"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32,63</w:t>
            </w:r>
          </w:p>
        </w:tc>
        <w:tc>
          <w:tcPr>
            <w:tcW w:w="1137" w:type="dxa"/>
            <w:tcBorders>
              <w:top w:val="nil"/>
              <w:left w:val="nil"/>
              <w:bottom w:val="single" w:sz="4" w:space="0" w:color="auto"/>
              <w:right w:val="single" w:sz="4" w:space="0" w:color="auto"/>
            </w:tcBorders>
            <w:shd w:val="clear" w:color="auto" w:fill="auto"/>
            <w:hideMark/>
          </w:tcPr>
          <w:p w14:paraId="46270862"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1273" w:type="dxa"/>
            <w:tcBorders>
              <w:top w:val="nil"/>
              <w:left w:val="nil"/>
              <w:bottom w:val="single" w:sz="4" w:space="0" w:color="auto"/>
              <w:right w:val="single" w:sz="4" w:space="0" w:color="auto"/>
            </w:tcBorders>
            <w:shd w:val="clear" w:color="auto" w:fill="auto"/>
            <w:noWrap/>
            <w:vAlign w:val="bottom"/>
            <w:hideMark/>
          </w:tcPr>
          <w:p w14:paraId="62797A35"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9,40</w:t>
            </w:r>
          </w:p>
        </w:tc>
        <w:tc>
          <w:tcPr>
            <w:tcW w:w="1134" w:type="dxa"/>
            <w:tcBorders>
              <w:top w:val="nil"/>
              <w:left w:val="nil"/>
              <w:bottom w:val="single" w:sz="4" w:space="0" w:color="auto"/>
              <w:right w:val="single" w:sz="4" w:space="0" w:color="auto"/>
            </w:tcBorders>
            <w:shd w:val="clear" w:color="auto" w:fill="auto"/>
            <w:noWrap/>
            <w:vAlign w:val="bottom"/>
            <w:hideMark/>
          </w:tcPr>
          <w:p w14:paraId="69521E97"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hideMark/>
          </w:tcPr>
          <w:p w14:paraId="0E6C70CF"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71306287"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6840D11F"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2,20</w:t>
            </w:r>
          </w:p>
        </w:tc>
        <w:tc>
          <w:tcPr>
            <w:tcW w:w="944" w:type="dxa"/>
            <w:tcBorders>
              <w:top w:val="nil"/>
              <w:left w:val="nil"/>
              <w:bottom w:val="single" w:sz="4" w:space="0" w:color="auto"/>
              <w:right w:val="single" w:sz="4" w:space="0" w:color="auto"/>
            </w:tcBorders>
            <w:shd w:val="clear" w:color="auto" w:fill="auto"/>
            <w:noWrap/>
            <w:vAlign w:val="bottom"/>
            <w:hideMark/>
          </w:tcPr>
          <w:p w14:paraId="19A38AAD"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21,03</w:t>
            </w:r>
          </w:p>
        </w:tc>
      </w:tr>
      <w:tr w:rsidR="006A0356" w:rsidRPr="008860BA" w14:paraId="2FC1C52D" w14:textId="77777777" w:rsidTr="006A0356">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079262AF" w14:textId="66A6DF68" w:rsidR="006A0356" w:rsidRPr="008860BA" w:rsidRDefault="006A0356" w:rsidP="006A0356">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Detergen</w:t>
            </w:r>
            <w:r w:rsidR="00B13B9A" w:rsidRPr="008860BA">
              <w:rPr>
                <w:rFonts w:asciiTheme="majorHAnsi" w:eastAsia="Times New Roman" w:hAnsiTheme="majorHAnsi" w:cstheme="majorHAnsi"/>
                <w:sz w:val="18"/>
                <w:szCs w:val="18"/>
                <w:lang w:val="ro-MD"/>
              </w:rPr>
              <w:t>ț</w:t>
            </w:r>
            <w:r w:rsidRPr="008860BA">
              <w:rPr>
                <w:rFonts w:asciiTheme="majorHAnsi" w:eastAsia="Times New Roman" w:hAnsiTheme="majorHAnsi" w:cstheme="majorHAnsi"/>
                <w:sz w:val="18"/>
                <w:szCs w:val="18"/>
                <w:lang w:val="ro-MD"/>
              </w:rPr>
              <w:t>i</w:t>
            </w:r>
          </w:p>
        </w:tc>
        <w:tc>
          <w:tcPr>
            <w:tcW w:w="673" w:type="dxa"/>
            <w:tcBorders>
              <w:top w:val="nil"/>
              <w:left w:val="nil"/>
              <w:bottom w:val="single" w:sz="4" w:space="0" w:color="auto"/>
              <w:right w:val="single" w:sz="4" w:space="0" w:color="auto"/>
            </w:tcBorders>
            <w:shd w:val="clear" w:color="auto" w:fill="auto"/>
            <w:noWrap/>
            <w:vAlign w:val="bottom"/>
            <w:hideMark/>
          </w:tcPr>
          <w:p w14:paraId="15E07AD7"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5FD54479"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108,83</w:t>
            </w:r>
          </w:p>
        </w:tc>
        <w:tc>
          <w:tcPr>
            <w:tcW w:w="1275" w:type="dxa"/>
            <w:tcBorders>
              <w:top w:val="nil"/>
              <w:left w:val="nil"/>
              <w:bottom w:val="single" w:sz="4" w:space="0" w:color="auto"/>
              <w:right w:val="single" w:sz="4" w:space="0" w:color="auto"/>
            </w:tcBorders>
            <w:shd w:val="clear" w:color="auto" w:fill="auto"/>
            <w:noWrap/>
            <w:vAlign w:val="bottom"/>
            <w:hideMark/>
          </w:tcPr>
          <w:p w14:paraId="13B0C2E8"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108,83</w:t>
            </w:r>
          </w:p>
        </w:tc>
        <w:tc>
          <w:tcPr>
            <w:tcW w:w="1137" w:type="dxa"/>
            <w:tcBorders>
              <w:top w:val="nil"/>
              <w:left w:val="nil"/>
              <w:bottom w:val="single" w:sz="4" w:space="0" w:color="auto"/>
              <w:right w:val="single" w:sz="4" w:space="0" w:color="auto"/>
            </w:tcBorders>
            <w:shd w:val="clear" w:color="auto" w:fill="auto"/>
            <w:noWrap/>
            <w:vAlign w:val="bottom"/>
            <w:hideMark/>
          </w:tcPr>
          <w:p w14:paraId="7F31F5CD"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99,45</w:t>
            </w:r>
          </w:p>
        </w:tc>
        <w:tc>
          <w:tcPr>
            <w:tcW w:w="1273" w:type="dxa"/>
            <w:tcBorders>
              <w:top w:val="nil"/>
              <w:left w:val="nil"/>
              <w:bottom w:val="single" w:sz="4" w:space="0" w:color="auto"/>
              <w:right w:val="single" w:sz="4" w:space="0" w:color="auto"/>
            </w:tcBorders>
            <w:shd w:val="clear" w:color="auto" w:fill="auto"/>
            <w:noWrap/>
            <w:vAlign w:val="bottom"/>
            <w:hideMark/>
          </w:tcPr>
          <w:p w14:paraId="3AAFAA2A"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1FEE4B"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64056F56"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9,38</w:t>
            </w:r>
          </w:p>
        </w:tc>
        <w:tc>
          <w:tcPr>
            <w:tcW w:w="853" w:type="dxa"/>
            <w:tcBorders>
              <w:top w:val="nil"/>
              <w:left w:val="nil"/>
              <w:bottom w:val="single" w:sz="4" w:space="0" w:color="auto"/>
              <w:right w:val="single" w:sz="4" w:space="0" w:color="auto"/>
            </w:tcBorders>
            <w:shd w:val="clear" w:color="auto" w:fill="auto"/>
            <w:noWrap/>
            <w:vAlign w:val="bottom"/>
            <w:hideMark/>
          </w:tcPr>
          <w:p w14:paraId="3F8D2A02"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259168F1"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944" w:type="dxa"/>
            <w:tcBorders>
              <w:top w:val="nil"/>
              <w:left w:val="nil"/>
              <w:bottom w:val="single" w:sz="4" w:space="0" w:color="auto"/>
              <w:right w:val="single" w:sz="4" w:space="0" w:color="auto"/>
            </w:tcBorders>
            <w:shd w:val="clear" w:color="auto" w:fill="auto"/>
            <w:hideMark/>
          </w:tcPr>
          <w:p w14:paraId="5673B3B3"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r>
      <w:tr w:rsidR="006A0356" w:rsidRPr="008860BA" w14:paraId="4A268C0B" w14:textId="77777777" w:rsidTr="006A0356">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37B61F72" w14:textId="73B5B7F8" w:rsidR="006A0356" w:rsidRPr="008860BA" w:rsidRDefault="006A0356" w:rsidP="006A0356">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Energie electric</w:t>
            </w:r>
            <w:r w:rsidR="00E10604" w:rsidRPr="008860BA">
              <w:rPr>
                <w:rFonts w:asciiTheme="majorHAnsi" w:eastAsia="Times New Roman" w:hAnsiTheme="majorHAnsi" w:cstheme="majorHAnsi"/>
                <w:sz w:val="18"/>
                <w:szCs w:val="18"/>
                <w:lang w:val="ro-MD"/>
              </w:rPr>
              <w:t>ă</w:t>
            </w:r>
          </w:p>
        </w:tc>
        <w:tc>
          <w:tcPr>
            <w:tcW w:w="673" w:type="dxa"/>
            <w:tcBorders>
              <w:top w:val="nil"/>
              <w:left w:val="nil"/>
              <w:bottom w:val="single" w:sz="4" w:space="0" w:color="auto"/>
              <w:right w:val="single" w:sz="4" w:space="0" w:color="auto"/>
            </w:tcBorders>
            <w:shd w:val="clear" w:color="auto" w:fill="auto"/>
            <w:noWrap/>
            <w:vAlign w:val="bottom"/>
            <w:hideMark/>
          </w:tcPr>
          <w:p w14:paraId="60E138EC"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3B518DC7"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2.993,71</w:t>
            </w:r>
          </w:p>
        </w:tc>
        <w:tc>
          <w:tcPr>
            <w:tcW w:w="1275" w:type="dxa"/>
            <w:tcBorders>
              <w:top w:val="nil"/>
              <w:left w:val="nil"/>
              <w:bottom w:val="single" w:sz="4" w:space="0" w:color="auto"/>
              <w:right w:val="single" w:sz="4" w:space="0" w:color="auto"/>
            </w:tcBorders>
            <w:shd w:val="clear" w:color="auto" w:fill="auto"/>
            <w:noWrap/>
            <w:vAlign w:val="bottom"/>
            <w:hideMark/>
          </w:tcPr>
          <w:p w14:paraId="42B8CF2E"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2.993,71</w:t>
            </w:r>
          </w:p>
        </w:tc>
        <w:tc>
          <w:tcPr>
            <w:tcW w:w="1137" w:type="dxa"/>
            <w:tcBorders>
              <w:top w:val="nil"/>
              <w:left w:val="nil"/>
              <w:bottom w:val="single" w:sz="4" w:space="0" w:color="auto"/>
              <w:right w:val="single" w:sz="4" w:space="0" w:color="auto"/>
            </w:tcBorders>
            <w:shd w:val="clear" w:color="auto" w:fill="auto"/>
            <w:noWrap/>
            <w:vAlign w:val="bottom"/>
            <w:hideMark/>
          </w:tcPr>
          <w:p w14:paraId="46F0E0EA"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2.497,44</w:t>
            </w:r>
          </w:p>
        </w:tc>
        <w:tc>
          <w:tcPr>
            <w:tcW w:w="1273" w:type="dxa"/>
            <w:tcBorders>
              <w:top w:val="nil"/>
              <w:left w:val="nil"/>
              <w:bottom w:val="single" w:sz="4" w:space="0" w:color="auto"/>
              <w:right w:val="single" w:sz="4" w:space="0" w:color="auto"/>
            </w:tcBorders>
            <w:shd w:val="clear" w:color="auto" w:fill="auto"/>
            <w:noWrap/>
            <w:vAlign w:val="bottom"/>
            <w:hideMark/>
          </w:tcPr>
          <w:p w14:paraId="21F15C9B"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34" w:type="dxa"/>
            <w:tcBorders>
              <w:top w:val="nil"/>
              <w:left w:val="nil"/>
              <w:bottom w:val="single" w:sz="4" w:space="0" w:color="auto"/>
              <w:right w:val="single" w:sz="4" w:space="0" w:color="auto"/>
            </w:tcBorders>
            <w:shd w:val="clear" w:color="auto" w:fill="auto"/>
            <w:noWrap/>
            <w:vAlign w:val="bottom"/>
            <w:hideMark/>
          </w:tcPr>
          <w:p w14:paraId="437A79DB"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4CA18E57"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492,48</w:t>
            </w:r>
          </w:p>
        </w:tc>
        <w:tc>
          <w:tcPr>
            <w:tcW w:w="853" w:type="dxa"/>
            <w:tcBorders>
              <w:top w:val="nil"/>
              <w:left w:val="nil"/>
              <w:bottom w:val="single" w:sz="4" w:space="0" w:color="auto"/>
              <w:right w:val="single" w:sz="4" w:space="0" w:color="auto"/>
            </w:tcBorders>
            <w:shd w:val="clear" w:color="auto" w:fill="auto"/>
            <w:noWrap/>
            <w:vAlign w:val="bottom"/>
            <w:hideMark/>
          </w:tcPr>
          <w:p w14:paraId="6CDE79E4"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2DF71B50"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3,79</w:t>
            </w:r>
          </w:p>
        </w:tc>
        <w:tc>
          <w:tcPr>
            <w:tcW w:w="944" w:type="dxa"/>
            <w:tcBorders>
              <w:top w:val="nil"/>
              <w:left w:val="nil"/>
              <w:bottom w:val="single" w:sz="4" w:space="0" w:color="auto"/>
              <w:right w:val="single" w:sz="4" w:space="0" w:color="auto"/>
            </w:tcBorders>
            <w:shd w:val="clear" w:color="auto" w:fill="auto"/>
            <w:hideMark/>
          </w:tcPr>
          <w:p w14:paraId="7BDF8CB9"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r>
      <w:tr w:rsidR="006A0356" w:rsidRPr="008860BA" w14:paraId="56D5FF21" w14:textId="77777777" w:rsidTr="006A0356">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43D75F22" w14:textId="1D5F9E1B" w:rsidR="006A0356" w:rsidRPr="008860BA" w:rsidRDefault="006A0356" w:rsidP="006A0356">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Energie termic</w:t>
            </w:r>
            <w:r w:rsidR="00E10604" w:rsidRPr="008860BA">
              <w:rPr>
                <w:rFonts w:asciiTheme="majorHAnsi" w:eastAsia="Times New Roman" w:hAnsiTheme="majorHAnsi" w:cstheme="majorHAnsi"/>
                <w:sz w:val="18"/>
                <w:szCs w:val="18"/>
                <w:lang w:val="ro-MD"/>
              </w:rPr>
              <w:t>ă</w:t>
            </w:r>
          </w:p>
        </w:tc>
        <w:tc>
          <w:tcPr>
            <w:tcW w:w="673" w:type="dxa"/>
            <w:tcBorders>
              <w:top w:val="nil"/>
              <w:left w:val="nil"/>
              <w:bottom w:val="single" w:sz="4" w:space="0" w:color="auto"/>
              <w:right w:val="single" w:sz="4" w:space="0" w:color="auto"/>
            </w:tcBorders>
            <w:shd w:val="clear" w:color="auto" w:fill="auto"/>
            <w:noWrap/>
            <w:vAlign w:val="bottom"/>
            <w:hideMark/>
          </w:tcPr>
          <w:p w14:paraId="38696CB9"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3F7CD916"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3.465,33</w:t>
            </w:r>
          </w:p>
        </w:tc>
        <w:tc>
          <w:tcPr>
            <w:tcW w:w="1275" w:type="dxa"/>
            <w:tcBorders>
              <w:top w:val="nil"/>
              <w:left w:val="nil"/>
              <w:bottom w:val="single" w:sz="4" w:space="0" w:color="auto"/>
              <w:right w:val="single" w:sz="4" w:space="0" w:color="auto"/>
            </w:tcBorders>
            <w:shd w:val="clear" w:color="auto" w:fill="auto"/>
            <w:noWrap/>
            <w:vAlign w:val="bottom"/>
            <w:hideMark/>
          </w:tcPr>
          <w:p w14:paraId="33A0FFB4"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3.465,33</w:t>
            </w:r>
          </w:p>
        </w:tc>
        <w:tc>
          <w:tcPr>
            <w:tcW w:w="1137" w:type="dxa"/>
            <w:tcBorders>
              <w:top w:val="nil"/>
              <w:left w:val="nil"/>
              <w:bottom w:val="single" w:sz="4" w:space="0" w:color="auto"/>
              <w:right w:val="single" w:sz="4" w:space="0" w:color="auto"/>
            </w:tcBorders>
            <w:shd w:val="clear" w:color="auto" w:fill="auto"/>
            <w:noWrap/>
            <w:vAlign w:val="bottom"/>
            <w:hideMark/>
          </w:tcPr>
          <w:p w14:paraId="427E66A5"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2.821,21</w:t>
            </w:r>
          </w:p>
        </w:tc>
        <w:tc>
          <w:tcPr>
            <w:tcW w:w="1273" w:type="dxa"/>
            <w:tcBorders>
              <w:top w:val="nil"/>
              <w:left w:val="nil"/>
              <w:bottom w:val="single" w:sz="4" w:space="0" w:color="auto"/>
              <w:right w:val="single" w:sz="4" w:space="0" w:color="auto"/>
            </w:tcBorders>
            <w:shd w:val="clear" w:color="auto" w:fill="auto"/>
            <w:noWrap/>
            <w:vAlign w:val="bottom"/>
            <w:hideMark/>
          </w:tcPr>
          <w:p w14:paraId="0634A202"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34" w:type="dxa"/>
            <w:tcBorders>
              <w:top w:val="nil"/>
              <w:left w:val="nil"/>
              <w:bottom w:val="single" w:sz="4" w:space="0" w:color="auto"/>
              <w:right w:val="single" w:sz="4" w:space="0" w:color="auto"/>
            </w:tcBorders>
            <w:shd w:val="clear" w:color="auto" w:fill="auto"/>
            <w:noWrap/>
            <w:vAlign w:val="bottom"/>
            <w:hideMark/>
          </w:tcPr>
          <w:p w14:paraId="2C37E6F1"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77A37893"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644,12</w:t>
            </w:r>
          </w:p>
        </w:tc>
        <w:tc>
          <w:tcPr>
            <w:tcW w:w="853" w:type="dxa"/>
            <w:tcBorders>
              <w:top w:val="nil"/>
              <w:left w:val="nil"/>
              <w:bottom w:val="single" w:sz="4" w:space="0" w:color="auto"/>
              <w:right w:val="single" w:sz="4" w:space="0" w:color="auto"/>
            </w:tcBorders>
            <w:shd w:val="clear" w:color="auto" w:fill="auto"/>
            <w:noWrap/>
            <w:vAlign w:val="bottom"/>
            <w:hideMark/>
          </w:tcPr>
          <w:p w14:paraId="5555951D"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4F466129"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0,00</w:t>
            </w:r>
          </w:p>
        </w:tc>
        <w:tc>
          <w:tcPr>
            <w:tcW w:w="944" w:type="dxa"/>
            <w:tcBorders>
              <w:top w:val="nil"/>
              <w:left w:val="nil"/>
              <w:bottom w:val="single" w:sz="4" w:space="0" w:color="auto"/>
              <w:right w:val="single" w:sz="4" w:space="0" w:color="auto"/>
            </w:tcBorders>
            <w:shd w:val="clear" w:color="auto" w:fill="auto"/>
            <w:hideMark/>
          </w:tcPr>
          <w:p w14:paraId="5A0A43C0"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r>
      <w:tr w:rsidR="006A0356" w:rsidRPr="008860BA" w14:paraId="6DFB0812" w14:textId="77777777" w:rsidTr="006A0356">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6AA981C8" w14:textId="77777777" w:rsidR="006A0356" w:rsidRPr="008860BA" w:rsidRDefault="006A0356" w:rsidP="006A0356">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Fondul social ( 24 %)</w:t>
            </w:r>
          </w:p>
        </w:tc>
        <w:tc>
          <w:tcPr>
            <w:tcW w:w="673" w:type="dxa"/>
            <w:tcBorders>
              <w:top w:val="nil"/>
              <w:left w:val="nil"/>
              <w:bottom w:val="single" w:sz="4" w:space="0" w:color="auto"/>
              <w:right w:val="single" w:sz="4" w:space="0" w:color="auto"/>
            </w:tcBorders>
            <w:shd w:val="clear" w:color="auto" w:fill="auto"/>
            <w:noWrap/>
            <w:vAlign w:val="bottom"/>
            <w:hideMark/>
          </w:tcPr>
          <w:p w14:paraId="03E4CBF9"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7B71BBA9"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15.639,72</w:t>
            </w:r>
          </w:p>
        </w:tc>
        <w:tc>
          <w:tcPr>
            <w:tcW w:w="1275" w:type="dxa"/>
            <w:tcBorders>
              <w:top w:val="nil"/>
              <w:left w:val="nil"/>
              <w:bottom w:val="single" w:sz="4" w:space="0" w:color="auto"/>
              <w:right w:val="single" w:sz="4" w:space="0" w:color="auto"/>
            </w:tcBorders>
            <w:shd w:val="clear" w:color="auto" w:fill="auto"/>
            <w:noWrap/>
            <w:vAlign w:val="bottom"/>
            <w:hideMark/>
          </w:tcPr>
          <w:p w14:paraId="5539490A"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15.639,72</w:t>
            </w:r>
          </w:p>
        </w:tc>
        <w:tc>
          <w:tcPr>
            <w:tcW w:w="1137" w:type="dxa"/>
            <w:tcBorders>
              <w:top w:val="nil"/>
              <w:left w:val="nil"/>
              <w:bottom w:val="single" w:sz="4" w:space="0" w:color="auto"/>
              <w:right w:val="single" w:sz="4" w:space="0" w:color="auto"/>
            </w:tcBorders>
            <w:shd w:val="clear" w:color="auto" w:fill="auto"/>
            <w:noWrap/>
            <w:vAlign w:val="bottom"/>
            <w:hideMark/>
          </w:tcPr>
          <w:p w14:paraId="11B3EE36"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12.146,74</w:t>
            </w:r>
          </w:p>
        </w:tc>
        <w:tc>
          <w:tcPr>
            <w:tcW w:w="1273" w:type="dxa"/>
            <w:tcBorders>
              <w:top w:val="nil"/>
              <w:left w:val="nil"/>
              <w:bottom w:val="single" w:sz="4" w:space="0" w:color="auto"/>
              <w:right w:val="single" w:sz="4" w:space="0" w:color="auto"/>
            </w:tcBorders>
            <w:shd w:val="clear" w:color="auto" w:fill="auto"/>
            <w:noWrap/>
            <w:vAlign w:val="bottom"/>
            <w:hideMark/>
          </w:tcPr>
          <w:p w14:paraId="3EC63E79"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30,20</w:t>
            </w:r>
          </w:p>
        </w:tc>
        <w:tc>
          <w:tcPr>
            <w:tcW w:w="1134" w:type="dxa"/>
            <w:tcBorders>
              <w:top w:val="nil"/>
              <w:left w:val="nil"/>
              <w:bottom w:val="single" w:sz="4" w:space="0" w:color="auto"/>
              <w:right w:val="single" w:sz="4" w:space="0" w:color="auto"/>
            </w:tcBorders>
            <w:shd w:val="clear" w:color="auto" w:fill="auto"/>
            <w:noWrap/>
            <w:vAlign w:val="bottom"/>
            <w:hideMark/>
          </w:tcPr>
          <w:p w14:paraId="56576BEA"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72D3E68B"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2.215,76</w:t>
            </w:r>
          </w:p>
        </w:tc>
        <w:tc>
          <w:tcPr>
            <w:tcW w:w="853" w:type="dxa"/>
            <w:tcBorders>
              <w:top w:val="nil"/>
              <w:left w:val="nil"/>
              <w:bottom w:val="single" w:sz="4" w:space="0" w:color="auto"/>
              <w:right w:val="single" w:sz="4" w:space="0" w:color="auto"/>
            </w:tcBorders>
            <w:shd w:val="clear" w:color="auto" w:fill="auto"/>
            <w:noWrap/>
            <w:vAlign w:val="bottom"/>
            <w:hideMark/>
          </w:tcPr>
          <w:p w14:paraId="464049F9"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434,12</w:t>
            </w:r>
          </w:p>
        </w:tc>
        <w:tc>
          <w:tcPr>
            <w:tcW w:w="853" w:type="dxa"/>
            <w:tcBorders>
              <w:top w:val="nil"/>
              <w:left w:val="nil"/>
              <w:bottom w:val="single" w:sz="4" w:space="0" w:color="auto"/>
              <w:right w:val="single" w:sz="4" w:space="0" w:color="auto"/>
            </w:tcBorders>
            <w:shd w:val="clear" w:color="auto" w:fill="auto"/>
            <w:noWrap/>
            <w:vAlign w:val="bottom"/>
            <w:hideMark/>
          </w:tcPr>
          <w:p w14:paraId="2B62A974"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110,30</w:t>
            </w:r>
          </w:p>
        </w:tc>
        <w:tc>
          <w:tcPr>
            <w:tcW w:w="944" w:type="dxa"/>
            <w:tcBorders>
              <w:top w:val="nil"/>
              <w:left w:val="nil"/>
              <w:bottom w:val="single" w:sz="4" w:space="0" w:color="auto"/>
              <w:right w:val="single" w:sz="4" w:space="0" w:color="auto"/>
            </w:tcBorders>
            <w:shd w:val="clear" w:color="auto" w:fill="auto"/>
            <w:noWrap/>
            <w:vAlign w:val="bottom"/>
            <w:hideMark/>
          </w:tcPr>
          <w:p w14:paraId="030B925F"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702,59</w:t>
            </w:r>
          </w:p>
        </w:tc>
      </w:tr>
      <w:tr w:rsidR="006A0356" w:rsidRPr="008860BA" w14:paraId="3C09C53C" w14:textId="77777777" w:rsidTr="006A0356">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52719845" w14:textId="77777777" w:rsidR="006A0356" w:rsidRPr="008860BA" w:rsidRDefault="006A0356" w:rsidP="006A0356">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Formulare statistice</w:t>
            </w:r>
          </w:p>
        </w:tc>
        <w:tc>
          <w:tcPr>
            <w:tcW w:w="673" w:type="dxa"/>
            <w:tcBorders>
              <w:top w:val="nil"/>
              <w:left w:val="nil"/>
              <w:bottom w:val="single" w:sz="4" w:space="0" w:color="auto"/>
              <w:right w:val="single" w:sz="4" w:space="0" w:color="auto"/>
            </w:tcBorders>
            <w:shd w:val="clear" w:color="auto" w:fill="auto"/>
            <w:noWrap/>
            <w:vAlign w:val="bottom"/>
            <w:hideMark/>
          </w:tcPr>
          <w:p w14:paraId="6AEB780A"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666903D4"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42,21</w:t>
            </w:r>
          </w:p>
        </w:tc>
        <w:tc>
          <w:tcPr>
            <w:tcW w:w="1275" w:type="dxa"/>
            <w:tcBorders>
              <w:top w:val="nil"/>
              <w:left w:val="nil"/>
              <w:bottom w:val="single" w:sz="4" w:space="0" w:color="auto"/>
              <w:right w:val="single" w:sz="4" w:space="0" w:color="auto"/>
            </w:tcBorders>
            <w:shd w:val="clear" w:color="auto" w:fill="auto"/>
            <w:noWrap/>
            <w:vAlign w:val="bottom"/>
            <w:hideMark/>
          </w:tcPr>
          <w:p w14:paraId="65C4C0F1"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42,21</w:t>
            </w:r>
          </w:p>
        </w:tc>
        <w:tc>
          <w:tcPr>
            <w:tcW w:w="1137" w:type="dxa"/>
            <w:tcBorders>
              <w:top w:val="nil"/>
              <w:left w:val="nil"/>
              <w:bottom w:val="single" w:sz="4" w:space="0" w:color="auto"/>
              <w:right w:val="single" w:sz="4" w:space="0" w:color="auto"/>
            </w:tcBorders>
            <w:shd w:val="clear" w:color="auto" w:fill="auto"/>
            <w:noWrap/>
            <w:vAlign w:val="bottom"/>
            <w:hideMark/>
          </w:tcPr>
          <w:p w14:paraId="482AD117"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42,21</w:t>
            </w:r>
          </w:p>
        </w:tc>
        <w:tc>
          <w:tcPr>
            <w:tcW w:w="1273" w:type="dxa"/>
            <w:tcBorders>
              <w:top w:val="nil"/>
              <w:left w:val="nil"/>
              <w:bottom w:val="single" w:sz="4" w:space="0" w:color="auto"/>
              <w:right w:val="single" w:sz="4" w:space="0" w:color="auto"/>
            </w:tcBorders>
            <w:shd w:val="clear" w:color="auto" w:fill="auto"/>
            <w:hideMark/>
          </w:tcPr>
          <w:p w14:paraId="2DA43CA5"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1134" w:type="dxa"/>
            <w:tcBorders>
              <w:top w:val="nil"/>
              <w:left w:val="nil"/>
              <w:bottom w:val="single" w:sz="4" w:space="0" w:color="auto"/>
              <w:right w:val="single" w:sz="4" w:space="0" w:color="auto"/>
            </w:tcBorders>
            <w:shd w:val="clear" w:color="auto" w:fill="auto"/>
            <w:noWrap/>
            <w:vAlign w:val="bottom"/>
            <w:hideMark/>
          </w:tcPr>
          <w:p w14:paraId="10B73EE4"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hideMark/>
          </w:tcPr>
          <w:p w14:paraId="60F4661A"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853" w:type="dxa"/>
            <w:tcBorders>
              <w:top w:val="nil"/>
              <w:left w:val="nil"/>
              <w:bottom w:val="single" w:sz="4" w:space="0" w:color="auto"/>
              <w:right w:val="single" w:sz="4" w:space="0" w:color="auto"/>
            </w:tcBorders>
            <w:shd w:val="clear" w:color="auto" w:fill="auto"/>
            <w:hideMark/>
          </w:tcPr>
          <w:p w14:paraId="1AFDD2E8"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1690D17F"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944" w:type="dxa"/>
            <w:tcBorders>
              <w:top w:val="nil"/>
              <w:left w:val="nil"/>
              <w:bottom w:val="single" w:sz="4" w:space="0" w:color="auto"/>
              <w:right w:val="single" w:sz="4" w:space="0" w:color="auto"/>
            </w:tcBorders>
            <w:shd w:val="clear" w:color="auto" w:fill="auto"/>
            <w:hideMark/>
          </w:tcPr>
          <w:p w14:paraId="4CC1A5FD"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r>
      <w:tr w:rsidR="006A0356" w:rsidRPr="008860BA" w14:paraId="19D3A1FC" w14:textId="77777777" w:rsidTr="006A0356">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5DE05EF8" w14:textId="5E43F9C3" w:rsidR="006A0356" w:rsidRPr="008860BA" w:rsidRDefault="006A0356" w:rsidP="006A0356">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Indemniza</w:t>
            </w:r>
            <w:r w:rsidR="00B13B9A" w:rsidRPr="008860BA">
              <w:rPr>
                <w:rFonts w:asciiTheme="majorHAnsi" w:eastAsia="Times New Roman" w:hAnsiTheme="majorHAnsi" w:cstheme="majorHAnsi"/>
                <w:sz w:val="18"/>
                <w:szCs w:val="18"/>
                <w:lang w:val="ro-MD"/>
              </w:rPr>
              <w:t>ț</w:t>
            </w:r>
            <w:r w:rsidRPr="008860BA">
              <w:rPr>
                <w:rFonts w:asciiTheme="majorHAnsi" w:eastAsia="Times New Roman" w:hAnsiTheme="majorHAnsi" w:cstheme="majorHAnsi"/>
                <w:sz w:val="18"/>
                <w:szCs w:val="18"/>
                <w:lang w:val="ro-MD"/>
              </w:rPr>
              <w:t>ie unică</w:t>
            </w:r>
          </w:p>
        </w:tc>
        <w:tc>
          <w:tcPr>
            <w:tcW w:w="673" w:type="dxa"/>
            <w:tcBorders>
              <w:top w:val="nil"/>
              <w:left w:val="nil"/>
              <w:bottom w:val="single" w:sz="4" w:space="0" w:color="auto"/>
              <w:right w:val="single" w:sz="4" w:space="0" w:color="auto"/>
            </w:tcBorders>
            <w:shd w:val="clear" w:color="auto" w:fill="auto"/>
            <w:noWrap/>
            <w:vAlign w:val="bottom"/>
            <w:hideMark/>
          </w:tcPr>
          <w:p w14:paraId="03A83793"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6768AFF5"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240,00</w:t>
            </w:r>
          </w:p>
        </w:tc>
        <w:tc>
          <w:tcPr>
            <w:tcW w:w="1275" w:type="dxa"/>
            <w:tcBorders>
              <w:top w:val="nil"/>
              <w:left w:val="nil"/>
              <w:bottom w:val="single" w:sz="4" w:space="0" w:color="auto"/>
              <w:right w:val="single" w:sz="4" w:space="0" w:color="auto"/>
            </w:tcBorders>
            <w:shd w:val="clear" w:color="auto" w:fill="auto"/>
            <w:noWrap/>
            <w:vAlign w:val="bottom"/>
            <w:hideMark/>
          </w:tcPr>
          <w:p w14:paraId="363334A1"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240,00</w:t>
            </w:r>
          </w:p>
        </w:tc>
        <w:tc>
          <w:tcPr>
            <w:tcW w:w="1137" w:type="dxa"/>
            <w:tcBorders>
              <w:top w:val="nil"/>
              <w:left w:val="nil"/>
              <w:bottom w:val="single" w:sz="4" w:space="0" w:color="auto"/>
              <w:right w:val="single" w:sz="4" w:space="0" w:color="auto"/>
            </w:tcBorders>
            <w:shd w:val="clear" w:color="auto" w:fill="auto"/>
            <w:hideMark/>
          </w:tcPr>
          <w:p w14:paraId="6576CA2B"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1273" w:type="dxa"/>
            <w:tcBorders>
              <w:top w:val="nil"/>
              <w:left w:val="nil"/>
              <w:bottom w:val="single" w:sz="4" w:space="0" w:color="auto"/>
              <w:right w:val="single" w:sz="4" w:space="0" w:color="auto"/>
            </w:tcBorders>
            <w:shd w:val="clear" w:color="auto" w:fill="auto"/>
            <w:hideMark/>
          </w:tcPr>
          <w:p w14:paraId="1936D0FB"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1134" w:type="dxa"/>
            <w:tcBorders>
              <w:top w:val="nil"/>
              <w:left w:val="nil"/>
              <w:bottom w:val="single" w:sz="4" w:space="0" w:color="auto"/>
              <w:right w:val="single" w:sz="4" w:space="0" w:color="auto"/>
            </w:tcBorders>
            <w:shd w:val="clear" w:color="auto" w:fill="auto"/>
            <w:noWrap/>
            <w:vAlign w:val="bottom"/>
            <w:hideMark/>
          </w:tcPr>
          <w:p w14:paraId="66FBDC3D"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hideMark/>
          </w:tcPr>
          <w:p w14:paraId="673CECB2"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853" w:type="dxa"/>
            <w:tcBorders>
              <w:top w:val="nil"/>
              <w:left w:val="nil"/>
              <w:bottom w:val="single" w:sz="4" w:space="0" w:color="auto"/>
              <w:right w:val="single" w:sz="4" w:space="0" w:color="auto"/>
            </w:tcBorders>
            <w:shd w:val="clear" w:color="auto" w:fill="auto"/>
            <w:hideMark/>
          </w:tcPr>
          <w:p w14:paraId="27514F05"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75512AEF"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240,00</w:t>
            </w:r>
          </w:p>
        </w:tc>
        <w:tc>
          <w:tcPr>
            <w:tcW w:w="944" w:type="dxa"/>
            <w:tcBorders>
              <w:top w:val="nil"/>
              <w:left w:val="nil"/>
              <w:bottom w:val="single" w:sz="4" w:space="0" w:color="auto"/>
              <w:right w:val="single" w:sz="4" w:space="0" w:color="auto"/>
            </w:tcBorders>
            <w:shd w:val="clear" w:color="auto" w:fill="auto"/>
            <w:hideMark/>
          </w:tcPr>
          <w:p w14:paraId="45E914E6"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r>
      <w:tr w:rsidR="006A0356" w:rsidRPr="008860BA" w14:paraId="19CA2666" w14:textId="77777777" w:rsidTr="006A0356">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66F9FFA2" w14:textId="77777777" w:rsidR="006A0356" w:rsidRPr="008860BA" w:rsidRDefault="006A0356" w:rsidP="006A0356">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Gaz</w:t>
            </w:r>
          </w:p>
        </w:tc>
        <w:tc>
          <w:tcPr>
            <w:tcW w:w="673" w:type="dxa"/>
            <w:tcBorders>
              <w:top w:val="nil"/>
              <w:left w:val="nil"/>
              <w:bottom w:val="single" w:sz="4" w:space="0" w:color="auto"/>
              <w:right w:val="single" w:sz="4" w:space="0" w:color="auto"/>
            </w:tcBorders>
            <w:shd w:val="clear" w:color="auto" w:fill="auto"/>
            <w:noWrap/>
            <w:vAlign w:val="bottom"/>
            <w:hideMark/>
          </w:tcPr>
          <w:p w14:paraId="1FD0E7CF"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2C59B0A4"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1.881,99</w:t>
            </w:r>
          </w:p>
        </w:tc>
        <w:tc>
          <w:tcPr>
            <w:tcW w:w="1275" w:type="dxa"/>
            <w:tcBorders>
              <w:top w:val="nil"/>
              <w:left w:val="nil"/>
              <w:bottom w:val="single" w:sz="4" w:space="0" w:color="auto"/>
              <w:right w:val="single" w:sz="4" w:space="0" w:color="auto"/>
            </w:tcBorders>
            <w:shd w:val="clear" w:color="auto" w:fill="auto"/>
            <w:noWrap/>
            <w:vAlign w:val="bottom"/>
            <w:hideMark/>
          </w:tcPr>
          <w:p w14:paraId="07DA3F26"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1.881,99</w:t>
            </w:r>
          </w:p>
        </w:tc>
        <w:tc>
          <w:tcPr>
            <w:tcW w:w="1137" w:type="dxa"/>
            <w:tcBorders>
              <w:top w:val="nil"/>
              <w:left w:val="nil"/>
              <w:bottom w:val="single" w:sz="4" w:space="0" w:color="auto"/>
              <w:right w:val="single" w:sz="4" w:space="0" w:color="auto"/>
            </w:tcBorders>
            <w:shd w:val="clear" w:color="auto" w:fill="auto"/>
            <w:noWrap/>
            <w:vAlign w:val="bottom"/>
            <w:hideMark/>
          </w:tcPr>
          <w:p w14:paraId="5AB557CA"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1.881,99</w:t>
            </w:r>
          </w:p>
        </w:tc>
        <w:tc>
          <w:tcPr>
            <w:tcW w:w="1273" w:type="dxa"/>
            <w:tcBorders>
              <w:top w:val="nil"/>
              <w:left w:val="nil"/>
              <w:bottom w:val="single" w:sz="4" w:space="0" w:color="auto"/>
              <w:right w:val="single" w:sz="4" w:space="0" w:color="auto"/>
            </w:tcBorders>
            <w:shd w:val="clear" w:color="auto" w:fill="auto"/>
            <w:noWrap/>
            <w:vAlign w:val="bottom"/>
            <w:hideMark/>
          </w:tcPr>
          <w:p w14:paraId="79F5C90E"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34" w:type="dxa"/>
            <w:tcBorders>
              <w:top w:val="nil"/>
              <w:left w:val="nil"/>
              <w:bottom w:val="single" w:sz="4" w:space="0" w:color="auto"/>
              <w:right w:val="single" w:sz="4" w:space="0" w:color="auto"/>
            </w:tcBorders>
            <w:shd w:val="clear" w:color="auto" w:fill="auto"/>
            <w:noWrap/>
            <w:vAlign w:val="bottom"/>
            <w:hideMark/>
          </w:tcPr>
          <w:p w14:paraId="652F14C5"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5A3CBEFA"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67776EDC"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6BE4D94B"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944" w:type="dxa"/>
            <w:tcBorders>
              <w:top w:val="nil"/>
              <w:left w:val="nil"/>
              <w:bottom w:val="single" w:sz="4" w:space="0" w:color="auto"/>
              <w:right w:val="single" w:sz="4" w:space="0" w:color="auto"/>
            </w:tcBorders>
            <w:shd w:val="clear" w:color="auto" w:fill="auto"/>
            <w:hideMark/>
          </w:tcPr>
          <w:p w14:paraId="4570F740"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r>
      <w:tr w:rsidR="006A0356" w:rsidRPr="008860BA" w14:paraId="0E70D419" w14:textId="77777777" w:rsidTr="006A0356">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7B2FC9DA" w14:textId="33A7B4DB" w:rsidR="006A0356" w:rsidRPr="008860BA" w:rsidRDefault="006A0356" w:rsidP="006A0356">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Materiale de construc</w:t>
            </w:r>
            <w:r w:rsidR="00B13B9A" w:rsidRPr="008860BA">
              <w:rPr>
                <w:rFonts w:asciiTheme="majorHAnsi" w:eastAsia="Times New Roman" w:hAnsiTheme="majorHAnsi" w:cstheme="majorHAnsi"/>
                <w:sz w:val="18"/>
                <w:szCs w:val="18"/>
                <w:lang w:val="ro-MD"/>
              </w:rPr>
              <w:t>ț</w:t>
            </w:r>
            <w:r w:rsidRPr="008860BA">
              <w:rPr>
                <w:rFonts w:asciiTheme="majorHAnsi" w:eastAsia="Times New Roman" w:hAnsiTheme="majorHAnsi" w:cstheme="majorHAnsi"/>
                <w:sz w:val="18"/>
                <w:szCs w:val="18"/>
                <w:lang w:val="ro-MD"/>
              </w:rPr>
              <w:t>ie</w:t>
            </w:r>
          </w:p>
        </w:tc>
        <w:tc>
          <w:tcPr>
            <w:tcW w:w="673" w:type="dxa"/>
            <w:tcBorders>
              <w:top w:val="nil"/>
              <w:left w:val="nil"/>
              <w:bottom w:val="single" w:sz="4" w:space="0" w:color="auto"/>
              <w:right w:val="single" w:sz="4" w:space="0" w:color="auto"/>
            </w:tcBorders>
            <w:shd w:val="clear" w:color="auto" w:fill="auto"/>
            <w:noWrap/>
            <w:vAlign w:val="bottom"/>
            <w:hideMark/>
          </w:tcPr>
          <w:p w14:paraId="735FB63D"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39DF40B7"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225,59</w:t>
            </w:r>
          </w:p>
        </w:tc>
        <w:tc>
          <w:tcPr>
            <w:tcW w:w="1275" w:type="dxa"/>
            <w:tcBorders>
              <w:top w:val="nil"/>
              <w:left w:val="nil"/>
              <w:bottom w:val="single" w:sz="4" w:space="0" w:color="auto"/>
              <w:right w:val="single" w:sz="4" w:space="0" w:color="auto"/>
            </w:tcBorders>
            <w:shd w:val="clear" w:color="auto" w:fill="auto"/>
            <w:noWrap/>
            <w:vAlign w:val="bottom"/>
            <w:hideMark/>
          </w:tcPr>
          <w:p w14:paraId="44C27E61"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225,59</w:t>
            </w:r>
          </w:p>
        </w:tc>
        <w:tc>
          <w:tcPr>
            <w:tcW w:w="1137" w:type="dxa"/>
            <w:tcBorders>
              <w:top w:val="nil"/>
              <w:left w:val="nil"/>
              <w:bottom w:val="single" w:sz="4" w:space="0" w:color="auto"/>
              <w:right w:val="single" w:sz="4" w:space="0" w:color="auto"/>
            </w:tcBorders>
            <w:shd w:val="clear" w:color="auto" w:fill="auto"/>
            <w:noWrap/>
            <w:vAlign w:val="bottom"/>
            <w:hideMark/>
          </w:tcPr>
          <w:p w14:paraId="7477172B"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205,83</w:t>
            </w:r>
          </w:p>
        </w:tc>
        <w:tc>
          <w:tcPr>
            <w:tcW w:w="1273" w:type="dxa"/>
            <w:tcBorders>
              <w:top w:val="nil"/>
              <w:left w:val="nil"/>
              <w:bottom w:val="single" w:sz="4" w:space="0" w:color="auto"/>
              <w:right w:val="single" w:sz="4" w:space="0" w:color="auto"/>
            </w:tcBorders>
            <w:shd w:val="clear" w:color="auto" w:fill="auto"/>
            <w:noWrap/>
            <w:vAlign w:val="bottom"/>
            <w:hideMark/>
          </w:tcPr>
          <w:p w14:paraId="17C0B4D9"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34" w:type="dxa"/>
            <w:tcBorders>
              <w:top w:val="nil"/>
              <w:left w:val="nil"/>
              <w:bottom w:val="single" w:sz="4" w:space="0" w:color="auto"/>
              <w:right w:val="single" w:sz="4" w:space="0" w:color="auto"/>
            </w:tcBorders>
            <w:shd w:val="clear" w:color="auto" w:fill="auto"/>
            <w:noWrap/>
            <w:vAlign w:val="bottom"/>
            <w:hideMark/>
          </w:tcPr>
          <w:p w14:paraId="56E6B5C8"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6BD8A866"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0,88</w:t>
            </w:r>
          </w:p>
        </w:tc>
        <w:tc>
          <w:tcPr>
            <w:tcW w:w="853" w:type="dxa"/>
            <w:tcBorders>
              <w:top w:val="nil"/>
              <w:left w:val="nil"/>
              <w:bottom w:val="single" w:sz="4" w:space="0" w:color="auto"/>
              <w:right w:val="single" w:sz="4" w:space="0" w:color="auto"/>
            </w:tcBorders>
            <w:shd w:val="clear" w:color="auto" w:fill="auto"/>
            <w:noWrap/>
            <w:vAlign w:val="bottom"/>
            <w:hideMark/>
          </w:tcPr>
          <w:p w14:paraId="71C13CB9"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1D438629"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18,77</w:t>
            </w:r>
          </w:p>
        </w:tc>
        <w:tc>
          <w:tcPr>
            <w:tcW w:w="944" w:type="dxa"/>
            <w:tcBorders>
              <w:top w:val="nil"/>
              <w:left w:val="nil"/>
              <w:bottom w:val="single" w:sz="4" w:space="0" w:color="auto"/>
              <w:right w:val="single" w:sz="4" w:space="0" w:color="auto"/>
            </w:tcBorders>
            <w:shd w:val="clear" w:color="auto" w:fill="auto"/>
            <w:noWrap/>
            <w:vAlign w:val="bottom"/>
            <w:hideMark/>
          </w:tcPr>
          <w:p w14:paraId="427E9D99"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0,11</w:t>
            </w:r>
          </w:p>
        </w:tc>
      </w:tr>
      <w:tr w:rsidR="006A0356" w:rsidRPr="008860BA" w14:paraId="1A30906A" w14:textId="77777777" w:rsidTr="006A0356">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19856A92" w14:textId="77777777" w:rsidR="006A0356" w:rsidRPr="008860BA" w:rsidRDefault="006A0356" w:rsidP="006A0356">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Materiale de uz gospodăresc</w:t>
            </w:r>
          </w:p>
        </w:tc>
        <w:tc>
          <w:tcPr>
            <w:tcW w:w="673" w:type="dxa"/>
            <w:tcBorders>
              <w:top w:val="nil"/>
              <w:left w:val="nil"/>
              <w:bottom w:val="single" w:sz="4" w:space="0" w:color="auto"/>
              <w:right w:val="single" w:sz="4" w:space="0" w:color="auto"/>
            </w:tcBorders>
            <w:shd w:val="clear" w:color="auto" w:fill="auto"/>
            <w:noWrap/>
            <w:vAlign w:val="bottom"/>
            <w:hideMark/>
          </w:tcPr>
          <w:p w14:paraId="2E563251"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3BD507A5"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493,70</w:t>
            </w:r>
          </w:p>
        </w:tc>
        <w:tc>
          <w:tcPr>
            <w:tcW w:w="1275" w:type="dxa"/>
            <w:tcBorders>
              <w:top w:val="nil"/>
              <w:left w:val="nil"/>
              <w:bottom w:val="single" w:sz="4" w:space="0" w:color="auto"/>
              <w:right w:val="single" w:sz="4" w:space="0" w:color="auto"/>
            </w:tcBorders>
            <w:shd w:val="clear" w:color="auto" w:fill="auto"/>
            <w:noWrap/>
            <w:vAlign w:val="bottom"/>
            <w:hideMark/>
          </w:tcPr>
          <w:p w14:paraId="769323F3"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493,70</w:t>
            </w:r>
          </w:p>
        </w:tc>
        <w:tc>
          <w:tcPr>
            <w:tcW w:w="1137" w:type="dxa"/>
            <w:tcBorders>
              <w:top w:val="nil"/>
              <w:left w:val="nil"/>
              <w:bottom w:val="single" w:sz="4" w:space="0" w:color="auto"/>
              <w:right w:val="single" w:sz="4" w:space="0" w:color="auto"/>
            </w:tcBorders>
            <w:shd w:val="clear" w:color="auto" w:fill="auto"/>
            <w:noWrap/>
            <w:vAlign w:val="bottom"/>
            <w:hideMark/>
          </w:tcPr>
          <w:p w14:paraId="05D70769"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414,67</w:t>
            </w:r>
          </w:p>
        </w:tc>
        <w:tc>
          <w:tcPr>
            <w:tcW w:w="1273" w:type="dxa"/>
            <w:tcBorders>
              <w:top w:val="nil"/>
              <w:left w:val="nil"/>
              <w:bottom w:val="single" w:sz="4" w:space="0" w:color="auto"/>
              <w:right w:val="single" w:sz="4" w:space="0" w:color="auto"/>
            </w:tcBorders>
            <w:shd w:val="clear" w:color="auto" w:fill="auto"/>
            <w:hideMark/>
          </w:tcPr>
          <w:p w14:paraId="2543EA70"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85935E"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54735E54"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19,45</w:t>
            </w:r>
          </w:p>
        </w:tc>
        <w:tc>
          <w:tcPr>
            <w:tcW w:w="853" w:type="dxa"/>
            <w:tcBorders>
              <w:top w:val="nil"/>
              <w:left w:val="nil"/>
              <w:bottom w:val="single" w:sz="4" w:space="0" w:color="auto"/>
              <w:right w:val="single" w:sz="4" w:space="0" w:color="auto"/>
            </w:tcBorders>
            <w:shd w:val="clear" w:color="auto" w:fill="auto"/>
            <w:noWrap/>
            <w:vAlign w:val="bottom"/>
            <w:hideMark/>
          </w:tcPr>
          <w:p w14:paraId="68F6ACE8"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5A542BCD"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59,23</w:t>
            </w:r>
          </w:p>
        </w:tc>
        <w:tc>
          <w:tcPr>
            <w:tcW w:w="944" w:type="dxa"/>
            <w:tcBorders>
              <w:top w:val="nil"/>
              <w:left w:val="nil"/>
              <w:bottom w:val="single" w:sz="4" w:space="0" w:color="auto"/>
              <w:right w:val="single" w:sz="4" w:space="0" w:color="auto"/>
            </w:tcBorders>
            <w:shd w:val="clear" w:color="auto" w:fill="auto"/>
            <w:noWrap/>
            <w:vAlign w:val="bottom"/>
            <w:hideMark/>
          </w:tcPr>
          <w:p w14:paraId="6A214A69"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0,35</w:t>
            </w:r>
          </w:p>
        </w:tc>
      </w:tr>
      <w:tr w:rsidR="006A0356" w:rsidRPr="008860BA" w14:paraId="080AB05E" w14:textId="77777777" w:rsidTr="006A0356">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5420E60F" w14:textId="77777777" w:rsidR="006A0356" w:rsidRPr="008860BA" w:rsidRDefault="006A0356" w:rsidP="006A0356">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xml:space="preserve">Medicamente </w:t>
            </w:r>
          </w:p>
        </w:tc>
        <w:tc>
          <w:tcPr>
            <w:tcW w:w="673" w:type="dxa"/>
            <w:tcBorders>
              <w:top w:val="nil"/>
              <w:left w:val="nil"/>
              <w:bottom w:val="single" w:sz="4" w:space="0" w:color="auto"/>
              <w:right w:val="single" w:sz="4" w:space="0" w:color="auto"/>
            </w:tcBorders>
            <w:shd w:val="clear" w:color="auto" w:fill="auto"/>
            <w:noWrap/>
            <w:vAlign w:val="bottom"/>
            <w:hideMark/>
          </w:tcPr>
          <w:p w14:paraId="0D26A618"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1EBE95A0"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31.772,93</w:t>
            </w:r>
          </w:p>
        </w:tc>
        <w:tc>
          <w:tcPr>
            <w:tcW w:w="1275" w:type="dxa"/>
            <w:tcBorders>
              <w:top w:val="nil"/>
              <w:left w:val="nil"/>
              <w:bottom w:val="single" w:sz="4" w:space="0" w:color="auto"/>
              <w:right w:val="single" w:sz="4" w:space="0" w:color="auto"/>
            </w:tcBorders>
            <w:shd w:val="clear" w:color="auto" w:fill="auto"/>
            <w:noWrap/>
            <w:vAlign w:val="bottom"/>
            <w:hideMark/>
          </w:tcPr>
          <w:p w14:paraId="107EE9BA"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31.772,93</w:t>
            </w:r>
          </w:p>
        </w:tc>
        <w:tc>
          <w:tcPr>
            <w:tcW w:w="1137" w:type="dxa"/>
            <w:tcBorders>
              <w:top w:val="nil"/>
              <w:left w:val="nil"/>
              <w:bottom w:val="single" w:sz="4" w:space="0" w:color="auto"/>
              <w:right w:val="single" w:sz="4" w:space="0" w:color="auto"/>
            </w:tcBorders>
            <w:shd w:val="clear" w:color="auto" w:fill="auto"/>
            <w:noWrap/>
            <w:vAlign w:val="bottom"/>
            <w:hideMark/>
          </w:tcPr>
          <w:p w14:paraId="6FD94CCC"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3.108,77</w:t>
            </w:r>
          </w:p>
        </w:tc>
        <w:tc>
          <w:tcPr>
            <w:tcW w:w="1273" w:type="dxa"/>
            <w:tcBorders>
              <w:top w:val="nil"/>
              <w:left w:val="nil"/>
              <w:bottom w:val="single" w:sz="4" w:space="0" w:color="auto"/>
              <w:right w:val="single" w:sz="4" w:space="0" w:color="auto"/>
            </w:tcBorders>
            <w:shd w:val="clear" w:color="auto" w:fill="auto"/>
            <w:noWrap/>
            <w:vAlign w:val="bottom"/>
            <w:hideMark/>
          </w:tcPr>
          <w:p w14:paraId="7E643234"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34" w:type="dxa"/>
            <w:tcBorders>
              <w:top w:val="nil"/>
              <w:left w:val="nil"/>
              <w:bottom w:val="single" w:sz="4" w:space="0" w:color="auto"/>
              <w:right w:val="single" w:sz="4" w:space="0" w:color="auto"/>
            </w:tcBorders>
            <w:shd w:val="clear" w:color="auto" w:fill="auto"/>
            <w:noWrap/>
            <w:vAlign w:val="bottom"/>
            <w:hideMark/>
          </w:tcPr>
          <w:p w14:paraId="64E6FE15"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0CAE5BF3"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80,99</w:t>
            </w:r>
          </w:p>
        </w:tc>
        <w:tc>
          <w:tcPr>
            <w:tcW w:w="853" w:type="dxa"/>
            <w:tcBorders>
              <w:top w:val="nil"/>
              <w:left w:val="nil"/>
              <w:bottom w:val="single" w:sz="4" w:space="0" w:color="auto"/>
              <w:right w:val="single" w:sz="4" w:space="0" w:color="auto"/>
            </w:tcBorders>
            <w:shd w:val="clear" w:color="auto" w:fill="auto"/>
            <w:noWrap/>
            <w:vAlign w:val="bottom"/>
            <w:hideMark/>
          </w:tcPr>
          <w:p w14:paraId="180A3778"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133,91</w:t>
            </w:r>
          </w:p>
        </w:tc>
        <w:tc>
          <w:tcPr>
            <w:tcW w:w="853" w:type="dxa"/>
            <w:tcBorders>
              <w:top w:val="nil"/>
              <w:left w:val="nil"/>
              <w:bottom w:val="single" w:sz="4" w:space="0" w:color="auto"/>
              <w:right w:val="single" w:sz="4" w:space="0" w:color="auto"/>
            </w:tcBorders>
            <w:shd w:val="clear" w:color="auto" w:fill="auto"/>
            <w:noWrap/>
            <w:vAlign w:val="bottom"/>
            <w:hideMark/>
          </w:tcPr>
          <w:p w14:paraId="5AFEC74A"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13,02</w:t>
            </w:r>
          </w:p>
        </w:tc>
        <w:tc>
          <w:tcPr>
            <w:tcW w:w="944" w:type="dxa"/>
            <w:tcBorders>
              <w:top w:val="nil"/>
              <w:left w:val="nil"/>
              <w:bottom w:val="single" w:sz="4" w:space="0" w:color="auto"/>
              <w:right w:val="single" w:sz="4" w:space="0" w:color="auto"/>
            </w:tcBorders>
            <w:shd w:val="clear" w:color="auto" w:fill="auto"/>
            <w:noWrap/>
            <w:vAlign w:val="bottom"/>
            <w:hideMark/>
          </w:tcPr>
          <w:p w14:paraId="7B3053C5"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28.436,23</w:t>
            </w:r>
          </w:p>
        </w:tc>
      </w:tr>
      <w:tr w:rsidR="006A0356" w:rsidRPr="008860BA" w14:paraId="457303C3" w14:textId="77777777" w:rsidTr="006A0356">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1D1CCD1C" w14:textId="77777777" w:rsidR="006A0356" w:rsidRPr="008860BA" w:rsidRDefault="006A0356" w:rsidP="006A0356">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Paza</w:t>
            </w:r>
          </w:p>
        </w:tc>
        <w:tc>
          <w:tcPr>
            <w:tcW w:w="673" w:type="dxa"/>
            <w:tcBorders>
              <w:top w:val="nil"/>
              <w:left w:val="nil"/>
              <w:bottom w:val="single" w:sz="4" w:space="0" w:color="auto"/>
              <w:right w:val="single" w:sz="4" w:space="0" w:color="auto"/>
            </w:tcBorders>
            <w:shd w:val="clear" w:color="auto" w:fill="auto"/>
            <w:noWrap/>
            <w:vAlign w:val="bottom"/>
            <w:hideMark/>
          </w:tcPr>
          <w:p w14:paraId="74F55F2B"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0450F713"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131,96</w:t>
            </w:r>
          </w:p>
        </w:tc>
        <w:tc>
          <w:tcPr>
            <w:tcW w:w="1275" w:type="dxa"/>
            <w:tcBorders>
              <w:top w:val="nil"/>
              <w:left w:val="nil"/>
              <w:bottom w:val="single" w:sz="4" w:space="0" w:color="auto"/>
              <w:right w:val="single" w:sz="4" w:space="0" w:color="auto"/>
            </w:tcBorders>
            <w:shd w:val="clear" w:color="auto" w:fill="auto"/>
            <w:noWrap/>
            <w:vAlign w:val="bottom"/>
            <w:hideMark/>
          </w:tcPr>
          <w:p w14:paraId="31235085"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131,96</w:t>
            </w:r>
          </w:p>
        </w:tc>
        <w:tc>
          <w:tcPr>
            <w:tcW w:w="1137" w:type="dxa"/>
            <w:tcBorders>
              <w:top w:val="nil"/>
              <w:left w:val="nil"/>
              <w:bottom w:val="single" w:sz="4" w:space="0" w:color="auto"/>
              <w:right w:val="single" w:sz="4" w:space="0" w:color="auto"/>
            </w:tcBorders>
            <w:shd w:val="clear" w:color="auto" w:fill="auto"/>
            <w:noWrap/>
            <w:vAlign w:val="bottom"/>
            <w:hideMark/>
          </w:tcPr>
          <w:p w14:paraId="32D4D622"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131,96</w:t>
            </w:r>
          </w:p>
        </w:tc>
        <w:tc>
          <w:tcPr>
            <w:tcW w:w="1273" w:type="dxa"/>
            <w:tcBorders>
              <w:top w:val="nil"/>
              <w:left w:val="nil"/>
              <w:bottom w:val="single" w:sz="4" w:space="0" w:color="auto"/>
              <w:right w:val="single" w:sz="4" w:space="0" w:color="auto"/>
            </w:tcBorders>
            <w:shd w:val="clear" w:color="auto" w:fill="auto"/>
            <w:noWrap/>
            <w:vAlign w:val="bottom"/>
            <w:hideMark/>
          </w:tcPr>
          <w:p w14:paraId="2A27ABB2"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34" w:type="dxa"/>
            <w:tcBorders>
              <w:top w:val="nil"/>
              <w:left w:val="nil"/>
              <w:bottom w:val="single" w:sz="4" w:space="0" w:color="auto"/>
              <w:right w:val="single" w:sz="4" w:space="0" w:color="auto"/>
            </w:tcBorders>
            <w:shd w:val="clear" w:color="auto" w:fill="auto"/>
            <w:noWrap/>
            <w:vAlign w:val="bottom"/>
            <w:hideMark/>
          </w:tcPr>
          <w:p w14:paraId="4EF2A13B"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4D203EE8"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691A2864"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2B8C6390"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944" w:type="dxa"/>
            <w:tcBorders>
              <w:top w:val="nil"/>
              <w:left w:val="nil"/>
              <w:bottom w:val="single" w:sz="4" w:space="0" w:color="auto"/>
              <w:right w:val="single" w:sz="4" w:space="0" w:color="auto"/>
            </w:tcBorders>
            <w:shd w:val="clear" w:color="auto" w:fill="auto"/>
            <w:noWrap/>
            <w:vAlign w:val="bottom"/>
            <w:hideMark/>
          </w:tcPr>
          <w:p w14:paraId="43D45FFB"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r>
      <w:tr w:rsidR="006A0356" w:rsidRPr="008860BA" w14:paraId="6EDB4189" w14:textId="77777777" w:rsidTr="006A0356">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68643909" w14:textId="77777777" w:rsidR="006A0356" w:rsidRPr="008860BA" w:rsidRDefault="006A0356" w:rsidP="006A0356">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Penalitate</w:t>
            </w:r>
          </w:p>
        </w:tc>
        <w:tc>
          <w:tcPr>
            <w:tcW w:w="673" w:type="dxa"/>
            <w:tcBorders>
              <w:top w:val="nil"/>
              <w:left w:val="nil"/>
              <w:bottom w:val="single" w:sz="4" w:space="0" w:color="auto"/>
              <w:right w:val="single" w:sz="4" w:space="0" w:color="auto"/>
            </w:tcBorders>
            <w:shd w:val="clear" w:color="auto" w:fill="auto"/>
            <w:noWrap/>
            <w:vAlign w:val="bottom"/>
            <w:hideMark/>
          </w:tcPr>
          <w:p w14:paraId="67ED0F5E"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0C738815"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3,72</w:t>
            </w:r>
          </w:p>
        </w:tc>
        <w:tc>
          <w:tcPr>
            <w:tcW w:w="1275" w:type="dxa"/>
            <w:tcBorders>
              <w:top w:val="nil"/>
              <w:left w:val="nil"/>
              <w:bottom w:val="single" w:sz="4" w:space="0" w:color="auto"/>
              <w:right w:val="single" w:sz="4" w:space="0" w:color="auto"/>
            </w:tcBorders>
            <w:shd w:val="clear" w:color="auto" w:fill="auto"/>
            <w:noWrap/>
            <w:vAlign w:val="bottom"/>
            <w:hideMark/>
          </w:tcPr>
          <w:p w14:paraId="47383591"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3,72</w:t>
            </w:r>
          </w:p>
        </w:tc>
        <w:tc>
          <w:tcPr>
            <w:tcW w:w="1137" w:type="dxa"/>
            <w:tcBorders>
              <w:top w:val="nil"/>
              <w:left w:val="nil"/>
              <w:bottom w:val="single" w:sz="4" w:space="0" w:color="auto"/>
              <w:right w:val="single" w:sz="4" w:space="0" w:color="auto"/>
            </w:tcBorders>
            <w:shd w:val="clear" w:color="auto" w:fill="auto"/>
            <w:hideMark/>
          </w:tcPr>
          <w:p w14:paraId="526BCE65"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1273" w:type="dxa"/>
            <w:tcBorders>
              <w:top w:val="nil"/>
              <w:left w:val="nil"/>
              <w:bottom w:val="single" w:sz="4" w:space="0" w:color="auto"/>
              <w:right w:val="single" w:sz="4" w:space="0" w:color="auto"/>
            </w:tcBorders>
            <w:shd w:val="clear" w:color="auto" w:fill="auto"/>
            <w:noWrap/>
            <w:vAlign w:val="bottom"/>
            <w:hideMark/>
          </w:tcPr>
          <w:p w14:paraId="0CD9E6EA"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34" w:type="dxa"/>
            <w:tcBorders>
              <w:top w:val="nil"/>
              <w:left w:val="nil"/>
              <w:bottom w:val="single" w:sz="4" w:space="0" w:color="auto"/>
              <w:right w:val="single" w:sz="4" w:space="0" w:color="auto"/>
            </w:tcBorders>
            <w:shd w:val="clear" w:color="auto" w:fill="auto"/>
            <w:noWrap/>
            <w:vAlign w:val="bottom"/>
            <w:hideMark/>
          </w:tcPr>
          <w:p w14:paraId="1E7C59E7"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2391C3EB"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2A15CF69"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21C2BC19"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3,72</w:t>
            </w:r>
          </w:p>
        </w:tc>
        <w:tc>
          <w:tcPr>
            <w:tcW w:w="944" w:type="dxa"/>
            <w:tcBorders>
              <w:top w:val="nil"/>
              <w:left w:val="nil"/>
              <w:bottom w:val="single" w:sz="4" w:space="0" w:color="auto"/>
              <w:right w:val="single" w:sz="4" w:space="0" w:color="auto"/>
            </w:tcBorders>
            <w:shd w:val="clear" w:color="auto" w:fill="auto"/>
            <w:noWrap/>
            <w:vAlign w:val="bottom"/>
            <w:hideMark/>
          </w:tcPr>
          <w:p w14:paraId="46B6D376"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r>
      <w:tr w:rsidR="006A0356" w:rsidRPr="008860BA" w14:paraId="489CFEAB" w14:textId="77777777" w:rsidTr="006A0356">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6C6E25A5" w14:textId="784132C5" w:rsidR="006A0356" w:rsidRPr="008860BA" w:rsidRDefault="006A0356">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Perfec</w:t>
            </w:r>
            <w:r w:rsidR="00E10604" w:rsidRPr="008860BA">
              <w:rPr>
                <w:rFonts w:asciiTheme="majorHAnsi" w:eastAsia="Times New Roman" w:hAnsiTheme="majorHAnsi" w:cstheme="majorHAnsi"/>
                <w:sz w:val="18"/>
                <w:szCs w:val="18"/>
                <w:lang w:val="ro-MD"/>
              </w:rPr>
              <w:t>ț</w:t>
            </w:r>
            <w:r w:rsidRPr="008860BA">
              <w:rPr>
                <w:rFonts w:asciiTheme="majorHAnsi" w:eastAsia="Times New Roman" w:hAnsiTheme="majorHAnsi" w:cstheme="majorHAnsi"/>
                <w:sz w:val="18"/>
                <w:szCs w:val="18"/>
                <w:lang w:val="ro-MD"/>
              </w:rPr>
              <w:t>ionarea cadrelor</w:t>
            </w:r>
          </w:p>
        </w:tc>
        <w:tc>
          <w:tcPr>
            <w:tcW w:w="673" w:type="dxa"/>
            <w:tcBorders>
              <w:top w:val="nil"/>
              <w:left w:val="nil"/>
              <w:bottom w:val="single" w:sz="4" w:space="0" w:color="auto"/>
              <w:right w:val="single" w:sz="4" w:space="0" w:color="auto"/>
            </w:tcBorders>
            <w:shd w:val="clear" w:color="auto" w:fill="auto"/>
            <w:noWrap/>
            <w:vAlign w:val="bottom"/>
            <w:hideMark/>
          </w:tcPr>
          <w:p w14:paraId="58A714F7"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1CDC2279"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244,86</w:t>
            </w:r>
          </w:p>
        </w:tc>
        <w:tc>
          <w:tcPr>
            <w:tcW w:w="1275" w:type="dxa"/>
            <w:tcBorders>
              <w:top w:val="nil"/>
              <w:left w:val="nil"/>
              <w:bottom w:val="single" w:sz="4" w:space="0" w:color="auto"/>
              <w:right w:val="single" w:sz="4" w:space="0" w:color="auto"/>
            </w:tcBorders>
            <w:shd w:val="clear" w:color="auto" w:fill="auto"/>
            <w:noWrap/>
            <w:vAlign w:val="bottom"/>
            <w:hideMark/>
          </w:tcPr>
          <w:p w14:paraId="44232E29"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244,86</w:t>
            </w:r>
          </w:p>
        </w:tc>
        <w:tc>
          <w:tcPr>
            <w:tcW w:w="1137" w:type="dxa"/>
            <w:tcBorders>
              <w:top w:val="nil"/>
              <w:left w:val="nil"/>
              <w:bottom w:val="single" w:sz="4" w:space="0" w:color="auto"/>
              <w:right w:val="single" w:sz="4" w:space="0" w:color="auto"/>
            </w:tcBorders>
            <w:shd w:val="clear" w:color="auto" w:fill="auto"/>
            <w:noWrap/>
            <w:vAlign w:val="bottom"/>
            <w:hideMark/>
          </w:tcPr>
          <w:p w14:paraId="14AEA933"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213,14</w:t>
            </w:r>
          </w:p>
        </w:tc>
        <w:tc>
          <w:tcPr>
            <w:tcW w:w="1273" w:type="dxa"/>
            <w:tcBorders>
              <w:top w:val="nil"/>
              <w:left w:val="nil"/>
              <w:bottom w:val="single" w:sz="4" w:space="0" w:color="auto"/>
              <w:right w:val="single" w:sz="4" w:space="0" w:color="auto"/>
            </w:tcBorders>
            <w:shd w:val="clear" w:color="auto" w:fill="auto"/>
            <w:noWrap/>
            <w:vAlign w:val="bottom"/>
            <w:hideMark/>
          </w:tcPr>
          <w:p w14:paraId="0B9DB5E3"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34" w:type="dxa"/>
            <w:tcBorders>
              <w:top w:val="nil"/>
              <w:left w:val="nil"/>
              <w:bottom w:val="single" w:sz="4" w:space="0" w:color="auto"/>
              <w:right w:val="single" w:sz="4" w:space="0" w:color="auto"/>
            </w:tcBorders>
            <w:shd w:val="clear" w:color="auto" w:fill="auto"/>
            <w:noWrap/>
            <w:vAlign w:val="bottom"/>
            <w:hideMark/>
          </w:tcPr>
          <w:p w14:paraId="3C578D52"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05D5640D"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666BF15B"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56171775"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31,72</w:t>
            </w:r>
          </w:p>
        </w:tc>
        <w:tc>
          <w:tcPr>
            <w:tcW w:w="944" w:type="dxa"/>
            <w:tcBorders>
              <w:top w:val="nil"/>
              <w:left w:val="nil"/>
              <w:bottom w:val="single" w:sz="4" w:space="0" w:color="auto"/>
              <w:right w:val="single" w:sz="4" w:space="0" w:color="auto"/>
            </w:tcBorders>
            <w:shd w:val="clear" w:color="auto" w:fill="auto"/>
            <w:noWrap/>
            <w:vAlign w:val="bottom"/>
            <w:hideMark/>
          </w:tcPr>
          <w:p w14:paraId="4EEBD6D1"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r>
      <w:tr w:rsidR="006A0356" w:rsidRPr="008860BA" w14:paraId="28898D6B" w14:textId="77777777" w:rsidTr="006A0356">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49E2D1CB" w14:textId="77777777" w:rsidR="006A0356" w:rsidRPr="008860BA" w:rsidRDefault="006A0356" w:rsidP="006A0356">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Piese de schimb</w:t>
            </w:r>
          </w:p>
        </w:tc>
        <w:tc>
          <w:tcPr>
            <w:tcW w:w="673" w:type="dxa"/>
            <w:tcBorders>
              <w:top w:val="nil"/>
              <w:left w:val="nil"/>
              <w:bottom w:val="single" w:sz="4" w:space="0" w:color="auto"/>
              <w:right w:val="single" w:sz="4" w:space="0" w:color="auto"/>
            </w:tcBorders>
            <w:shd w:val="clear" w:color="auto" w:fill="auto"/>
            <w:noWrap/>
            <w:vAlign w:val="bottom"/>
            <w:hideMark/>
          </w:tcPr>
          <w:p w14:paraId="1D973343"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4C965500"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19,86</w:t>
            </w:r>
          </w:p>
        </w:tc>
        <w:tc>
          <w:tcPr>
            <w:tcW w:w="1275" w:type="dxa"/>
            <w:tcBorders>
              <w:top w:val="nil"/>
              <w:left w:val="nil"/>
              <w:bottom w:val="single" w:sz="4" w:space="0" w:color="auto"/>
              <w:right w:val="single" w:sz="4" w:space="0" w:color="auto"/>
            </w:tcBorders>
            <w:shd w:val="clear" w:color="auto" w:fill="auto"/>
            <w:noWrap/>
            <w:vAlign w:val="bottom"/>
            <w:hideMark/>
          </w:tcPr>
          <w:p w14:paraId="3E47BBAA"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19,86</w:t>
            </w:r>
          </w:p>
        </w:tc>
        <w:tc>
          <w:tcPr>
            <w:tcW w:w="1137" w:type="dxa"/>
            <w:tcBorders>
              <w:top w:val="nil"/>
              <w:left w:val="nil"/>
              <w:bottom w:val="single" w:sz="4" w:space="0" w:color="auto"/>
              <w:right w:val="single" w:sz="4" w:space="0" w:color="auto"/>
            </w:tcBorders>
            <w:shd w:val="clear" w:color="auto" w:fill="auto"/>
            <w:noWrap/>
            <w:vAlign w:val="bottom"/>
            <w:hideMark/>
          </w:tcPr>
          <w:p w14:paraId="60F73A5A"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4,67</w:t>
            </w:r>
          </w:p>
        </w:tc>
        <w:tc>
          <w:tcPr>
            <w:tcW w:w="1273" w:type="dxa"/>
            <w:tcBorders>
              <w:top w:val="nil"/>
              <w:left w:val="nil"/>
              <w:bottom w:val="single" w:sz="4" w:space="0" w:color="auto"/>
              <w:right w:val="single" w:sz="4" w:space="0" w:color="auto"/>
            </w:tcBorders>
            <w:shd w:val="clear" w:color="auto" w:fill="auto"/>
            <w:noWrap/>
            <w:vAlign w:val="bottom"/>
            <w:hideMark/>
          </w:tcPr>
          <w:p w14:paraId="0786877C"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2,75</w:t>
            </w:r>
          </w:p>
        </w:tc>
        <w:tc>
          <w:tcPr>
            <w:tcW w:w="1134" w:type="dxa"/>
            <w:tcBorders>
              <w:top w:val="nil"/>
              <w:left w:val="nil"/>
              <w:bottom w:val="single" w:sz="4" w:space="0" w:color="auto"/>
              <w:right w:val="single" w:sz="4" w:space="0" w:color="auto"/>
            </w:tcBorders>
            <w:shd w:val="clear" w:color="auto" w:fill="auto"/>
            <w:noWrap/>
            <w:vAlign w:val="bottom"/>
            <w:hideMark/>
          </w:tcPr>
          <w:p w14:paraId="4F084C07"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0C599A4A"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6480B204"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383A38F1"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5,76</w:t>
            </w:r>
          </w:p>
        </w:tc>
        <w:tc>
          <w:tcPr>
            <w:tcW w:w="944" w:type="dxa"/>
            <w:tcBorders>
              <w:top w:val="nil"/>
              <w:left w:val="nil"/>
              <w:bottom w:val="single" w:sz="4" w:space="0" w:color="auto"/>
              <w:right w:val="single" w:sz="4" w:space="0" w:color="auto"/>
            </w:tcBorders>
            <w:shd w:val="clear" w:color="auto" w:fill="auto"/>
            <w:noWrap/>
            <w:vAlign w:val="bottom"/>
            <w:hideMark/>
          </w:tcPr>
          <w:p w14:paraId="2CA74833"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6,69</w:t>
            </w:r>
          </w:p>
        </w:tc>
      </w:tr>
      <w:tr w:rsidR="006A0356" w:rsidRPr="008860BA" w14:paraId="33F3BF13" w14:textId="77777777" w:rsidTr="006A0356">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400300E3" w14:textId="77777777" w:rsidR="006A0356" w:rsidRPr="008860BA" w:rsidRDefault="006A0356" w:rsidP="006A0356">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Produse petroliere</w:t>
            </w:r>
          </w:p>
        </w:tc>
        <w:tc>
          <w:tcPr>
            <w:tcW w:w="673" w:type="dxa"/>
            <w:tcBorders>
              <w:top w:val="nil"/>
              <w:left w:val="nil"/>
              <w:bottom w:val="single" w:sz="4" w:space="0" w:color="auto"/>
              <w:right w:val="single" w:sz="4" w:space="0" w:color="auto"/>
            </w:tcBorders>
            <w:shd w:val="clear" w:color="auto" w:fill="auto"/>
            <w:noWrap/>
            <w:vAlign w:val="bottom"/>
            <w:hideMark/>
          </w:tcPr>
          <w:p w14:paraId="4E45D516"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680C97EA"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885,53</w:t>
            </w:r>
          </w:p>
        </w:tc>
        <w:tc>
          <w:tcPr>
            <w:tcW w:w="1275" w:type="dxa"/>
            <w:tcBorders>
              <w:top w:val="nil"/>
              <w:left w:val="nil"/>
              <w:bottom w:val="single" w:sz="4" w:space="0" w:color="auto"/>
              <w:right w:val="single" w:sz="4" w:space="0" w:color="auto"/>
            </w:tcBorders>
            <w:shd w:val="clear" w:color="auto" w:fill="auto"/>
            <w:noWrap/>
            <w:vAlign w:val="bottom"/>
            <w:hideMark/>
          </w:tcPr>
          <w:p w14:paraId="462CCD90"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885,53</w:t>
            </w:r>
          </w:p>
        </w:tc>
        <w:tc>
          <w:tcPr>
            <w:tcW w:w="1137" w:type="dxa"/>
            <w:tcBorders>
              <w:top w:val="nil"/>
              <w:left w:val="nil"/>
              <w:bottom w:val="single" w:sz="4" w:space="0" w:color="auto"/>
              <w:right w:val="single" w:sz="4" w:space="0" w:color="auto"/>
            </w:tcBorders>
            <w:shd w:val="clear" w:color="auto" w:fill="auto"/>
            <w:noWrap/>
            <w:vAlign w:val="bottom"/>
            <w:hideMark/>
          </w:tcPr>
          <w:p w14:paraId="3FD6FA2F"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214,30</w:t>
            </w:r>
          </w:p>
        </w:tc>
        <w:tc>
          <w:tcPr>
            <w:tcW w:w="1273" w:type="dxa"/>
            <w:tcBorders>
              <w:top w:val="nil"/>
              <w:left w:val="nil"/>
              <w:bottom w:val="single" w:sz="4" w:space="0" w:color="auto"/>
              <w:right w:val="single" w:sz="4" w:space="0" w:color="auto"/>
            </w:tcBorders>
            <w:shd w:val="clear" w:color="auto" w:fill="auto"/>
            <w:noWrap/>
            <w:vAlign w:val="bottom"/>
            <w:hideMark/>
          </w:tcPr>
          <w:p w14:paraId="3548B3FE"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181,63</w:t>
            </w:r>
          </w:p>
        </w:tc>
        <w:tc>
          <w:tcPr>
            <w:tcW w:w="1134" w:type="dxa"/>
            <w:tcBorders>
              <w:top w:val="nil"/>
              <w:left w:val="nil"/>
              <w:bottom w:val="single" w:sz="4" w:space="0" w:color="auto"/>
              <w:right w:val="single" w:sz="4" w:space="0" w:color="auto"/>
            </w:tcBorders>
            <w:shd w:val="clear" w:color="auto" w:fill="auto"/>
            <w:noWrap/>
            <w:vAlign w:val="bottom"/>
            <w:hideMark/>
          </w:tcPr>
          <w:p w14:paraId="412DE5B9"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18D2CADE"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69BD6643"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2208FA59"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4,72</w:t>
            </w:r>
          </w:p>
        </w:tc>
        <w:tc>
          <w:tcPr>
            <w:tcW w:w="944" w:type="dxa"/>
            <w:tcBorders>
              <w:top w:val="nil"/>
              <w:left w:val="nil"/>
              <w:bottom w:val="single" w:sz="4" w:space="0" w:color="auto"/>
              <w:right w:val="single" w:sz="4" w:space="0" w:color="auto"/>
            </w:tcBorders>
            <w:shd w:val="clear" w:color="auto" w:fill="auto"/>
            <w:noWrap/>
            <w:vAlign w:val="bottom"/>
            <w:hideMark/>
          </w:tcPr>
          <w:p w14:paraId="4D78F249"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484,88</w:t>
            </w:r>
          </w:p>
        </w:tc>
      </w:tr>
      <w:tr w:rsidR="006A0356" w:rsidRPr="008860BA" w14:paraId="619E507F" w14:textId="77777777" w:rsidTr="006A0356">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28F60C9A" w14:textId="77777777" w:rsidR="006A0356" w:rsidRPr="008860BA" w:rsidRDefault="006A0356" w:rsidP="006A0356">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Produse sanguine</w:t>
            </w:r>
          </w:p>
        </w:tc>
        <w:tc>
          <w:tcPr>
            <w:tcW w:w="673" w:type="dxa"/>
            <w:tcBorders>
              <w:top w:val="nil"/>
              <w:left w:val="nil"/>
              <w:bottom w:val="single" w:sz="4" w:space="0" w:color="auto"/>
              <w:right w:val="single" w:sz="4" w:space="0" w:color="auto"/>
            </w:tcBorders>
            <w:shd w:val="clear" w:color="auto" w:fill="auto"/>
            <w:noWrap/>
            <w:vAlign w:val="bottom"/>
            <w:hideMark/>
          </w:tcPr>
          <w:p w14:paraId="024E3B7A"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0E4C6E65"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1275" w:type="dxa"/>
            <w:tcBorders>
              <w:top w:val="nil"/>
              <w:left w:val="nil"/>
              <w:bottom w:val="single" w:sz="4" w:space="0" w:color="auto"/>
              <w:right w:val="single" w:sz="4" w:space="0" w:color="auto"/>
            </w:tcBorders>
            <w:shd w:val="clear" w:color="auto" w:fill="auto"/>
            <w:noWrap/>
            <w:vAlign w:val="bottom"/>
            <w:hideMark/>
          </w:tcPr>
          <w:p w14:paraId="2533DF94"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37" w:type="dxa"/>
            <w:tcBorders>
              <w:top w:val="nil"/>
              <w:left w:val="nil"/>
              <w:bottom w:val="single" w:sz="4" w:space="0" w:color="auto"/>
              <w:right w:val="single" w:sz="4" w:space="0" w:color="auto"/>
            </w:tcBorders>
            <w:shd w:val="clear" w:color="auto" w:fill="auto"/>
            <w:hideMark/>
          </w:tcPr>
          <w:p w14:paraId="5214F4CD"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1273" w:type="dxa"/>
            <w:tcBorders>
              <w:top w:val="nil"/>
              <w:left w:val="nil"/>
              <w:bottom w:val="single" w:sz="4" w:space="0" w:color="auto"/>
              <w:right w:val="single" w:sz="4" w:space="0" w:color="auto"/>
            </w:tcBorders>
            <w:shd w:val="clear" w:color="auto" w:fill="auto"/>
            <w:noWrap/>
            <w:vAlign w:val="bottom"/>
            <w:hideMark/>
          </w:tcPr>
          <w:p w14:paraId="0900339E"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34" w:type="dxa"/>
            <w:tcBorders>
              <w:top w:val="nil"/>
              <w:left w:val="nil"/>
              <w:bottom w:val="single" w:sz="4" w:space="0" w:color="auto"/>
              <w:right w:val="single" w:sz="4" w:space="0" w:color="auto"/>
            </w:tcBorders>
            <w:shd w:val="clear" w:color="auto" w:fill="auto"/>
            <w:noWrap/>
            <w:vAlign w:val="bottom"/>
            <w:hideMark/>
          </w:tcPr>
          <w:p w14:paraId="67C8F163"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22E15DA0"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3AD183DD"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12BC8CBB"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944" w:type="dxa"/>
            <w:tcBorders>
              <w:top w:val="nil"/>
              <w:left w:val="nil"/>
              <w:bottom w:val="single" w:sz="4" w:space="0" w:color="auto"/>
              <w:right w:val="single" w:sz="4" w:space="0" w:color="auto"/>
            </w:tcBorders>
            <w:shd w:val="clear" w:color="auto" w:fill="auto"/>
            <w:hideMark/>
          </w:tcPr>
          <w:p w14:paraId="666F946F"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r>
      <w:tr w:rsidR="006A0356" w:rsidRPr="008860BA" w14:paraId="54254814" w14:textId="77777777" w:rsidTr="006A0356">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118300BD" w14:textId="0D6D2258" w:rsidR="006A0356" w:rsidRPr="008860BA" w:rsidRDefault="006A0356">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Protec</w:t>
            </w:r>
            <w:r w:rsidR="00E10604" w:rsidRPr="008860BA">
              <w:rPr>
                <w:rFonts w:asciiTheme="majorHAnsi" w:eastAsia="Times New Roman" w:hAnsiTheme="majorHAnsi" w:cstheme="majorHAnsi"/>
                <w:sz w:val="18"/>
                <w:szCs w:val="18"/>
                <w:lang w:val="ro-MD"/>
              </w:rPr>
              <w:t>ț</w:t>
            </w:r>
            <w:r w:rsidRPr="008860BA">
              <w:rPr>
                <w:rFonts w:asciiTheme="majorHAnsi" w:eastAsia="Times New Roman" w:hAnsiTheme="majorHAnsi" w:cstheme="majorHAnsi"/>
                <w:sz w:val="18"/>
                <w:szCs w:val="18"/>
                <w:lang w:val="ro-MD"/>
              </w:rPr>
              <w:t>ia muncii (produse alimentare)</w:t>
            </w:r>
          </w:p>
        </w:tc>
        <w:tc>
          <w:tcPr>
            <w:tcW w:w="673" w:type="dxa"/>
            <w:tcBorders>
              <w:top w:val="nil"/>
              <w:left w:val="nil"/>
              <w:bottom w:val="single" w:sz="4" w:space="0" w:color="auto"/>
              <w:right w:val="single" w:sz="4" w:space="0" w:color="auto"/>
            </w:tcBorders>
            <w:shd w:val="clear" w:color="auto" w:fill="auto"/>
            <w:noWrap/>
            <w:vAlign w:val="bottom"/>
            <w:hideMark/>
          </w:tcPr>
          <w:p w14:paraId="69C01C03"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09FF98A1"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283,73</w:t>
            </w:r>
          </w:p>
        </w:tc>
        <w:tc>
          <w:tcPr>
            <w:tcW w:w="1275" w:type="dxa"/>
            <w:tcBorders>
              <w:top w:val="nil"/>
              <w:left w:val="nil"/>
              <w:bottom w:val="single" w:sz="4" w:space="0" w:color="auto"/>
              <w:right w:val="single" w:sz="4" w:space="0" w:color="auto"/>
            </w:tcBorders>
            <w:shd w:val="clear" w:color="auto" w:fill="auto"/>
            <w:noWrap/>
            <w:vAlign w:val="bottom"/>
            <w:hideMark/>
          </w:tcPr>
          <w:p w14:paraId="2D8EFD6E"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283,73</w:t>
            </w:r>
          </w:p>
        </w:tc>
        <w:tc>
          <w:tcPr>
            <w:tcW w:w="1137" w:type="dxa"/>
            <w:tcBorders>
              <w:top w:val="nil"/>
              <w:left w:val="nil"/>
              <w:bottom w:val="single" w:sz="4" w:space="0" w:color="auto"/>
              <w:right w:val="single" w:sz="4" w:space="0" w:color="auto"/>
            </w:tcBorders>
            <w:shd w:val="clear" w:color="auto" w:fill="auto"/>
            <w:noWrap/>
            <w:vAlign w:val="bottom"/>
            <w:hideMark/>
          </w:tcPr>
          <w:p w14:paraId="619D2D7D"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283,73</w:t>
            </w:r>
          </w:p>
        </w:tc>
        <w:tc>
          <w:tcPr>
            <w:tcW w:w="1273" w:type="dxa"/>
            <w:tcBorders>
              <w:top w:val="nil"/>
              <w:left w:val="nil"/>
              <w:bottom w:val="single" w:sz="4" w:space="0" w:color="auto"/>
              <w:right w:val="single" w:sz="4" w:space="0" w:color="auto"/>
            </w:tcBorders>
            <w:shd w:val="clear" w:color="auto" w:fill="auto"/>
            <w:noWrap/>
            <w:vAlign w:val="bottom"/>
            <w:hideMark/>
          </w:tcPr>
          <w:p w14:paraId="65E70E04"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11A816"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7C6A3EC3"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12F6B8E7"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1E20255A"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944" w:type="dxa"/>
            <w:tcBorders>
              <w:top w:val="nil"/>
              <w:left w:val="nil"/>
              <w:bottom w:val="single" w:sz="4" w:space="0" w:color="auto"/>
              <w:right w:val="single" w:sz="4" w:space="0" w:color="auto"/>
            </w:tcBorders>
            <w:shd w:val="clear" w:color="auto" w:fill="auto"/>
            <w:hideMark/>
          </w:tcPr>
          <w:p w14:paraId="5245A059"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r>
      <w:tr w:rsidR="006A0356" w:rsidRPr="008860BA" w14:paraId="2A67AFDB" w14:textId="77777777" w:rsidTr="006A0356">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354B07A0" w14:textId="69FF2C3F" w:rsidR="006A0356" w:rsidRPr="008860BA" w:rsidRDefault="006A0356" w:rsidP="006A0356">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Rambursarea garan</w:t>
            </w:r>
            <w:r w:rsidR="00B13B9A" w:rsidRPr="008860BA">
              <w:rPr>
                <w:rFonts w:asciiTheme="majorHAnsi" w:eastAsia="Times New Roman" w:hAnsiTheme="majorHAnsi" w:cstheme="majorHAnsi"/>
                <w:sz w:val="18"/>
                <w:szCs w:val="18"/>
                <w:lang w:val="ro-MD"/>
              </w:rPr>
              <w:t>ț</w:t>
            </w:r>
            <w:r w:rsidRPr="008860BA">
              <w:rPr>
                <w:rFonts w:asciiTheme="majorHAnsi" w:eastAsia="Times New Roman" w:hAnsiTheme="majorHAnsi" w:cstheme="majorHAnsi"/>
                <w:sz w:val="18"/>
                <w:szCs w:val="18"/>
                <w:lang w:val="ro-MD"/>
              </w:rPr>
              <w:t>iei de ofertă</w:t>
            </w:r>
          </w:p>
        </w:tc>
        <w:tc>
          <w:tcPr>
            <w:tcW w:w="673" w:type="dxa"/>
            <w:tcBorders>
              <w:top w:val="nil"/>
              <w:left w:val="nil"/>
              <w:bottom w:val="single" w:sz="4" w:space="0" w:color="auto"/>
              <w:right w:val="single" w:sz="4" w:space="0" w:color="auto"/>
            </w:tcBorders>
            <w:shd w:val="clear" w:color="auto" w:fill="auto"/>
            <w:noWrap/>
            <w:vAlign w:val="bottom"/>
            <w:hideMark/>
          </w:tcPr>
          <w:p w14:paraId="1A704F3B"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619C568F"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35,40</w:t>
            </w:r>
          </w:p>
        </w:tc>
        <w:tc>
          <w:tcPr>
            <w:tcW w:w="1275" w:type="dxa"/>
            <w:tcBorders>
              <w:top w:val="nil"/>
              <w:left w:val="nil"/>
              <w:bottom w:val="single" w:sz="4" w:space="0" w:color="auto"/>
              <w:right w:val="single" w:sz="4" w:space="0" w:color="auto"/>
            </w:tcBorders>
            <w:shd w:val="clear" w:color="auto" w:fill="auto"/>
            <w:noWrap/>
            <w:vAlign w:val="bottom"/>
            <w:hideMark/>
          </w:tcPr>
          <w:p w14:paraId="45B19AC5"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35,40</w:t>
            </w:r>
          </w:p>
        </w:tc>
        <w:tc>
          <w:tcPr>
            <w:tcW w:w="1137" w:type="dxa"/>
            <w:tcBorders>
              <w:top w:val="nil"/>
              <w:left w:val="nil"/>
              <w:bottom w:val="single" w:sz="4" w:space="0" w:color="auto"/>
              <w:right w:val="single" w:sz="4" w:space="0" w:color="auto"/>
            </w:tcBorders>
            <w:shd w:val="clear" w:color="auto" w:fill="auto"/>
            <w:noWrap/>
            <w:vAlign w:val="bottom"/>
            <w:hideMark/>
          </w:tcPr>
          <w:p w14:paraId="498B43D8"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273" w:type="dxa"/>
            <w:tcBorders>
              <w:top w:val="nil"/>
              <w:left w:val="nil"/>
              <w:bottom w:val="single" w:sz="4" w:space="0" w:color="auto"/>
              <w:right w:val="single" w:sz="4" w:space="0" w:color="auto"/>
            </w:tcBorders>
            <w:shd w:val="clear" w:color="auto" w:fill="auto"/>
            <w:noWrap/>
            <w:vAlign w:val="bottom"/>
            <w:hideMark/>
          </w:tcPr>
          <w:p w14:paraId="7EB68BDC"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34" w:type="dxa"/>
            <w:tcBorders>
              <w:top w:val="nil"/>
              <w:left w:val="nil"/>
              <w:bottom w:val="single" w:sz="4" w:space="0" w:color="auto"/>
              <w:right w:val="single" w:sz="4" w:space="0" w:color="auto"/>
            </w:tcBorders>
            <w:shd w:val="clear" w:color="auto" w:fill="auto"/>
            <w:noWrap/>
            <w:vAlign w:val="bottom"/>
            <w:hideMark/>
          </w:tcPr>
          <w:p w14:paraId="3C206152"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41425DEE"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2A1A56D1"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4F816438"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944" w:type="dxa"/>
            <w:tcBorders>
              <w:top w:val="nil"/>
              <w:left w:val="nil"/>
              <w:bottom w:val="single" w:sz="4" w:space="0" w:color="auto"/>
              <w:right w:val="single" w:sz="4" w:space="0" w:color="auto"/>
            </w:tcBorders>
            <w:shd w:val="clear" w:color="auto" w:fill="auto"/>
            <w:noWrap/>
            <w:vAlign w:val="bottom"/>
            <w:hideMark/>
          </w:tcPr>
          <w:p w14:paraId="31EE9F72"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35,40</w:t>
            </w:r>
          </w:p>
        </w:tc>
      </w:tr>
      <w:tr w:rsidR="006A0356" w:rsidRPr="008860BA" w14:paraId="2590F92C" w14:textId="77777777" w:rsidTr="006A0356">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66D23D6C" w14:textId="77777777" w:rsidR="006A0356" w:rsidRPr="008860BA" w:rsidRDefault="006A0356" w:rsidP="006A0356">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Rechizite de birou</w:t>
            </w:r>
          </w:p>
        </w:tc>
        <w:tc>
          <w:tcPr>
            <w:tcW w:w="673" w:type="dxa"/>
            <w:tcBorders>
              <w:top w:val="nil"/>
              <w:left w:val="nil"/>
              <w:bottom w:val="single" w:sz="4" w:space="0" w:color="auto"/>
              <w:right w:val="single" w:sz="4" w:space="0" w:color="auto"/>
            </w:tcBorders>
            <w:shd w:val="clear" w:color="auto" w:fill="auto"/>
            <w:noWrap/>
            <w:vAlign w:val="bottom"/>
            <w:hideMark/>
          </w:tcPr>
          <w:p w14:paraId="2A8B4269"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3B7F7862"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113,28</w:t>
            </w:r>
          </w:p>
        </w:tc>
        <w:tc>
          <w:tcPr>
            <w:tcW w:w="1275" w:type="dxa"/>
            <w:tcBorders>
              <w:top w:val="nil"/>
              <w:left w:val="nil"/>
              <w:bottom w:val="single" w:sz="4" w:space="0" w:color="auto"/>
              <w:right w:val="single" w:sz="4" w:space="0" w:color="auto"/>
            </w:tcBorders>
            <w:shd w:val="clear" w:color="auto" w:fill="auto"/>
            <w:noWrap/>
            <w:vAlign w:val="bottom"/>
            <w:hideMark/>
          </w:tcPr>
          <w:p w14:paraId="243A10F5"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113,28</w:t>
            </w:r>
          </w:p>
        </w:tc>
        <w:tc>
          <w:tcPr>
            <w:tcW w:w="1137" w:type="dxa"/>
            <w:tcBorders>
              <w:top w:val="nil"/>
              <w:left w:val="nil"/>
              <w:bottom w:val="single" w:sz="4" w:space="0" w:color="auto"/>
              <w:right w:val="single" w:sz="4" w:space="0" w:color="auto"/>
            </w:tcBorders>
            <w:shd w:val="clear" w:color="auto" w:fill="auto"/>
            <w:noWrap/>
            <w:vAlign w:val="bottom"/>
            <w:hideMark/>
          </w:tcPr>
          <w:p w14:paraId="62A95A2C"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112,98</w:t>
            </w:r>
          </w:p>
        </w:tc>
        <w:tc>
          <w:tcPr>
            <w:tcW w:w="1273" w:type="dxa"/>
            <w:tcBorders>
              <w:top w:val="nil"/>
              <w:left w:val="nil"/>
              <w:bottom w:val="single" w:sz="4" w:space="0" w:color="auto"/>
              <w:right w:val="single" w:sz="4" w:space="0" w:color="auto"/>
            </w:tcBorders>
            <w:shd w:val="clear" w:color="auto" w:fill="auto"/>
            <w:noWrap/>
            <w:vAlign w:val="bottom"/>
            <w:hideMark/>
          </w:tcPr>
          <w:p w14:paraId="15F53BA7"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34" w:type="dxa"/>
            <w:tcBorders>
              <w:top w:val="nil"/>
              <w:left w:val="nil"/>
              <w:bottom w:val="single" w:sz="4" w:space="0" w:color="auto"/>
              <w:right w:val="single" w:sz="4" w:space="0" w:color="auto"/>
            </w:tcBorders>
            <w:shd w:val="clear" w:color="auto" w:fill="auto"/>
            <w:noWrap/>
            <w:vAlign w:val="bottom"/>
            <w:hideMark/>
          </w:tcPr>
          <w:p w14:paraId="7BFE3E32"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63A4FDC5"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4BA86747"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168EDA2C"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0,30</w:t>
            </w:r>
          </w:p>
        </w:tc>
        <w:tc>
          <w:tcPr>
            <w:tcW w:w="944" w:type="dxa"/>
            <w:tcBorders>
              <w:top w:val="nil"/>
              <w:left w:val="nil"/>
              <w:bottom w:val="single" w:sz="4" w:space="0" w:color="auto"/>
              <w:right w:val="single" w:sz="4" w:space="0" w:color="auto"/>
            </w:tcBorders>
            <w:shd w:val="clear" w:color="auto" w:fill="auto"/>
            <w:hideMark/>
          </w:tcPr>
          <w:p w14:paraId="0154997D"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0,00</w:t>
            </w:r>
          </w:p>
        </w:tc>
      </w:tr>
      <w:tr w:rsidR="006A0356" w:rsidRPr="008860BA" w14:paraId="63916580" w14:textId="77777777" w:rsidTr="006A0356">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45B3DFA2" w14:textId="77777777" w:rsidR="006A0356" w:rsidRPr="008860BA" w:rsidRDefault="006A0356" w:rsidP="006A0356">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Remunerarea muncii</w:t>
            </w:r>
          </w:p>
        </w:tc>
        <w:tc>
          <w:tcPr>
            <w:tcW w:w="673" w:type="dxa"/>
            <w:tcBorders>
              <w:top w:val="nil"/>
              <w:left w:val="nil"/>
              <w:bottom w:val="single" w:sz="4" w:space="0" w:color="auto"/>
              <w:right w:val="single" w:sz="4" w:space="0" w:color="auto"/>
            </w:tcBorders>
            <w:shd w:val="clear" w:color="auto" w:fill="auto"/>
            <w:noWrap/>
            <w:vAlign w:val="bottom"/>
            <w:hideMark/>
          </w:tcPr>
          <w:p w14:paraId="2097163E"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5F3D1626"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65.165,48</w:t>
            </w:r>
          </w:p>
        </w:tc>
        <w:tc>
          <w:tcPr>
            <w:tcW w:w="1275" w:type="dxa"/>
            <w:tcBorders>
              <w:top w:val="nil"/>
              <w:left w:val="nil"/>
              <w:bottom w:val="single" w:sz="4" w:space="0" w:color="auto"/>
              <w:right w:val="single" w:sz="4" w:space="0" w:color="auto"/>
            </w:tcBorders>
            <w:shd w:val="clear" w:color="auto" w:fill="auto"/>
            <w:noWrap/>
            <w:vAlign w:val="bottom"/>
            <w:hideMark/>
          </w:tcPr>
          <w:p w14:paraId="45879089"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65.165,48</w:t>
            </w:r>
          </w:p>
        </w:tc>
        <w:tc>
          <w:tcPr>
            <w:tcW w:w="1137" w:type="dxa"/>
            <w:tcBorders>
              <w:top w:val="nil"/>
              <w:left w:val="nil"/>
              <w:bottom w:val="single" w:sz="4" w:space="0" w:color="auto"/>
              <w:right w:val="single" w:sz="4" w:space="0" w:color="auto"/>
            </w:tcBorders>
            <w:shd w:val="clear" w:color="auto" w:fill="auto"/>
            <w:noWrap/>
            <w:vAlign w:val="bottom"/>
            <w:hideMark/>
          </w:tcPr>
          <w:p w14:paraId="7CC0C4B6"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50.569,32</w:t>
            </w:r>
          </w:p>
        </w:tc>
        <w:tc>
          <w:tcPr>
            <w:tcW w:w="1273" w:type="dxa"/>
            <w:tcBorders>
              <w:top w:val="nil"/>
              <w:left w:val="nil"/>
              <w:bottom w:val="single" w:sz="4" w:space="0" w:color="auto"/>
              <w:right w:val="single" w:sz="4" w:space="0" w:color="auto"/>
            </w:tcBorders>
            <w:shd w:val="clear" w:color="auto" w:fill="auto"/>
            <w:noWrap/>
            <w:vAlign w:val="bottom"/>
            <w:hideMark/>
          </w:tcPr>
          <w:p w14:paraId="0A477E5F"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125,85</w:t>
            </w:r>
          </w:p>
        </w:tc>
        <w:tc>
          <w:tcPr>
            <w:tcW w:w="1134" w:type="dxa"/>
            <w:tcBorders>
              <w:top w:val="nil"/>
              <w:left w:val="nil"/>
              <w:bottom w:val="single" w:sz="4" w:space="0" w:color="auto"/>
              <w:right w:val="single" w:sz="4" w:space="0" w:color="auto"/>
            </w:tcBorders>
            <w:shd w:val="clear" w:color="auto" w:fill="auto"/>
            <w:noWrap/>
            <w:vAlign w:val="bottom"/>
            <w:hideMark/>
          </w:tcPr>
          <w:p w14:paraId="73C7A68D"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4D4D5739"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9.274,46</w:t>
            </w:r>
          </w:p>
        </w:tc>
        <w:tc>
          <w:tcPr>
            <w:tcW w:w="853" w:type="dxa"/>
            <w:tcBorders>
              <w:top w:val="nil"/>
              <w:left w:val="nil"/>
              <w:bottom w:val="single" w:sz="4" w:space="0" w:color="auto"/>
              <w:right w:val="single" w:sz="4" w:space="0" w:color="auto"/>
            </w:tcBorders>
            <w:shd w:val="clear" w:color="auto" w:fill="auto"/>
            <w:noWrap/>
            <w:vAlign w:val="bottom"/>
            <w:hideMark/>
          </w:tcPr>
          <w:p w14:paraId="2B18040B"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1.808,85</w:t>
            </w:r>
          </w:p>
        </w:tc>
        <w:tc>
          <w:tcPr>
            <w:tcW w:w="853" w:type="dxa"/>
            <w:tcBorders>
              <w:top w:val="nil"/>
              <w:left w:val="nil"/>
              <w:bottom w:val="single" w:sz="4" w:space="0" w:color="auto"/>
              <w:right w:val="single" w:sz="4" w:space="0" w:color="auto"/>
            </w:tcBorders>
            <w:shd w:val="clear" w:color="auto" w:fill="auto"/>
            <w:noWrap/>
            <w:vAlign w:val="bottom"/>
            <w:hideMark/>
          </w:tcPr>
          <w:p w14:paraId="535FE7C5"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459,56</w:t>
            </w:r>
          </w:p>
        </w:tc>
        <w:tc>
          <w:tcPr>
            <w:tcW w:w="944" w:type="dxa"/>
            <w:tcBorders>
              <w:top w:val="nil"/>
              <w:left w:val="nil"/>
              <w:bottom w:val="single" w:sz="4" w:space="0" w:color="auto"/>
              <w:right w:val="single" w:sz="4" w:space="0" w:color="auto"/>
            </w:tcBorders>
            <w:shd w:val="clear" w:color="auto" w:fill="auto"/>
            <w:noWrap/>
            <w:vAlign w:val="bottom"/>
            <w:hideMark/>
          </w:tcPr>
          <w:p w14:paraId="214B5F3D"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2.927,44</w:t>
            </w:r>
          </w:p>
        </w:tc>
      </w:tr>
      <w:tr w:rsidR="006A0356" w:rsidRPr="008860BA" w14:paraId="582EF63B" w14:textId="77777777" w:rsidTr="006A0356">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5BEFBE22" w14:textId="7E8D171D" w:rsidR="006A0356" w:rsidRPr="008860BA" w:rsidRDefault="006A0356">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Repara</w:t>
            </w:r>
            <w:r w:rsidR="00E10604" w:rsidRPr="008860BA">
              <w:rPr>
                <w:rFonts w:asciiTheme="majorHAnsi" w:eastAsia="Times New Roman" w:hAnsiTheme="majorHAnsi" w:cstheme="majorHAnsi"/>
                <w:sz w:val="18"/>
                <w:szCs w:val="18"/>
                <w:lang w:val="ro-MD"/>
              </w:rPr>
              <w:t>ț</w:t>
            </w:r>
            <w:r w:rsidRPr="008860BA">
              <w:rPr>
                <w:rFonts w:asciiTheme="majorHAnsi" w:eastAsia="Times New Roman" w:hAnsiTheme="majorHAnsi" w:cstheme="majorHAnsi"/>
                <w:sz w:val="18"/>
                <w:szCs w:val="18"/>
                <w:lang w:val="ro-MD"/>
              </w:rPr>
              <w:t>ia curent</w:t>
            </w:r>
            <w:r w:rsidR="00E10604" w:rsidRPr="008860BA">
              <w:rPr>
                <w:rFonts w:asciiTheme="majorHAnsi" w:eastAsia="Times New Roman" w:hAnsiTheme="majorHAnsi" w:cstheme="majorHAnsi"/>
                <w:sz w:val="18"/>
                <w:szCs w:val="18"/>
                <w:lang w:val="ro-MD"/>
              </w:rPr>
              <w:t>ă</w:t>
            </w:r>
            <w:r w:rsidRPr="008860BA">
              <w:rPr>
                <w:rFonts w:asciiTheme="majorHAnsi" w:eastAsia="Times New Roman" w:hAnsiTheme="majorHAnsi" w:cstheme="majorHAnsi"/>
                <w:sz w:val="18"/>
                <w:szCs w:val="18"/>
                <w:lang w:val="ro-MD"/>
              </w:rPr>
              <w:t xml:space="preserve"> </w:t>
            </w:r>
            <w:r w:rsidR="00E10604" w:rsidRPr="008860BA">
              <w:rPr>
                <w:rFonts w:asciiTheme="majorHAnsi" w:eastAsia="Times New Roman" w:hAnsiTheme="majorHAnsi" w:cstheme="majorHAnsi"/>
                <w:sz w:val="18"/>
                <w:szCs w:val="18"/>
                <w:lang w:val="ro-MD"/>
              </w:rPr>
              <w:t>ș</w:t>
            </w:r>
            <w:r w:rsidRPr="008860BA">
              <w:rPr>
                <w:rFonts w:asciiTheme="majorHAnsi" w:eastAsia="Times New Roman" w:hAnsiTheme="majorHAnsi" w:cstheme="majorHAnsi"/>
                <w:sz w:val="18"/>
                <w:szCs w:val="18"/>
                <w:lang w:val="ro-MD"/>
              </w:rPr>
              <w:t>i deservirea MF</w:t>
            </w:r>
          </w:p>
        </w:tc>
        <w:tc>
          <w:tcPr>
            <w:tcW w:w="673" w:type="dxa"/>
            <w:tcBorders>
              <w:top w:val="nil"/>
              <w:left w:val="nil"/>
              <w:bottom w:val="single" w:sz="4" w:space="0" w:color="auto"/>
              <w:right w:val="single" w:sz="4" w:space="0" w:color="auto"/>
            </w:tcBorders>
            <w:shd w:val="clear" w:color="auto" w:fill="auto"/>
            <w:noWrap/>
            <w:vAlign w:val="bottom"/>
            <w:hideMark/>
          </w:tcPr>
          <w:p w14:paraId="175E0801"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0D65C630"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892,50</w:t>
            </w:r>
          </w:p>
        </w:tc>
        <w:tc>
          <w:tcPr>
            <w:tcW w:w="1275" w:type="dxa"/>
            <w:tcBorders>
              <w:top w:val="nil"/>
              <w:left w:val="nil"/>
              <w:bottom w:val="single" w:sz="4" w:space="0" w:color="auto"/>
              <w:right w:val="single" w:sz="4" w:space="0" w:color="auto"/>
            </w:tcBorders>
            <w:shd w:val="clear" w:color="auto" w:fill="auto"/>
            <w:noWrap/>
            <w:vAlign w:val="bottom"/>
            <w:hideMark/>
          </w:tcPr>
          <w:p w14:paraId="1470DF48"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892,50</w:t>
            </w:r>
          </w:p>
        </w:tc>
        <w:tc>
          <w:tcPr>
            <w:tcW w:w="1137" w:type="dxa"/>
            <w:tcBorders>
              <w:top w:val="nil"/>
              <w:left w:val="nil"/>
              <w:bottom w:val="single" w:sz="4" w:space="0" w:color="auto"/>
              <w:right w:val="single" w:sz="4" w:space="0" w:color="auto"/>
            </w:tcBorders>
            <w:shd w:val="clear" w:color="auto" w:fill="auto"/>
            <w:noWrap/>
            <w:vAlign w:val="bottom"/>
            <w:hideMark/>
          </w:tcPr>
          <w:p w14:paraId="49327757"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757,72</w:t>
            </w:r>
          </w:p>
        </w:tc>
        <w:tc>
          <w:tcPr>
            <w:tcW w:w="1273" w:type="dxa"/>
            <w:tcBorders>
              <w:top w:val="nil"/>
              <w:left w:val="nil"/>
              <w:bottom w:val="single" w:sz="4" w:space="0" w:color="auto"/>
              <w:right w:val="single" w:sz="4" w:space="0" w:color="auto"/>
            </w:tcBorders>
            <w:shd w:val="clear" w:color="auto" w:fill="auto"/>
            <w:noWrap/>
            <w:vAlign w:val="bottom"/>
            <w:hideMark/>
          </w:tcPr>
          <w:p w14:paraId="30192890"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86,04</w:t>
            </w:r>
          </w:p>
        </w:tc>
        <w:tc>
          <w:tcPr>
            <w:tcW w:w="1134" w:type="dxa"/>
            <w:tcBorders>
              <w:top w:val="nil"/>
              <w:left w:val="nil"/>
              <w:bottom w:val="single" w:sz="4" w:space="0" w:color="auto"/>
              <w:right w:val="single" w:sz="4" w:space="0" w:color="auto"/>
            </w:tcBorders>
            <w:shd w:val="clear" w:color="auto" w:fill="auto"/>
            <w:noWrap/>
            <w:vAlign w:val="bottom"/>
            <w:hideMark/>
          </w:tcPr>
          <w:p w14:paraId="5035DBA0"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3D37759F"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3,57</w:t>
            </w:r>
          </w:p>
        </w:tc>
        <w:tc>
          <w:tcPr>
            <w:tcW w:w="853" w:type="dxa"/>
            <w:tcBorders>
              <w:top w:val="nil"/>
              <w:left w:val="nil"/>
              <w:bottom w:val="single" w:sz="4" w:space="0" w:color="auto"/>
              <w:right w:val="single" w:sz="4" w:space="0" w:color="auto"/>
            </w:tcBorders>
            <w:shd w:val="clear" w:color="auto" w:fill="auto"/>
            <w:noWrap/>
            <w:vAlign w:val="bottom"/>
            <w:hideMark/>
          </w:tcPr>
          <w:p w14:paraId="13A82F34"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36279A95"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29,01</w:t>
            </w:r>
          </w:p>
        </w:tc>
        <w:tc>
          <w:tcPr>
            <w:tcW w:w="944" w:type="dxa"/>
            <w:tcBorders>
              <w:top w:val="nil"/>
              <w:left w:val="nil"/>
              <w:bottom w:val="single" w:sz="4" w:space="0" w:color="auto"/>
              <w:right w:val="single" w:sz="4" w:space="0" w:color="auto"/>
            </w:tcBorders>
            <w:shd w:val="clear" w:color="auto" w:fill="auto"/>
            <w:noWrap/>
            <w:vAlign w:val="bottom"/>
            <w:hideMark/>
          </w:tcPr>
          <w:p w14:paraId="286224EA"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16,16</w:t>
            </w:r>
          </w:p>
        </w:tc>
      </w:tr>
      <w:tr w:rsidR="006A0356" w:rsidRPr="008860BA" w14:paraId="4B660D36" w14:textId="77777777" w:rsidTr="006A0356">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1CA90B61" w14:textId="05BCB6BD" w:rsidR="006A0356" w:rsidRPr="008860BA" w:rsidRDefault="006A0356">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Salubritatea, evacuarea de</w:t>
            </w:r>
            <w:r w:rsidR="00E10604" w:rsidRPr="008860BA">
              <w:rPr>
                <w:rFonts w:asciiTheme="majorHAnsi" w:eastAsia="Times New Roman" w:hAnsiTheme="majorHAnsi" w:cstheme="majorHAnsi"/>
                <w:sz w:val="18"/>
                <w:szCs w:val="18"/>
                <w:lang w:val="ro-MD"/>
              </w:rPr>
              <w:t>ș</w:t>
            </w:r>
            <w:r w:rsidRPr="008860BA">
              <w:rPr>
                <w:rFonts w:asciiTheme="majorHAnsi" w:eastAsia="Times New Roman" w:hAnsiTheme="majorHAnsi" w:cstheme="majorHAnsi"/>
                <w:sz w:val="18"/>
                <w:szCs w:val="18"/>
                <w:lang w:val="ro-MD"/>
              </w:rPr>
              <w:t xml:space="preserve">eurilor </w:t>
            </w:r>
          </w:p>
        </w:tc>
        <w:tc>
          <w:tcPr>
            <w:tcW w:w="673" w:type="dxa"/>
            <w:tcBorders>
              <w:top w:val="nil"/>
              <w:left w:val="nil"/>
              <w:bottom w:val="single" w:sz="4" w:space="0" w:color="auto"/>
              <w:right w:val="single" w:sz="4" w:space="0" w:color="auto"/>
            </w:tcBorders>
            <w:shd w:val="clear" w:color="auto" w:fill="auto"/>
            <w:noWrap/>
            <w:vAlign w:val="bottom"/>
            <w:hideMark/>
          </w:tcPr>
          <w:p w14:paraId="1C2648D4"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03C4B686"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299,50</w:t>
            </w:r>
          </w:p>
        </w:tc>
        <w:tc>
          <w:tcPr>
            <w:tcW w:w="1275" w:type="dxa"/>
            <w:tcBorders>
              <w:top w:val="nil"/>
              <w:left w:val="nil"/>
              <w:bottom w:val="single" w:sz="4" w:space="0" w:color="auto"/>
              <w:right w:val="single" w:sz="4" w:space="0" w:color="auto"/>
            </w:tcBorders>
            <w:shd w:val="clear" w:color="auto" w:fill="auto"/>
            <w:noWrap/>
            <w:vAlign w:val="bottom"/>
            <w:hideMark/>
          </w:tcPr>
          <w:p w14:paraId="2C9AED6D"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299,50</w:t>
            </w:r>
          </w:p>
        </w:tc>
        <w:tc>
          <w:tcPr>
            <w:tcW w:w="1137" w:type="dxa"/>
            <w:tcBorders>
              <w:top w:val="nil"/>
              <w:left w:val="nil"/>
              <w:bottom w:val="single" w:sz="4" w:space="0" w:color="auto"/>
              <w:right w:val="single" w:sz="4" w:space="0" w:color="auto"/>
            </w:tcBorders>
            <w:shd w:val="clear" w:color="auto" w:fill="auto"/>
            <w:noWrap/>
            <w:vAlign w:val="bottom"/>
            <w:hideMark/>
          </w:tcPr>
          <w:p w14:paraId="4E9331A8"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203,50</w:t>
            </w:r>
          </w:p>
        </w:tc>
        <w:tc>
          <w:tcPr>
            <w:tcW w:w="1273" w:type="dxa"/>
            <w:tcBorders>
              <w:top w:val="nil"/>
              <w:left w:val="nil"/>
              <w:bottom w:val="single" w:sz="4" w:space="0" w:color="auto"/>
              <w:right w:val="single" w:sz="4" w:space="0" w:color="auto"/>
            </w:tcBorders>
            <w:shd w:val="clear" w:color="auto" w:fill="auto"/>
            <w:noWrap/>
            <w:vAlign w:val="bottom"/>
            <w:hideMark/>
          </w:tcPr>
          <w:p w14:paraId="7FE4E9AC"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34" w:type="dxa"/>
            <w:tcBorders>
              <w:top w:val="nil"/>
              <w:left w:val="nil"/>
              <w:bottom w:val="single" w:sz="4" w:space="0" w:color="auto"/>
              <w:right w:val="single" w:sz="4" w:space="0" w:color="auto"/>
            </w:tcBorders>
            <w:shd w:val="clear" w:color="auto" w:fill="auto"/>
            <w:noWrap/>
            <w:vAlign w:val="bottom"/>
            <w:hideMark/>
          </w:tcPr>
          <w:p w14:paraId="0BE55E0E"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7955E838"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96,00</w:t>
            </w:r>
          </w:p>
        </w:tc>
        <w:tc>
          <w:tcPr>
            <w:tcW w:w="853" w:type="dxa"/>
            <w:tcBorders>
              <w:top w:val="nil"/>
              <w:left w:val="nil"/>
              <w:bottom w:val="single" w:sz="4" w:space="0" w:color="auto"/>
              <w:right w:val="single" w:sz="4" w:space="0" w:color="auto"/>
            </w:tcBorders>
            <w:shd w:val="clear" w:color="auto" w:fill="auto"/>
            <w:noWrap/>
            <w:vAlign w:val="bottom"/>
            <w:hideMark/>
          </w:tcPr>
          <w:p w14:paraId="6FBAA1D4"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65DF3B06"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944" w:type="dxa"/>
            <w:tcBorders>
              <w:top w:val="nil"/>
              <w:left w:val="nil"/>
              <w:bottom w:val="single" w:sz="4" w:space="0" w:color="auto"/>
              <w:right w:val="single" w:sz="4" w:space="0" w:color="auto"/>
            </w:tcBorders>
            <w:shd w:val="clear" w:color="auto" w:fill="auto"/>
            <w:noWrap/>
            <w:vAlign w:val="bottom"/>
            <w:hideMark/>
          </w:tcPr>
          <w:p w14:paraId="3FE83C82"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r>
      <w:tr w:rsidR="006A0356" w:rsidRPr="008860BA" w14:paraId="2DE6CADD" w14:textId="77777777" w:rsidTr="006A0356">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25159D1F" w14:textId="77777777" w:rsidR="006A0356" w:rsidRPr="008860BA" w:rsidRDefault="006A0356" w:rsidP="006A0356">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xml:space="preserve">Servicii medicale </w:t>
            </w:r>
          </w:p>
        </w:tc>
        <w:tc>
          <w:tcPr>
            <w:tcW w:w="673" w:type="dxa"/>
            <w:tcBorders>
              <w:top w:val="nil"/>
              <w:left w:val="nil"/>
              <w:bottom w:val="single" w:sz="4" w:space="0" w:color="auto"/>
              <w:right w:val="single" w:sz="4" w:space="0" w:color="auto"/>
            </w:tcBorders>
            <w:shd w:val="clear" w:color="auto" w:fill="auto"/>
            <w:noWrap/>
            <w:vAlign w:val="bottom"/>
            <w:hideMark/>
          </w:tcPr>
          <w:p w14:paraId="49397332"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3C052333"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355,12</w:t>
            </w:r>
          </w:p>
        </w:tc>
        <w:tc>
          <w:tcPr>
            <w:tcW w:w="1275" w:type="dxa"/>
            <w:tcBorders>
              <w:top w:val="nil"/>
              <w:left w:val="nil"/>
              <w:bottom w:val="single" w:sz="4" w:space="0" w:color="auto"/>
              <w:right w:val="single" w:sz="4" w:space="0" w:color="auto"/>
            </w:tcBorders>
            <w:shd w:val="clear" w:color="auto" w:fill="auto"/>
            <w:noWrap/>
            <w:vAlign w:val="bottom"/>
            <w:hideMark/>
          </w:tcPr>
          <w:p w14:paraId="2C2433CB"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355,12</w:t>
            </w:r>
          </w:p>
        </w:tc>
        <w:tc>
          <w:tcPr>
            <w:tcW w:w="1137" w:type="dxa"/>
            <w:tcBorders>
              <w:top w:val="nil"/>
              <w:left w:val="nil"/>
              <w:bottom w:val="single" w:sz="4" w:space="0" w:color="auto"/>
              <w:right w:val="single" w:sz="4" w:space="0" w:color="auto"/>
            </w:tcBorders>
            <w:shd w:val="clear" w:color="auto" w:fill="auto"/>
            <w:noWrap/>
            <w:vAlign w:val="bottom"/>
            <w:hideMark/>
          </w:tcPr>
          <w:p w14:paraId="03E3CB8A"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335,85</w:t>
            </w:r>
          </w:p>
        </w:tc>
        <w:tc>
          <w:tcPr>
            <w:tcW w:w="1273" w:type="dxa"/>
            <w:tcBorders>
              <w:top w:val="nil"/>
              <w:left w:val="nil"/>
              <w:bottom w:val="single" w:sz="4" w:space="0" w:color="auto"/>
              <w:right w:val="single" w:sz="4" w:space="0" w:color="auto"/>
            </w:tcBorders>
            <w:shd w:val="clear" w:color="auto" w:fill="auto"/>
            <w:noWrap/>
            <w:vAlign w:val="bottom"/>
            <w:hideMark/>
          </w:tcPr>
          <w:p w14:paraId="550429F9"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34" w:type="dxa"/>
            <w:tcBorders>
              <w:top w:val="nil"/>
              <w:left w:val="nil"/>
              <w:bottom w:val="single" w:sz="4" w:space="0" w:color="auto"/>
              <w:right w:val="single" w:sz="4" w:space="0" w:color="auto"/>
            </w:tcBorders>
            <w:shd w:val="clear" w:color="auto" w:fill="auto"/>
            <w:noWrap/>
            <w:vAlign w:val="bottom"/>
            <w:hideMark/>
          </w:tcPr>
          <w:p w14:paraId="1BCB222E"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5AEB07B1"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0592E7FF"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6FDADB2E"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10,77</w:t>
            </w:r>
          </w:p>
        </w:tc>
        <w:tc>
          <w:tcPr>
            <w:tcW w:w="944" w:type="dxa"/>
            <w:tcBorders>
              <w:top w:val="nil"/>
              <w:left w:val="nil"/>
              <w:bottom w:val="single" w:sz="4" w:space="0" w:color="auto"/>
              <w:right w:val="single" w:sz="4" w:space="0" w:color="auto"/>
            </w:tcBorders>
            <w:shd w:val="clear" w:color="auto" w:fill="auto"/>
            <w:noWrap/>
            <w:vAlign w:val="bottom"/>
            <w:hideMark/>
          </w:tcPr>
          <w:p w14:paraId="3A1760BB"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8,51</w:t>
            </w:r>
          </w:p>
        </w:tc>
      </w:tr>
      <w:tr w:rsidR="006A0356" w:rsidRPr="008860BA" w14:paraId="11B92B3B" w14:textId="77777777" w:rsidTr="006A0356">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0A014D77" w14:textId="33BB263C" w:rsidR="006A0356" w:rsidRPr="008860BA" w:rsidRDefault="006A0356">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Suport sistem informa</w:t>
            </w:r>
            <w:r w:rsidR="00E10604" w:rsidRPr="008860BA">
              <w:rPr>
                <w:rFonts w:asciiTheme="majorHAnsi" w:eastAsia="Times New Roman" w:hAnsiTheme="majorHAnsi" w:cstheme="majorHAnsi"/>
                <w:sz w:val="18"/>
                <w:szCs w:val="18"/>
                <w:lang w:val="ro-MD"/>
              </w:rPr>
              <w:t>ț</w:t>
            </w:r>
            <w:r w:rsidRPr="008860BA">
              <w:rPr>
                <w:rFonts w:asciiTheme="majorHAnsi" w:eastAsia="Times New Roman" w:hAnsiTheme="majorHAnsi" w:cstheme="majorHAnsi"/>
                <w:sz w:val="18"/>
                <w:szCs w:val="18"/>
                <w:lang w:val="ro-MD"/>
              </w:rPr>
              <w:t>ional</w:t>
            </w:r>
          </w:p>
        </w:tc>
        <w:tc>
          <w:tcPr>
            <w:tcW w:w="673" w:type="dxa"/>
            <w:tcBorders>
              <w:top w:val="nil"/>
              <w:left w:val="nil"/>
              <w:bottom w:val="single" w:sz="4" w:space="0" w:color="auto"/>
              <w:right w:val="single" w:sz="4" w:space="0" w:color="auto"/>
            </w:tcBorders>
            <w:shd w:val="clear" w:color="auto" w:fill="auto"/>
            <w:noWrap/>
            <w:vAlign w:val="bottom"/>
            <w:hideMark/>
          </w:tcPr>
          <w:p w14:paraId="6F058526"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41D2087A"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261,60</w:t>
            </w:r>
          </w:p>
        </w:tc>
        <w:tc>
          <w:tcPr>
            <w:tcW w:w="1275" w:type="dxa"/>
            <w:tcBorders>
              <w:top w:val="nil"/>
              <w:left w:val="nil"/>
              <w:bottom w:val="single" w:sz="4" w:space="0" w:color="auto"/>
              <w:right w:val="single" w:sz="4" w:space="0" w:color="auto"/>
            </w:tcBorders>
            <w:shd w:val="clear" w:color="auto" w:fill="auto"/>
            <w:noWrap/>
            <w:vAlign w:val="bottom"/>
            <w:hideMark/>
          </w:tcPr>
          <w:p w14:paraId="319C0BF5"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261,60</w:t>
            </w:r>
          </w:p>
        </w:tc>
        <w:tc>
          <w:tcPr>
            <w:tcW w:w="1137" w:type="dxa"/>
            <w:tcBorders>
              <w:top w:val="nil"/>
              <w:left w:val="nil"/>
              <w:bottom w:val="single" w:sz="4" w:space="0" w:color="auto"/>
              <w:right w:val="single" w:sz="4" w:space="0" w:color="auto"/>
            </w:tcBorders>
            <w:shd w:val="clear" w:color="auto" w:fill="auto"/>
            <w:noWrap/>
            <w:vAlign w:val="bottom"/>
            <w:hideMark/>
          </w:tcPr>
          <w:p w14:paraId="4A839576"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261,60</w:t>
            </w:r>
          </w:p>
        </w:tc>
        <w:tc>
          <w:tcPr>
            <w:tcW w:w="1273" w:type="dxa"/>
            <w:tcBorders>
              <w:top w:val="nil"/>
              <w:left w:val="nil"/>
              <w:bottom w:val="single" w:sz="4" w:space="0" w:color="auto"/>
              <w:right w:val="single" w:sz="4" w:space="0" w:color="auto"/>
            </w:tcBorders>
            <w:shd w:val="clear" w:color="auto" w:fill="auto"/>
            <w:noWrap/>
            <w:vAlign w:val="bottom"/>
            <w:hideMark/>
          </w:tcPr>
          <w:p w14:paraId="3509B971"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34" w:type="dxa"/>
            <w:tcBorders>
              <w:top w:val="nil"/>
              <w:left w:val="nil"/>
              <w:bottom w:val="single" w:sz="4" w:space="0" w:color="auto"/>
              <w:right w:val="single" w:sz="4" w:space="0" w:color="auto"/>
            </w:tcBorders>
            <w:shd w:val="clear" w:color="auto" w:fill="auto"/>
            <w:noWrap/>
            <w:vAlign w:val="bottom"/>
            <w:hideMark/>
          </w:tcPr>
          <w:p w14:paraId="511BFB44"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39834A07"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7CBBBEB6"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hideMark/>
          </w:tcPr>
          <w:p w14:paraId="499059F5"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944" w:type="dxa"/>
            <w:tcBorders>
              <w:top w:val="nil"/>
              <w:left w:val="nil"/>
              <w:bottom w:val="single" w:sz="4" w:space="0" w:color="auto"/>
              <w:right w:val="single" w:sz="4" w:space="0" w:color="auto"/>
            </w:tcBorders>
            <w:shd w:val="clear" w:color="auto" w:fill="auto"/>
            <w:noWrap/>
            <w:vAlign w:val="bottom"/>
            <w:hideMark/>
          </w:tcPr>
          <w:p w14:paraId="41D7E000"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r>
      <w:tr w:rsidR="006A0356" w:rsidRPr="008860BA" w14:paraId="6D29BE90" w14:textId="77777777" w:rsidTr="006A0356">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07BC3800" w14:textId="77777777" w:rsidR="006A0356" w:rsidRPr="008860BA" w:rsidRDefault="006A0356" w:rsidP="006A0356">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Taxa pentru drepturile de import export</w:t>
            </w:r>
          </w:p>
        </w:tc>
        <w:tc>
          <w:tcPr>
            <w:tcW w:w="673" w:type="dxa"/>
            <w:tcBorders>
              <w:top w:val="nil"/>
              <w:left w:val="nil"/>
              <w:bottom w:val="single" w:sz="4" w:space="0" w:color="auto"/>
              <w:right w:val="single" w:sz="4" w:space="0" w:color="auto"/>
            </w:tcBorders>
            <w:shd w:val="clear" w:color="auto" w:fill="auto"/>
            <w:noWrap/>
            <w:vAlign w:val="bottom"/>
            <w:hideMark/>
          </w:tcPr>
          <w:p w14:paraId="5ABD0900"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210F3D43"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12,30</w:t>
            </w:r>
          </w:p>
        </w:tc>
        <w:tc>
          <w:tcPr>
            <w:tcW w:w="1275" w:type="dxa"/>
            <w:tcBorders>
              <w:top w:val="nil"/>
              <w:left w:val="nil"/>
              <w:bottom w:val="single" w:sz="4" w:space="0" w:color="auto"/>
              <w:right w:val="single" w:sz="4" w:space="0" w:color="auto"/>
            </w:tcBorders>
            <w:shd w:val="clear" w:color="auto" w:fill="auto"/>
            <w:noWrap/>
            <w:vAlign w:val="bottom"/>
            <w:hideMark/>
          </w:tcPr>
          <w:p w14:paraId="60ADFB45"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12,30</w:t>
            </w:r>
          </w:p>
        </w:tc>
        <w:tc>
          <w:tcPr>
            <w:tcW w:w="1137" w:type="dxa"/>
            <w:tcBorders>
              <w:top w:val="nil"/>
              <w:left w:val="nil"/>
              <w:bottom w:val="single" w:sz="4" w:space="0" w:color="auto"/>
              <w:right w:val="single" w:sz="4" w:space="0" w:color="auto"/>
            </w:tcBorders>
            <w:shd w:val="clear" w:color="auto" w:fill="auto"/>
            <w:hideMark/>
          </w:tcPr>
          <w:p w14:paraId="0D8D6E4C"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1273" w:type="dxa"/>
            <w:tcBorders>
              <w:top w:val="nil"/>
              <w:left w:val="nil"/>
              <w:bottom w:val="single" w:sz="4" w:space="0" w:color="auto"/>
              <w:right w:val="single" w:sz="4" w:space="0" w:color="auto"/>
            </w:tcBorders>
            <w:shd w:val="clear" w:color="auto" w:fill="auto"/>
            <w:noWrap/>
            <w:vAlign w:val="bottom"/>
            <w:hideMark/>
          </w:tcPr>
          <w:p w14:paraId="05CD0020"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8A8D0A"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7251820F"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3BF779F4"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200E4CE6"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12,30</w:t>
            </w:r>
          </w:p>
        </w:tc>
        <w:tc>
          <w:tcPr>
            <w:tcW w:w="944" w:type="dxa"/>
            <w:tcBorders>
              <w:top w:val="nil"/>
              <w:left w:val="nil"/>
              <w:bottom w:val="single" w:sz="4" w:space="0" w:color="auto"/>
              <w:right w:val="single" w:sz="4" w:space="0" w:color="auto"/>
            </w:tcBorders>
            <w:shd w:val="clear" w:color="auto" w:fill="auto"/>
            <w:hideMark/>
          </w:tcPr>
          <w:p w14:paraId="5FA8E36D"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r>
      <w:tr w:rsidR="006A0356" w:rsidRPr="008860BA" w14:paraId="136AE833" w14:textId="77777777" w:rsidTr="006A0356">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75807EB7" w14:textId="2DB6A0C4" w:rsidR="006A0356" w:rsidRPr="008860BA" w:rsidRDefault="006A0356">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Taxa pentru achizi</w:t>
            </w:r>
            <w:r w:rsidR="00E10604" w:rsidRPr="008860BA">
              <w:rPr>
                <w:rFonts w:asciiTheme="majorHAnsi" w:eastAsia="Times New Roman" w:hAnsiTheme="majorHAnsi" w:cstheme="majorHAnsi"/>
                <w:sz w:val="18"/>
                <w:szCs w:val="18"/>
                <w:lang w:val="ro-MD"/>
              </w:rPr>
              <w:t>ț</w:t>
            </w:r>
            <w:r w:rsidRPr="008860BA">
              <w:rPr>
                <w:rFonts w:asciiTheme="majorHAnsi" w:eastAsia="Times New Roman" w:hAnsiTheme="majorHAnsi" w:cstheme="majorHAnsi"/>
                <w:sz w:val="18"/>
                <w:szCs w:val="18"/>
                <w:lang w:val="ro-MD"/>
              </w:rPr>
              <w:t>ii publice</w:t>
            </w:r>
          </w:p>
        </w:tc>
        <w:tc>
          <w:tcPr>
            <w:tcW w:w="673" w:type="dxa"/>
            <w:tcBorders>
              <w:top w:val="nil"/>
              <w:left w:val="nil"/>
              <w:bottom w:val="single" w:sz="4" w:space="0" w:color="auto"/>
              <w:right w:val="single" w:sz="4" w:space="0" w:color="auto"/>
            </w:tcBorders>
            <w:shd w:val="clear" w:color="auto" w:fill="auto"/>
            <w:noWrap/>
            <w:vAlign w:val="bottom"/>
            <w:hideMark/>
          </w:tcPr>
          <w:p w14:paraId="5D8A1B9A"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1651DD28"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46,65</w:t>
            </w:r>
          </w:p>
        </w:tc>
        <w:tc>
          <w:tcPr>
            <w:tcW w:w="1275" w:type="dxa"/>
            <w:tcBorders>
              <w:top w:val="nil"/>
              <w:left w:val="nil"/>
              <w:bottom w:val="single" w:sz="4" w:space="0" w:color="auto"/>
              <w:right w:val="single" w:sz="4" w:space="0" w:color="auto"/>
            </w:tcBorders>
            <w:shd w:val="clear" w:color="auto" w:fill="auto"/>
            <w:noWrap/>
            <w:vAlign w:val="bottom"/>
            <w:hideMark/>
          </w:tcPr>
          <w:p w14:paraId="5D9E04D2"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46,65</w:t>
            </w:r>
          </w:p>
        </w:tc>
        <w:tc>
          <w:tcPr>
            <w:tcW w:w="1137" w:type="dxa"/>
            <w:tcBorders>
              <w:top w:val="nil"/>
              <w:left w:val="nil"/>
              <w:bottom w:val="single" w:sz="4" w:space="0" w:color="auto"/>
              <w:right w:val="single" w:sz="4" w:space="0" w:color="auto"/>
            </w:tcBorders>
            <w:shd w:val="clear" w:color="auto" w:fill="auto"/>
            <w:noWrap/>
            <w:vAlign w:val="bottom"/>
            <w:hideMark/>
          </w:tcPr>
          <w:p w14:paraId="122BDC76"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46,65</w:t>
            </w:r>
          </w:p>
        </w:tc>
        <w:tc>
          <w:tcPr>
            <w:tcW w:w="1273" w:type="dxa"/>
            <w:tcBorders>
              <w:top w:val="nil"/>
              <w:left w:val="nil"/>
              <w:bottom w:val="single" w:sz="4" w:space="0" w:color="auto"/>
              <w:right w:val="single" w:sz="4" w:space="0" w:color="auto"/>
            </w:tcBorders>
            <w:shd w:val="clear" w:color="auto" w:fill="auto"/>
            <w:noWrap/>
            <w:vAlign w:val="bottom"/>
            <w:hideMark/>
          </w:tcPr>
          <w:p w14:paraId="37B54B1F"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34" w:type="dxa"/>
            <w:tcBorders>
              <w:top w:val="nil"/>
              <w:left w:val="nil"/>
              <w:bottom w:val="single" w:sz="4" w:space="0" w:color="auto"/>
              <w:right w:val="single" w:sz="4" w:space="0" w:color="auto"/>
            </w:tcBorders>
            <w:shd w:val="clear" w:color="auto" w:fill="auto"/>
            <w:noWrap/>
            <w:vAlign w:val="bottom"/>
            <w:hideMark/>
          </w:tcPr>
          <w:p w14:paraId="410FBD34"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hideMark/>
          </w:tcPr>
          <w:p w14:paraId="13DA3EAC"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36A30A9A"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27DA7FAD"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944" w:type="dxa"/>
            <w:tcBorders>
              <w:top w:val="nil"/>
              <w:left w:val="nil"/>
              <w:bottom w:val="single" w:sz="4" w:space="0" w:color="auto"/>
              <w:right w:val="single" w:sz="4" w:space="0" w:color="auto"/>
            </w:tcBorders>
            <w:shd w:val="clear" w:color="auto" w:fill="auto"/>
            <w:noWrap/>
            <w:vAlign w:val="bottom"/>
            <w:hideMark/>
          </w:tcPr>
          <w:p w14:paraId="0460DF80"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r>
      <w:tr w:rsidR="006A0356" w:rsidRPr="008860BA" w14:paraId="46FDA994" w14:textId="77777777" w:rsidTr="006A0356">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075AB6EF" w14:textId="77777777" w:rsidR="006A0356" w:rsidRPr="008860BA" w:rsidRDefault="006A0356" w:rsidP="006A0356">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Toner</w:t>
            </w:r>
          </w:p>
        </w:tc>
        <w:tc>
          <w:tcPr>
            <w:tcW w:w="673" w:type="dxa"/>
            <w:tcBorders>
              <w:top w:val="nil"/>
              <w:left w:val="nil"/>
              <w:bottom w:val="single" w:sz="4" w:space="0" w:color="auto"/>
              <w:right w:val="single" w:sz="4" w:space="0" w:color="auto"/>
            </w:tcBorders>
            <w:shd w:val="clear" w:color="auto" w:fill="auto"/>
            <w:noWrap/>
            <w:vAlign w:val="bottom"/>
            <w:hideMark/>
          </w:tcPr>
          <w:p w14:paraId="3E28B076"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3A067D34"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65,48</w:t>
            </w:r>
          </w:p>
        </w:tc>
        <w:tc>
          <w:tcPr>
            <w:tcW w:w="1275" w:type="dxa"/>
            <w:tcBorders>
              <w:top w:val="nil"/>
              <w:left w:val="nil"/>
              <w:bottom w:val="single" w:sz="4" w:space="0" w:color="auto"/>
              <w:right w:val="single" w:sz="4" w:space="0" w:color="auto"/>
            </w:tcBorders>
            <w:shd w:val="clear" w:color="auto" w:fill="auto"/>
            <w:noWrap/>
            <w:vAlign w:val="bottom"/>
            <w:hideMark/>
          </w:tcPr>
          <w:p w14:paraId="25FE01AB"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65,48</w:t>
            </w:r>
          </w:p>
        </w:tc>
        <w:tc>
          <w:tcPr>
            <w:tcW w:w="1137" w:type="dxa"/>
            <w:tcBorders>
              <w:top w:val="nil"/>
              <w:left w:val="nil"/>
              <w:bottom w:val="single" w:sz="4" w:space="0" w:color="auto"/>
              <w:right w:val="single" w:sz="4" w:space="0" w:color="auto"/>
            </w:tcBorders>
            <w:shd w:val="clear" w:color="auto" w:fill="auto"/>
            <w:noWrap/>
            <w:vAlign w:val="bottom"/>
            <w:hideMark/>
          </w:tcPr>
          <w:p w14:paraId="1C92C56E"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65,48</w:t>
            </w:r>
          </w:p>
        </w:tc>
        <w:tc>
          <w:tcPr>
            <w:tcW w:w="1273" w:type="dxa"/>
            <w:tcBorders>
              <w:top w:val="nil"/>
              <w:left w:val="nil"/>
              <w:bottom w:val="single" w:sz="4" w:space="0" w:color="auto"/>
              <w:right w:val="single" w:sz="4" w:space="0" w:color="auto"/>
            </w:tcBorders>
            <w:shd w:val="clear" w:color="auto" w:fill="auto"/>
            <w:noWrap/>
            <w:vAlign w:val="bottom"/>
            <w:hideMark/>
          </w:tcPr>
          <w:p w14:paraId="45ACCB4D"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34" w:type="dxa"/>
            <w:tcBorders>
              <w:top w:val="nil"/>
              <w:left w:val="nil"/>
              <w:bottom w:val="single" w:sz="4" w:space="0" w:color="auto"/>
              <w:right w:val="single" w:sz="4" w:space="0" w:color="auto"/>
            </w:tcBorders>
            <w:shd w:val="clear" w:color="auto" w:fill="auto"/>
            <w:noWrap/>
            <w:vAlign w:val="bottom"/>
            <w:hideMark/>
          </w:tcPr>
          <w:p w14:paraId="1100279C"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hideMark/>
          </w:tcPr>
          <w:p w14:paraId="4DFC4EF5"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636DEB30"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0AE476A5"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944" w:type="dxa"/>
            <w:tcBorders>
              <w:top w:val="nil"/>
              <w:left w:val="nil"/>
              <w:bottom w:val="single" w:sz="4" w:space="0" w:color="auto"/>
              <w:right w:val="single" w:sz="4" w:space="0" w:color="auto"/>
            </w:tcBorders>
            <w:shd w:val="clear" w:color="auto" w:fill="auto"/>
            <w:noWrap/>
            <w:vAlign w:val="bottom"/>
            <w:hideMark/>
          </w:tcPr>
          <w:p w14:paraId="79A8421F"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r>
      <w:tr w:rsidR="006A0356" w:rsidRPr="008860BA" w14:paraId="32E3C99E" w14:textId="77777777" w:rsidTr="006A0356">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0C5F7899" w14:textId="77777777" w:rsidR="006A0356" w:rsidRPr="008860BA" w:rsidRDefault="006A0356" w:rsidP="006A0356">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Uzura acumulatoare si anvelope</w:t>
            </w:r>
          </w:p>
        </w:tc>
        <w:tc>
          <w:tcPr>
            <w:tcW w:w="673" w:type="dxa"/>
            <w:tcBorders>
              <w:top w:val="nil"/>
              <w:left w:val="nil"/>
              <w:bottom w:val="single" w:sz="4" w:space="0" w:color="auto"/>
              <w:right w:val="single" w:sz="4" w:space="0" w:color="auto"/>
            </w:tcBorders>
            <w:shd w:val="clear" w:color="auto" w:fill="auto"/>
            <w:noWrap/>
            <w:vAlign w:val="bottom"/>
            <w:hideMark/>
          </w:tcPr>
          <w:p w14:paraId="45A2334A"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7A967013"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30,74</w:t>
            </w:r>
          </w:p>
        </w:tc>
        <w:tc>
          <w:tcPr>
            <w:tcW w:w="1275" w:type="dxa"/>
            <w:tcBorders>
              <w:top w:val="nil"/>
              <w:left w:val="nil"/>
              <w:bottom w:val="single" w:sz="4" w:space="0" w:color="auto"/>
              <w:right w:val="single" w:sz="4" w:space="0" w:color="auto"/>
            </w:tcBorders>
            <w:shd w:val="clear" w:color="auto" w:fill="auto"/>
            <w:noWrap/>
            <w:vAlign w:val="bottom"/>
            <w:hideMark/>
          </w:tcPr>
          <w:p w14:paraId="78569311"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30,74</w:t>
            </w:r>
          </w:p>
        </w:tc>
        <w:tc>
          <w:tcPr>
            <w:tcW w:w="1137" w:type="dxa"/>
            <w:tcBorders>
              <w:top w:val="nil"/>
              <w:left w:val="nil"/>
              <w:bottom w:val="single" w:sz="4" w:space="0" w:color="auto"/>
              <w:right w:val="single" w:sz="4" w:space="0" w:color="auto"/>
            </w:tcBorders>
            <w:shd w:val="clear" w:color="auto" w:fill="auto"/>
            <w:noWrap/>
            <w:vAlign w:val="bottom"/>
            <w:hideMark/>
          </w:tcPr>
          <w:p w14:paraId="2C54F148"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2,26</w:t>
            </w:r>
          </w:p>
        </w:tc>
        <w:tc>
          <w:tcPr>
            <w:tcW w:w="1273" w:type="dxa"/>
            <w:tcBorders>
              <w:top w:val="nil"/>
              <w:left w:val="nil"/>
              <w:bottom w:val="single" w:sz="4" w:space="0" w:color="auto"/>
              <w:right w:val="single" w:sz="4" w:space="0" w:color="auto"/>
            </w:tcBorders>
            <w:shd w:val="clear" w:color="auto" w:fill="auto"/>
            <w:noWrap/>
            <w:vAlign w:val="bottom"/>
            <w:hideMark/>
          </w:tcPr>
          <w:p w14:paraId="51B9259B"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3,64</w:t>
            </w:r>
          </w:p>
        </w:tc>
        <w:tc>
          <w:tcPr>
            <w:tcW w:w="1134" w:type="dxa"/>
            <w:tcBorders>
              <w:top w:val="nil"/>
              <w:left w:val="nil"/>
              <w:bottom w:val="single" w:sz="4" w:space="0" w:color="auto"/>
              <w:right w:val="single" w:sz="4" w:space="0" w:color="auto"/>
            </w:tcBorders>
            <w:shd w:val="clear" w:color="auto" w:fill="auto"/>
            <w:noWrap/>
            <w:vAlign w:val="bottom"/>
            <w:hideMark/>
          </w:tcPr>
          <w:p w14:paraId="46E48BF7"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hideMark/>
          </w:tcPr>
          <w:p w14:paraId="48DA68B5"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7DEFC9C2"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731C07CB"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5,94</w:t>
            </w:r>
          </w:p>
        </w:tc>
        <w:tc>
          <w:tcPr>
            <w:tcW w:w="944" w:type="dxa"/>
            <w:tcBorders>
              <w:top w:val="nil"/>
              <w:left w:val="nil"/>
              <w:bottom w:val="single" w:sz="4" w:space="0" w:color="auto"/>
              <w:right w:val="single" w:sz="4" w:space="0" w:color="auto"/>
            </w:tcBorders>
            <w:shd w:val="clear" w:color="auto" w:fill="auto"/>
            <w:noWrap/>
            <w:vAlign w:val="bottom"/>
            <w:hideMark/>
          </w:tcPr>
          <w:p w14:paraId="1563DB61"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18,90</w:t>
            </w:r>
          </w:p>
        </w:tc>
      </w:tr>
      <w:tr w:rsidR="006A0356" w:rsidRPr="008860BA" w14:paraId="4EC479EB" w14:textId="77777777" w:rsidTr="006A0356">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67BA80C5" w14:textId="77777777" w:rsidR="006A0356" w:rsidRPr="008860BA" w:rsidRDefault="006A0356" w:rsidP="006A0356">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Transfer intern</w:t>
            </w:r>
          </w:p>
        </w:tc>
        <w:tc>
          <w:tcPr>
            <w:tcW w:w="673" w:type="dxa"/>
            <w:tcBorders>
              <w:top w:val="nil"/>
              <w:left w:val="nil"/>
              <w:bottom w:val="single" w:sz="4" w:space="0" w:color="auto"/>
              <w:right w:val="single" w:sz="4" w:space="0" w:color="auto"/>
            </w:tcBorders>
            <w:shd w:val="clear" w:color="auto" w:fill="auto"/>
            <w:noWrap/>
            <w:vAlign w:val="bottom"/>
            <w:hideMark/>
          </w:tcPr>
          <w:p w14:paraId="78EB059E"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6B43687F"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0,89</w:t>
            </w:r>
          </w:p>
        </w:tc>
        <w:tc>
          <w:tcPr>
            <w:tcW w:w="1275" w:type="dxa"/>
            <w:tcBorders>
              <w:top w:val="nil"/>
              <w:left w:val="nil"/>
              <w:bottom w:val="single" w:sz="4" w:space="0" w:color="auto"/>
              <w:right w:val="single" w:sz="4" w:space="0" w:color="auto"/>
            </w:tcBorders>
            <w:shd w:val="clear" w:color="auto" w:fill="auto"/>
            <w:noWrap/>
            <w:vAlign w:val="bottom"/>
            <w:hideMark/>
          </w:tcPr>
          <w:p w14:paraId="140CB1C5"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0,89</w:t>
            </w:r>
          </w:p>
        </w:tc>
        <w:tc>
          <w:tcPr>
            <w:tcW w:w="1137" w:type="dxa"/>
            <w:tcBorders>
              <w:top w:val="nil"/>
              <w:left w:val="nil"/>
              <w:bottom w:val="single" w:sz="4" w:space="0" w:color="auto"/>
              <w:right w:val="single" w:sz="4" w:space="0" w:color="auto"/>
            </w:tcBorders>
            <w:shd w:val="clear" w:color="auto" w:fill="auto"/>
            <w:hideMark/>
          </w:tcPr>
          <w:p w14:paraId="460CA01E"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1273" w:type="dxa"/>
            <w:tcBorders>
              <w:top w:val="nil"/>
              <w:left w:val="nil"/>
              <w:bottom w:val="single" w:sz="4" w:space="0" w:color="auto"/>
              <w:right w:val="single" w:sz="4" w:space="0" w:color="auto"/>
            </w:tcBorders>
            <w:shd w:val="clear" w:color="auto" w:fill="auto"/>
            <w:noWrap/>
            <w:vAlign w:val="bottom"/>
            <w:hideMark/>
          </w:tcPr>
          <w:p w14:paraId="6D6778A9"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34" w:type="dxa"/>
            <w:tcBorders>
              <w:top w:val="nil"/>
              <w:left w:val="nil"/>
              <w:bottom w:val="single" w:sz="4" w:space="0" w:color="auto"/>
              <w:right w:val="single" w:sz="4" w:space="0" w:color="auto"/>
            </w:tcBorders>
            <w:shd w:val="clear" w:color="auto" w:fill="auto"/>
            <w:noWrap/>
            <w:vAlign w:val="bottom"/>
            <w:hideMark/>
          </w:tcPr>
          <w:p w14:paraId="358CDC76"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hideMark/>
          </w:tcPr>
          <w:p w14:paraId="77F27873"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2C03CEF6"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29277E86"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0,89</w:t>
            </w:r>
          </w:p>
        </w:tc>
        <w:tc>
          <w:tcPr>
            <w:tcW w:w="944" w:type="dxa"/>
            <w:tcBorders>
              <w:top w:val="nil"/>
              <w:left w:val="nil"/>
              <w:bottom w:val="single" w:sz="4" w:space="0" w:color="auto"/>
              <w:right w:val="single" w:sz="4" w:space="0" w:color="auto"/>
            </w:tcBorders>
            <w:shd w:val="clear" w:color="auto" w:fill="auto"/>
            <w:hideMark/>
          </w:tcPr>
          <w:p w14:paraId="6B2D9545"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r>
      <w:tr w:rsidR="006A0356" w:rsidRPr="008860BA" w14:paraId="5363442D" w14:textId="77777777" w:rsidTr="006A0356">
        <w:trPr>
          <w:trHeight w:val="20"/>
        </w:trPr>
        <w:tc>
          <w:tcPr>
            <w:tcW w:w="3681" w:type="dxa"/>
            <w:tcBorders>
              <w:top w:val="nil"/>
              <w:left w:val="single" w:sz="4" w:space="0" w:color="auto"/>
              <w:bottom w:val="single" w:sz="4" w:space="0" w:color="auto"/>
              <w:right w:val="single" w:sz="4" w:space="0" w:color="auto"/>
            </w:tcBorders>
            <w:shd w:val="clear" w:color="auto" w:fill="auto"/>
            <w:hideMark/>
          </w:tcPr>
          <w:p w14:paraId="6285FDF7" w14:textId="77777777" w:rsidR="006A0356" w:rsidRPr="008860BA" w:rsidRDefault="006A0356" w:rsidP="006A0356">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Uzura OMVSD</w:t>
            </w:r>
          </w:p>
        </w:tc>
        <w:tc>
          <w:tcPr>
            <w:tcW w:w="673" w:type="dxa"/>
            <w:tcBorders>
              <w:top w:val="nil"/>
              <w:left w:val="nil"/>
              <w:bottom w:val="single" w:sz="4" w:space="0" w:color="auto"/>
              <w:right w:val="single" w:sz="4" w:space="0" w:color="auto"/>
            </w:tcBorders>
            <w:shd w:val="clear" w:color="auto" w:fill="auto"/>
            <w:noWrap/>
            <w:vAlign w:val="bottom"/>
            <w:hideMark/>
          </w:tcPr>
          <w:p w14:paraId="496CE584"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hideMark/>
          </w:tcPr>
          <w:p w14:paraId="71ADCB4C"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1.843,74</w:t>
            </w:r>
          </w:p>
        </w:tc>
        <w:tc>
          <w:tcPr>
            <w:tcW w:w="1275" w:type="dxa"/>
            <w:tcBorders>
              <w:top w:val="nil"/>
              <w:left w:val="nil"/>
              <w:bottom w:val="single" w:sz="4" w:space="0" w:color="auto"/>
              <w:right w:val="single" w:sz="4" w:space="0" w:color="auto"/>
            </w:tcBorders>
            <w:shd w:val="clear" w:color="auto" w:fill="auto"/>
            <w:noWrap/>
            <w:vAlign w:val="bottom"/>
            <w:hideMark/>
          </w:tcPr>
          <w:p w14:paraId="335D145A"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1.843,74</w:t>
            </w:r>
          </w:p>
        </w:tc>
        <w:tc>
          <w:tcPr>
            <w:tcW w:w="1137" w:type="dxa"/>
            <w:tcBorders>
              <w:top w:val="nil"/>
              <w:left w:val="nil"/>
              <w:bottom w:val="single" w:sz="4" w:space="0" w:color="auto"/>
              <w:right w:val="single" w:sz="4" w:space="0" w:color="auto"/>
            </w:tcBorders>
            <w:shd w:val="clear" w:color="auto" w:fill="auto"/>
            <w:noWrap/>
            <w:vAlign w:val="bottom"/>
            <w:hideMark/>
          </w:tcPr>
          <w:p w14:paraId="14E29059"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1.028,41</w:t>
            </w:r>
          </w:p>
        </w:tc>
        <w:tc>
          <w:tcPr>
            <w:tcW w:w="1273" w:type="dxa"/>
            <w:tcBorders>
              <w:top w:val="nil"/>
              <w:left w:val="nil"/>
              <w:bottom w:val="single" w:sz="4" w:space="0" w:color="auto"/>
              <w:right w:val="single" w:sz="4" w:space="0" w:color="auto"/>
            </w:tcBorders>
            <w:shd w:val="clear" w:color="auto" w:fill="auto"/>
            <w:noWrap/>
            <w:vAlign w:val="bottom"/>
            <w:hideMark/>
          </w:tcPr>
          <w:p w14:paraId="52C85D07"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1,04</w:t>
            </w:r>
          </w:p>
        </w:tc>
        <w:tc>
          <w:tcPr>
            <w:tcW w:w="1134" w:type="dxa"/>
            <w:tcBorders>
              <w:top w:val="nil"/>
              <w:left w:val="nil"/>
              <w:bottom w:val="single" w:sz="4" w:space="0" w:color="auto"/>
              <w:right w:val="single" w:sz="4" w:space="0" w:color="auto"/>
            </w:tcBorders>
            <w:shd w:val="clear" w:color="auto" w:fill="auto"/>
            <w:noWrap/>
            <w:vAlign w:val="bottom"/>
            <w:hideMark/>
          </w:tcPr>
          <w:p w14:paraId="6BA5C64F"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51B5ACB3"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41AF2D5D"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0,83</w:t>
            </w:r>
          </w:p>
        </w:tc>
        <w:tc>
          <w:tcPr>
            <w:tcW w:w="853" w:type="dxa"/>
            <w:tcBorders>
              <w:top w:val="nil"/>
              <w:left w:val="nil"/>
              <w:bottom w:val="single" w:sz="4" w:space="0" w:color="auto"/>
              <w:right w:val="single" w:sz="4" w:space="0" w:color="auto"/>
            </w:tcBorders>
            <w:shd w:val="clear" w:color="auto" w:fill="auto"/>
            <w:noWrap/>
            <w:vAlign w:val="bottom"/>
            <w:hideMark/>
          </w:tcPr>
          <w:p w14:paraId="786C168F"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176,57</w:t>
            </w:r>
          </w:p>
        </w:tc>
        <w:tc>
          <w:tcPr>
            <w:tcW w:w="944" w:type="dxa"/>
            <w:tcBorders>
              <w:top w:val="nil"/>
              <w:left w:val="nil"/>
              <w:bottom w:val="single" w:sz="4" w:space="0" w:color="auto"/>
              <w:right w:val="single" w:sz="4" w:space="0" w:color="auto"/>
            </w:tcBorders>
            <w:shd w:val="clear" w:color="auto" w:fill="auto"/>
            <w:noWrap/>
            <w:vAlign w:val="bottom"/>
            <w:hideMark/>
          </w:tcPr>
          <w:p w14:paraId="65AA5A9E"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636,89</w:t>
            </w:r>
          </w:p>
        </w:tc>
      </w:tr>
      <w:tr w:rsidR="006A0356" w:rsidRPr="008860BA" w14:paraId="7CE63044" w14:textId="77777777" w:rsidTr="006A0356">
        <w:trPr>
          <w:trHeight w:val="2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223B57F4" w14:textId="77777777" w:rsidR="006A0356" w:rsidRPr="008860BA" w:rsidRDefault="006A0356" w:rsidP="006A0356">
            <w:pPr>
              <w:spacing w:after="0" w:line="240" w:lineRule="auto"/>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Cheltuieli administrative</w:t>
            </w:r>
          </w:p>
        </w:tc>
        <w:tc>
          <w:tcPr>
            <w:tcW w:w="673" w:type="dxa"/>
            <w:tcBorders>
              <w:top w:val="nil"/>
              <w:left w:val="nil"/>
              <w:bottom w:val="single" w:sz="4" w:space="0" w:color="auto"/>
              <w:right w:val="single" w:sz="4" w:space="0" w:color="auto"/>
            </w:tcBorders>
            <w:shd w:val="clear" w:color="auto" w:fill="auto"/>
            <w:noWrap/>
            <w:vAlign w:val="bottom"/>
            <w:hideMark/>
          </w:tcPr>
          <w:p w14:paraId="59A9EACE" w14:textId="77777777" w:rsidR="006A0356" w:rsidRPr="008860BA" w:rsidRDefault="006A0356" w:rsidP="006A0356">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713</w:t>
            </w:r>
          </w:p>
        </w:tc>
        <w:tc>
          <w:tcPr>
            <w:tcW w:w="1170" w:type="dxa"/>
            <w:tcBorders>
              <w:top w:val="nil"/>
              <w:left w:val="nil"/>
              <w:bottom w:val="single" w:sz="4" w:space="0" w:color="auto"/>
              <w:right w:val="single" w:sz="4" w:space="0" w:color="auto"/>
            </w:tcBorders>
            <w:shd w:val="clear" w:color="auto" w:fill="auto"/>
            <w:noWrap/>
            <w:vAlign w:val="bottom"/>
            <w:hideMark/>
          </w:tcPr>
          <w:p w14:paraId="66A1BF65" w14:textId="77777777" w:rsidR="006A0356" w:rsidRPr="008860BA" w:rsidRDefault="006A0356" w:rsidP="006A0356">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17.218,25</w:t>
            </w:r>
          </w:p>
        </w:tc>
        <w:tc>
          <w:tcPr>
            <w:tcW w:w="1275" w:type="dxa"/>
            <w:tcBorders>
              <w:top w:val="nil"/>
              <w:left w:val="nil"/>
              <w:bottom w:val="single" w:sz="4" w:space="0" w:color="auto"/>
              <w:right w:val="single" w:sz="4" w:space="0" w:color="auto"/>
            </w:tcBorders>
            <w:shd w:val="clear" w:color="auto" w:fill="auto"/>
            <w:noWrap/>
            <w:vAlign w:val="bottom"/>
            <w:hideMark/>
          </w:tcPr>
          <w:p w14:paraId="6638685F" w14:textId="77777777" w:rsidR="006A0356" w:rsidRPr="008860BA" w:rsidRDefault="006A0356" w:rsidP="006A0356">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17.218,25</w:t>
            </w:r>
          </w:p>
        </w:tc>
        <w:tc>
          <w:tcPr>
            <w:tcW w:w="1137" w:type="dxa"/>
            <w:tcBorders>
              <w:top w:val="nil"/>
              <w:left w:val="nil"/>
              <w:bottom w:val="single" w:sz="4" w:space="0" w:color="auto"/>
              <w:right w:val="single" w:sz="4" w:space="0" w:color="auto"/>
            </w:tcBorders>
            <w:shd w:val="clear" w:color="auto" w:fill="auto"/>
            <w:noWrap/>
            <w:vAlign w:val="bottom"/>
            <w:hideMark/>
          </w:tcPr>
          <w:p w14:paraId="1D08E6D2" w14:textId="77777777" w:rsidR="006A0356" w:rsidRPr="008860BA" w:rsidRDefault="006A0356" w:rsidP="006A0356">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16.560,93</w:t>
            </w:r>
          </w:p>
        </w:tc>
        <w:tc>
          <w:tcPr>
            <w:tcW w:w="1273" w:type="dxa"/>
            <w:tcBorders>
              <w:top w:val="nil"/>
              <w:left w:val="nil"/>
              <w:bottom w:val="single" w:sz="4" w:space="0" w:color="auto"/>
              <w:right w:val="single" w:sz="4" w:space="0" w:color="auto"/>
            </w:tcBorders>
            <w:shd w:val="clear" w:color="auto" w:fill="auto"/>
            <w:noWrap/>
            <w:vAlign w:val="bottom"/>
            <w:hideMark/>
          </w:tcPr>
          <w:p w14:paraId="798BC5C0" w14:textId="77777777" w:rsidR="006A0356" w:rsidRPr="008860BA" w:rsidRDefault="006A0356" w:rsidP="006A0356">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34,89</w:t>
            </w:r>
          </w:p>
        </w:tc>
        <w:tc>
          <w:tcPr>
            <w:tcW w:w="1134" w:type="dxa"/>
            <w:tcBorders>
              <w:top w:val="nil"/>
              <w:left w:val="nil"/>
              <w:bottom w:val="single" w:sz="4" w:space="0" w:color="auto"/>
              <w:right w:val="single" w:sz="4" w:space="0" w:color="auto"/>
            </w:tcBorders>
            <w:shd w:val="clear" w:color="auto" w:fill="auto"/>
            <w:noWrap/>
            <w:vAlign w:val="bottom"/>
            <w:hideMark/>
          </w:tcPr>
          <w:p w14:paraId="022E5130" w14:textId="77777777" w:rsidR="006A0356" w:rsidRPr="008860BA" w:rsidRDefault="006A0356" w:rsidP="006A0356">
            <w:pPr>
              <w:spacing w:after="0" w:line="240" w:lineRule="auto"/>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45ED4A6C" w14:textId="77777777" w:rsidR="006A0356" w:rsidRPr="008860BA" w:rsidRDefault="006A0356" w:rsidP="006A0356">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525,75</w:t>
            </w:r>
          </w:p>
        </w:tc>
        <w:tc>
          <w:tcPr>
            <w:tcW w:w="853" w:type="dxa"/>
            <w:tcBorders>
              <w:top w:val="nil"/>
              <w:left w:val="nil"/>
              <w:bottom w:val="single" w:sz="4" w:space="0" w:color="auto"/>
              <w:right w:val="single" w:sz="4" w:space="0" w:color="auto"/>
            </w:tcBorders>
            <w:shd w:val="clear" w:color="auto" w:fill="auto"/>
            <w:noWrap/>
            <w:vAlign w:val="bottom"/>
            <w:hideMark/>
          </w:tcPr>
          <w:p w14:paraId="3B4CDC9D" w14:textId="77777777" w:rsidR="006A0356" w:rsidRPr="008860BA" w:rsidRDefault="006A0356" w:rsidP="006A0356">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48,87</w:t>
            </w:r>
          </w:p>
        </w:tc>
        <w:tc>
          <w:tcPr>
            <w:tcW w:w="853" w:type="dxa"/>
            <w:tcBorders>
              <w:top w:val="nil"/>
              <w:left w:val="nil"/>
              <w:bottom w:val="single" w:sz="4" w:space="0" w:color="auto"/>
              <w:right w:val="single" w:sz="4" w:space="0" w:color="auto"/>
            </w:tcBorders>
            <w:shd w:val="clear" w:color="auto" w:fill="auto"/>
            <w:noWrap/>
            <w:vAlign w:val="bottom"/>
            <w:hideMark/>
          </w:tcPr>
          <w:p w14:paraId="0EB8598A" w14:textId="77777777" w:rsidR="006A0356" w:rsidRPr="008860BA" w:rsidRDefault="006A0356" w:rsidP="006A0356">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41,90</w:t>
            </w:r>
          </w:p>
        </w:tc>
        <w:tc>
          <w:tcPr>
            <w:tcW w:w="944" w:type="dxa"/>
            <w:tcBorders>
              <w:top w:val="nil"/>
              <w:left w:val="nil"/>
              <w:bottom w:val="single" w:sz="4" w:space="0" w:color="auto"/>
              <w:right w:val="single" w:sz="4" w:space="0" w:color="auto"/>
            </w:tcBorders>
            <w:shd w:val="clear" w:color="auto" w:fill="auto"/>
            <w:noWrap/>
            <w:vAlign w:val="bottom"/>
            <w:hideMark/>
          </w:tcPr>
          <w:p w14:paraId="514FC931" w14:textId="77777777" w:rsidR="006A0356" w:rsidRPr="008860BA" w:rsidRDefault="006A0356" w:rsidP="006A0356">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5,90</w:t>
            </w:r>
          </w:p>
        </w:tc>
      </w:tr>
      <w:tr w:rsidR="006A0356" w:rsidRPr="008860BA" w14:paraId="7C1EB0D1" w14:textId="77777777" w:rsidTr="006A0356">
        <w:trPr>
          <w:trHeight w:val="2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25D6AE3F" w14:textId="56420DF6" w:rsidR="006A0356" w:rsidRPr="008860BA" w:rsidRDefault="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Fondul social (24%)</w:t>
            </w:r>
          </w:p>
        </w:tc>
        <w:tc>
          <w:tcPr>
            <w:tcW w:w="673" w:type="dxa"/>
            <w:tcBorders>
              <w:top w:val="nil"/>
              <w:left w:val="nil"/>
              <w:bottom w:val="single" w:sz="4" w:space="0" w:color="auto"/>
              <w:right w:val="single" w:sz="4" w:space="0" w:color="auto"/>
            </w:tcBorders>
            <w:shd w:val="clear" w:color="auto" w:fill="auto"/>
            <w:noWrap/>
            <w:vAlign w:val="bottom"/>
            <w:hideMark/>
          </w:tcPr>
          <w:p w14:paraId="37E75F02"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noWrap/>
            <w:vAlign w:val="bottom"/>
            <w:hideMark/>
          </w:tcPr>
          <w:p w14:paraId="4234AB70"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3.253,65</w:t>
            </w:r>
          </w:p>
        </w:tc>
        <w:tc>
          <w:tcPr>
            <w:tcW w:w="1275" w:type="dxa"/>
            <w:tcBorders>
              <w:top w:val="nil"/>
              <w:left w:val="nil"/>
              <w:bottom w:val="single" w:sz="4" w:space="0" w:color="auto"/>
              <w:right w:val="single" w:sz="4" w:space="0" w:color="auto"/>
            </w:tcBorders>
            <w:shd w:val="clear" w:color="auto" w:fill="auto"/>
            <w:noWrap/>
            <w:vAlign w:val="bottom"/>
            <w:hideMark/>
          </w:tcPr>
          <w:p w14:paraId="79A1CE1C"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3.253,65</w:t>
            </w:r>
          </w:p>
        </w:tc>
        <w:tc>
          <w:tcPr>
            <w:tcW w:w="1137" w:type="dxa"/>
            <w:tcBorders>
              <w:top w:val="nil"/>
              <w:left w:val="nil"/>
              <w:bottom w:val="single" w:sz="4" w:space="0" w:color="auto"/>
              <w:right w:val="single" w:sz="4" w:space="0" w:color="auto"/>
            </w:tcBorders>
            <w:shd w:val="clear" w:color="auto" w:fill="auto"/>
            <w:noWrap/>
            <w:vAlign w:val="bottom"/>
            <w:hideMark/>
          </w:tcPr>
          <w:p w14:paraId="4F6D13FD"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3.146,37</w:t>
            </w:r>
          </w:p>
        </w:tc>
        <w:tc>
          <w:tcPr>
            <w:tcW w:w="1273" w:type="dxa"/>
            <w:tcBorders>
              <w:top w:val="nil"/>
              <w:left w:val="nil"/>
              <w:bottom w:val="single" w:sz="4" w:space="0" w:color="auto"/>
              <w:right w:val="single" w:sz="4" w:space="0" w:color="auto"/>
            </w:tcBorders>
            <w:shd w:val="clear" w:color="auto" w:fill="auto"/>
            <w:noWrap/>
            <w:vAlign w:val="bottom"/>
            <w:hideMark/>
          </w:tcPr>
          <w:p w14:paraId="26A4A8A7"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6,75</w:t>
            </w:r>
          </w:p>
        </w:tc>
        <w:tc>
          <w:tcPr>
            <w:tcW w:w="1134" w:type="dxa"/>
            <w:tcBorders>
              <w:top w:val="nil"/>
              <w:left w:val="nil"/>
              <w:bottom w:val="single" w:sz="4" w:space="0" w:color="auto"/>
              <w:right w:val="single" w:sz="4" w:space="0" w:color="auto"/>
            </w:tcBorders>
            <w:shd w:val="clear" w:color="auto" w:fill="auto"/>
            <w:noWrap/>
            <w:vAlign w:val="bottom"/>
            <w:hideMark/>
          </w:tcPr>
          <w:p w14:paraId="15E6DD0C"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54BAC8AF"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90,50</w:t>
            </w:r>
          </w:p>
        </w:tc>
        <w:tc>
          <w:tcPr>
            <w:tcW w:w="853" w:type="dxa"/>
            <w:tcBorders>
              <w:top w:val="nil"/>
              <w:left w:val="nil"/>
              <w:bottom w:val="single" w:sz="4" w:space="0" w:color="auto"/>
              <w:right w:val="single" w:sz="4" w:space="0" w:color="auto"/>
            </w:tcBorders>
            <w:shd w:val="clear" w:color="auto" w:fill="auto"/>
            <w:noWrap/>
            <w:vAlign w:val="bottom"/>
            <w:hideMark/>
          </w:tcPr>
          <w:p w14:paraId="1CB1CBAD"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9,46</w:t>
            </w:r>
          </w:p>
        </w:tc>
        <w:tc>
          <w:tcPr>
            <w:tcW w:w="853" w:type="dxa"/>
            <w:tcBorders>
              <w:top w:val="nil"/>
              <w:left w:val="nil"/>
              <w:bottom w:val="single" w:sz="4" w:space="0" w:color="auto"/>
              <w:right w:val="single" w:sz="4" w:space="0" w:color="auto"/>
            </w:tcBorders>
            <w:shd w:val="clear" w:color="auto" w:fill="auto"/>
            <w:noWrap/>
            <w:vAlign w:val="bottom"/>
            <w:hideMark/>
          </w:tcPr>
          <w:p w14:paraId="6BDF671D"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0,57</w:t>
            </w:r>
          </w:p>
        </w:tc>
        <w:tc>
          <w:tcPr>
            <w:tcW w:w="944" w:type="dxa"/>
            <w:tcBorders>
              <w:top w:val="nil"/>
              <w:left w:val="nil"/>
              <w:bottom w:val="single" w:sz="4" w:space="0" w:color="auto"/>
              <w:right w:val="single" w:sz="4" w:space="0" w:color="auto"/>
            </w:tcBorders>
            <w:shd w:val="clear" w:color="auto" w:fill="auto"/>
            <w:noWrap/>
            <w:vAlign w:val="bottom"/>
            <w:hideMark/>
          </w:tcPr>
          <w:p w14:paraId="7483B75F"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0,01</w:t>
            </w:r>
          </w:p>
        </w:tc>
      </w:tr>
      <w:tr w:rsidR="006A0356" w:rsidRPr="008860BA" w14:paraId="3B969D9E" w14:textId="77777777" w:rsidTr="006A0356">
        <w:trPr>
          <w:trHeight w:val="2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40724520"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Remunerarea muncii</w:t>
            </w:r>
          </w:p>
        </w:tc>
        <w:tc>
          <w:tcPr>
            <w:tcW w:w="673" w:type="dxa"/>
            <w:tcBorders>
              <w:top w:val="nil"/>
              <w:left w:val="nil"/>
              <w:bottom w:val="single" w:sz="4" w:space="0" w:color="auto"/>
              <w:right w:val="single" w:sz="4" w:space="0" w:color="auto"/>
            </w:tcBorders>
            <w:shd w:val="clear" w:color="auto" w:fill="auto"/>
            <w:noWrap/>
            <w:vAlign w:val="bottom"/>
            <w:hideMark/>
          </w:tcPr>
          <w:p w14:paraId="7AD2B88F"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noWrap/>
            <w:vAlign w:val="bottom"/>
            <w:hideMark/>
          </w:tcPr>
          <w:p w14:paraId="00FF4149"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13.556,89</w:t>
            </w:r>
          </w:p>
        </w:tc>
        <w:tc>
          <w:tcPr>
            <w:tcW w:w="1275" w:type="dxa"/>
            <w:tcBorders>
              <w:top w:val="nil"/>
              <w:left w:val="nil"/>
              <w:bottom w:val="single" w:sz="4" w:space="0" w:color="auto"/>
              <w:right w:val="single" w:sz="4" w:space="0" w:color="auto"/>
            </w:tcBorders>
            <w:shd w:val="clear" w:color="auto" w:fill="auto"/>
            <w:noWrap/>
            <w:vAlign w:val="bottom"/>
            <w:hideMark/>
          </w:tcPr>
          <w:p w14:paraId="5B784065"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13.556,89</w:t>
            </w:r>
          </w:p>
        </w:tc>
        <w:tc>
          <w:tcPr>
            <w:tcW w:w="1137" w:type="dxa"/>
            <w:tcBorders>
              <w:top w:val="nil"/>
              <w:left w:val="nil"/>
              <w:bottom w:val="single" w:sz="4" w:space="0" w:color="auto"/>
              <w:right w:val="single" w:sz="4" w:space="0" w:color="auto"/>
            </w:tcBorders>
            <w:shd w:val="clear" w:color="auto" w:fill="auto"/>
            <w:noWrap/>
            <w:vAlign w:val="bottom"/>
            <w:hideMark/>
          </w:tcPr>
          <w:p w14:paraId="2F4B4958"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13.109,86</w:t>
            </w:r>
          </w:p>
        </w:tc>
        <w:tc>
          <w:tcPr>
            <w:tcW w:w="1273" w:type="dxa"/>
            <w:tcBorders>
              <w:top w:val="nil"/>
              <w:left w:val="nil"/>
              <w:bottom w:val="single" w:sz="4" w:space="0" w:color="auto"/>
              <w:right w:val="single" w:sz="4" w:space="0" w:color="auto"/>
            </w:tcBorders>
            <w:shd w:val="clear" w:color="auto" w:fill="auto"/>
            <w:noWrap/>
            <w:vAlign w:val="bottom"/>
            <w:hideMark/>
          </w:tcPr>
          <w:p w14:paraId="7649946D"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28,14</w:t>
            </w:r>
          </w:p>
        </w:tc>
        <w:tc>
          <w:tcPr>
            <w:tcW w:w="1134" w:type="dxa"/>
            <w:tcBorders>
              <w:top w:val="nil"/>
              <w:left w:val="nil"/>
              <w:bottom w:val="single" w:sz="4" w:space="0" w:color="auto"/>
              <w:right w:val="single" w:sz="4" w:space="0" w:color="auto"/>
            </w:tcBorders>
            <w:shd w:val="clear" w:color="auto" w:fill="auto"/>
            <w:noWrap/>
            <w:vAlign w:val="bottom"/>
            <w:hideMark/>
          </w:tcPr>
          <w:p w14:paraId="7FD0032B"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6A168646"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377,07</w:t>
            </w:r>
          </w:p>
        </w:tc>
        <w:tc>
          <w:tcPr>
            <w:tcW w:w="853" w:type="dxa"/>
            <w:tcBorders>
              <w:top w:val="nil"/>
              <w:left w:val="nil"/>
              <w:bottom w:val="single" w:sz="4" w:space="0" w:color="auto"/>
              <w:right w:val="single" w:sz="4" w:space="0" w:color="auto"/>
            </w:tcBorders>
            <w:shd w:val="clear" w:color="auto" w:fill="auto"/>
            <w:noWrap/>
            <w:vAlign w:val="bottom"/>
            <w:hideMark/>
          </w:tcPr>
          <w:p w14:paraId="7D2A1CCB"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39,41</w:t>
            </w:r>
          </w:p>
        </w:tc>
        <w:tc>
          <w:tcPr>
            <w:tcW w:w="853" w:type="dxa"/>
            <w:tcBorders>
              <w:top w:val="nil"/>
              <w:left w:val="nil"/>
              <w:bottom w:val="single" w:sz="4" w:space="0" w:color="auto"/>
              <w:right w:val="single" w:sz="4" w:space="0" w:color="auto"/>
            </w:tcBorders>
            <w:shd w:val="clear" w:color="auto" w:fill="auto"/>
            <w:noWrap/>
            <w:vAlign w:val="bottom"/>
            <w:hideMark/>
          </w:tcPr>
          <w:p w14:paraId="539F9121"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2,36</w:t>
            </w:r>
          </w:p>
        </w:tc>
        <w:tc>
          <w:tcPr>
            <w:tcW w:w="944" w:type="dxa"/>
            <w:tcBorders>
              <w:top w:val="nil"/>
              <w:left w:val="nil"/>
              <w:bottom w:val="single" w:sz="4" w:space="0" w:color="auto"/>
              <w:right w:val="single" w:sz="4" w:space="0" w:color="auto"/>
            </w:tcBorders>
            <w:shd w:val="clear" w:color="auto" w:fill="auto"/>
            <w:noWrap/>
            <w:vAlign w:val="bottom"/>
            <w:hideMark/>
          </w:tcPr>
          <w:p w14:paraId="2B8F82B8"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0,05</w:t>
            </w:r>
          </w:p>
        </w:tc>
      </w:tr>
      <w:tr w:rsidR="006A0356" w:rsidRPr="008860BA" w14:paraId="76241B4E" w14:textId="77777777" w:rsidTr="006A0356">
        <w:trPr>
          <w:trHeight w:val="2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1C2988E6" w14:textId="05742979" w:rsidR="006A0356" w:rsidRPr="008860BA" w:rsidRDefault="002101A1" w:rsidP="002101A1">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Incapacitate temporară de muncă</w:t>
            </w:r>
          </w:p>
        </w:tc>
        <w:tc>
          <w:tcPr>
            <w:tcW w:w="673" w:type="dxa"/>
            <w:tcBorders>
              <w:top w:val="nil"/>
              <w:left w:val="nil"/>
              <w:bottom w:val="single" w:sz="4" w:space="0" w:color="auto"/>
              <w:right w:val="single" w:sz="4" w:space="0" w:color="auto"/>
            </w:tcBorders>
            <w:shd w:val="clear" w:color="auto" w:fill="auto"/>
            <w:noWrap/>
            <w:vAlign w:val="bottom"/>
            <w:hideMark/>
          </w:tcPr>
          <w:p w14:paraId="00759283"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noWrap/>
            <w:vAlign w:val="bottom"/>
            <w:hideMark/>
          </w:tcPr>
          <w:p w14:paraId="39824C7C"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370,46</w:t>
            </w:r>
          </w:p>
        </w:tc>
        <w:tc>
          <w:tcPr>
            <w:tcW w:w="1275" w:type="dxa"/>
            <w:tcBorders>
              <w:top w:val="nil"/>
              <w:left w:val="nil"/>
              <w:bottom w:val="single" w:sz="4" w:space="0" w:color="auto"/>
              <w:right w:val="single" w:sz="4" w:space="0" w:color="auto"/>
            </w:tcBorders>
            <w:shd w:val="clear" w:color="auto" w:fill="auto"/>
            <w:noWrap/>
            <w:vAlign w:val="bottom"/>
            <w:hideMark/>
          </w:tcPr>
          <w:p w14:paraId="56BD00EC"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370,46</w:t>
            </w:r>
          </w:p>
        </w:tc>
        <w:tc>
          <w:tcPr>
            <w:tcW w:w="1137" w:type="dxa"/>
            <w:tcBorders>
              <w:top w:val="nil"/>
              <w:left w:val="nil"/>
              <w:bottom w:val="single" w:sz="4" w:space="0" w:color="auto"/>
              <w:right w:val="single" w:sz="4" w:space="0" w:color="auto"/>
            </w:tcBorders>
            <w:shd w:val="clear" w:color="auto" w:fill="auto"/>
            <w:noWrap/>
            <w:vAlign w:val="bottom"/>
            <w:hideMark/>
          </w:tcPr>
          <w:p w14:paraId="2BD934CD"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304,70</w:t>
            </w:r>
          </w:p>
        </w:tc>
        <w:tc>
          <w:tcPr>
            <w:tcW w:w="1273" w:type="dxa"/>
            <w:tcBorders>
              <w:top w:val="nil"/>
              <w:left w:val="nil"/>
              <w:bottom w:val="single" w:sz="4" w:space="0" w:color="auto"/>
              <w:right w:val="single" w:sz="4" w:space="0" w:color="auto"/>
            </w:tcBorders>
            <w:shd w:val="clear" w:color="auto" w:fill="auto"/>
            <w:noWrap/>
            <w:vAlign w:val="bottom"/>
            <w:hideMark/>
          </w:tcPr>
          <w:p w14:paraId="46CB78DC"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34" w:type="dxa"/>
            <w:tcBorders>
              <w:top w:val="nil"/>
              <w:left w:val="nil"/>
              <w:bottom w:val="single" w:sz="4" w:space="0" w:color="auto"/>
              <w:right w:val="single" w:sz="4" w:space="0" w:color="auto"/>
            </w:tcBorders>
            <w:shd w:val="clear" w:color="auto" w:fill="auto"/>
            <w:noWrap/>
            <w:vAlign w:val="bottom"/>
            <w:hideMark/>
          </w:tcPr>
          <w:p w14:paraId="06E86857"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1CF791F9"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58,19</w:t>
            </w:r>
          </w:p>
        </w:tc>
        <w:tc>
          <w:tcPr>
            <w:tcW w:w="853" w:type="dxa"/>
            <w:tcBorders>
              <w:top w:val="nil"/>
              <w:left w:val="nil"/>
              <w:bottom w:val="single" w:sz="4" w:space="0" w:color="auto"/>
              <w:right w:val="single" w:sz="4" w:space="0" w:color="auto"/>
            </w:tcBorders>
            <w:shd w:val="clear" w:color="auto" w:fill="auto"/>
            <w:noWrap/>
            <w:vAlign w:val="bottom"/>
            <w:hideMark/>
          </w:tcPr>
          <w:p w14:paraId="60A7B20E"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1C66B08F"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2,69</w:t>
            </w:r>
          </w:p>
        </w:tc>
        <w:tc>
          <w:tcPr>
            <w:tcW w:w="944" w:type="dxa"/>
            <w:tcBorders>
              <w:top w:val="nil"/>
              <w:left w:val="nil"/>
              <w:bottom w:val="single" w:sz="4" w:space="0" w:color="auto"/>
              <w:right w:val="single" w:sz="4" w:space="0" w:color="auto"/>
            </w:tcBorders>
            <w:shd w:val="clear" w:color="auto" w:fill="auto"/>
            <w:noWrap/>
            <w:vAlign w:val="bottom"/>
            <w:hideMark/>
          </w:tcPr>
          <w:p w14:paraId="2A901FE3"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4,88</w:t>
            </w:r>
          </w:p>
        </w:tc>
      </w:tr>
      <w:tr w:rsidR="006A0356" w:rsidRPr="008860BA" w14:paraId="23EFA742" w14:textId="77777777" w:rsidTr="006A0356">
        <w:trPr>
          <w:trHeight w:val="2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6238895A"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Taxa pentru drum</w:t>
            </w:r>
          </w:p>
        </w:tc>
        <w:tc>
          <w:tcPr>
            <w:tcW w:w="673" w:type="dxa"/>
            <w:tcBorders>
              <w:top w:val="nil"/>
              <w:left w:val="nil"/>
              <w:bottom w:val="single" w:sz="4" w:space="0" w:color="auto"/>
              <w:right w:val="single" w:sz="4" w:space="0" w:color="auto"/>
            </w:tcBorders>
            <w:shd w:val="clear" w:color="auto" w:fill="auto"/>
            <w:noWrap/>
            <w:vAlign w:val="bottom"/>
            <w:hideMark/>
          </w:tcPr>
          <w:p w14:paraId="2DFA3204"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noWrap/>
            <w:vAlign w:val="bottom"/>
            <w:hideMark/>
          </w:tcPr>
          <w:p w14:paraId="725D81A4"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37,24</w:t>
            </w:r>
          </w:p>
        </w:tc>
        <w:tc>
          <w:tcPr>
            <w:tcW w:w="1275" w:type="dxa"/>
            <w:tcBorders>
              <w:top w:val="nil"/>
              <w:left w:val="nil"/>
              <w:bottom w:val="single" w:sz="4" w:space="0" w:color="auto"/>
              <w:right w:val="single" w:sz="4" w:space="0" w:color="auto"/>
            </w:tcBorders>
            <w:shd w:val="clear" w:color="auto" w:fill="auto"/>
            <w:noWrap/>
            <w:vAlign w:val="bottom"/>
            <w:hideMark/>
          </w:tcPr>
          <w:p w14:paraId="084367A5"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37,24</w:t>
            </w:r>
          </w:p>
        </w:tc>
        <w:tc>
          <w:tcPr>
            <w:tcW w:w="1137" w:type="dxa"/>
            <w:tcBorders>
              <w:top w:val="nil"/>
              <w:left w:val="nil"/>
              <w:bottom w:val="single" w:sz="4" w:space="0" w:color="auto"/>
              <w:right w:val="single" w:sz="4" w:space="0" w:color="auto"/>
            </w:tcBorders>
            <w:shd w:val="clear" w:color="auto" w:fill="auto"/>
            <w:noWrap/>
            <w:vAlign w:val="bottom"/>
            <w:hideMark/>
          </w:tcPr>
          <w:p w14:paraId="1CEBCA2F"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273" w:type="dxa"/>
            <w:tcBorders>
              <w:top w:val="nil"/>
              <w:left w:val="nil"/>
              <w:bottom w:val="single" w:sz="4" w:space="0" w:color="auto"/>
              <w:right w:val="single" w:sz="4" w:space="0" w:color="auto"/>
            </w:tcBorders>
            <w:shd w:val="clear" w:color="auto" w:fill="auto"/>
            <w:noWrap/>
            <w:vAlign w:val="bottom"/>
            <w:hideMark/>
          </w:tcPr>
          <w:p w14:paraId="1CB82B1E"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34" w:type="dxa"/>
            <w:tcBorders>
              <w:top w:val="nil"/>
              <w:left w:val="nil"/>
              <w:bottom w:val="single" w:sz="4" w:space="0" w:color="auto"/>
              <w:right w:val="single" w:sz="4" w:space="0" w:color="auto"/>
            </w:tcBorders>
            <w:shd w:val="clear" w:color="auto" w:fill="auto"/>
            <w:noWrap/>
            <w:vAlign w:val="bottom"/>
            <w:hideMark/>
          </w:tcPr>
          <w:p w14:paraId="605AE0A8"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1969872B"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007332F3"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hideMark/>
          </w:tcPr>
          <w:p w14:paraId="5E763BD7"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36,29</w:t>
            </w:r>
          </w:p>
        </w:tc>
        <w:tc>
          <w:tcPr>
            <w:tcW w:w="944" w:type="dxa"/>
            <w:tcBorders>
              <w:top w:val="nil"/>
              <w:left w:val="nil"/>
              <w:bottom w:val="single" w:sz="4" w:space="0" w:color="auto"/>
              <w:right w:val="single" w:sz="4" w:space="0" w:color="auto"/>
            </w:tcBorders>
            <w:shd w:val="clear" w:color="auto" w:fill="auto"/>
            <w:hideMark/>
          </w:tcPr>
          <w:p w14:paraId="78E27D59"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0,95</w:t>
            </w:r>
          </w:p>
        </w:tc>
      </w:tr>
      <w:tr w:rsidR="006A0356" w:rsidRPr="008860BA" w14:paraId="745AAC4B" w14:textId="77777777" w:rsidTr="006A0356">
        <w:trPr>
          <w:trHeight w:val="20"/>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3BF0666B" w14:textId="77777777" w:rsidR="006A0356" w:rsidRPr="008860BA" w:rsidRDefault="006A0356" w:rsidP="006A0356">
            <w:pPr>
              <w:spacing w:after="0" w:line="240" w:lineRule="auto"/>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Alte cheltuieli</w:t>
            </w:r>
          </w:p>
        </w:tc>
        <w:tc>
          <w:tcPr>
            <w:tcW w:w="673" w:type="dxa"/>
            <w:tcBorders>
              <w:top w:val="nil"/>
              <w:left w:val="nil"/>
              <w:bottom w:val="single" w:sz="4" w:space="0" w:color="auto"/>
              <w:right w:val="single" w:sz="4" w:space="0" w:color="auto"/>
            </w:tcBorders>
            <w:shd w:val="clear" w:color="auto" w:fill="auto"/>
            <w:vAlign w:val="bottom"/>
            <w:hideMark/>
          </w:tcPr>
          <w:p w14:paraId="1095EFBD" w14:textId="77777777" w:rsidR="006A0356" w:rsidRPr="008860BA" w:rsidRDefault="006A0356" w:rsidP="006A0356">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714</w:t>
            </w:r>
          </w:p>
        </w:tc>
        <w:tc>
          <w:tcPr>
            <w:tcW w:w="1170" w:type="dxa"/>
            <w:tcBorders>
              <w:top w:val="nil"/>
              <w:left w:val="nil"/>
              <w:bottom w:val="single" w:sz="4" w:space="0" w:color="auto"/>
              <w:right w:val="single" w:sz="4" w:space="0" w:color="auto"/>
            </w:tcBorders>
            <w:shd w:val="clear" w:color="auto" w:fill="auto"/>
            <w:vAlign w:val="bottom"/>
            <w:hideMark/>
          </w:tcPr>
          <w:p w14:paraId="631AE978" w14:textId="77777777" w:rsidR="006A0356" w:rsidRPr="008860BA" w:rsidRDefault="006A0356" w:rsidP="006A0356">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124,96</w:t>
            </w:r>
          </w:p>
        </w:tc>
        <w:tc>
          <w:tcPr>
            <w:tcW w:w="1275" w:type="dxa"/>
            <w:tcBorders>
              <w:top w:val="nil"/>
              <w:left w:val="nil"/>
              <w:bottom w:val="single" w:sz="4" w:space="0" w:color="auto"/>
              <w:right w:val="single" w:sz="4" w:space="0" w:color="auto"/>
            </w:tcBorders>
            <w:shd w:val="clear" w:color="auto" w:fill="auto"/>
            <w:noWrap/>
            <w:vAlign w:val="bottom"/>
            <w:hideMark/>
          </w:tcPr>
          <w:p w14:paraId="1A7B8932" w14:textId="77777777" w:rsidR="006A0356" w:rsidRPr="008860BA" w:rsidRDefault="006A0356" w:rsidP="006A0356">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124,96</w:t>
            </w:r>
          </w:p>
        </w:tc>
        <w:tc>
          <w:tcPr>
            <w:tcW w:w="1137" w:type="dxa"/>
            <w:tcBorders>
              <w:top w:val="nil"/>
              <w:left w:val="nil"/>
              <w:bottom w:val="single" w:sz="4" w:space="0" w:color="auto"/>
              <w:right w:val="single" w:sz="4" w:space="0" w:color="auto"/>
            </w:tcBorders>
            <w:shd w:val="clear" w:color="auto" w:fill="auto"/>
            <w:noWrap/>
            <w:vAlign w:val="bottom"/>
            <w:hideMark/>
          </w:tcPr>
          <w:p w14:paraId="104B0C86" w14:textId="77777777" w:rsidR="006A0356" w:rsidRPr="008860BA" w:rsidRDefault="006A0356" w:rsidP="006A0356">
            <w:pPr>
              <w:spacing w:after="0" w:line="240" w:lineRule="auto"/>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 </w:t>
            </w:r>
          </w:p>
        </w:tc>
        <w:tc>
          <w:tcPr>
            <w:tcW w:w="1273" w:type="dxa"/>
            <w:tcBorders>
              <w:top w:val="nil"/>
              <w:left w:val="nil"/>
              <w:bottom w:val="single" w:sz="4" w:space="0" w:color="auto"/>
              <w:right w:val="single" w:sz="4" w:space="0" w:color="auto"/>
            </w:tcBorders>
            <w:shd w:val="clear" w:color="auto" w:fill="auto"/>
            <w:noWrap/>
            <w:vAlign w:val="bottom"/>
            <w:hideMark/>
          </w:tcPr>
          <w:p w14:paraId="2A2C1D7D" w14:textId="77777777" w:rsidR="006A0356" w:rsidRPr="008860BA" w:rsidRDefault="006A0356" w:rsidP="006A0356">
            <w:pPr>
              <w:spacing w:after="0" w:line="240" w:lineRule="auto"/>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740FB6" w14:textId="77777777" w:rsidR="006A0356" w:rsidRPr="008860BA" w:rsidRDefault="006A0356" w:rsidP="006A0356">
            <w:pPr>
              <w:spacing w:after="0" w:line="240" w:lineRule="auto"/>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748BA802" w14:textId="77777777" w:rsidR="006A0356" w:rsidRPr="008860BA" w:rsidRDefault="006A0356" w:rsidP="006A0356">
            <w:pPr>
              <w:spacing w:after="0" w:line="240" w:lineRule="auto"/>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2CB94E56" w14:textId="77777777" w:rsidR="006A0356" w:rsidRPr="008860BA" w:rsidRDefault="006A0356" w:rsidP="006A0356">
            <w:pPr>
              <w:spacing w:after="0" w:line="240" w:lineRule="auto"/>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5BFF0B96" w14:textId="77777777" w:rsidR="006A0356" w:rsidRPr="008860BA" w:rsidRDefault="006A0356" w:rsidP="006A0356">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120,06</w:t>
            </w:r>
          </w:p>
        </w:tc>
        <w:tc>
          <w:tcPr>
            <w:tcW w:w="944" w:type="dxa"/>
            <w:tcBorders>
              <w:top w:val="nil"/>
              <w:left w:val="nil"/>
              <w:bottom w:val="single" w:sz="4" w:space="0" w:color="auto"/>
              <w:right w:val="single" w:sz="4" w:space="0" w:color="auto"/>
            </w:tcBorders>
            <w:shd w:val="clear" w:color="auto" w:fill="auto"/>
            <w:noWrap/>
            <w:vAlign w:val="bottom"/>
            <w:hideMark/>
          </w:tcPr>
          <w:p w14:paraId="626C6B3B" w14:textId="77777777" w:rsidR="006A0356" w:rsidRPr="008860BA" w:rsidRDefault="006A0356" w:rsidP="006A0356">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4,66</w:t>
            </w:r>
          </w:p>
        </w:tc>
      </w:tr>
      <w:tr w:rsidR="006A0356" w:rsidRPr="008860BA" w14:paraId="73C3CD99" w14:textId="77777777" w:rsidTr="006A0356">
        <w:trPr>
          <w:trHeight w:val="2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5590AEBC"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Alte cheltuieli</w:t>
            </w:r>
          </w:p>
        </w:tc>
        <w:tc>
          <w:tcPr>
            <w:tcW w:w="673" w:type="dxa"/>
            <w:tcBorders>
              <w:top w:val="nil"/>
              <w:left w:val="nil"/>
              <w:bottom w:val="single" w:sz="4" w:space="0" w:color="auto"/>
              <w:right w:val="single" w:sz="4" w:space="0" w:color="auto"/>
            </w:tcBorders>
            <w:shd w:val="clear" w:color="auto" w:fill="auto"/>
            <w:vAlign w:val="bottom"/>
            <w:hideMark/>
          </w:tcPr>
          <w:p w14:paraId="2A8C34F2" w14:textId="77777777" w:rsidR="006A0356" w:rsidRPr="008860BA" w:rsidRDefault="006A0356" w:rsidP="006A0356">
            <w:pPr>
              <w:spacing w:after="0" w:line="240" w:lineRule="auto"/>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vAlign w:val="bottom"/>
            <w:hideMark/>
          </w:tcPr>
          <w:p w14:paraId="5FD7E8CD"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0,25</w:t>
            </w:r>
          </w:p>
        </w:tc>
        <w:tc>
          <w:tcPr>
            <w:tcW w:w="1275" w:type="dxa"/>
            <w:tcBorders>
              <w:top w:val="nil"/>
              <w:left w:val="nil"/>
              <w:bottom w:val="single" w:sz="4" w:space="0" w:color="auto"/>
              <w:right w:val="single" w:sz="4" w:space="0" w:color="auto"/>
            </w:tcBorders>
            <w:shd w:val="clear" w:color="auto" w:fill="auto"/>
            <w:noWrap/>
            <w:vAlign w:val="bottom"/>
            <w:hideMark/>
          </w:tcPr>
          <w:p w14:paraId="790AE5D9"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0,25</w:t>
            </w:r>
          </w:p>
        </w:tc>
        <w:tc>
          <w:tcPr>
            <w:tcW w:w="1137" w:type="dxa"/>
            <w:tcBorders>
              <w:top w:val="nil"/>
              <w:left w:val="nil"/>
              <w:bottom w:val="single" w:sz="4" w:space="0" w:color="auto"/>
              <w:right w:val="single" w:sz="4" w:space="0" w:color="auto"/>
            </w:tcBorders>
            <w:shd w:val="clear" w:color="auto" w:fill="auto"/>
            <w:vAlign w:val="bottom"/>
            <w:hideMark/>
          </w:tcPr>
          <w:p w14:paraId="3220ACD2" w14:textId="77777777" w:rsidR="006A0356" w:rsidRPr="008860BA" w:rsidRDefault="006A0356" w:rsidP="006A0356">
            <w:pPr>
              <w:spacing w:after="0" w:line="240" w:lineRule="auto"/>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 </w:t>
            </w:r>
          </w:p>
        </w:tc>
        <w:tc>
          <w:tcPr>
            <w:tcW w:w="1273" w:type="dxa"/>
            <w:tcBorders>
              <w:top w:val="nil"/>
              <w:left w:val="nil"/>
              <w:bottom w:val="single" w:sz="4" w:space="0" w:color="auto"/>
              <w:right w:val="single" w:sz="4" w:space="0" w:color="auto"/>
            </w:tcBorders>
            <w:shd w:val="clear" w:color="auto" w:fill="auto"/>
            <w:vAlign w:val="bottom"/>
            <w:hideMark/>
          </w:tcPr>
          <w:p w14:paraId="2A92B8DA" w14:textId="77777777" w:rsidR="006A0356" w:rsidRPr="008860BA" w:rsidRDefault="006A0356" w:rsidP="006A0356">
            <w:pPr>
              <w:spacing w:after="0" w:line="240" w:lineRule="auto"/>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 </w:t>
            </w:r>
          </w:p>
        </w:tc>
        <w:tc>
          <w:tcPr>
            <w:tcW w:w="1134" w:type="dxa"/>
            <w:tcBorders>
              <w:top w:val="nil"/>
              <w:left w:val="nil"/>
              <w:bottom w:val="single" w:sz="4" w:space="0" w:color="auto"/>
              <w:right w:val="single" w:sz="4" w:space="0" w:color="auto"/>
            </w:tcBorders>
            <w:shd w:val="clear" w:color="auto" w:fill="auto"/>
            <w:vAlign w:val="bottom"/>
            <w:hideMark/>
          </w:tcPr>
          <w:p w14:paraId="59CA3E63" w14:textId="77777777" w:rsidR="006A0356" w:rsidRPr="008860BA" w:rsidRDefault="006A0356" w:rsidP="006A0356">
            <w:pPr>
              <w:spacing w:after="0" w:line="240" w:lineRule="auto"/>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vAlign w:val="bottom"/>
            <w:hideMark/>
          </w:tcPr>
          <w:p w14:paraId="3EC848D6" w14:textId="77777777" w:rsidR="006A0356" w:rsidRPr="008860BA" w:rsidRDefault="006A0356" w:rsidP="006A0356">
            <w:pPr>
              <w:spacing w:after="0" w:line="240" w:lineRule="auto"/>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vAlign w:val="bottom"/>
            <w:hideMark/>
          </w:tcPr>
          <w:p w14:paraId="249F10A9" w14:textId="77777777" w:rsidR="006A0356" w:rsidRPr="008860BA" w:rsidRDefault="006A0356" w:rsidP="006A0356">
            <w:pPr>
              <w:spacing w:after="0" w:line="240" w:lineRule="auto"/>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054EF1D9"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0,25</w:t>
            </w:r>
          </w:p>
        </w:tc>
        <w:tc>
          <w:tcPr>
            <w:tcW w:w="944" w:type="dxa"/>
            <w:tcBorders>
              <w:top w:val="nil"/>
              <w:left w:val="nil"/>
              <w:bottom w:val="single" w:sz="4" w:space="0" w:color="auto"/>
              <w:right w:val="single" w:sz="4" w:space="0" w:color="auto"/>
            </w:tcBorders>
            <w:shd w:val="clear" w:color="auto" w:fill="auto"/>
            <w:vAlign w:val="bottom"/>
            <w:hideMark/>
          </w:tcPr>
          <w:p w14:paraId="40A0CC20" w14:textId="77777777" w:rsidR="006A0356" w:rsidRPr="008860BA" w:rsidRDefault="006A0356" w:rsidP="006A0356">
            <w:pPr>
              <w:spacing w:after="0" w:line="240" w:lineRule="auto"/>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 </w:t>
            </w:r>
          </w:p>
        </w:tc>
      </w:tr>
      <w:tr w:rsidR="006A0356" w:rsidRPr="008860BA" w14:paraId="08B5E8FD" w14:textId="77777777" w:rsidTr="006A0356">
        <w:trPr>
          <w:trHeight w:val="2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39B36EF4"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cheltuieli de reprezentare</w:t>
            </w:r>
          </w:p>
        </w:tc>
        <w:tc>
          <w:tcPr>
            <w:tcW w:w="673" w:type="dxa"/>
            <w:tcBorders>
              <w:top w:val="nil"/>
              <w:left w:val="nil"/>
              <w:bottom w:val="single" w:sz="4" w:space="0" w:color="auto"/>
              <w:right w:val="single" w:sz="4" w:space="0" w:color="auto"/>
            </w:tcBorders>
            <w:shd w:val="clear" w:color="auto" w:fill="auto"/>
            <w:noWrap/>
            <w:vAlign w:val="bottom"/>
            <w:hideMark/>
          </w:tcPr>
          <w:p w14:paraId="33B45099"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vAlign w:val="bottom"/>
            <w:hideMark/>
          </w:tcPr>
          <w:p w14:paraId="2784BBC6"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2,73</w:t>
            </w:r>
          </w:p>
        </w:tc>
        <w:tc>
          <w:tcPr>
            <w:tcW w:w="1275" w:type="dxa"/>
            <w:tcBorders>
              <w:top w:val="nil"/>
              <w:left w:val="nil"/>
              <w:bottom w:val="single" w:sz="4" w:space="0" w:color="auto"/>
              <w:right w:val="single" w:sz="4" w:space="0" w:color="auto"/>
            </w:tcBorders>
            <w:shd w:val="clear" w:color="auto" w:fill="auto"/>
            <w:noWrap/>
            <w:vAlign w:val="bottom"/>
            <w:hideMark/>
          </w:tcPr>
          <w:p w14:paraId="2A246BA1"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2,73</w:t>
            </w:r>
          </w:p>
        </w:tc>
        <w:tc>
          <w:tcPr>
            <w:tcW w:w="1137" w:type="dxa"/>
            <w:tcBorders>
              <w:top w:val="nil"/>
              <w:left w:val="nil"/>
              <w:bottom w:val="single" w:sz="4" w:space="0" w:color="auto"/>
              <w:right w:val="single" w:sz="4" w:space="0" w:color="auto"/>
            </w:tcBorders>
            <w:shd w:val="clear" w:color="auto" w:fill="auto"/>
            <w:noWrap/>
            <w:vAlign w:val="bottom"/>
            <w:hideMark/>
          </w:tcPr>
          <w:p w14:paraId="5241CB04"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273" w:type="dxa"/>
            <w:tcBorders>
              <w:top w:val="nil"/>
              <w:left w:val="nil"/>
              <w:bottom w:val="single" w:sz="4" w:space="0" w:color="auto"/>
              <w:right w:val="single" w:sz="4" w:space="0" w:color="auto"/>
            </w:tcBorders>
            <w:shd w:val="clear" w:color="auto" w:fill="auto"/>
            <w:noWrap/>
            <w:vAlign w:val="bottom"/>
            <w:hideMark/>
          </w:tcPr>
          <w:p w14:paraId="411635E4"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1E32B7"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7D8C4382"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0906D8CD"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66B7ECA3"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944" w:type="dxa"/>
            <w:tcBorders>
              <w:top w:val="nil"/>
              <w:left w:val="nil"/>
              <w:bottom w:val="single" w:sz="4" w:space="0" w:color="auto"/>
              <w:right w:val="single" w:sz="4" w:space="0" w:color="auto"/>
            </w:tcBorders>
            <w:shd w:val="clear" w:color="auto" w:fill="auto"/>
            <w:noWrap/>
            <w:vAlign w:val="bottom"/>
            <w:hideMark/>
          </w:tcPr>
          <w:p w14:paraId="38FE23F3"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2,73</w:t>
            </w:r>
          </w:p>
        </w:tc>
      </w:tr>
      <w:tr w:rsidR="006A0356" w:rsidRPr="008860BA" w14:paraId="2AD3711E" w14:textId="77777777" w:rsidTr="006A0356">
        <w:trPr>
          <w:trHeight w:val="2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45B7DEDE" w14:textId="3F1E729B" w:rsidR="006A0356" w:rsidRPr="008860BA" w:rsidRDefault="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Deplas</w:t>
            </w:r>
            <w:r w:rsidR="00E10604" w:rsidRPr="008860BA">
              <w:rPr>
                <w:rFonts w:asciiTheme="majorHAnsi" w:eastAsia="Times New Roman" w:hAnsiTheme="majorHAnsi" w:cstheme="majorHAnsi"/>
                <w:color w:val="000000"/>
                <w:sz w:val="18"/>
                <w:szCs w:val="18"/>
                <w:lang w:val="ro-MD"/>
              </w:rPr>
              <w:t>ă</w:t>
            </w:r>
            <w:r w:rsidRPr="008860BA">
              <w:rPr>
                <w:rFonts w:asciiTheme="majorHAnsi" w:eastAsia="Times New Roman" w:hAnsiTheme="majorHAnsi" w:cstheme="majorHAnsi"/>
                <w:color w:val="000000"/>
                <w:sz w:val="18"/>
                <w:szCs w:val="18"/>
                <w:lang w:val="ro-MD"/>
              </w:rPr>
              <w:t xml:space="preserve">ri </w:t>
            </w:r>
          </w:p>
        </w:tc>
        <w:tc>
          <w:tcPr>
            <w:tcW w:w="673" w:type="dxa"/>
            <w:tcBorders>
              <w:top w:val="nil"/>
              <w:left w:val="nil"/>
              <w:bottom w:val="single" w:sz="4" w:space="0" w:color="auto"/>
              <w:right w:val="single" w:sz="4" w:space="0" w:color="auto"/>
            </w:tcBorders>
            <w:shd w:val="clear" w:color="auto" w:fill="auto"/>
            <w:noWrap/>
            <w:vAlign w:val="bottom"/>
            <w:hideMark/>
          </w:tcPr>
          <w:p w14:paraId="39EDC3E4"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vAlign w:val="bottom"/>
            <w:hideMark/>
          </w:tcPr>
          <w:p w14:paraId="7180C21D"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121,99</w:t>
            </w:r>
          </w:p>
        </w:tc>
        <w:tc>
          <w:tcPr>
            <w:tcW w:w="1275" w:type="dxa"/>
            <w:tcBorders>
              <w:top w:val="nil"/>
              <w:left w:val="nil"/>
              <w:bottom w:val="single" w:sz="4" w:space="0" w:color="auto"/>
              <w:right w:val="single" w:sz="4" w:space="0" w:color="auto"/>
            </w:tcBorders>
            <w:shd w:val="clear" w:color="auto" w:fill="auto"/>
            <w:noWrap/>
            <w:vAlign w:val="bottom"/>
            <w:hideMark/>
          </w:tcPr>
          <w:p w14:paraId="73A3CCE4"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121,99</w:t>
            </w:r>
          </w:p>
        </w:tc>
        <w:tc>
          <w:tcPr>
            <w:tcW w:w="1137" w:type="dxa"/>
            <w:tcBorders>
              <w:top w:val="nil"/>
              <w:left w:val="nil"/>
              <w:bottom w:val="single" w:sz="4" w:space="0" w:color="auto"/>
              <w:right w:val="single" w:sz="4" w:space="0" w:color="auto"/>
            </w:tcBorders>
            <w:shd w:val="clear" w:color="auto" w:fill="auto"/>
            <w:noWrap/>
            <w:vAlign w:val="bottom"/>
            <w:hideMark/>
          </w:tcPr>
          <w:p w14:paraId="6DF8387E"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273" w:type="dxa"/>
            <w:tcBorders>
              <w:top w:val="nil"/>
              <w:left w:val="nil"/>
              <w:bottom w:val="single" w:sz="4" w:space="0" w:color="auto"/>
              <w:right w:val="single" w:sz="4" w:space="0" w:color="auto"/>
            </w:tcBorders>
            <w:shd w:val="clear" w:color="auto" w:fill="auto"/>
            <w:noWrap/>
            <w:vAlign w:val="bottom"/>
            <w:hideMark/>
          </w:tcPr>
          <w:p w14:paraId="669C28BD"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34" w:type="dxa"/>
            <w:tcBorders>
              <w:top w:val="nil"/>
              <w:left w:val="nil"/>
              <w:bottom w:val="single" w:sz="4" w:space="0" w:color="auto"/>
              <w:right w:val="single" w:sz="4" w:space="0" w:color="auto"/>
            </w:tcBorders>
            <w:shd w:val="clear" w:color="auto" w:fill="auto"/>
            <w:noWrap/>
            <w:vAlign w:val="bottom"/>
            <w:hideMark/>
          </w:tcPr>
          <w:p w14:paraId="0FD3DB51"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4D91612E"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5D4A08BC"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7C3E0B21"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120,06</w:t>
            </w:r>
          </w:p>
        </w:tc>
        <w:tc>
          <w:tcPr>
            <w:tcW w:w="944" w:type="dxa"/>
            <w:tcBorders>
              <w:top w:val="nil"/>
              <w:left w:val="nil"/>
              <w:bottom w:val="single" w:sz="4" w:space="0" w:color="auto"/>
              <w:right w:val="single" w:sz="4" w:space="0" w:color="auto"/>
            </w:tcBorders>
            <w:shd w:val="clear" w:color="auto" w:fill="auto"/>
            <w:noWrap/>
            <w:vAlign w:val="bottom"/>
            <w:hideMark/>
          </w:tcPr>
          <w:p w14:paraId="733DF456" w14:textId="77777777" w:rsidR="006A0356" w:rsidRPr="008860BA" w:rsidRDefault="006A0356" w:rsidP="006A0356">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1,93</w:t>
            </w:r>
          </w:p>
        </w:tc>
      </w:tr>
      <w:tr w:rsidR="006A0356" w:rsidRPr="008860BA" w14:paraId="4615D118" w14:textId="77777777" w:rsidTr="006A0356">
        <w:trPr>
          <w:trHeight w:val="2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0CA758B4" w14:textId="77777777" w:rsidR="006A0356" w:rsidRPr="008860BA" w:rsidRDefault="006A0356" w:rsidP="006A0356">
            <w:pPr>
              <w:spacing w:after="0" w:line="240" w:lineRule="auto"/>
              <w:rPr>
                <w:rFonts w:asciiTheme="majorHAnsi" w:eastAsia="Times New Roman" w:hAnsiTheme="majorHAnsi" w:cstheme="majorHAnsi"/>
                <w:b/>
                <w:bCs/>
                <w:sz w:val="18"/>
                <w:szCs w:val="18"/>
                <w:lang w:val="ro-MD"/>
              </w:rPr>
            </w:pPr>
            <w:r w:rsidRPr="008860BA">
              <w:rPr>
                <w:rFonts w:asciiTheme="majorHAnsi" w:eastAsia="Times New Roman" w:hAnsiTheme="majorHAnsi" w:cstheme="majorHAnsi"/>
                <w:b/>
                <w:bCs/>
                <w:sz w:val="18"/>
                <w:szCs w:val="18"/>
                <w:lang w:val="ro-MD"/>
              </w:rPr>
              <w:t>Cheltuieli financiare</w:t>
            </w:r>
          </w:p>
        </w:tc>
        <w:tc>
          <w:tcPr>
            <w:tcW w:w="673" w:type="dxa"/>
            <w:tcBorders>
              <w:top w:val="nil"/>
              <w:left w:val="nil"/>
              <w:bottom w:val="single" w:sz="4" w:space="0" w:color="auto"/>
              <w:right w:val="single" w:sz="4" w:space="0" w:color="auto"/>
            </w:tcBorders>
            <w:shd w:val="clear" w:color="auto" w:fill="auto"/>
            <w:vAlign w:val="bottom"/>
            <w:hideMark/>
          </w:tcPr>
          <w:p w14:paraId="0B02ABD7" w14:textId="77777777" w:rsidR="006A0356" w:rsidRPr="008860BA" w:rsidRDefault="006A0356" w:rsidP="006A0356">
            <w:pPr>
              <w:spacing w:after="0" w:line="240" w:lineRule="auto"/>
              <w:jc w:val="right"/>
              <w:rPr>
                <w:rFonts w:asciiTheme="majorHAnsi" w:eastAsia="Times New Roman" w:hAnsiTheme="majorHAnsi" w:cstheme="majorHAnsi"/>
                <w:b/>
                <w:bCs/>
                <w:sz w:val="18"/>
                <w:szCs w:val="18"/>
                <w:lang w:val="ro-MD"/>
              </w:rPr>
            </w:pPr>
            <w:r w:rsidRPr="008860BA">
              <w:rPr>
                <w:rFonts w:asciiTheme="majorHAnsi" w:eastAsia="Times New Roman" w:hAnsiTheme="majorHAnsi" w:cstheme="majorHAnsi"/>
                <w:b/>
                <w:bCs/>
                <w:sz w:val="18"/>
                <w:szCs w:val="18"/>
                <w:lang w:val="ro-MD"/>
              </w:rPr>
              <w:t>722</w:t>
            </w:r>
          </w:p>
        </w:tc>
        <w:tc>
          <w:tcPr>
            <w:tcW w:w="1170" w:type="dxa"/>
            <w:tcBorders>
              <w:top w:val="nil"/>
              <w:left w:val="nil"/>
              <w:bottom w:val="single" w:sz="4" w:space="0" w:color="auto"/>
              <w:right w:val="single" w:sz="4" w:space="0" w:color="auto"/>
            </w:tcBorders>
            <w:shd w:val="clear" w:color="auto" w:fill="auto"/>
            <w:noWrap/>
            <w:vAlign w:val="bottom"/>
            <w:hideMark/>
          </w:tcPr>
          <w:p w14:paraId="0086FE4C"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514,06</w:t>
            </w:r>
          </w:p>
        </w:tc>
        <w:tc>
          <w:tcPr>
            <w:tcW w:w="1275" w:type="dxa"/>
            <w:tcBorders>
              <w:top w:val="nil"/>
              <w:left w:val="nil"/>
              <w:bottom w:val="single" w:sz="4" w:space="0" w:color="auto"/>
              <w:right w:val="single" w:sz="4" w:space="0" w:color="auto"/>
            </w:tcBorders>
            <w:shd w:val="clear" w:color="auto" w:fill="auto"/>
            <w:noWrap/>
            <w:vAlign w:val="bottom"/>
            <w:hideMark/>
          </w:tcPr>
          <w:p w14:paraId="55D65D02" w14:textId="77777777" w:rsidR="006A0356" w:rsidRPr="008860BA" w:rsidRDefault="006A0356" w:rsidP="006A0356">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514,06</w:t>
            </w:r>
          </w:p>
        </w:tc>
        <w:tc>
          <w:tcPr>
            <w:tcW w:w="1137" w:type="dxa"/>
            <w:tcBorders>
              <w:top w:val="nil"/>
              <w:left w:val="nil"/>
              <w:bottom w:val="single" w:sz="4" w:space="0" w:color="auto"/>
              <w:right w:val="single" w:sz="4" w:space="0" w:color="auto"/>
            </w:tcBorders>
            <w:shd w:val="clear" w:color="auto" w:fill="auto"/>
            <w:noWrap/>
            <w:vAlign w:val="bottom"/>
            <w:hideMark/>
          </w:tcPr>
          <w:p w14:paraId="1BBB06CC"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273" w:type="dxa"/>
            <w:tcBorders>
              <w:top w:val="nil"/>
              <w:left w:val="nil"/>
              <w:bottom w:val="single" w:sz="4" w:space="0" w:color="auto"/>
              <w:right w:val="single" w:sz="4" w:space="0" w:color="auto"/>
            </w:tcBorders>
            <w:shd w:val="clear" w:color="auto" w:fill="auto"/>
            <w:noWrap/>
            <w:vAlign w:val="bottom"/>
            <w:hideMark/>
          </w:tcPr>
          <w:p w14:paraId="710082B8"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34" w:type="dxa"/>
            <w:tcBorders>
              <w:top w:val="nil"/>
              <w:left w:val="nil"/>
              <w:bottom w:val="single" w:sz="4" w:space="0" w:color="auto"/>
              <w:right w:val="single" w:sz="4" w:space="0" w:color="auto"/>
            </w:tcBorders>
            <w:shd w:val="clear" w:color="auto" w:fill="auto"/>
            <w:noWrap/>
            <w:vAlign w:val="bottom"/>
            <w:hideMark/>
          </w:tcPr>
          <w:p w14:paraId="3BA3B90A"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12FE9990"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4C55F67D"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53" w:type="dxa"/>
            <w:tcBorders>
              <w:top w:val="nil"/>
              <w:left w:val="nil"/>
              <w:bottom w:val="single" w:sz="4" w:space="0" w:color="auto"/>
              <w:right w:val="single" w:sz="4" w:space="0" w:color="auto"/>
            </w:tcBorders>
            <w:shd w:val="clear" w:color="auto" w:fill="auto"/>
            <w:noWrap/>
            <w:vAlign w:val="bottom"/>
            <w:hideMark/>
          </w:tcPr>
          <w:p w14:paraId="18DDF6B3"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944" w:type="dxa"/>
            <w:tcBorders>
              <w:top w:val="nil"/>
              <w:left w:val="nil"/>
              <w:bottom w:val="single" w:sz="4" w:space="0" w:color="auto"/>
              <w:right w:val="single" w:sz="4" w:space="0" w:color="auto"/>
            </w:tcBorders>
            <w:shd w:val="clear" w:color="auto" w:fill="auto"/>
            <w:noWrap/>
            <w:vAlign w:val="bottom"/>
            <w:hideMark/>
          </w:tcPr>
          <w:p w14:paraId="164DE9FA" w14:textId="77777777" w:rsidR="006A0356" w:rsidRPr="008860BA" w:rsidRDefault="006A0356" w:rsidP="006A0356">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r>
      <w:tr w:rsidR="006A0356" w:rsidRPr="008860BA" w14:paraId="36924FE4" w14:textId="77777777" w:rsidTr="006A0356">
        <w:trPr>
          <w:trHeight w:val="2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4E03652D" w14:textId="77777777" w:rsidR="006A0356" w:rsidRPr="008860BA" w:rsidRDefault="006A0356" w:rsidP="006A0356">
            <w:pPr>
              <w:spacing w:after="0" w:line="240" w:lineRule="auto"/>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Total Cheltuieli</w:t>
            </w:r>
          </w:p>
        </w:tc>
        <w:tc>
          <w:tcPr>
            <w:tcW w:w="673" w:type="dxa"/>
            <w:tcBorders>
              <w:top w:val="nil"/>
              <w:left w:val="nil"/>
              <w:bottom w:val="single" w:sz="4" w:space="0" w:color="auto"/>
              <w:right w:val="single" w:sz="4" w:space="0" w:color="auto"/>
            </w:tcBorders>
            <w:shd w:val="clear" w:color="auto" w:fill="auto"/>
            <w:noWrap/>
            <w:vAlign w:val="bottom"/>
            <w:hideMark/>
          </w:tcPr>
          <w:p w14:paraId="734D58EB" w14:textId="77777777" w:rsidR="006A0356" w:rsidRPr="008860BA" w:rsidRDefault="006A0356" w:rsidP="006A0356">
            <w:pPr>
              <w:spacing w:after="0" w:line="240" w:lineRule="auto"/>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noWrap/>
            <w:vAlign w:val="bottom"/>
            <w:hideMark/>
          </w:tcPr>
          <w:p w14:paraId="79592CF3" w14:textId="77777777" w:rsidR="006A0356" w:rsidRPr="008860BA" w:rsidRDefault="006A0356" w:rsidP="006A0356">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160.600,36</w:t>
            </w:r>
          </w:p>
        </w:tc>
        <w:tc>
          <w:tcPr>
            <w:tcW w:w="1275" w:type="dxa"/>
            <w:tcBorders>
              <w:top w:val="nil"/>
              <w:left w:val="nil"/>
              <w:bottom w:val="single" w:sz="4" w:space="0" w:color="auto"/>
              <w:right w:val="single" w:sz="4" w:space="0" w:color="auto"/>
            </w:tcBorders>
            <w:shd w:val="clear" w:color="auto" w:fill="auto"/>
            <w:noWrap/>
            <w:vAlign w:val="bottom"/>
            <w:hideMark/>
          </w:tcPr>
          <w:p w14:paraId="6D1E5099" w14:textId="77777777" w:rsidR="006A0356" w:rsidRPr="008860BA" w:rsidRDefault="006A0356" w:rsidP="006A0356">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160.600,36</w:t>
            </w:r>
          </w:p>
        </w:tc>
        <w:tc>
          <w:tcPr>
            <w:tcW w:w="1137" w:type="dxa"/>
            <w:tcBorders>
              <w:top w:val="nil"/>
              <w:left w:val="nil"/>
              <w:bottom w:val="single" w:sz="4" w:space="0" w:color="auto"/>
              <w:right w:val="single" w:sz="4" w:space="0" w:color="auto"/>
            </w:tcBorders>
            <w:shd w:val="clear" w:color="auto" w:fill="auto"/>
            <w:noWrap/>
            <w:vAlign w:val="bottom"/>
            <w:hideMark/>
          </w:tcPr>
          <w:p w14:paraId="3F06F432" w14:textId="77777777" w:rsidR="006A0356" w:rsidRPr="008860BA" w:rsidRDefault="006A0356" w:rsidP="006A0356">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101.563,94</w:t>
            </w:r>
          </w:p>
        </w:tc>
        <w:tc>
          <w:tcPr>
            <w:tcW w:w="1273" w:type="dxa"/>
            <w:tcBorders>
              <w:top w:val="nil"/>
              <w:left w:val="nil"/>
              <w:bottom w:val="single" w:sz="4" w:space="0" w:color="auto"/>
              <w:right w:val="single" w:sz="4" w:space="0" w:color="auto"/>
            </w:tcBorders>
            <w:shd w:val="clear" w:color="auto" w:fill="auto"/>
            <w:noWrap/>
            <w:vAlign w:val="bottom"/>
            <w:hideMark/>
          </w:tcPr>
          <w:p w14:paraId="08D2EA53" w14:textId="77777777" w:rsidR="006A0356" w:rsidRPr="008860BA" w:rsidRDefault="006A0356" w:rsidP="006A0356">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485,46</w:t>
            </w:r>
          </w:p>
        </w:tc>
        <w:tc>
          <w:tcPr>
            <w:tcW w:w="1134" w:type="dxa"/>
            <w:tcBorders>
              <w:top w:val="nil"/>
              <w:left w:val="nil"/>
              <w:bottom w:val="single" w:sz="4" w:space="0" w:color="auto"/>
              <w:right w:val="single" w:sz="4" w:space="0" w:color="auto"/>
            </w:tcBorders>
            <w:shd w:val="clear" w:color="auto" w:fill="auto"/>
            <w:noWrap/>
            <w:vAlign w:val="bottom"/>
            <w:hideMark/>
          </w:tcPr>
          <w:p w14:paraId="1E74228F" w14:textId="77777777" w:rsidR="006A0356" w:rsidRPr="008860BA" w:rsidRDefault="006A0356" w:rsidP="006A0356">
            <w:pPr>
              <w:spacing w:after="0" w:line="240" w:lineRule="auto"/>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 </w:t>
            </w:r>
          </w:p>
        </w:tc>
        <w:tc>
          <w:tcPr>
            <w:tcW w:w="1111" w:type="dxa"/>
            <w:tcBorders>
              <w:top w:val="nil"/>
              <w:left w:val="nil"/>
              <w:bottom w:val="single" w:sz="4" w:space="0" w:color="auto"/>
              <w:right w:val="single" w:sz="4" w:space="0" w:color="auto"/>
            </w:tcBorders>
            <w:shd w:val="clear" w:color="auto" w:fill="auto"/>
            <w:noWrap/>
            <w:vAlign w:val="bottom"/>
            <w:hideMark/>
          </w:tcPr>
          <w:p w14:paraId="685E8876" w14:textId="77777777" w:rsidR="006A0356" w:rsidRPr="008860BA" w:rsidRDefault="006A0356" w:rsidP="006A0356">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13.540,62</w:t>
            </w:r>
          </w:p>
        </w:tc>
        <w:tc>
          <w:tcPr>
            <w:tcW w:w="853" w:type="dxa"/>
            <w:tcBorders>
              <w:top w:val="nil"/>
              <w:left w:val="nil"/>
              <w:bottom w:val="single" w:sz="4" w:space="0" w:color="auto"/>
              <w:right w:val="single" w:sz="4" w:space="0" w:color="auto"/>
            </w:tcBorders>
            <w:shd w:val="clear" w:color="auto" w:fill="auto"/>
            <w:noWrap/>
            <w:vAlign w:val="bottom"/>
            <w:hideMark/>
          </w:tcPr>
          <w:p w14:paraId="0DA5FFC5" w14:textId="77777777" w:rsidR="006A0356" w:rsidRPr="008860BA" w:rsidRDefault="006A0356" w:rsidP="006A0356">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2.544,21</w:t>
            </w:r>
          </w:p>
        </w:tc>
        <w:tc>
          <w:tcPr>
            <w:tcW w:w="853" w:type="dxa"/>
            <w:tcBorders>
              <w:top w:val="nil"/>
              <w:left w:val="nil"/>
              <w:bottom w:val="single" w:sz="4" w:space="0" w:color="auto"/>
              <w:right w:val="single" w:sz="4" w:space="0" w:color="auto"/>
            </w:tcBorders>
            <w:shd w:val="clear" w:color="auto" w:fill="auto"/>
            <w:noWrap/>
            <w:vAlign w:val="bottom"/>
            <w:hideMark/>
          </w:tcPr>
          <w:p w14:paraId="3451E76F" w14:textId="77777777" w:rsidR="006A0356" w:rsidRPr="008860BA" w:rsidRDefault="006A0356" w:rsidP="006A0356">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2.029,54</w:t>
            </w:r>
          </w:p>
        </w:tc>
        <w:tc>
          <w:tcPr>
            <w:tcW w:w="944" w:type="dxa"/>
            <w:tcBorders>
              <w:top w:val="nil"/>
              <w:left w:val="nil"/>
              <w:bottom w:val="single" w:sz="4" w:space="0" w:color="auto"/>
              <w:right w:val="single" w:sz="4" w:space="0" w:color="auto"/>
            </w:tcBorders>
            <w:shd w:val="clear" w:color="auto" w:fill="auto"/>
            <w:noWrap/>
            <w:vAlign w:val="bottom"/>
            <w:hideMark/>
          </w:tcPr>
          <w:p w14:paraId="45285003" w14:textId="77777777" w:rsidR="006A0356" w:rsidRPr="008860BA" w:rsidRDefault="006A0356" w:rsidP="006A0356">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39.922,27</w:t>
            </w:r>
          </w:p>
        </w:tc>
      </w:tr>
      <w:tr w:rsidR="006A0356" w:rsidRPr="008860BA" w14:paraId="424B2A92" w14:textId="77777777" w:rsidTr="006A0356">
        <w:trPr>
          <w:trHeight w:val="2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260FBEA3" w14:textId="77777777" w:rsidR="006A0356" w:rsidRPr="008860BA" w:rsidRDefault="006A0356" w:rsidP="006A0356">
            <w:pPr>
              <w:spacing w:after="0" w:line="240" w:lineRule="auto"/>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Rezultat financiar</w:t>
            </w:r>
          </w:p>
        </w:tc>
        <w:tc>
          <w:tcPr>
            <w:tcW w:w="673" w:type="dxa"/>
            <w:tcBorders>
              <w:top w:val="nil"/>
              <w:left w:val="nil"/>
              <w:bottom w:val="single" w:sz="4" w:space="0" w:color="auto"/>
              <w:right w:val="single" w:sz="4" w:space="0" w:color="auto"/>
            </w:tcBorders>
            <w:shd w:val="clear" w:color="auto" w:fill="auto"/>
            <w:noWrap/>
            <w:vAlign w:val="bottom"/>
            <w:hideMark/>
          </w:tcPr>
          <w:p w14:paraId="451140C4" w14:textId="77777777" w:rsidR="006A0356" w:rsidRPr="008860BA" w:rsidRDefault="006A0356" w:rsidP="006A0356">
            <w:pPr>
              <w:spacing w:after="0" w:line="240" w:lineRule="auto"/>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 </w:t>
            </w:r>
          </w:p>
        </w:tc>
        <w:tc>
          <w:tcPr>
            <w:tcW w:w="1170" w:type="dxa"/>
            <w:tcBorders>
              <w:top w:val="nil"/>
              <w:left w:val="nil"/>
              <w:bottom w:val="single" w:sz="4" w:space="0" w:color="auto"/>
              <w:right w:val="single" w:sz="4" w:space="0" w:color="auto"/>
            </w:tcBorders>
            <w:shd w:val="clear" w:color="auto" w:fill="auto"/>
            <w:noWrap/>
            <w:vAlign w:val="bottom"/>
            <w:hideMark/>
          </w:tcPr>
          <w:p w14:paraId="41EE78F8" w14:textId="77777777" w:rsidR="006A0356" w:rsidRPr="008860BA" w:rsidRDefault="006A0356" w:rsidP="006A0356">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0,00</w:t>
            </w:r>
          </w:p>
        </w:tc>
        <w:tc>
          <w:tcPr>
            <w:tcW w:w="1275" w:type="dxa"/>
            <w:tcBorders>
              <w:top w:val="nil"/>
              <w:left w:val="nil"/>
              <w:bottom w:val="single" w:sz="4" w:space="0" w:color="auto"/>
              <w:right w:val="single" w:sz="4" w:space="0" w:color="auto"/>
            </w:tcBorders>
            <w:shd w:val="clear" w:color="auto" w:fill="auto"/>
            <w:noWrap/>
            <w:vAlign w:val="bottom"/>
            <w:hideMark/>
          </w:tcPr>
          <w:p w14:paraId="74A38CCB" w14:textId="77777777" w:rsidR="006A0356" w:rsidRPr="008860BA" w:rsidRDefault="006A0356" w:rsidP="006A0356">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0,00</w:t>
            </w:r>
          </w:p>
        </w:tc>
        <w:tc>
          <w:tcPr>
            <w:tcW w:w="1137" w:type="dxa"/>
            <w:tcBorders>
              <w:top w:val="nil"/>
              <w:left w:val="nil"/>
              <w:bottom w:val="single" w:sz="4" w:space="0" w:color="auto"/>
              <w:right w:val="single" w:sz="4" w:space="0" w:color="auto"/>
            </w:tcBorders>
            <w:shd w:val="clear" w:color="auto" w:fill="auto"/>
            <w:noWrap/>
            <w:vAlign w:val="bottom"/>
            <w:hideMark/>
          </w:tcPr>
          <w:p w14:paraId="415D4B9F" w14:textId="77777777" w:rsidR="006A0356" w:rsidRPr="008860BA" w:rsidRDefault="006A0356" w:rsidP="006A0356">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614,03</w:t>
            </w:r>
          </w:p>
        </w:tc>
        <w:tc>
          <w:tcPr>
            <w:tcW w:w="1273" w:type="dxa"/>
            <w:tcBorders>
              <w:top w:val="nil"/>
              <w:left w:val="nil"/>
              <w:bottom w:val="single" w:sz="4" w:space="0" w:color="auto"/>
              <w:right w:val="single" w:sz="4" w:space="0" w:color="auto"/>
            </w:tcBorders>
            <w:shd w:val="clear" w:color="auto" w:fill="auto"/>
            <w:noWrap/>
            <w:vAlign w:val="bottom"/>
            <w:hideMark/>
          </w:tcPr>
          <w:p w14:paraId="332AE09D" w14:textId="77777777" w:rsidR="006A0356" w:rsidRPr="008860BA" w:rsidRDefault="006A0356" w:rsidP="006A0356">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667,74</w:t>
            </w:r>
          </w:p>
        </w:tc>
        <w:tc>
          <w:tcPr>
            <w:tcW w:w="1134" w:type="dxa"/>
            <w:tcBorders>
              <w:top w:val="nil"/>
              <w:left w:val="nil"/>
              <w:bottom w:val="single" w:sz="4" w:space="0" w:color="auto"/>
              <w:right w:val="single" w:sz="4" w:space="0" w:color="auto"/>
            </w:tcBorders>
            <w:shd w:val="clear" w:color="auto" w:fill="auto"/>
            <w:noWrap/>
            <w:vAlign w:val="bottom"/>
            <w:hideMark/>
          </w:tcPr>
          <w:p w14:paraId="0EF7B650" w14:textId="77777777" w:rsidR="006A0356" w:rsidRPr="008860BA" w:rsidRDefault="006A0356" w:rsidP="006A0356">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1.049,15</w:t>
            </w:r>
          </w:p>
        </w:tc>
        <w:tc>
          <w:tcPr>
            <w:tcW w:w="1111" w:type="dxa"/>
            <w:tcBorders>
              <w:top w:val="nil"/>
              <w:left w:val="nil"/>
              <w:bottom w:val="single" w:sz="4" w:space="0" w:color="auto"/>
              <w:right w:val="single" w:sz="4" w:space="0" w:color="auto"/>
            </w:tcBorders>
            <w:shd w:val="clear" w:color="auto" w:fill="auto"/>
            <w:noWrap/>
            <w:vAlign w:val="bottom"/>
            <w:hideMark/>
          </w:tcPr>
          <w:p w14:paraId="5019D548" w14:textId="77777777" w:rsidR="006A0356" w:rsidRPr="008860BA" w:rsidRDefault="006A0356" w:rsidP="006A0356">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-30,51</w:t>
            </w:r>
          </w:p>
        </w:tc>
        <w:tc>
          <w:tcPr>
            <w:tcW w:w="853" w:type="dxa"/>
            <w:tcBorders>
              <w:top w:val="nil"/>
              <w:left w:val="nil"/>
              <w:bottom w:val="single" w:sz="4" w:space="0" w:color="auto"/>
              <w:right w:val="single" w:sz="4" w:space="0" w:color="auto"/>
            </w:tcBorders>
            <w:shd w:val="clear" w:color="auto" w:fill="auto"/>
            <w:noWrap/>
            <w:vAlign w:val="bottom"/>
            <w:hideMark/>
          </w:tcPr>
          <w:p w14:paraId="0A180A2B" w14:textId="77777777" w:rsidR="006A0356" w:rsidRPr="008860BA" w:rsidRDefault="006A0356" w:rsidP="006A0356">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-815,22</w:t>
            </w:r>
          </w:p>
        </w:tc>
        <w:tc>
          <w:tcPr>
            <w:tcW w:w="853" w:type="dxa"/>
            <w:tcBorders>
              <w:top w:val="nil"/>
              <w:left w:val="nil"/>
              <w:bottom w:val="single" w:sz="4" w:space="0" w:color="auto"/>
              <w:right w:val="single" w:sz="4" w:space="0" w:color="auto"/>
            </w:tcBorders>
            <w:shd w:val="clear" w:color="auto" w:fill="auto"/>
            <w:noWrap/>
            <w:vAlign w:val="bottom"/>
            <w:hideMark/>
          </w:tcPr>
          <w:p w14:paraId="574AD362" w14:textId="77777777" w:rsidR="006A0356" w:rsidRPr="008860BA" w:rsidRDefault="006A0356" w:rsidP="006A0356">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-69,82</w:t>
            </w:r>
          </w:p>
        </w:tc>
        <w:tc>
          <w:tcPr>
            <w:tcW w:w="944" w:type="dxa"/>
            <w:tcBorders>
              <w:top w:val="nil"/>
              <w:left w:val="nil"/>
              <w:bottom w:val="single" w:sz="4" w:space="0" w:color="auto"/>
              <w:right w:val="single" w:sz="4" w:space="0" w:color="auto"/>
            </w:tcBorders>
            <w:shd w:val="clear" w:color="auto" w:fill="auto"/>
            <w:noWrap/>
            <w:vAlign w:val="bottom"/>
            <w:hideMark/>
          </w:tcPr>
          <w:p w14:paraId="6C9C468B" w14:textId="77777777" w:rsidR="006A0356" w:rsidRPr="008860BA" w:rsidRDefault="006A0356" w:rsidP="006A0356">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-1.537,13</w:t>
            </w:r>
          </w:p>
        </w:tc>
      </w:tr>
    </w:tbl>
    <w:p w14:paraId="3D96B730" w14:textId="63887568" w:rsidR="006A0356" w:rsidRPr="008860BA" w:rsidRDefault="006A0356" w:rsidP="006A0356">
      <w:pPr>
        <w:rPr>
          <w:rFonts w:asciiTheme="majorHAnsi" w:hAnsiTheme="majorHAnsi" w:cstheme="majorHAnsi"/>
          <w:lang w:val="ro-MD"/>
        </w:rPr>
      </w:pPr>
      <w:r w:rsidRPr="008860BA">
        <w:rPr>
          <w:rFonts w:asciiTheme="majorHAnsi" w:hAnsiTheme="majorHAnsi" w:cstheme="majorHAnsi"/>
          <w:lang w:val="ro-MD"/>
        </w:rPr>
        <w:t>Sursa: Eviden</w:t>
      </w:r>
      <w:r w:rsidR="00B13B9A" w:rsidRPr="008860BA">
        <w:rPr>
          <w:rFonts w:asciiTheme="majorHAnsi" w:hAnsiTheme="majorHAnsi" w:cstheme="majorHAnsi"/>
          <w:lang w:val="ro-MD"/>
        </w:rPr>
        <w:t>ț</w:t>
      </w:r>
      <w:r w:rsidRPr="008860BA">
        <w:rPr>
          <w:rFonts w:asciiTheme="majorHAnsi" w:hAnsiTheme="majorHAnsi" w:cstheme="majorHAnsi"/>
          <w:lang w:val="ro-MD"/>
        </w:rPr>
        <w:t>a contabilă a IMSP</w:t>
      </w:r>
      <w:r w:rsidR="00E10604" w:rsidRPr="008860BA">
        <w:rPr>
          <w:rFonts w:asciiTheme="majorHAnsi" w:hAnsiTheme="majorHAnsi" w:cstheme="majorHAnsi"/>
          <w:lang w:val="ro-MD"/>
        </w:rPr>
        <w:t xml:space="preserve"> IFP</w:t>
      </w:r>
      <w:r w:rsidR="00885EE0" w:rsidRPr="008860BA">
        <w:rPr>
          <w:rFonts w:asciiTheme="majorHAnsi" w:hAnsiTheme="majorHAnsi" w:cstheme="majorHAnsi"/>
          <w:lang w:val="ro-MD"/>
        </w:rPr>
        <w:t xml:space="preserve"> </w:t>
      </w:r>
      <w:r w:rsidR="00885EE0" w:rsidRPr="008860BA">
        <w:rPr>
          <w:rFonts w:asciiTheme="majorHAnsi" w:hAnsiTheme="majorHAnsi" w:cstheme="majorHAnsi"/>
          <w:i/>
          <w:lang w:val="ro-MD"/>
        </w:rPr>
        <w:t>„Chiril Draganiuc”</w:t>
      </w:r>
      <w:r w:rsidR="00E10604" w:rsidRPr="008860BA">
        <w:rPr>
          <w:rFonts w:asciiTheme="majorHAnsi" w:hAnsiTheme="majorHAnsi" w:cstheme="majorHAnsi"/>
          <w:lang w:val="ro-MD"/>
        </w:rPr>
        <w:t>.</w:t>
      </w:r>
    </w:p>
    <w:p w14:paraId="50CE48C9" w14:textId="77777777" w:rsidR="00C875AC" w:rsidRPr="008860BA" w:rsidRDefault="00C875AC" w:rsidP="00C875AC">
      <w:pPr>
        <w:rPr>
          <w:lang w:val="ro-MD"/>
        </w:rPr>
      </w:pPr>
    </w:p>
    <w:p w14:paraId="7F226521" w14:textId="3AA20C10" w:rsidR="0023258A" w:rsidRPr="008860BA" w:rsidRDefault="0023258A" w:rsidP="0023258A">
      <w:pPr>
        <w:pStyle w:val="3"/>
        <w:jc w:val="right"/>
        <w:rPr>
          <w:rFonts w:cstheme="majorHAnsi"/>
          <w:b/>
          <w:color w:val="auto"/>
        </w:rPr>
      </w:pPr>
      <w:bookmarkStart w:id="75" w:name="_Toc154562545"/>
      <w:r w:rsidRPr="008860BA">
        <w:rPr>
          <w:rFonts w:cstheme="majorHAnsi"/>
          <w:b/>
          <w:color w:val="auto"/>
        </w:rPr>
        <w:t>Anexa nr.22</w:t>
      </w:r>
      <w:bookmarkEnd w:id="75"/>
    </w:p>
    <w:p w14:paraId="75B59F05" w14:textId="51F02D52" w:rsidR="006F3067" w:rsidRPr="008860BA" w:rsidRDefault="006F3067" w:rsidP="006F3067">
      <w:pPr>
        <w:jc w:val="center"/>
        <w:rPr>
          <w:rFonts w:asciiTheme="majorHAnsi" w:hAnsiTheme="majorHAnsi" w:cstheme="majorHAnsi"/>
          <w:b/>
          <w:sz w:val="24"/>
          <w:lang w:val="ro-MD"/>
        </w:rPr>
      </w:pPr>
      <w:r w:rsidRPr="008860BA">
        <w:rPr>
          <w:rFonts w:asciiTheme="majorHAnsi" w:hAnsiTheme="majorHAnsi" w:cstheme="majorHAnsi"/>
          <w:b/>
          <w:sz w:val="24"/>
          <w:lang w:val="ro-MD"/>
        </w:rPr>
        <w:t>Analiza repartizării cheltuielilor pe tipuri de servicii în anul 2023 (6 luni)</w:t>
      </w:r>
    </w:p>
    <w:tbl>
      <w:tblPr>
        <w:tblW w:w="13878" w:type="dxa"/>
        <w:tblLook w:val="04A0" w:firstRow="1" w:lastRow="0" w:firstColumn="1" w:lastColumn="0" w:noHBand="0" w:noVBand="1"/>
      </w:tblPr>
      <w:tblGrid>
        <w:gridCol w:w="3423"/>
        <w:gridCol w:w="967"/>
        <w:gridCol w:w="1099"/>
        <w:gridCol w:w="1195"/>
        <w:gridCol w:w="1137"/>
        <w:gridCol w:w="1224"/>
        <w:gridCol w:w="1259"/>
        <w:gridCol w:w="1111"/>
        <w:gridCol w:w="853"/>
        <w:gridCol w:w="853"/>
        <w:gridCol w:w="944"/>
      </w:tblGrid>
      <w:tr w:rsidR="006F3067" w:rsidRPr="008860BA" w14:paraId="527BB12A" w14:textId="77777777" w:rsidTr="006F3067">
        <w:trPr>
          <w:trHeight w:val="20"/>
        </w:trPr>
        <w:tc>
          <w:tcPr>
            <w:tcW w:w="34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2B0430" w14:textId="77777777" w:rsidR="006F3067" w:rsidRPr="008860BA" w:rsidRDefault="006F3067" w:rsidP="00332FF7">
            <w:pPr>
              <w:spacing w:after="0" w:line="240" w:lineRule="auto"/>
              <w:jc w:val="center"/>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Anul 2021</w:t>
            </w:r>
          </w:p>
        </w:tc>
        <w:tc>
          <w:tcPr>
            <w:tcW w:w="967" w:type="dxa"/>
            <w:tcBorders>
              <w:top w:val="single" w:sz="4" w:space="0" w:color="auto"/>
              <w:left w:val="nil"/>
              <w:bottom w:val="single" w:sz="4" w:space="0" w:color="auto"/>
              <w:right w:val="single" w:sz="4" w:space="0" w:color="auto"/>
            </w:tcBorders>
            <w:shd w:val="clear" w:color="auto" w:fill="auto"/>
            <w:noWrap/>
            <w:vAlign w:val="center"/>
            <w:hideMark/>
          </w:tcPr>
          <w:p w14:paraId="104C8C2B" w14:textId="0E1F6ECA" w:rsidR="006F3067" w:rsidRPr="008860BA" w:rsidRDefault="00885EE0" w:rsidP="00332FF7">
            <w:pPr>
              <w:spacing w:after="0" w:line="240" w:lineRule="auto"/>
              <w:jc w:val="center"/>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C</w:t>
            </w:r>
            <w:r w:rsidR="006F3067" w:rsidRPr="008860BA">
              <w:rPr>
                <w:rFonts w:asciiTheme="majorHAnsi" w:eastAsia="Times New Roman" w:hAnsiTheme="majorHAnsi" w:cstheme="majorHAnsi"/>
                <w:b/>
                <w:bCs/>
                <w:color w:val="000000"/>
                <w:sz w:val="18"/>
                <w:szCs w:val="18"/>
                <w:lang w:val="ro-MD"/>
              </w:rPr>
              <w:t>ontul</w:t>
            </w:r>
          </w:p>
        </w:tc>
        <w:tc>
          <w:tcPr>
            <w:tcW w:w="1099" w:type="dxa"/>
            <w:tcBorders>
              <w:top w:val="single" w:sz="4" w:space="0" w:color="auto"/>
              <w:left w:val="nil"/>
              <w:bottom w:val="single" w:sz="4" w:space="0" w:color="auto"/>
              <w:right w:val="single" w:sz="4" w:space="0" w:color="auto"/>
            </w:tcBorders>
            <w:shd w:val="clear" w:color="auto" w:fill="auto"/>
            <w:vAlign w:val="center"/>
            <w:hideMark/>
          </w:tcPr>
          <w:p w14:paraId="63AA0238" w14:textId="09317085" w:rsidR="006F3067" w:rsidRPr="008860BA" w:rsidRDefault="006F3067" w:rsidP="00332FF7">
            <w:pPr>
              <w:spacing w:after="0" w:line="240" w:lineRule="auto"/>
              <w:jc w:val="center"/>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Suma totală conform situa</w:t>
            </w:r>
            <w:r w:rsidR="00B13B9A" w:rsidRPr="008860BA">
              <w:rPr>
                <w:rFonts w:asciiTheme="majorHAnsi" w:eastAsia="Times New Roman" w:hAnsiTheme="majorHAnsi" w:cstheme="majorHAnsi"/>
                <w:b/>
                <w:bCs/>
                <w:color w:val="000000"/>
                <w:sz w:val="18"/>
                <w:szCs w:val="18"/>
                <w:lang w:val="ro-MD"/>
              </w:rPr>
              <w:t>ț</w:t>
            </w:r>
            <w:r w:rsidRPr="008860BA">
              <w:rPr>
                <w:rFonts w:asciiTheme="majorHAnsi" w:eastAsia="Times New Roman" w:hAnsiTheme="majorHAnsi" w:cstheme="majorHAnsi"/>
                <w:b/>
                <w:bCs/>
                <w:color w:val="000000"/>
                <w:sz w:val="18"/>
                <w:szCs w:val="18"/>
                <w:lang w:val="ro-MD"/>
              </w:rPr>
              <w:t>iei financiare</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14:paraId="0C240BD1" w14:textId="77777777" w:rsidR="006F3067" w:rsidRPr="008860BA" w:rsidRDefault="006F3067" w:rsidP="00332FF7">
            <w:pPr>
              <w:spacing w:after="0" w:line="240" w:lineRule="auto"/>
              <w:jc w:val="center"/>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Total, inclusiv</w:t>
            </w:r>
          </w:p>
        </w:tc>
        <w:tc>
          <w:tcPr>
            <w:tcW w:w="1092" w:type="dxa"/>
            <w:tcBorders>
              <w:top w:val="single" w:sz="4" w:space="0" w:color="auto"/>
              <w:left w:val="nil"/>
              <w:bottom w:val="single" w:sz="4" w:space="0" w:color="auto"/>
              <w:right w:val="single" w:sz="4" w:space="0" w:color="auto"/>
            </w:tcBorders>
            <w:shd w:val="clear" w:color="auto" w:fill="auto"/>
            <w:vAlign w:val="center"/>
            <w:hideMark/>
          </w:tcPr>
          <w:p w14:paraId="5DE612DC" w14:textId="66EA03FC" w:rsidR="006F3067" w:rsidRPr="008860BA" w:rsidRDefault="006F3067">
            <w:pPr>
              <w:spacing w:after="0" w:line="240" w:lineRule="auto"/>
              <w:ind w:left="87" w:hanging="87"/>
              <w:jc w:val="center"/>
              <w:rPr>
                <w:rFonts w:asciiTheme="majorHAnsi" w:eastAsia="Times New Roman" w:hAnsiTheme="majorHAnsi" w:cstheme="majorHAnsi"/>
                <w:b/>
                <w:bCs/>
                <w:sz w:val="18"/>
                <w:szCs w:val="18"/>
                <w:lang w:val="ro-MD"/>
              </w:rPr>
            </w:pPr>
            <w:r w:rsidRPr="008860BA">
              <w:rPr>
                <w:rFonts w:asciiTheme="majorHAnsi" w:eastAsia="Times New Roman" w:hAnsiTheme="majorHAnsi" w:cstheme="majorHAnsi"/>
                <w:b/>
                <w:bCs/>
                <w:sz w:val="18"/>
                <w:szCs w:val="18"/>
                <w:lang w:val="ro-MD"/>
              </w:rPr>
              <w:t>Spitaliceasc</w:t>
            </w:r>
            <w:r w:rsidR="00885EE0" w:rsidRPr="008860BA">
              <w:rPr>
                <w:rFonts w:asciiTheme="majorHAnsi" w:eastAsia="Times New Roman" w:hAnsiTheme="majorHAnsi" w:cstheme="majorHAnsi"/>
                <w:b/>
                <w:bCs/>
                <w:sz w:val="18"/>
                <w:szCs w:val="18"/>
                <w:lang w:val="ro-MD"/>
              </w:rPr>
              <w:t>ă</w:t>
            </w:r>
            <w:r w:rsidRPr="008860BA">
              <w:rPr>
                <w:rFonts w:asciiTheme="majorHAnsi" w:eastAsia="Times New Roman" w:hAnsiTheme="majorHAnsi" w:cstheme="majorHAnsi"/>
                <w:b/>
                <w:bCs/>
                <w:sz w:val="18"/>
                <w:szCs w:val="18"/>
                <w:lang w:val="ro-MD"/>
              </w:rPr>
              <w:t xml:space="preserve"> </w:t>
            </w:r>
          </w:p>
        </w:tc>
        <w:tc>
          <w:tcPr>
            <w:tcW w:w="1224" w:type="dxa"/>
            <w:tcBorders>
              <w:top w:val="single" w:sz="4" w:space="0" w:color="auto"/>
              <w:left w:val="nil"/>
              <w:bottom w:val="single" w:sz="4" w:space="0" w:color="auto"/>
              <w:right w:val="single" w:sz="4" w:space="0" w:color="auto"/>
            </w:tcBorders>
            <w:shd w:val="clear" w:color="auto" w:fill="auto"/>
            <w:vAlign w:val="center"/>
            <w:hideMark/>
          </w:tcPr>
          <w:p w14:paraId="5E6E7C21" w14:textId="77777777" w:rsidR="006F3067" w:rsidRPr="008860BA" w:rsidRDefault="006F3067" w:rsidP="00332FF7">
            <w:pPr>
              <w:spacing w:after="0" w:line="240" w:lineRule="auto"/>
              <w:jc w:val="center"/>
              <w:rPr>
                <w:rFonts w:asciiTheme="majorHAnsi" w:eastAsia="Times New Roman" w:hAnsiTheme="majorHAnsi" w:cstheme="majorHAnsi"/>
                <w:b/>
                <w:bCs/>
                <w:sz w:val="18"/>
                <w:szCs w:val="18"/>
                <w:lang w:val="ro-MD"/>
              </w:rPr>
            </w:pPr>
            <w:r w:rsidRPr="008860BA">
              <w:rPr>
                <w:rFonts w:asciiTheme="majorHAnsi" w:eastAsia="Times New Roman" w:hAnsiTheme="majorHAnsi" w:cstheme="majorHAnsi"/>
                <w:b/>
                <w:bCs/>
                <w:sz w:val="18"/>
                <w:szCs w:val="18"/>
                <w:lang w:val="ro-MD"/>
              </w:rPr>
              <w:t xml:space="preserve">CNAM examinări profilactice (radiografie mobila) </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14:paraId="4F9CE1A4" w14:textId="548E28C6" w:rsidR="006F3067" w:rsidRPr="008860BA" w:rsidRDefault="006F3067">
            <w:pPr>
              <w:spacing w:after="0" w:line="240" w:lineRule="auto"/>
              <w:jc w:val="center"/>
              <w:rPr>
                <w:rFonts w:asciiTheme="majorHAnsi" w:eastAsia="Times New Roman" w:hAnsiTheme="majorHAnsi" w:cstheme="majorHAnsi"/>
                <w:b/>
                <w:bCs/>
                <w:sz w:val="18"/>
                <w:szCs w:val="18"/>
                <w:lang w:val="ro-MD"/>
              </w:rPr>
            </w:pPr>
            <w:r w:rsidRPr="008860BA">
              <w:rPr>
                <w:rFonts w:asciiTheme="majorHAnsi" w:eastAsia="Times New Roman" w:hAnsiTheme="majorHAnsi" w:cstheme="majorHAnsi"/>
                <w:b/>
                <w:bCs/>
                <w:sz w:val="18"/>
                <w:szCs w:val="18"/>
                <w:lang w:val="ro-MD"/>
              </w:rPr>
              <w:t>Aloca</w:t>
            </w:r>
            <w:r w:rsidR="00885EE0" w:rsidRPr="008860BA">
              <w:rPr>
                <w:rFonts w:asciiTheme="majorHAnsi" w:eastAsia="Times New Roman" w:hAnsiTheme="majorHAnsi" w:cstheme="majorHAnsi"/>
                <w:b/>
                <w:bCs/>
                <w:sz w:val="18"/>
                <w:szCs w:val="18"/>
                <w:lang w:val="ro-MD"/>
              </w:rPr>
              <w:t>ț</w:t>
            </w:r>
            <w:r w:rsidRPr="008860BA">
              <w:rPr>
                <w:rFonts w:asciiTheme="majorHAnsi" w:eastAsia="Times New Roman" w:hAnsiTheme="majorHAnsi" w:cstheme="majorHAnsi"/>
                <w:b/>
                <w:bCs/>
                <w:sz w:val="18"/>
                <w:szCs w:val="18"/>
                <w:lang w:val="ro-MD"/>
              </w:rPr>
              <w:t>ii CNAM    reziden</w:t>
            </w:r>
            <w:r w:rsidR="00885EE0" w:rsidRPr="008860BA">
              <w:rPr>
                <w:rFonts w:asciiTheme="majorHAnsi" w:eastAsia="Times New Roman" w:hAnsiTheme="majorHAnsi" w:cstheme="majorHAnsi"/>
                <w:b/>
                <w:bCs/>
                <w:sz w:val="18"/>
                <w:szCs w:val="18"/>
                <w:lang w:val="ro-MD"/>
              </w:rPr>
              <w:t>ț</w:t>
            </w:r>
            <w:r w:rsidRPr="008860BA">
              <w:rPr>
                <w:rFonts w:asciiTheme="majorHAnsi" w:eastAsia="Times New Roman" w:hAnsiTheme="majorHAnsi" w:cstheme="majorHAnsi"/>
                <w:b/>
                <w:bCs/>
                <w:sz w:val="18"/>
                <w:szCs w:val="18"/>
                <w:lang w:val="ro-MD"/>
              </w:rPr>
              <w:t>i</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14:paraId="508940BF" w14:textId="77777777" w:rsidR="006F3067" w:rsidRPr="008860BA" w:rsidRDefault="006F3067" w:rsidP="00332FF7">
            <w:pPr>
              <w:spacing w:after="0" w:line="240" w:lineRule="auto"/>
              <w:jc w:val="center"/>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Consultativă +LNR</w:t>
            </w:r>
          </w:p>
        </w:tc>
        <w:tc>
          <w:tcPr>
            <w:tcW w:w="822" w:type="dxa"/>
            <w:tcBorders>
              <w:top w:val="single" w:sz="4" w:space="0" w:color="auto"/>
              <w:left w:val="nil"/>
              <w:bottom w:val="single" w:sz="4" w:space="0" w:color="auto"/>
              <w:right w:val="single" w:sz="4" w:space="0" w:color="auto"/>
            </w:tcBorders>
            <w:shd w:val="clear" w:color="auto" w:fill="auto"/>
            <w:vAlign w:val="center"/>
            <w:hideMark/>
          </w:tcPr>
          <w:p w14:paraId="3C85B601" w14:textId="6CBF1F13" w:rsidR="006F3067" w:rsidRPr="008860BA" w:rsidRDefault="00885EE0" w:rsidP="00332FF7">
            <w:pPr>
              <w:spacing w:after="0" w:line="240" w:lineRule="auto"/>
              <w:jc w:val="center"/>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Ș</w:t>
            </w:r>
            <w:r w:rsidR="006F3067" w:rsidRPr="008860BA">
              <w:rPr>
                <w:rFonts w:asciiTheme="majorHAnsi" w:eastAsia="Times New Roman" w:hAnsiTheme="majorHAnsi" w:cstheme="majorHAnsi"/>
                <w:b/>
                <w:bCs/>
                <w:color w:val="000000"/>
                <w:sz w:val="18"/>
                <w:szCs w:val="18"/>
                <w:lang w:val="ro-MD"/>
              </w:rPr>
              <w:t>tiin</w:t>
            </w:r>
            <w:r w:rsidR="00B13B9A" w:rsidRPr="008860BA">
              <w:rPr>
                <w:rFonts w:asciiTheme="majorHAnsi" w:eastAsia="Times New Roman" w:hAnsiTheme="majorHAnsi" w:cstheme="majorHAnsi"/>
                <w:b/>
                <w:bCs/>
                <w:color w:val="000000"/>
                <w:sz w:val="18"/>
                <w:szCs w:val="18"/>
                <w:lang w:val="ro-MD"/>
              </w:rPr>
              <w:t>ț</w:t>
            </w:r>
            <w:r w:rsidR="006F3067" w:rsidRPr="008860BA">
              <w:rPr>
                <w:rFonts w:asciiTheme="majorHAnsi" w:eastAsia="Times New Roman" w:hAnsiTheme="majorHAnsi" w:cstheme="majorHAnsi"/>
                <w:b/>
                <w:bCs/>
                <w:color w:val="000000"/>
                <w:sz w:val="18"/>
                <w:szCs w:val="18"/>
                <w:lang w:val="ro-MD"/>
              </w:rPr>
              <w:t xml:space="preserve">ă </w:t>
            </w:r>
          </w:p>
        </w:tc>
        <w:tc>
          <w:tcPr>
            <w:tcW w:w="822" w:type="dxa"/>
            <w:tcBorders>
              <w:top w:val="single" w:sz="4" w:space="0" w:color="auto"/>
              <w:left w:val="nil"/>
              <w:bottom w:val="single" w:sz="4" w:space="0" w:color="auto"/>
              <w:right w:val="single" w:sz="4" w:space="0" w:color="auto"/>
            </w:tcBorders>
            <w:shd w:val="clear" w:color="auto" w:fill="auto"/>
            <w:vAlign w:val="center"/>
            <w:hideMark/>
          </w:tcPr>
          <w:p w14:paraId="70A41D4D" w14:textId="77777777" w:rsidR="006F3067" w:rsidRPr="008860BA" w:rsidRDefault="006F3067" w:rsidP="00332FF7">
            <w:pPr>
              <w:spacing w:after="0" w:line="240" w:lineRule="auto"/>
              <w:jc w:val="center"/>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 xml:space="preserve">Servicii contra plată </w:t>
            </w:r>
          </w:p>
        </w:tc>
        <w:tc>
          <w:tcPr>
            <w:tcW w:w="908" w:type="dxa"/>
            <w:tcBorders>
              <w:top w:val="single" w:sz="4" w:space="0" w:color="auto"/>
              <w:left w:val="nil"/>
              <w:bottom w:val="single" w:sz="4" w:space="0" w:color="auto"/>
              <w:right w:val="single" w:sz="4" w:space="0" w:color="auto"/>
            </w:tcBorders>
            <w:shd w:val="clear" w:color="auto" w:fill="auto"/>
            <w:vAlign w:val="center"/>
            <w:hideMark/>
          </w:tcPr>
          <w:p w14:paraId="6305041D" w14:textId="77777777" w:rsidR="006F3067" w:rsidRPr="008860BA" w:rsidRDefault="006F3067" w:rsidP="00332FF7">
            <w:pPr>
              <w:spacing w:after="0" w:line="240" w:lineRule="auto"/>
              <w:jc w:val="center"/>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 xml:space="preserve">Proiect </w:t>
            </w:r>
          </w:p>
        </w:tc>
      </w:tr>
      <w:tr w:rsidR="006F3067" w:rsidRPr="008860BA" w14:paraId="4BCAD809" w14:textId="77777777" w:rsidTr="006F3067">
        <w:trPr>
          <w:trHeight w:val="20"/>
        </w:trPr>
        <w:tc>
          <w:tcPr>
            <w:tcW w:w="3423" w:type="dxa"/>
            <w:tcBorders>
              <w:top w:val="nil"/>
              <w:left w:val="single" w:sz="4" w:space="0" w:color="auto"/>
              <w:bottom w:val="single" w:sz="4" w:space="0" w:color="auto"/>
              <w:right w:val="single" w:sz="4" w:space="0" w:color="auto"/>
            </w:tcBorders>
            <w:shd w:val="clear" w:color="auto" w:fill="auto"/>
            <w:noWrap/>
            <w:vAlign w:val="bottom"/>
            <w:hideMark/>
          </w:tcPr>
          <w:p w14:paraId="6E486FEC" w14:textId="7B18125C" w:rsidR="006F3067" w:rsidRPr="008860BA" w:rsidRDefault="006F306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Venituri din v</w:t>
            </w:r>
            <w:r w:rsidR="00885EE0" w:rsidRPr="008860BA">
              <w:rPr>
                <w:rFonts w:asciiTheme="majorHAnsi" w:eastAsia="Times New Roman" w:hAnsiTheme="majorHAnsi" w:cstheme="majorHAnsi"/>
                <w:color w:val="000000"/>
                <w:sz w:val="18"/>
                <w:szCs w:val="18"/>
                <w:lang w:val="ro-MD"/>
              </w:rPr>
              <w:t>â</w:t>
            </w:r>
            <w:r w:rsidRPr="008860BA">
              <w:rPr>
                <w:rFonts w:asciiTheme="majorHAnsi" w:eastAsia="Times New Roman" w:hAnsiTheme="majorHAnsi" w:cstheme="majorHAnsi"/>
                <w:color w:val="000000"/>
                <w:sz w:val="18"/>
                <w:szCs w:val="18"/>
                <w:lang w:val="ro-MD"/>
              </w:rPr>
              <w:t>nzări</w:t>
            </w:r>
          </w:p>
        </w:tc>
        <w:tc>
          <w:tcPr>
            <w:tcW w:w="967" w:type="dxa"/>
            <w:tcBorders>
              <w:top w:val="nil"/>
              <w:left w:val="nil"/>
              <w:bottom w:val="single" w:sz="4" w:space="0" w:color="auto"/>
              <w:right w:val="single" w:sz="4" w:space="0" w:color="auto"/>
            </w:tcBorders>
            <w:shd w:val="clear" w:color="auto" w:fill="auto"/>
            <w:noWrap/>
            <w:vAlign w:val="bottom"/>
            <w:hideMark/>
          </w:tcPr>
          <w:p w14:paraId="6BFA9E81"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611</w:t>
            </w:r>
          </w:p>
        </w:tc>
        <w:tc>
          <w:tcPr>
            <w:tcW w:w="1099" w:type="dxa"/>
            <w:tcBorders>
              <w:top w:val="nil"/>
              <w:left w:val="nil"/>
              <w:bottom w:val="single" w:sz="4" w:space="0" w:color="auto"/>
              <w:right w:val="single" w:sz="4" w:space="0" w:color="auto"/>
            </w:tcBorders>
            <w:shd w:val="clear" w:color="auto" w:fill="auto"/>
            <w:noWrap/>
            <w:vAlign w:val="bottom"/>
            <w:hideMark/>
          </w:tcPr>
          <w:p w14:paraId="089F98C1" w14:textId="77777777" w:rsidR="006F3067" w:rsidRPr="008860BA" w:rsidRDefault="006F3067" w:rsidP="00332FF7">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84.485,21</w:t>
            </w:r>
          </w:p>
        </w:tc>
        <w:tc>
          <w:tcPr>
            <w:tcW w:w="1195" w:type="dxa"/>
            <w:tcBorders>
              <w:top w:val="nil"/>
              <w:left w:val="nil"/>
              <w:bottom w:val="single" w:sz="4" w:space="0" w:color="auto"/>
              <w:right w:val="single" w:sz="4" w:space="0" w:color="auto"/>
            </w:tcBorders>
            <w:shd w:val="clear" w:color="auto" w:fill="auto"/>
            <w:noWrap/>
            <w:vAlign w:val="bottom"/>
            <w:hideMark/>
          </w:tcPr>
          <w:p w14:paraId="6DB3C827" w14:textId="77777777" w:rsidR="006F3067" w:rsidRPr="008860BA" w:rsidRDefault="006F3067" w:rsidP="00332FF7">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84.485,21</w:t>
            </w:r>
          </w:p>
        </w:tc>
        <w:tc>
          <w:tcPr>
            <w:tcW w:w="1092" w:type="dxa"/>
            <w:tcBorders>
              <w:top w:val="nil"/>
              <w:left w:val="nil"/>
              <w:bottom w:val="single" w:sz="4" w:space="0" w:color="auto"/>
              <w:right w:val="single" w:sz="4" w:space="0" w:color="auto"/>
            </w:tcBorders>
            <w:shd w:val="clear" w:color="auto" w:fill="auto"/>
            <w:noWrap/>
            <w:vAlign w:val="bottom"/>
            <w:hideMark/>
          </w:tcPr>
          <w:p w14:paraId="2512682C" w14:textId="77777777" w:rsidR="006F3067" w:rsidRPr="008860BA" w:rsidRDefault="006F3067" w:rsidP="00332FF7">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55.221,96</w:t>
            </w:r>
          </w:p>
        </w:tc>
        <w:tc>
          <w:tcPr>
            <w:tcW w:w="1224" w:type="dxa"/>
            <w:tcBorders>
              <w:top w:val="nil"/>
              <w:left w:val="nil"/>
              <w:bottom w:val="single" w:sz="4" w:space="0" w:color="auto"/>
              <w:right w:val="single" w:sz="4" w:space="0" w:color="auto"/>
            </w:tcBorders>
            <w:shd w:val="clear" w:color="auto" w:fill="auto"/>
            <w:noWrap/>
            <w:vAlign w:val="bottom"/>
            <w:hideMark/>
          </w:tcPr>
          <w:p w14:paraId="4E3317F5" w14:textId="77777777" w:rsidR="006F3067" w:rsidRPr="008860BA" w:rsidRDefault="006F3067" w:rsidP="00332FF7">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364,02</w:t>
            </w:r>
          </w:p>
        </w:tc>
        <w:tc>
          <w:tcPr>
            <w:tcW w:w="1259" w:type="dxa"/>
            <w:tcBorders>
              <w:top w:val="nil"/>
              <w:left w:val="nil"/>
              <w:bottom w:val="single" w:sz="4" w:space="0" w:color="auto"/>
              <w:right w:val="single" w:sz="4" w:space="0" w:color="auto"/>
            </w:tcBorders>
            <w:shd w:val="clear" w:color="auto" w:fill="auto"/>
            <w:noWrap/>
            <w:vAlign w:val="bottom"/>
            <w:hideMark/>
          </w:tcPr>
          <w:p w14:paraId="192ADFC8" w14:textId="77777777" w:rsidR="006F3067" w:rsidRPr="008860BA" w:rsidRDefault="006F3067" w:rsidP="00332FF7">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540,74</w:t>
            </w:r>
          </w:p>
        </w:tc>
        <w:tc>
          <w:tcPr>
            <w:tcW w:w="1067" w:type="dxa"/>
            <w:tcBorders>
              <w:top w:val="nil"/>
              <w:left w:val="nil"/>
              <w:bottom w:val="single" w:sz="4" w:space="0" w:color="auto"/>
              <w:right w:val="single" w:sz="4" w:space="0" w:color="auto"/>
            </w:tcBorders>
            <w:shd w:val="clear" w:color="auto" w:fill="auto"/>
            <w:noWrap/>
            <w:vAlign w:val="bottom"/>
            <w:hideMark/>
          </w:tcPr>
          <w:p w14:paraId="1CD7C3F7" w14:textId="77777777" w:rsidR="006F3067" w:rsidRPr="008860BA" w:rsidRDefault="006F3067" w:rsidP="00332FF7">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10.676,73</w:t>
            </w:r>
          </w:p>
        </w:tc>
        <w:tc>
          <w:tcPr>
            <w:tcW w:w="822" w:type="dxa"/>
            <w:tcBorders>
              <w:top w:val="nil"/>
              <w:left w:val="nil"/>
              <w:bottom w:val="single" w:sz="4" w:space="0" w:color="auto"/>
              <w:right w:val="single" w:sz="4" w:space="0" w:color="auto"/>
            </w:tcBorders>
            <w:shd w:val="clear" w:color="auto" w:fill="auto"/>
            <w:noWrap/>
            <w:vAlign w:val="bottom"/>
            <w:hideMark/>
          </w:tcPr>
          <w:p w14:paraId="1C859913" w14:textId="77777777" w:rsidR="006F3067" w:rsidRPr="008860BA" w:rsidRDefault="006F3067" w:rsidP="00332FF7">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797,37</w:t>
            </w:r>
          </w:p>
        </w:tc>
        <w:tc>
          <w:tcPr>
            <w:tcW w:w="822" w:type="dxa"/>
            <w:tcBorders>
              <w:top w:val="nil"/>
              <w:left w:val="nil"/>
              <w:bottom w:val="single" w:sz="4" w:space="0" w:color="auto"/>
              <w:right w:val="single" w:sz="4" w:space="0" w:color="auto"/>
            </w:tcBorders>
            <w:shd w:val="clear" w:color="auto" w:fill="auto"/>
            <w:noWrap/>
            <w:vAlign w:val="bottom"/>
            <w:hideMark/>
          </w:tcPr>
          <w:p w14:paraId="4C4E262C" w14:textId="77777777" w:rsidR="006F3067" w:rsidRPr="008860BA" w:rsidRDefault="006F3067" w:rsidP="00332FF7">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917,85</w:t>
            </w:r>
          </w:p>
        </w:tc>
        <w:tc>
          <w:tcPr>
            <w:tcW w:w="908" w:type="dxa"/>
            <w:tcBorders>
              <w:top w:val="nil"/>
              <w:left w:val="nil"/>
              <w:bottom w:val="single" w:sz="4" w:space="0" w:color="auto"/>
              <w:right w:val="single" w:sz="4" w:space="0" w:color="auto"/>
            </w:tcBorders>
            <w:shd w:val="clear" w:color="auto" w:fill="auto"/>
            <w:noWrap/>
            <w:vAlign w:val="bottom"/>
            <w:hideMark/>
          </w:tcPr>
          <w:p w14:paraId="6D1B4FA1" w14:textId="77777777" w:rsidR="006F3067" w:rsidRPr="008860BA" w:rsidRDefault="006F3067" w:rsidP="00332FF7">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15.966,53</w:t>
            </w:r>
          </w:p>
        </w:tc>
      </w:tr>
      <w:tr w:rsidR="006F3067" w:rsidRPr="008860BA" w14:paraId="15DC02DD" w14:textId="77777777" w:rsidTr="006F3067">
        <w:trPr>
          <w:trHeight w:val="20"/>
        </w:trPr>
        <w:tc>
          <w:tcPr>
            <w:tcW w:w="3423" w:type="dxa"/>
            <w:tcBorders>
              <w:top w:val="nil"/>
              <w:left w:val="single" w:sz="4" w:space="0" w:color="auto"/>
              <w:bottom w:val="single" w:sz="4" w:space="0" w:color="auto"/>
              <w:right w:val="single" w:sz="4" w:space="0" w:color="auto"/>
            </w:tcBorders>
            <w:shd w:val="clear" w:color="auto" w:fill="auto"/>
            <w:vAlign w:val="bottom"/>
            <w:hideMark/>
          </w:tcPr>
          <w:p w14:paraId="3FCEB78C" w14:textId="6215E948"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Alte venituri din activitatea opera</w:t>
            </w:r>
            <w:r w:rsidR="00B13B9A" w:rsidRPr="008860BA">
              <w:rPr>
                <w:rFonts w:asciiTheme="majorHAnsi" w:eastAsia="Times New Roman" w:hAnsiTheme="majorHAnsi" w:cstheme="majorHAnsi"/>
                <w:color w:val="000000"/>
                <w:sz w:val="18"/>
                <w:szCs w:val="18"/>
                <w:lang w:val="ro-MD"/>
              </w:rPr>
              <w:t>ț</w:t>
            </w:r>
            <w:r w:rsidRPr="008860BA">
              <w:rPr>
                <w:rFonts w:asciiTheme="majorHAnsi" w:eastAsia="Times New Roman" w:hAnsiTheme="majorHAnsi" w:cstheme="majorHAnsi"/>
                <w:color w:val="000000"/>
                <w:sz w:val="18"/>
                <w:szCs w:val="18"/>
                <w:lang w:val="ro-MD"/>
              </w:rPr>
              <w:t>ională</w:t>
            </w:r>
          </w:p>
        </w:tc>
        <w:tc>
          <w:tcPr>
            <w:tcW w:w="967" w:type="dxa"/>
            <w:tcBorders>
              <w:top w:val="nil"/>
              <w:left w:val="nil"/>
              <w:bottom w:val="single" w:sz="4" w:space="0" w:color="auto"/>
              <w:right w:val="single" w:sz="4" w:space="0" w:color="auto"/>
            </w:tcBorders>
            <w:shd w:val="clear" w:color="auto" w:fill="auto"/>
            <w:noWrap/>
            <w:vAlign w:val="bottom"/>
            <w:hideMark/>
          </w:tcPr>
          <w:p w14:paraId="78644D5F"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612</w:t>
            </w:r>
          </w:p>
        </w:tc>
        <w:tc>
          <w:tcPr>
            <w:tcW w:w="1099" w:type="dxa"/>
            <w:tcBorders>
              <w:top w:val="nil"/>
              <w:left w:val="nil"/>
              <w:bottom w:val="single" w:sz="4" w:space="0" w:color="auto"/>
              <w:right w:val="single" w:sz="4" w:space="0" w:color="auto"/>
            </w:tcBorders>
            <w:shd w:val="clear" w:color="auto" w:fill="auto"/>
            <w:noWrap/>
            <w:vAlign w:val="bottom"/>
            <w:hideMark/>
          </w:tcPr>
          <w:p w14:paraId="3AF93BB5" w14:textId="77777777" w:rsidR="006F3067" w:rsidRPr="008860BA" w:rsidRDefault="006F3067" w:rsidP="00332FF7">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0,03</w:t>
            </w:r>
          </w:p>
        </w:tc>
        <w:tc>
          <w:tcPr>
            <w:tcW w:w="1195" w:type="dxa"/>
            <w:tcBorders>
              <w:top w:val="nil"/>
              <w:left w:val="nil"/>
              <w:bottom w:val="single" w:sz="4" w:space="0" w:color="auto"/>
              <w:right w:val="single" w:sz="4" w:space="0" w:color="auto"/>
            </w:tcBorders>
            <w:shd w:val="clear" w:color="auto" w:fill="auto"/>
            <w:noWrap/>
            <w:vAlign w:val="bottom"/>
            <w:hideMark/>
          </w:tcPr>
          <w:p w14:paraId="067474E3" w14:textId="77777777" w:rsidR="006F3067" w:rsidRPr="008860BA" w:rsidRDefault="006F3067" w:rsidP="00332FF7">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0,03</w:t>
            </w:r>
          </w:p>
        </w:tc>
        <w:tc>
          <w:tcPr>
            <w:tcW w:w="1092" w:type="dxa"/>
            <w:tcBorders>
              <w:top w:val="nil"/>
              <w:left w:val="nil"/>
              <w:bottom w:val="single" w:sz="4" w:space="0" w:color="auto"/>
              <w:right w:val="single" w:sz="4" w:space="0" w:color="auto"/>
            </w:tcBorders>
            <w:shd w:val="clear" w:color="auto" w:fill="auto"/>
            <w:noWrap/>
            <w:vAlign w:val="bottom"/>
            <w:hideMark/>
          </w:tcPr>
          <w:p w14:paraId="3CB4CBAF" w14:textId="77777777" w:rsidR="006F3067" w:rsidRPr="008860BA" w:rsidRDefault="006F3067" w:rsidP="00332FF7">
            <w:pPr>
              <w:spacing w:after="0" w:line="240" w:lineRule="auto"/>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 </w:t>
            </w:r>
          </w:p>
        </w:tc>
        <w:tc>
          <w:tcPr>
            <w:tcW w:w="1224" w:type="dxa"/>
            <w:tcBorders>
              <w:top w:val="nil"/>
              <w:left w:val="nil"/>
              <w:bottom w:val="single" w:sz="4" w:space="0" w:color="auto"/>
              <w:right w:val="single" w:sz="4" w:space="0" w:color="auto"/>
            </w:tcBorders>
            <w:shd w:val="clear" w:color="auto" w:fill="auto"/>
            <w:noWrap/>
            <w:vAlign w:val="bottom"/>
            <w:hideMark/>
          </w:tcPr>
          <w:p w14:paraId="7EF6BA48" w14:textId="77777777" w:rsidR="006F3067" w:rsidRPr="008860BA" w:rsidRDefault="006F3067" w:rsidP="00332FF7">
            <w:pPr>
              <w:spacing w:after="0" w:line="240" w:lineRule="auto"/>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 </w:t>
            </w:r>
          </w:p>
        </w:tc>
        <w:tc>
          <w:tcPr>
            <w:tcW w:w="1259" w:type="dxa"/>
            <w:tcBorders>
              <w:top w:val="nil"/>
              <w:left w:val="nil"/>
              <w:bottom w:val="single" w:sz="4" w:space="0" w:color="auto"/>
              <w:right w:val="single" w:sz="4" w:space="0" w:color="auto"/>
            </w:tcBorders>
            <w:shd w:val="clear" w:color="auto" w:fill="auto"/>
            <w:noWrap/>
            <w:vAlign w:val="bottom"/>
            <w:hideMark/>
          </w:tcPr>
          <w:p w14:paraId="5A5567D2" w14:textId="77777777" w:rsidR="006F3067" w:rsidRPr="008860BA" w:rsidRDefault="006F3067" w:rsidP="00332FF7">
            <w:pPr>
              <w:spacing w:after="0" w:line="240" w:lineRule="auto"/>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 </w:t>
            </w:r>
          </w:p>
        </w:tc>
        <w:tc>
          <w:tcPr>
            <w:tcW w:w="1067" w:type="dxa"/>
            <w:tcBorders>
              <w:top w:val="nil"/>
              <w:left w:val="nil"/>
              <w:bottom w:val="single" w:sz="4" w:space="0" w:color="auto"/>
              <w:right w:val="single" w:sz="4" w:space="0" w:color="auto"/>
            </w:tcBorders>
            <w:shd w:val="clear" w:color="auto" w:fill="auto"/>
            <w:noWrap/>
            <w:vAlign w:val="bottom"/>
            <w:hideMark/>
          </w:tcPr>
          <w:p w14:paraId="197CD34F" w14:textId="77777777" w:rsidR="006F3067" w:rsidRPr="008860BA" w:rsidRDefault="006F3067" w:rsidP="00332FF7">
            <w:pPr>
              <w:spacing w:after="0" w:line="240" w:lineRule="auto"/>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 </w:t>
            </w:r>
          </w:p>
        </w:tc>
        <w:tc>
          <w:tcPr>
            <w:tcW w:w="822" w:type="dxa"/>
            <w:tcBorders>
              <w:top w:val="nil"/>
              <w:left w:val="nil"/>
              <w:bottom w:val="single" w:sz="4" w:space="0" w:color="auto"/>
              <w:right w:val="single" w:sz="4" w:space="0" w:color="auto"/>
            </w:tcBorders>
            <w:shd w:val="clear" w:color="auto" w:fill="auto"/>
            <w:noWrap/>
            <w:vAlign w:val="bottom"/>
            <w:hideMark/>
          </w:tcPr>
          <w:p w14:paraId="64C34661" w14:textId="77777777" w:rsidR="006F3067" w:rsidRPr="008860BA" w:rsidRDefault="006F3067" w:rsidP="00332FF7">
            <w:pPr>
              <w:spacing w:after="0" w:line="240" w:lineRule="auto"/>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 </w:t>
            </w:r>
          </w:p>
        </w:tc>
        <w:tc>
          <w:tcPr>
            <w:tcW w:w="822" w:type="dxa"/>
            <w:tcBorders>
              <w:top w:val="nil"/>
              <w:left w:val="nil"/>
              <w:bottom w:val="single" w:sz="4" w:space="0" w:color="auto"/>
              <w:right w:val="single" w:sz="4" w:space="0" w:color="auto"/>
            </w:tcBorders>
            <w:shd w:val="clear" w:color="auto" w:fill="auto"/>
            <w:noWrap/>
            <w:vAlign w:val="bottom"/>
            <w:hideMark/>
          </w:tcPr>
          <w:p w14:paraId="326FD86C" w14:textId="77777777" w:rsidR="006F3067" w:rsidRPr="008860BA" w:rsidRDefault="006F3067" w:rsidP="00332FF7">
            <w:pPr>
              <w:spacing w:after="0" w:line="240" w:lineRule="auto"/>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 </w:t>
            </w:r>
          </w:p>
        </w:tc>
        <w:tc>
          <w:tcPr>
            <w:tcW w:w="908" w:type="dxa"/>
            <w:tcBorders>
              <w:top w:val="nil"/>
              <w:left w:val="nil"/>
              <w:bottom w:val="single" w:sz="4" w:space="0" w:color="auto"/>
              <w:right w:val="single" w:sz="4" w:space="0" w:color="auto"/>
            </w:tcBorders>
            <w:shd w:val="clear" w:color="auto" w:fill="auto"/>
            <w:noWrap/>
            <w:vAlign w:val="bottom"/>
            <w:hideMark/>
          </w:tcPr>
          <w:p w14:paraId="07CE7144" w14:textId="77777777" w:rsidR="006F3067" w:rsidRPr="008860BA" w:rsidRDefault="006F3067" w:rsidP="00332FF7">
            <w:pPr>
              <w:spacing w:after="0" w:line="240" w:lineRule="auto"/>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 </w:t>
            </w:r>
          </w:p>
        </w:tc>
      </w:tr>
      <w:tr w:rsidR="006F3067" w:rsidRPr="008860BA" w14:paraId="7A8172F6" w14:textId="77777777" w:rsidTr="006F3067">
        <w:trPr>
          <w:trHeight w:val="20"/>
        </w:trPr>
        <w:tc>
          <w:tcPr>
            <w:tcW w:w="3423" w:type="dxa"/>
            <w:tcBorders>
              <w:top w:val="nil"/>
              <w:left w:val="single" w:sz="4" w:space="0" w:color="auto"/>
              <w:bottom w:val="single" w:sz="4" w:space="0" w:color="auto"/>
              <w:right w:val="single" w:sz="4" w:space="0" w:color="auto"/>
            </w:tcBorders>
            <w:shd w:val="clear" w:color="auto" w:fill="auto"/>
            <w:vAlign w:val="bottom"/>
            <w:hideMark/>
          </w:tcPr>
          <w:p w14:paraId="3466A4DD" w14:textId="65855A5E" w:rsidR="006F3067" w:rsidRPr="008860BA" w:rsidRDefault="006F306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Dob</w:t>
            </w:r>
            <w:r w:rsidR="00885EE0" w:rsidRPr="008860BA">
              <w:rPr>
                <w:rFonts w:asciiTheme="majorHAnsi" w:eastAsia="Times New Roman" w:hAnsiTheme="majorHAnsi" w:cstheme="majorHAnsi"/>
                <w:color w:val="000000"/>
                <w:sz w:val="18"/>
                <w:szCs w:val="18"/>
                <w:lang w:val="ro-MD"/>
              </w:rPr>
              <w:t>â</w:t>
            </w:r>
            <w:r w:rsidRPr="008860BA">
              <w:rPr>
                <w:rFonts w:asciiTheme="majorHAnsi" w:eastAsia="Times New Roman" w:hAnsiTheme="majorHAnsi" w:cstheme="majorHAnsi"/>
                <w:color w:val="000000"/>
                <w:sz w:val="18"/>
                <w:szCs w:val="18"/>
                <w:lang w:val="ro-MD"/>
              </w:rPr>
              <w:t>nda bancară</w:t>
            </w:r>
          </w:p>
        </w:tc>
        <w:tc>
          <w:tcPr>
            <w:tcW w:w="967" w:type="dxa"/>
            <w:tcBorders>
              <w:top w:val="nil"/>
              <w:left w:val="nil"/>
              <w:bottom w:val="single" w:sz="4" w:space="0" w:color="auto"/>
              <w:right w:val="single" w:sz="4" w:space="0" w:color="auto"/>
            </w:tcBorders>
            <w:shd w:val="clear" w:color="auto" w:fill="auto"/>
            <w:vAlign w:val="bottom"/>
            <w:hideMark/>
          </w:tcPr>
          <w:p w14:paraId="60CF7E30"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621</w:t>
            </w:r>
          </w:p>
        </w:tc>
        <w:tc>
          <w:tcPr>
            <w:tcW w:w="1099" w:type="dxa"/>
            <w:tcBorders>
              <w:top w:val="nil"/>
              <w:left w:val="nil"/>
              <w:bottom w:val="single" w:sz="4" w:space="0" w:color="auto"/>
              <w:right w:val="single" w:sz="4" w:space="0" w:color="auto"/>
            </w:tcBorders>
            <w:shd w:val="clear" w:color="auto" w:fill="auto"/>
            <w:noWrap/>
            <w:vAlign w:val="bottom"/>
            <w:hideMark/>
          </w:tcPr>
          <w:p w14:paraId="1328D15B" w14:textId="77777777" w:rsidR="006F3067" w:rsidRPr="008860BA" w:rsidRDefault="006F3067" w:rsidP="00332FF7">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6,60</w:t>
            </w:r>
          </w:p>
        </w:tc>
        <w:tc>
          <w:tcPr>
            <w:tcW w:w="1195" w:type="dxa"/>
            <w:tcBorders>
              <w:top w:val="nil"/>
              <w:left w:val="nil"/>
              <w:bottom w:val="single" w:sz="4" w:space="0" w:color="auto"/>
              <w:right w:val="single" w:sz="4" w:space="0" w:color="auto"/>
            </w:tcBorders>
            <w:shd w:val="clear" w:color="auto" w:fill="auto"/>
            <w:noWrap/>
            <w:vAlign w:val="bottom"/>
            <w:hideMark/>
          </w:tcPr>
          <w:p w14:paraId="1FF44256" w14:textId="77777777" w:rsidR="006F3067" w:rsidRPr="008860BA" w:rsidRDefault="006F3067" w:rsidP="00332FF7">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6,60</w:t>
            </w:r>
          </w:p>
        </w:tc>
        <w:tc>
          <w:tcPr>
            <w:tcW w:w="1092" w:type="dxa"/>
            <w:tcBorders>
              <w:top w:val="nil"/>
              <w:left w:val="nil"/>
              <w:bottom w:val="single" w:sz="4" w:space="0" w:color="auto"/>
              <w:right w:val="single" w:sz="4" w:space="0" w:color="auto"/>
            </w:tcBorders>
            <w:shd w:val="clear" w:color="auto" w:fill="auto"/>
            <w:vAlign w:val="bottom"/>
            <w:hideMark/>
          </w:tcPr>
          <w:p w14:paraId="78A1B282"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224" w:type="dxa"/>
            <w:tcBorders>
              <w:top w:val="nil"/>
              <w:left w:val="nil"/>
              <w:bottom w:val="single" w:sz="4" w:space="0" w:color="auto"/>
              <w:right w:val="single" w:sz="4" w:space="0" w:color="auto"/>
            </w:tcBorders>
            <w:shd w:val="clear" w:color="auto" w:fill="auto"/>
            <w:vAlign w:val="bottom"/>
            <w:hideMark/>
          </w:tcPr>
          <w:p w14:paraId="6E4A1A30"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259" w:type="dxa"/>
            <w:tcBorders>
              <w:top w:val="nil"/>
              <w:left w:val="nil"/>
              <w:bottom w:val="single" w:sz="4" w:space="0" w:color="auto"/>
              <w:right w:val="single" w:sz="4" w:space="0" w:color="auto"/>
            </w:tcBorders>
            <w:shd w:val="clear" w:color="auto" w:fill="auto"/>
            <w:vAlign w:val="bottom"/>
            <w:hideMark/>
          </w:tcPr>
          <w:p w14:paraId="2BDB921C"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67" w:type="dxa"/>
            <w:tcBorders>
              <w:top w:val="nil"/>
              <w:left w:val="nil"/>
              <w:bottom w:val="single" w:sz="4" w:space="0" w:color="auto"/>
              <w:right w:val="single" w:sz="4" w:space="0" w:color="auto"/>
            </w:tcBorders>
            <w:shd w:val="clear" w:color="auto" w:fill="auto"/>
            <w:vAlign w:val="bottom"/>
            <w:hideMark/>
          </w:tcPr>
          <w:p w14:paraId="2180FA97"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22" w:type="dxa"/>
            <w:tcBorders>
              <w:top w:val="nil"/>
              <w:left w:val="nil"/>
              <w:bottom w:val="single" w:sz="4" w:space="0" w:color="auto"/>
              <w:right w:val="single" w:sz="4" w:space="0" w:color="auto"/>
            </w:tcBorders>
            <w:shd w:val="clear" w:color="auto" w:fill="auto"/>
            <w:vAlign w:val="bottom"/>
            <w:hideMark/>
          </w:tcPr>
          <w:p w14:paraId="6C1A3218"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22" w:type="dxa"/>
            <w:tcBorders>
              <w:top w:val="nil"/>
              <w:left w:val="nil"/>
              <w:bottom w:val="single" w:sz="4" w:space="0" w:color="auto"/>
              <w:right w:val="single" w:sz="4" w:space="0" w:color="auto"/>
            </w:tcBorders>
            <w:shd w:val="clear" w:color="auto" w:fill="auto"/>
            <w:vAlign w:val="bottom"/>
            <w:hideMark/>
          </w:tcPr>
          <w:p w14:paraId="4400A83F"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908" w:type="dxa"/>
            <w:tcBorders>
              <w:top w:val="nil"/>
              <w:left w:val="nil"/>
              <w:bottom w:val="single" w:sz="4" w:space="0" w:color="auto"/>
              <w:right w:val="single" w:sz="4" w:space="0" w:color="auto"/>
            </w:tcBorders>
            <w:shd w:val="clear" w:color="auto" w:fill="auto"/>
            <w:vAlign w:val="bottom"/>
            <w:hideMark/>
          </w:tcPr>
          <w:p w14:paraId="68435785"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r>
      <w:tr w:rsidR="006F3067" w:rsidRPr="008860BA" w14:paraId="14C67711" w14:textId="77777777" w:rsidTr="006F3067">
        <w:trPr>
          <w:trHeight w:val="20"/>
        </w:trPr>
        <w:tc>
          <w:tcPr>
            <w:tcW w:w="3423" w:type="dxa"/>
            <w:tcBorders>
              <w:top w:val="nil"/>
              <w:left w:val="single" w:sz="4" w:space="0" w:color="auto"/>
              <w:bottom w:val="single" w:sz="4" w:space="0" w:color="auto"/>
              <w:right w:val="single" w:sz="4" w:space="0" w:color="auto"/>
            </w:tcBorders>
            <w:shd w:val="clear" w:color="auto" w:fill="auto"/>
            <w:vAlign w:val="bottom"/>
            <w:hideMark/>
          </w:tcPr>
          <w:p w14:paraId="53244BEA" w14:textId="7FAF483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Diferen</w:t>
            </w:r>
            <w:r w:rsidR="00B13B9A" w:rsidRPr="008860BA">
              <w:rPr>
                <w:rFonts w:asciiTheme="majorHAnsi" w:eastAsia="Times New Roman" w:hAnsiTheme="majorHAnsi" w:cstheme="majorHAnsi"/>
                <w:color w:val="000000"/>
                <w:sz w:val="18"/>
                <w:szCs w:val="18"/>
                <w:lang w:val="ro-MD"/>
              </w:rPr>
              <w:t>ț</w:t>
            </w:r>
            <w:r w:rsidRPr="008860BA">
              <w:rPr>
                <w:rFonts w:asciiTheme="majorHAnsi" w:eastAsia="Times New Roman" w:hAnsiTheme="majorHAnsi" w:cstheme="majorHAnsi"/>
                <w:color w:val="000000"/>
                <w:sz w:val="18"/>
                <w:szCs w:val="18"/>
                <w:lang w:val="ro-MD"/>
              </w:rPr>
              <w:t>a de curs valutar</w:t>
            </w:r>
          </w:p>
        </w:tc>
        <w:tc>
          <w:tcPr>
            <w:tcW w:w="967" w:type="dxa"/>
            <w:tcBorders>
              <w:top w:val="nil"/>
              <w:left w:val="nil"/>
              <w:bottom w:val="single" w:sz="4" w:space="0" w:color="auto"/>
              <w:right w:val="single" w:sz="4" w:space="0" w:color="auto"/>
            </w:tcBorders>
            <w:shd w:val="clear" w:color="auto" w:fill="auto"/>
            <w:vAlign w:val="bottom"/>
            <w:hideMark/>
          </w:tcPr>
          <w:p w14:paraId="32813649"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622</w:t>
            </w:r>
          </w:p>
        </w:tc>
        <w:tc>
          <w:tcPr>
            <w:tcW w:w="1099" w:type="dxa"/>
            <w:tcBorders>
              <w:top w:val="nil"/>
              <w:left w:val="nil"/>
              <w:bottom w:val="single" w:sz="4" w:space="0" w:color="auto"/>
              <w:right w:val="single" w:sz="4" w:space="0" w:color="auto"/>
            </w:tcBorders>
            <w:shd w:val="clear" w:color="auto" w:fill="auto"/>
            <w:noWrap/>
            <w:vAlign w:val="bottom"/>
            <w:hideMark/>
          </w:tcPr>
          <w:p w14:paraId="220C660A" w14:textId="77777777" w:rsidR="006F3067" w:rsidRPr="008860BA" w:rsidRDefault="006F3067" w:rsidP="00332FF7">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283,83</w:t>
            </w:r>
          </w:p>
        </w:tc>
        <w:tc>
          <w:tcPr>
            <w:tcW w:w="1195" w:type="dxa"/>
            <w:tcBorders>
              <w:top w:val="nil"/>
              <w:left w:val="nil"/>
              <w:bottom w:val="single" w:sz="4" w:space="0" w:color="auto"/>
              <w:right w:val="single" w:sz="4" w:space="0" w:color="auto"/>
            </w:tcBorders>
            <w:shd w:val="clear" w:color="auto" w:fill="auto"/>
            <w:noWrap/>
            <w:vAlign w:val="bottom"/>
            <w:hideMark/>
          </w:tcPr>
          <w:p w14:paraId="50B3471A" w14:textId="77777777" w:rsidR="006F3067" w:rsidRPr="008860BA" w:rsidRDefault="006F3067" w:rsidP="00332FF7">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283,83</w:t>
            </w:r>
          </w:p>
        </w:tc>
        <w:tc>
          <w:tcPr>
            <w:tcW w:w="1092" w:type="dxa"/>
            <w:tcBorders>
              <w:top w:val="nil"/>
              <w:left w:val="nil"/>
              <w:bottom w:val="single" w:sz="4" w:space="0" w:color="auto"/>
              <w:right w:val="single" w:sz="4" w:space="0" w:color="auto"/>
            </w:tcBorders>
            <w:shd w:val="clear" w:color="auto" w:fill="auto"/>
            <w:vAlign w:val="bottom"/>
            <w:hideMark/>
          </w:tcPr>
          <w:p w14:paraId="08BB9680"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224" w:type="dxa"/>
            <w:tcBorders>
              <w:top w:val="nil"/>
              <w:left w:val="nil"/>
              <w:bottom w:val="single" w:sz="4" w:space="0" w:color="auto"/>
              <w:right w:val="single" w:sz="4" w:space="0" w:color="auto"/>
            </w:tcBorders>
            <w:shd w:val="clear" w:color="auto" w:fill="auto"/>
            <w:vAlign w:val="bottom"/>
            <w:hideMark/>
          </w:tcPr>
          <w:p w14:paraId="1F896F1D"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259" w:type="dxa"/>
            <w:tcBorders>
              <w:top w:val="nil"/>
              <w:left w:val="nil"/>
              <w:bottom w:val="single" w:sz="4" w:space="0" w:color="auto"/>
              <w:right w:val="single" w:sz="4" w:space="0" w:color="auto"/>
            </w:tcBorders>
            <w:shd w:val="clear" w:color="auto" w:fill="auto"/>
            <w:vAlign w:val="bottom"/>
            <w:hideMark/>
          </w:tcPr>
          <w:p w14:paraId="7678715E"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67" w:type="dxa"/>
            <w:tcBorders>
              <w:top w:val="nil"/>
              <w:left w:val="nil"/>
              <w:bottom w:val="single" w:sz="4" w:space="0" w:color="auto"/>
              <w:right w:val="single" w:sz="4" w:space="0" w:color="auto"/>
            </w:tcBorders>
            <w:shd w:val="clear" w:color="auto" w:fill="auto"/>
            <w:vAlign w:val="bottom"/>
            <w:hideMark/>
          </w:tcPr>
          <w:p w14:paraId="05A20815"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22" w:type="dxa"/>
            <w:tcBorders>
              <w:top w:val="nil"/>
              <w:left w:val="nil"/>
              <w:bottom w:val="single" w:sz="4" w:space="0" w:color="auto"/>
              <w:right w:val="single" w:sz="4" w:space="0" w:color="auto"/>
            </w:tcBorders>
            <w:shd w:val="clear" w:color="auto" w:fill="auto"/>
            <w:vAlign w:val="bottom"/>
            <w:hideMark/>
          </w:tcPr>
          <w:p w14:paraId="341CB485"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22" w:type="dxa"/>
            <w:tcBorders>
              <w:top w:val="nil"/>
              <w:left w:val="nil"/>
              <w:bottom w:val="single" w:sz="4" w:space="0" w:color="auto"/>
              <w:right w:val="single" w:sz="4" w:space="0" w:color="auto"/>
            </w:tcBorders>
            <w:shd w:val="clear" w:color="auto" w:fill="auto"/>
            <w:vAlign w:val="bottom"/>
            <w:hideMark/>
          </w:tcPr>
          <w:p w14:paraId="4C461035"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908" w:type="dxa"/>
            <w:tcBorders>
              <w:top w:val="nil"/>
              <w:left w:val="nil"/>
              <w:bottom w:val="single" w:sz="4" w:space="0" w:color="auto"/>
              <w:right w:val="single" w:sz="4" w:space="0" w:color="auto"/>
            </w:tcBorders>
            <w:shd w:val="clear" w:color="auto" w:fill="auto"/>
            <w:vAlign w:val="bottom"/>
            <w:hideMark/>
          </w:tcPr>
          <w:p w14:paraId="36E89C71"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r>
      <w:tr w:rsidR="006F3067" w:rsidRPr="008860BA" w14:paraId="09F6D144" w14:textId="77777777" w:rsidTr="006F3067">
        <w:trPr>
          <w:trHeight w:val="20"/>
        </w:trPr>
        <w:tc>
          <w:tcPr>
            <w:tcW w:w="3423" w:type="dxa"/>
            <w:tcBorders>
              <w:top w:val="nil"/>
              <w:left w:val="single" w:sz="4" w:space="0" w:color="auto"/>
              <w:bottom w:val="single" w:sz="4" w:space="0" w:color="auto"/>
              <w:right w:val="single" w:sz="4" w:space="0" w:color="auto"/>
            </w:tcBorders>
            <w:shd w:val="clear" w:color="auto" w:fill="auto"/>
            <w:noWrap/>
            <w:vAlign w:val="bottom"/>
            <w:hideMark/>
          </w:tcPr>
          <w:p w14:paraId="1CD27CC1" w14:textId="77777777" w:rsidR="006F3067" w:rsidRPr="008860BA" w:rsidRDefault="006F3067" w:rsidP="00332FF7">
            <w:pPr>
              <w:spacing w:after="0" w:line="240" w:lineRule="auto"/>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Total Venit</w:t>
            </w:r>
          </w:p>
        </w:tc>
        <w:tc>
          <w:tcPr>
            <w:tcW w:w="967" w:type="dxa"/>
            <w:tcBorders>
              <w:top w:val="nil"/>
              <w:left w:val="nil"/>
              <w:bottom w:val="single" w:sz="4" w:space="0" w:color="auto"/>
              <w:right w:val="single" w:sz="4" w:space="0" w:color="auto"/>
            </w:tcBorders>
            <w:shd w:val="clear" w:color="auto" w:fill="auto"/>
            <w:noWrap/>
            <w:vAlign w:val="bottom"/>
            <w:hideMark/>
          </w:tcPr>
          <w:p w14:paraId="5208A6B8" w14:textId="77777777" w:rsidR="006F3067" w:rsidRPr="008860BA" w:rsidRDefault="006F3067" w:rsidP="00332FF7">
            <w:pPr>
              <w:spacing w:after="0" w:line="240" w:lineRule="auto"/>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 </w:t>
            </w:r>
          </w:p>
        </w:tc>
        <w:tc>
          <w:tcPr>
            <w:tcW w:w="1099" w:type="dxa"/>
            <w:tcBorders>
              <w:top w:val="nil"/>
              <w:left w:val="nil"/>
              <w:bottom w:val="single" w:sz="4" w:space="0" w:color="auto"/>
              <w:right w:val="single" w:sz="4" w:space="0" w:color="auto"/>
            </w:tcBorders>
            <w:shd w:val="clear" w:color="auto" w:fill="auto"/>
            <w:noWrap/>
            <w:vAlign w:val="bottom"/>
            <w:hideMark/>
          </w:tcPr>
          <w:p w14:paraId="30F0B9EF" w14:textId="77777777" w:rsidR="006F3067" w:rsidRPr="008860BA" w:rsidRDefault="006F3067" w:rsidP="00332FF7">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84.775,66</w:t>
            </w:r>
          </w:p>
        </w:tc>
        <w:tc>
          <w:tcPr>
            <w:tcW w:w="1195" w:type="dxa"/>
            <w:tcBorders>
              <w:top w:val="nil"/>
              <w:left w:val="nil"/>
              <w:bottom w:val="single" w:sz="4" w:space="0" w:color="auto"/>
              <w:right w:val="single" w:sz="4" w:space="0" w:color="auto"/>
            </w:tcBorders>
            <w:shd w:val="clear" w:color="auto" w:fill="auto"/>
            <w:noWrap/>
            <w:vAlign w:val="bottom"/>
            <w:hideMark/>
          </w:tcPr>
          <w:p w14:paraId="1E19DE8B" w14:textId="77777777" w:rsidR="006F3067" w:rsidRPr="008860BA" w:rsidRDefault="006F3067" w:rsidP="00332FF7">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84.775,66</w:t>
            </w:r>
          </w:p>
        </w:tc>
        <w:tc>
          <w:tcPr>
            <w:tcW w:w="1092" w:type="dxa"/>
            <w:tcBorders>
              <w:top w:val="nil"/>
              <w:left w:val="nil"/>
              <w:bottom w:val="single" w:sz="4" w:space="0" w:color="auto"/>
              <w:right w:val="single" w:sz="4" w:space="0" w:color="auto"/>
            </w:tcBorders>
            <w:shd w:val="clear" w:color="auto" w:fill="auto"/>
            <w:noWrap/>
            <w:vAlign w:val="bottom"/>
            <w:hideMark/>
          </w:tcPr>
          <w:p w14:paraId="617B305E" w14:textId="77777777" w:rsidR="006F3067" w:rsidRPr="008860BA" w:rsidRDefault="006F3067" w:rsidP="00332FF7">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55.221,96</w:t>
            </w:r>
          </w:p>
        </w:tc>
        <w:tc>
          <w:tcPr>
            <w:tcW w:w="1224" w:type="dxa"/>
            <w:tcBorders>
              <w:top w:val="nil"/>
              <w:left w:val="nil"/>
              <w:bottom w:val="single" w:sz="4" w:space="0" w:color="auto"/>
              <w:right w:val="single" w:sz="4" w:space="0" w:color="auto"/>
            </w:tcBorders>
            <w:shd w:val="clear" w:color="auto" w:fill="auto"/>
            <w:noWrap/>
            <w:vAlign w:val="bottom"/>
            <w:hideMark/>
          </w:tcPr>
          <w:p w14:paraId="4DFB76FD" w14:textId="77777777" w:rsidR="006F3067" w:rsidRPr="008860BA" w:rsidRDefault="006F3067" w:rsidP="00332FF7">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364,02</w:t>
            </w:r>
          </w:p>
        </w:tc>
        <w:tc>
          <w:tcPr>
            <w:tcW w:w="1259" w:type="dxa"/>
            <w:tcBorders>
              <w:top w:val="nil"/>
              <w:left w:val="nil"/>
              <w:bottom w:val="single" w:sz="4" w:space="0" w:color="auto"/>
              <w:right w:val="single" w:sz="4" w:space="0" w:color="auto"/>
            </w:tcBorders>
            <w:shd w:val="clear" w:color="auto" w:fill="auto"/>
            <w:noWrap/>
            <w:vAlign w:val="bottom"/>
            <w:hideMark/>
          </w:tcPr>
          <w:p w14:paraId="4310B6E1" w14:textId="77777777" w:rsidR="006F3067" w:rsidRPr="008860BA" w:rsidRDefault="006F3067" w:rsidP="00332FF7">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540,74</w:t>
            </w:r>
          </w:p>
        </w:tc>
        <w:tc>
          <w:tcPr>
            <w:tcW w:w="1067" w:type="dxa"/>
            <w:tcBorders>
              <w:top w:val="nil"/>
              <w:left w:val="nil"/>
              <w:bottom w:val="single" w:sz="4" w:space="0" w:color="auto"/>
              <w:right w:val="single" w:sz="4" w:space="0" w:color="auto"/>
            </w:tcBorders>
            <w:shd w:val="clear" w:color="auto" w:fill="auto"/>
            <w:noWrap/>
            <w:vAlign w:val="bottom"/>
            <w:hideMark/>
          </w:tcPr>
          <w:p w14:paraId="7344AFF3" w14:textId="77777777" w:rsidR="006F3067" w:rsidRPr="008860BA" w:rsidRDefault="006F3067" w:rsidP="00332FF7">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10.676,73</w:t>
            </w:r>
          </w:p>
        </w:tc>
        <w:tc>
          <w:tcPr>
            <w:tcW w:w="822" w:type="dxa"/>
            <w:tcBorders>
              <w:top w:val="nil"/>
              <w:left w:val="nil"/>
              <w:bottom w:val="single" w:sz="4" w:space="0" w:color="auto"/>
              <w:right w:val="single" w:sz="4" w:space="0" w:color="auto"/>
            </w:tcBorders>
            <w:shd w:val="clear" w:color="auto" w:fill="auto"/>
            <w:noWrap/>
            <w:vAlign w:val="bottom"/>
            <w:hideMark/>
          </w:tcPr>
          <w:p w14:paraId="2D1EF1CB" w14:textId="77777777" w:rsidR="006F3067" w:rsidRPr="008860BA" w:rsidRDefault="006F3067" w:rsidP="00332FF7">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797,37</w:t>
            </w:r>
          </w:p>
        </w:tc>
        <w:tc>
          <w:tcPr>
            <w:tcW w:w="822" w:type="dxa"/>
            <w:tcBorders>
              <w:top w:val="nil"/>
              <w:left w:val="nil"/>
              <w:bottom w:val="single" w:sz="4" w:space="0" w:color="auto"/>
              <w:right w:val="single" w:sz="4" w:space="0" w:color="auto"/>
            </w:tcBorders>
            <w:shd w:val="clear" w:color="auto" w:fill="auto"/>
            <w:noWrap/>
            <w:vAlign w:val="bottom"/>
            <w:hideMark/>
          </w:tcPr>
          <w:p w14:paraId="172EBD9C" w14:textId="77777777" w:rsidR="006F3067" w:rsidRPr="008860BA" w:rsidRDefault="006F3067" w:rsidP="00332FF7">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917,85</w:t>
            </w:r>
          </w:p>
        </w:tc>
        <w:tc>
          <w:tcPr>
            <w:tcW w:w="908" w:type="dxa"/>
            <w:tcBorders>
              <w:top w:val="nil"/>
              <w:left w:val="nil"/>
              <w:bottom w:val="single" w:sz="4" w:space="0" w:color="auto"/>
              <w:right w:val="single" w:sz="4" w:space="0" w:color="auto"/>
            </w:tcBorders>
            <w:shd w:val="clear" w:color="auto" w:fill="auto"/>
            <w:noWrap/>
            <w:vAlign w:val="bottom"/>
            <w:hideMark/>
          </w:tcPr>
          <w:p w14:paraId="772CBA5F" w14:textId="77777777" w:rsidR="006F3067" w:rsidRPr="008860BA" w:rsidRDefault="006F3067" w:rsidP="00332FF7">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15.966,53</w:t>
            </w:r>
          </w:p>
        </w:tc>
      </w:tr>
      <w:tr w:rsidR="006F3067" w:rsidRPr="008860BA" w14:paraId="6FF16B95" w14:textId="77777777" w:rsidTr="006F3067">
        <w:trPr>
          <w:trHeight w:val="20"/>
        </w:trPr>
        <w:tc>
          <w:tcPr>
            <w:tcW w:w="3423" w:type="dxa"/>
            <w:tcBorders>
              <w:top w:val="nil"/>
              <w:left w:val="single" w:sz="4" w:space="0" w:color="auto"/>
              <w:bottom w:val="single" w:sz="4" w:space="0" w:color="auto"/>
              <w:right w:val="single" w:sz="4" w:space="0" w:color="auto"/>
            </w:tcBorders>
            <w:shd w:val="clear" w:color="auto" w:fill="auto"/>
            <w:noWrap/>
            <w:vAlign w:val="bottom"/>
            <w:hideMark/>
          </w:tcPr>
          <w:p w14:paraId="5CC6CFD4" w14:textId="47E8A73B" w:rsidR="006F3067" w:rsidRPr="008860BA" w:rsidRDefault="006F306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Costul v</w:t>
            </w:r>
            <w:r w:rsidR="00885EE0" w:rsidRPr="008860BA">
              <w:rPr>
                <w:rFonts w:asciiTheme="majorHAnsi" w:eastAsia="Times New Roman" w:hAnsiTheme="majorHAnsi" w:cstheme="majorHAnsi"/>
                <w:color w:val="000000"/>
                <w:sz w:val="18"/>
                <w:szCs w:val="18"/>
                <w:lang w:val="ro-MD"/>
              </w:rPr>
              <w:t>â</w:t>
            </w:r>
            <w:r w:rsidRPr="008860BA">
              <w:rPr>
                <w:rFonts w:asciiTheme="majorHAnsi" w:eastAsia="Times New Roman" w:hAnsiTheme="majorHAnsi" w:cstheme="majorHAnsi"/>
                <w:color w:val="000000"/>
                <w:sz w:val="18"/>
                <w:szCs w:val="18"/>
                <w:lang w:val="ro-MD"/>
              </w:rPr>
              <w:t>nzărilor, inclusiv:</w:t>
            </w:r>
          </w:p>
        </w:tc>
        <w:tc>
          <w:tcPr>
            <w:tcW w:w="967" w:type="dxa"/>
            <w:tcBorders>
              <w:top w:val="nil"/>
              <w:left w:val="nil"/>
              <w:bottom w:val="single" w:sz="4" w:space="0" w:color="auto"/>
              <w:right w:val="single" w:sz="4" w:space="0" w:color="auto"/>
            </w:tcBorders>
            <w:shd w:val="clear" w:color="auto" w:fill="auto"/>
            <w:noWrap/>
            <w:vAlign w:val="bottom"/>
            <w:hideMark/>
          </w:tcPr>
          <w:p w14:paraId="521FE5B6"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711</w:t>
            </w:r>
          </w:p>
        </w:tc>
        <w:tc>
          <w:tcPr>
            <w:tcW w:w="1099" w:type="dxa"/>
            <w:tcBorders>
              <w:top w:val="single" w:sz="8" w:space="0" w:color="auto"/>
              <w:left w:val="nil"/>
              <w:bottom w:val="nil"/>
              <w:right w:val="single" w:sz="4" w:space="0" w:color="auto"/>
            </w:tcBorders>
            <w:shd w:val="clear" w:color="auto" w:fill="auto"/>
            <w:hideMark/>
          </w:tcPr>
          <w:p w14:paraId="2CBC4DF6" w14:textId="77777777" w:rsidR="006F3067" w:rsidRPr="008860BA" w:rsidRDefault="006F3067" w:rsidP="00332FF7">
            <w:pPr>
              <w:spacing w:after="0" w:line="240" w:lineRule="auto"/>
              <w:jc w:val="right"/>
              <w:rPr>
                <w:rFonts w:asciiTheme="majorHAnsi" w:eastAsia="Times New Roman" w:hAnsiTheme="majorHAnsi" w:cstheme="majorHAnsi"/>
                <w:b/>
                <w:bCs/>
                <w:sz w:val="18"/>
                <w:szCs w:val="18"/>
                <w:lang w:val="ro-MD"/>
              </w:rPr>
            </w:pPr>
            <w:r w:rsidRPr="008860BA">
              <w:rPr>
                <w:rFonts w:asciiTheme="majorHAnsi" w:eastAsia="Times New Roman" w:hAnsiTheme="majorHAnsi" w:cstheme="majorHAnsi"/>
                <w:b/>
                <w:bCs/>
                <w:sz w:val="18"/>
                <w:szCs w:val="18"/>
                <w:lang w:val="ro-MD"/>
              </w:rPr>
              <w:t>76.275,70</w:t>
            </w:r>
          </w:p>
        </w:tc>
        <w:tc>
          <w:tcPr>
            <w:tcW w:w="1195" w:type="dxa"/>
            <w:tcBorders>
              <w:top w:val="nil"/>
              <w:left w:val="nil"/>
              <w:bottom w:val="single" w:sz="4" w:space="0" w:color="auto"/>
              <w:right w:val="single" w:sz="4" w:space="0" w:color="auto"/>
            </w:tcBorders>
            <w:shd w:val="clear" w:color="auto" w:fill="auto"/>
            <w:noWrap/>
            <w:vAlign w:val="bottom"/>
            <w:hideMark/>
          </w:tcPr>
          <w:p w14:paraId="4F079DD9" w14:textId="77777777" w:rsidR="006F3067" w:rsidRPr="008860BA" w:rsidRDefault="006F3067" w:rsidP="00332FF7">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76.275,70</w:t>
            </w:r>
          </w:p>
        </w:tc>
        <w:tc>
          <w:tcPr>
            <w:tcW w:w="1092" w:type="dxa"/>
            <w:tcBorders>
              <w:top w:val="nil"/>
              <w:left w:val="nil"/>
              <w:bottom w:val="single" w:sz="4" w:space="0" w:color="auto"/>
              <w:right w:val="single" w:sz="4" w:space="0" w:color="auto"/>
            </w:tcBorders>
            <w:shd w:val="clear" w:color="auto" w:fill="auto"/>
            <w:noWrap/>
            <w:vAlign w:val="bottom"/>
            <w:hideMark/>
          </w:tcPr>
          <w:p w14:paraId="723F729C" w14:textId="77777777" w:rsidR="006F3067" w:rsidRPr="008860BA" w:rsidRDefault="006F3067" w:rsidP="00332FF7">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45.914,18</w:t>
            </w:r>
          </w:p>
        </w:tc>
        <w:tc>
          <w:tcPr>
            <w:tcW w:w="1224" w:type="dxa"/>
            <w:tcBorders>
              <w:top w:val="nil"/>
              <w:left w:val="nil"/>
              <w:bottom w:val="single" w:sz="4" w:space="0" w:color="auto"/>
              <w:right w:val="single" w:sz="4" w:space="0" w:color="auto"/>
            </w:tcBorders>
            <w:shd w:val="clear" w:color="auto" w:fill="auto"/>
            <w:noWrap/>
            <w:vAlign w:val="bottom"/>
            <w:hideMark/>
          </w:tcPr>
          <w:p w14:paraId="071CB047" w14:textId="77777777" w:rsidR="006F3067" w:rsidRPr="008860BA" w:rsidRDefault="006F3067" w:rsidP="00332FF7">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500,19</w:t>
            </w:r>
          </w:p>
        </w:tc>
        <w:tc>
          <w:tcPr>
            <w:tcW w:w="1259" w:type="dxa"/>
            <w:tcBorders>
              <w:top w:val="nil"/>
              <w:left w:val="nil"/>
              <w:bottom w:val="single" w:sz="4" w:space="0" w:color="auto"/>
              <w:right w:val="single" w:sz="4" w:space="0" w:color="auto"/>
            </w:tcBorders>
            <w:shd w:val="clear" w:color="auto" w:fill="auto"/>
            <w:noWrap/>
            <w:vAlign w:val="bottom"/>
            <w:hideMark/>
          </w:tcPr>
          <w:p w14:paraId="72A352F4" w14:textId="77777777" w:rsidR="006F3067" w:rsidRPr="008860BA" w:rsidRDefault="006F3067" w:rsidP="00332FF7">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0,00</w:t>
            </w:r>
          </w:p>
        </w:tc>
        <w:tc>
          <w:tcPr>
            <w:tcW w:w="1067" w:type="dxa"/>
            <w:tcBorders>
              <w:top w:val="nil"/>
              <w:left w:val="nil"/>
              <w:bottom w:val="single" w:sz="4" w:space="0" w:color="auto"/>
              <w:right w:val="single" w:sz="4" w:space="0" w:color="auto"/>
            </w:tcBorders>
            <w:shd w:val="clear" w:color="auto" w:fill="auto"/>
            <w:noWrap/>
            <w:vAlign w:val="bottom"/>
            <w:hideMark/>
          </w:tcPr>
          <w:p w14:paraId="7EB25F8F" w14:textId="77777777" w:rsidR="006F3067" w:rsidRPr="008860BA" w:rsidRDefault="006F3067" w:rsidP="00332FF7">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9.095,67</w:t>
            </w:r>
          </w:p>
        </w:tc>
        <w:tc>
          <w:tcPr>
            <w:tcW w:w="822" w:type="dxa"/>
            <w:tcBorders>
              <w:top w:val="nil"/>
              <w:left w:val="nil"/>
              <w:bottom w:val="single" w:sz="4" w:space="0" w:color="auto"/>
              <w:right w:val="single" w:sz="4" w:space="0" w:color="auto"/>
            </w:tcBorders>
            <w:shd w:val="clear" w:color="auto" w:fill="auto"/>
            <w:noWrap/>
            <w:vAlign w:val="bottom"/>
            <w:hideMark/>
          </w:tcPr>
          <w:p w14:paraId="1C08FA25" w14:textId="77777777" w:rsidR="006F3067" w:rsidRPr="008860BA" w:rsidRDefault="006F3067" w:rsidP="00332FF7">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1.131,70</w:t>
            </w:r>
          </w:p>
        </w:tc>
        <w:tc>
          <w:tcPr>
            <w:tcW w:w="822" w:type="dxa"/>
            <w:tcBorders>
              <w:top w:val="nil"/>
              <w:left w:val="nil"/>
              <w:bottom w:val="single" w:sz="4" w:space="0" w:color="auto"/>
              <w:right w:val="single" w:sz="4" w:space="0" w:color="auto"/>
            </w:tcBorders>
            <w:shd w:val="clear" w:color="auto" w:fill="auto"/>
            <w:noWrap/>
            <w:vAlign w:val="bottom"/>
            <w:hideMark/>
          </w:tcPr>
          <w:p w14:paraId="1F712766" w14:textId="77777777" w:rsidR="006F3067" w:rsidRPr="008860BA" w:rsidRDefault="006F3067" w:rsidP="00332FF7">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1.054,43</w:t>
            </w:r>
          </w:p>
        </w:tc>
        <w:tc>
          <w:tcPr>
            <w:tcW w:w="908" w:type="dxa"/>
            <w:tcBorders>
              <w:top w:val="nil"/>
              <w:left w:val="nil"/>
              <w:bottom w:val="single" w:sz="4" w:space="0" w:color="auto"/>
              <w:right w:val="single" w:sz="4" w:space="0" w:color="auto"/>
            </w:tcBorders>
            <w:shd w:val="clear" w:color="auto" w:fill="auto"/>
            <w:noWrap/>
            <w:vAlign w:val="bottom"/>
            <w:hideMark/>
          </w:tcPr>
          <w:p w14:paraId="5301323F" w14:textId="77777777" w:rsidR="006F3067" w:rsidRPr="008860BA" w:rsidRDefault="006F3067" w:rsidP="00332FF7">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18.579,54</w:t>
            </w:r>
          </w:p>
        </w:tc>
      </w:tr>
      <w:tr w:rsidR="006F3067" w:rsidRPr="008860BA" w14:paraId="0331D10F" w14:textId="77777777" w:rsidTr="006F3067">
        <w:trPr>
          <w:trHeight w:val="20"/>
        </w:trPr>
        <w:tc>
          <w:tcPr>
            <w:tcW w:w="3423" w:type="dxa"/>
            <w:tcBorders>
              <w:top w:val="nil"/>
              <w:left w:val="single" w:sz="4" w:space="0" w:color="auto"/>
              <w:bottom w:val="single" w:sz="4" w:space="0" w:color="auto"/>
              <w:right w:val="single" w:sz="4" w:space="0" w:color="auto"/>
            </w:tcBorders>
            <w:shd w:val="clear" w:color="auto" w:fill="auto"/>
            <w:hideMark/>
          </w:tcPr>
          <w:p w14:paraId="1BB92506" w14:textId="43646F88" w:rsidR="006F3067" w:rsidRPr="008860BA" w:rsidRDefault="006F3067">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Alimenta</w:t>
            </w:r>
            <w:r w:rsidR="00885EE0" w:rsidRPr="008860BA">
              <w:rPr>
                <w:rFonts w:asciiTheme="majorHAnsi" w:eastAsia="Times New Roman" w:hAnsiTheme="majorHAnsi" w:cstheme="majorHAnsi"/>
                <w:sz w:val="18"/>
                <w:szCs w:val="18"/>
                <w:lang w:val="ro-MD"/>
              </w:rPr>
              <w:t>ț</w:t>
            </w:r>
            <w:r w:rsidRPr="008860BA">
              <w:rPr>
                <w:rFonts w:asciiTheme="majorHAnsi" w:eastAsia="Times New Roman" w:hAnsiTheme="majorHAnsi" w:cstheme="majorHAnsi"/>
                <w:sz w:val="18"/>
                <w:szCs w:val="18"/>
                <w:lang w:val="ro-MD"/>
              </w:rPr>
              <w:t>ia</w:t>
            </w:r>
          </w:p>
        </w:tc>
        <w:tc>
          <w:tcPr>
            <w:tcW w:w="967" w:type="dxa"/>
            <w:tcBorders>
              <w:top w:val="nil"/>
              <w:left w:val="nil"/>
              <w:bottom w:val="single" w:sz="4" w:space="0" w:color="auto"/>
              <w:right w:val="single" w:sz="4" w:space="0" w:color="auto"/>
            </w:tcBorders>
            <w:shd w:val="clear" w:color="auto" w:fill="auto"/>
            <w:noWrap/>
            <w:vAlign w:val="bottom"/>
            <w:hideMark/>
          </w:tcPr>
          <w:p w14:paraId="28CE0E41"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99" w:type="dxa"/>
            <w:tcBorders>
              <w:top w:val="single" w:sz="4" w:space="0" w:color="auto"/>
              <w:left w:val="nil"/>
              <w:bottom w:val="single" w:sz="4" w:space="0" w:color="auto"/>
              <w:right w:val="single" w:sz="4" w:space="0" w:color="auto"/>
            </w:tcBorders>
            <w:shd w:val="clear" w:color="auto" w:fill="auto"/>
            <w:hideMark/>
          </w:tcPr>
          <w:p w14:paraId="04059A80"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2.888,74</w:t>
            </w:r>
          </w:p>
        </w:tc>
        <w:tc>
          <w:tcPr>
            <w:tcW w:w="1195" w:type="dxa"/>
            <w:tcBorders>
              <w:top w:val="nil"/>
              <w:left w:val="nil"/>
              <w:bottom w:val="single" w:sz="4" w:space="0" w:color="auto"/>
              <w:right w:val="single" w:sz="4" w:space="0" w:color="auto"/>
            </w:tcBorders>
            <w:shd w:val="clear" w:color="auto" w:fill="auto"/>
            <w:noWrap/>
            <w:vAlign w:val="bottom"/>
            <w:hideMark/>
          </w:tcPr>
          <w:p w14:paraId="6604CD88"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2.888,74</w:t>
            </w:r>
          </w:p>
        </w:tc>
        <w:tc>
          <w:tcPr>
            <w:tcW w:w="1092" w:type="dxa"/>
            <w:tcBorders>
              <w:top w:val="nil"/>
              <w:left w:val="nil"/>
              <w:bottom w:val="single" w:sz="4" w:space="0" w:color="auto"/>
              <w:right w:val="single" w:sz="4" w:space="0" w:color="auto"/>
            </w:tcBorders>
            <w:shd w:val="clear" w:color="auto" w:fill="auto"/>
            <w:noWrap/>
            <w:vAlign w:val="bottom"/>
            <w:hideMark/>
          </w:tcPr>
          <w:p w14:paraId="614DBA9D"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2.888,74</w:t>
            </w:r>
          </w:p>
        </w:tc>
        <w:tc>
          <w:tcPr>
            <w:tcW w:w="1224" w:type="dxa"/>
            <w:tcBorders>
              <w:top w:val="nil"/>
              <w:left w:val="nil"/>
              <w:bottom w:val="single" w:sz="4" w:space="0" w:color="auto"/>
              <w:right w:val="single" w:sz="4" w:space="0" w:color="auto"/>
            </w:tcBorders>
            <w:shd w:val="clear" w:color="auto" w:fill="auto"/>
            <w:noWrap/>
            <w:vAlign w:val="bottom"/>
            <w:hideMark/>
          </w:tcPr>
          <w:p w14:paraId="7DFCFB90"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259" w:type="dxa"/>
            <w:tcBorders>
              <w:top w:val="nil"/>
              <w:left w:val="nil"/>
              <w:bottom w:val="single" w:sz="4" w:space="0" w:color="auto"/>
              <w:right w:val="single" w:sz="4" w:space="0" w:color="auto"/>
            </w:tcBorders>
            <w:shd w:val="clear" w:color="auto" w:fill="auto"/>
            <w:noWrap/>
            <w:vAlign w:val="bottom"/>
            <w:hideMark/>
          </w:tcPr>
          <w:p w14:paraId="6D4BBE0B"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67" w:type="dxa"/>
            <w:tcBorders>
              <w:top w:val="nil"/>
              <w:left w:val="nil"/>
              <w:bottom w:val="single" w:sz="4" w:space="0" w:color="auto"/>
              <w:right w:val="single" w:sz="4" w:space="0" w:color="auto"/>
            </w:tcBorders>
            <w:shd w:val="clear" w:color="auto" w:fill="auto"/>
            <w:noWrap/>
            <w:vAlign w:val="bottom"/>
            <w:hideMark/>
          </w:tcPr>
          <w:p w14:paraId="0DC69A38"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22" w:type="dxa"/>
            <w:tcBorders>
              <w:top w:val="nil"/>
              <w:left w:val="nil"/>
              <w:bottom w:val="single" w:sz="4" w:space="0" w:color="auto"/>
              <w:right w:val="single" w:sz="4" w:space="0" w:color="auto"/>
            </w:tcBorders>
            <w:shd w:val="clear" w:color="auto" w:fill="auto"/>
            <w:noWrap/>
            <w:vAlign w:val="bottom"/>
            <w:hideMark/>
          </w:tcPr>
          <w:p w14:paraId="17171151"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22" w:type="dxa"/>
            <w:tcBorders>
              <w:top w:val="nil"/>
              <w:left w:val="nil"/>
              <w:bottom w:val="single" w:sz="4" w:space="0" w:color="auto"/>
              <w:right w:val="single" w:sz="4" w:space="0" w:color="auto"/>
            </w:tcBorders>
            <w:shd w:val="clear" w:color="auto" w:fill="auto"/>
            <w:noWrap/>
            <w:vAlign w:val="bottom"/>
            <w:hideMark/>
          </w:tcPr>
          <w:p w14:paraId="6B000207"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908" w:type="dxa"/>
            <w:tcBorders>
              <w:top w:val="nil"/>
              <w:left w:val="nil"/>
              <w:bottom w:val="single" w:sz="4" w:space="0" w:color="auto"/>
              <w:right w:val="single" w:sz="4" w:space="0" w:color="auto"/>
            </w:tcBorders>
            <w:shd w:val="clear" w:color="auto" w:fill="auto"/>
            <w:noWrap/>
            <w:vAlign w:val="bottom"/>
            <w:hideMark/>
          </w:tcPr>
          <w:p w14:paraId="7A5AA9D2"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r>
      <w:tr w:rsidR="006F3067" w:rsidRPr="008860BA" w14:paraId="2523786B" w14:textId="77777777" w:rsidTr="006F3067">
        <w:trPr>
          <w:trHeight w:val="20"/>
        </w:trPr>
        <w:tc>
          <w:tcPr>
            <w:tcW w:w="3423" w:type="dxa"/>
            <w:tcBorders>
              <w:top w:val="nil"/>
              <w:left w:val="single" w:sz="4" w:space="0" w:color="auto"/>
              <w:bottom w:val="single" w:sz="4" w:space="0" w:color="auto"/>
              <w:right w:val="single" w:sz="4" w:space="0" w:color="auto"/>
            </w:tcBorders>
            <w:shd w:val="clear" w:color="auto" w:fill="auto"/>
            <w:hideMark/>
          </w:tcPr>
          <w:p w14:paraId="292DD1FD" w14:textId="77777777" w:rsidR="006F3067" w:rsidRPr="008860BA" w:rsidRDefault="006F3067" w:rsidP="00332FF7">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Alte cheltuieli</w:t>
            </w:r>
          </w:p>
        </w:tc>
        <w:tc>
          <w:tcPr>
            <w:tcW w:w="967" w:type="dxa"/>
            <w:tcBorders>
              <w:top w:val="nil"/>
              <w:left w:val="nil"/>
              <w:bottom w:val="single" w:sz="4" w:space="0" w:color="auto"/>
              <w:right w:val="single" w:sz="4" w:space="0" w:color="auto"/>
            </w:tcBorders>
            <w:shd w:val="clear" w:color="auto" w:fill="auto"/>
            <w:noWrap/>
            <w:vAlign w:val="bottom"/>
            <w:hideMark/>
          </w:tcPr>
          <w:p w14:paraId="5DDDB0D3"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99" w:type="dxa"/>
            <w:tcBorders>
              <w:top w:val="nil"/>
              <w:left w:val="nil"/>
              <w:bottom w:val="single" w:sz="4" w:space="0" w:color="auto"/>
              <w:right w:val="single" w:sz="4" w:space="0" w:color="auto"/>
            </w:tcBorders>
            <w:shd w:val="clear" w:color="auto" w:fill="auto"/>
            <w:hideMark/>
          </w:tcPr>
          <w:p w14:paraId="1CD57E4C"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350,47</w:t>
            </w:r>
          </w:p>
        </w:tc>
        <w:tc>
          <w:tcPr>
            <w:tcW w:w="1195" w:type="dxa"/>
            <w:tcBorders>
              <w:top w:val="nil"/>
              <w:left w:val="nil"/>
              <w:bottom w:val="single" w:sz="4" w:space="0" w:color="auto"/>
              <w:right w:val="single" w:sz="4" w:space="0" w:color="auto"/>
            </w:tcBorders>
            <w:shd w:val="clear" w:color="auto" w:fill="auto"/>
            <w:noWrap/>
            <w:vAlign w:val="bottom"/>
            <w:hideMark/>
          </w:tcPr>
          <w:p w14:paraId="455AF5D0"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350,47</w:t>
            </w:r>
          </w:p>
        </w:tc>
        <w:tc>
          <w:tcPr>
            <w:tcW w:w="1092" w:type="dxa"/>
            <w:tcBorders>
              <w:top w:val="nil"/>
              <w:left w:val="nil"/>
              <w:bottom w:val="single" w:sz="4" w:space="0" w:color="auto"/>
              <w:right w:val="single" w:sz="4" w:space="0" w:color="auto"/>
            </w:tcBorders>
            <w:shd w:val="clear" w:color="auto" w:fill="auto"/>
            <w:noWrap/>
            <w:vAlign w:val="bottom"/>
            <w:hideMark/>
          </w:tcPr>
          <w:p w14:paraId="4D94FBFC"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13,95</w:t>
            </w:r>
          </w:p>
        </w:tc>
        <w:tc>
          <w:tcPr>
            <w:tcW w:w="1224" w:type="dxa"/>
            <w:tcBorders>
              <w:top w:val="nil"/>
              <w:left w:val="nil"/>
              <w:bottom w:val="single" w:sz="4" w:space="0" w:color="auto"/>
              <w:right w:val="single" w:sz="4" w:space="0" w:color="auto"/>
            </w:tcBorders>
            <w:shd w:val="clear" w:color="auto" w:fill="auto"/>
            <w:noWrap/>
            <w:vAlign w:val="bottom"/>
            <w:hideMark/>
          </w:tcPr>
          <w:p w14:paraId="6793E110"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259" w:type="dxa"/>
            <w:tcBorders>
              <w:top w:val="nil"/>
              <w:left w:val="nil"/>
              <w:bottom w:val="single" w:sz="4" w:space="0" w:color="auto"/>
              <w:right w:val="single" w:sz="4" w:space="0" w:color="auto"/>
            </w:tcBorders>
            <w:shd w:val="clear" w:color="auto" w:fill="auto"/>
            <w:noWrap/>
            <w:vAlign w:val="bottom"/>
            <w:hideMark/>
          </w:tcPr>
          <w:p w14:paraId="2F2E1FF2"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67" w:type="dxa"/>
            <w:tcBorders>
              <w:top w:val="nil"/>
              <w:left w:val="nil"/>
              <w:bottom w:val="single" w:sz="4" w:space="0" w:color="auto"/>
              <w:right w:val="single" w:sz="4" w:space="0" w:color="auto"/>
            </w:tcBorders>
            <w:shd w:val="clear" w:color="auto" w:fill="auto"/>
            <w:noWrap/>
            <w:vAlign w:val="bottom"/>
            <w:hideMark/>
          </w:tcPr>
          <w:p w14:paraId="178C476E"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15,00</w:t>
            </w:r>
          </w:p>
        </w:tc>
        <w:tc>
          <w:tcPr>
            <w:tcW w:w="822" w:type="dxa"/>
            <w:tcBorders>
              <w:top w:val="nil"/>
              <w:left w:val="nil"/>
              <w:bottom w:val="single" w:sz="4" w:space="0" w:color="auto"/>
              <w:right w:val="single" w:sz="4" w:space="0" w:color="auto"/>
            </w:tcBorders>
            <w:shd w:val="clear" w:color="auto" w:fill="auto"/>
            <w:noWrap/>
            <w:vAlign w:val="bottom"/>
            <w:hideMark/>
          </w:tcPr>
          <w:p w14:paraId="7B9D097E"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22" w:type="dxa"/>
            <w:tcBorders>
              <w:top w:val="nil"/>
              <w:left w:val="nil"/>
              <w:bottom w:val="single" w:sz="4" w:space="0" w:color="auto"/>
              <w:right w:val="single" w:sz="4" w:space="0" w:color="auto"/>
            </w:tcBorders>
            <w:shd w:val="clear" w:color="auto" w:fill="auto"/>
            <w:noWrap/>
            <w:vAlign w:val="bottom"/>
            <w:hideMark/>
          </w:tcPr>
          <w:p w14:paraId="5282325D"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203,64</w:t>
            </w:r>
          </w:p>
        </w:tc>
        <w:tc>
          <w:tcPr>
            <w:tcW w:w="908" w:type="dxa"/>
            <w:tcBorders>
              <w:top w:val="nil"/>
              <w:left w:val="nil"/>
              <w:bottom w:val="single" w:sz="4" w:space="0" w:color="auto"/>
              <w:right w:val="single" w:sz="4" w:space="0" w:color="auto"/>
            </w:tcBorders>
            <w:shd w:val="clear" w:color="auto" w:fill="auto"/>
            <w:noWrap/>
            <w:vAlign w:val="bottom"/>
            <w:hideMark/>
          </w:tcPr>
          <w:p w14:paraId="67D302E8"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117,87</w:t>
            </w:r>
          </w:p>
        </w:tc>
      </w:tr>
      <w:tr w:rsidR="006F3067" w:rsidRPr="008860BA" w14:paraId="3C34A145" w14:textId="77777777" w:rsidTr="006F3067">
        <w:trPr>
          <w:trHeight w:val="20"/>
        </w:trPr>
        <w:tc>
          <w:tcPr>
            <w:tcW w:w="3423" w:type="dxa"/>
            <w:tcBorders>
              <w:top w:val="nil"/>
              <w:left w:val="single" w:sz="4" w:space="0" w:color="auto"/>
              <w:bottom w:val="single" w:sz="4" w:space="0" w:color="auto"/>
              <w:right w:val="single" w:sz="4" w:space="0" w:color="auto"/>
            </w:tcBorders>
            <w:shd w:val="clear" w:color="auto" w:fill="auto"/>
            <w:hideMark/>
          </w:tcPr>
          <w:p w14:paraId="5CCF5731" w14:textId="77777777" w:rsidR="006F3067" w:rsidRPr="008860BA" w:rsidRDefault="006F3067" w:rsidP="00332FF7">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Alte cheltuieli stream</w:t>
            </w:r>
          </w:p>
        </w:tc>
        <w:tc>
          <w:tcPr>
            <w:tcW w:w="967" w:type="dxa"/>
            <w:tcBorders>
              <w:top w:val="nil"/>
              <w:left w:val="nil"/>
              <w:bottom w:val="single" w:sz="4" w:space="0" w:color="auto"/>
              <w:right w:val="single" w:sz="4" w:space="0" w:color="auto"/>
            </w:tcBorders>
            <w:shd w:val="clear" w:color="auto" w:fill="auto"/>
            <w:noWrap/>
            <w:vAlign w:val="bottom"/>
            <w:hideMark/>
          </w:tcPr>
          <w:p w14:paraId="1950E718"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99" w:type="dxa"/>
            <w:tcBorders>
              <w:top w:val="nil"/>
              <w:left w:val="nil"/>
              <w:bottom w:val="single" w:sz="4" w:space="0" w:color="auto"/>
              <w:right w:val="single" w:sz="4" w:space="0" w:color="auto"/>
            </w:tcBorders>
            <w:shd w:val="clear" w:color="auto" w:fill="auto"/>
            <w:hideMark/>
          </w:tcPr>
          <w:p w14:paraId="4FBE3399"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1195" w:type="dxa"/>
            <w:tcBorders>
              <w:top w:val="nil"/>
              <w:left w:val="nil"/>
              <w:bottom w:val="single" w:sz="4" w:space="0" w:color="auto"/>
              <w:right w:val="single" w:sz="4" w:space="0" w:color="auto"/>
            </w:tcBorders>
            <w:shd w:val="clear" w:color="auto" w:fill="auto"/>
            <w:noWrap/>
            <w:vAlign w:val="bottom"/>
            <w:hideMark/>
          </w:tcPr>
          <w:p w14:paraId="4ECE510B"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92" w:type="dxa"/>
            <w:tcBorders>
              <w:top w:val="nil"/>
              <w:left w:val="nil"/>
              <w:bottom w:val="single" w:sz="4" w:space="0" w:color="auto"/>
              <w:right w:val="single" w:sz="4" w:space="0" w:color="auto"/>
            </w:tcBorders>
            <w:shd w:val="clear" w:color="auto" w:fill="auto"/>
            <w:hideMark/>
          </w:tcPr>
          <w:p w14:paraId="5C07F261"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1224" w:type="dxa"/>
            <w:tcBorders>
              <w:top w:val="nil"/>
              <w:left w:val="nil"/>
              <w:bottom w:val="single" w:sz="4" w:space="0" w:color="auto"/>
              <w:right w:val="single" w:sz="4" w:space="0" w:color="auto"/>
            </w:tcBorders>
            <w:shd w:val="clear" w:color="auto" w:fill="auto"/>
            <w:noWrap/>
            <w:vAlign w:val="bottom"/>
            <w:hideMark/>
          </w:tcPr>
          <w:p w14:paraId="37EA55D8"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259" w:type="dxa"/>
            <w:tcBorders>
              <w:top w:val="nil"/>
              <w:left w:val="nil"/>
              <w:bottom w:val="single" w:sz="4" w:space="0" w:color="auto"/>
              <w:right w:val="single" w:sz="4" w:space="0" w:color="auto"/>
            </w:tcBorders>
            <w:shd w:val="clear" w:color="auto" w:fill="auto"/>
            <w:noWrap/>
            <w:vAlign w:val="bottom"/>
            <w:hideMark/>
          </w:tcPr>
          <w:p w14:paraId="33EC1ACF"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67" w:type="dxa"/>
            <w:tcBorders>
              <w:top w:val="nil"/>
              <w:left w:val="nil"/>
              <w:bottom w:val="single" w:sz="4" w:space="0" w:color="auto"/>
              <w:right w:val="single" w:sz="4" w:space="0" w:color="auto"/>
            </w:tcBorders>
            <w:shd w:val="clear" w:color="auto" w:fill="auto"/>
            <w:noWrap/>
            <w:vAlign w:val="bottom"/>
            <w:hideMark/>
          </w:tcPr>
          <w:p w14:paraId="03CD3ACA"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22" w:type="dxa"/>
            <w:tcBorders>
              <w:top w:val="nil"/>
              <w:left w:val="nil"/>
              <w:bottom w:val="single" w:sz="4" w:space="0" w:color="auto"/>
              <w:right w:val="single" w:sz="4" w:space="0" w:color="auto"/>
            </w:tcBorders>
            <w:shd w:val="clear" w:color="auto" w:fill="auto"/>
            <w:hideMark/>
          </w:tcPr>
          <w:p w14:paraId="735504B6"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822" w:type="dxa"/>
            <w:tcBorders>
              <w:top w:val="nil"/>
              <w:left w:val="nil"/>
              <w:bottom w:val="single" w:sz="4" w:space="0" w:color="auto"/>
              <w:right w:val="single" w:sz="4" w:space="0" w:color="auto"/>
            </w:tcBorders>
            <w:shd w:val="clear" w:color="auto" w:fill="auto"/>
            <w:hideMark/>
          </w:tcPr>
          <w:p w14:paraId="1FA2B633"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908" w:type="dxa"/>
            <w:tcBorders>
              <w:top w:val="nil"/>
              <w:left w:val="nil"/>
              <w:bottom w:val="single" w:sz="4" w:space="0" w:color="auto"/>
              <w:right w:val="single" w:sz="4" w:space="0" w:color="auto"/>
            </w:tcBorders>
            <w:shd w:val="clear" w:color="auto" w:fill="auto"/>
            <w:noWrap/>
            <w:vAlign w:val="bottom"/>
            <w:hideMark/>
          </w:tcPr>
          <w:p w14:paraId="40349493"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r>
      <w:tr w:rsidR="006F3067" w:rsidRPr="008860BA" w14:paraId="22CD39E6" w14:textId="77777777" w:rsidTr="006F3067">
        <w:trPr>
          <w:trHeight w:val="20"/>
        </w:trPr>
        <w:tc>
          <w:tcPr>
            <w:tcW w:w="3423" w:type="dxa"/>
            <w:tcBorders>
              <w:top w:val="nil"/>
              <w:left w:val="single" w:sz="4" w:space="0" w:color="auto"/>
              <w:bottom w:val="single" w:sz="4" w:space="0" w:color="auto"/>
              <w:right w:val="single" w:sz="4" w:space="0" w:color="auto"/>
            </w:tcBorders>
            <w:shd w:val="clear" w:color="auto" w:fill="auto"/>
            <w:hideMark/>
          </w:tcPr>
          <w:p w14:paraId="4A1BB40D" w14:textId="77777777" w:rsidR="006F3067" w:rsidRPr="008860BA" w:rsidRDefault="006F3067" w:rsidP="00332FF7">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Alte produse alimentare</w:t>
            </w:r>
          </w:p>
        </w:tc>
        <w:tc>
          <w:tcPr>
            <w:tcW w:w="967" w:type="dxa"/>
            <w:tcBorders>
              <w:top w:val="nil"/>
              <w:left w:val="nil"/>
              <w:bottom w:val="single" w:sz="4" w:space="0" w:color="auto"/>
              <w:right w:val="single" w:sz="4" w:space="0" w:color="auto"/>
            </w:tcBorders>
            <w:shd w:val="clear" w:color="auto" w:fill="auto"/>
            <w:noWrap/>
            <w:vAlign w:val="bottom"/>
            <w:hideMark/>
          </w:tcPr>
          <w:p w14:paraId="23D7245A"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99" w:type="dxa"/>
            <w:tcBorders>
              <w:top w:val="nil"/>
              <w:left w:val="nil"/>
              <w:bottom w:val="single" w:sz="4" w:space="0" w:color="auto"/>
              <w:right w:val="single" w:sz="4" w:space="0" w:color="auto"/>
            </w:tcBorders>
            <w:shd w:val="clear" w:color="auto" w:fill="auto"/>
            <w:hideMark/>
          </w:tcPr>
          <w:p w14:paraId="0F9A4B11"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18,82</w:t>
            </w:r>
          </w:p>
        </w:tc>
        <w:tc>
          <w:tcPr>
            <w:tcW w:w="1195" w:type="dxa"/>
            <w:tcBorders>
              <w:top w:val="nil"/>
              <w:left w:val="nil"/>
              <w:bottom w:val="single" w:sz="4" w:space="0" w:color="auto"/>
              <w:right w:val="single" w:sz="4" w:space="0" w:color="auto"/>
            </w:tcBorders>
            <w:shd w:val="clear" w:color="auto" w:fill="auto"/>
            <w:noWrap/>
            <w:vAlign w:val="bottom"/>
            <w:hideMark/>
          </w:tcPr>
          <w:p w14:paraId="2D3E91C2"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18,82</w:t>
            </w:r>
          </w:p>
        </w:tc>
        <w:tc>
          <w:tcPr>
            <w:tcW w:w="1092" w:type="dxa"/>
            <w:tcBorders>
              <w:top w:val="nil"/>
              <w:left w:val="nil"/>
              <w:bottom w:val="single" w:sz="4" w:space="0" w:color="auto"/>
              <w:right w:val="single" w:sz="4" w:space="0" w:color="auto"/>
            </w:tcBorders>
            <w:shd w:val="clear" w:color="auto" w:fill="auto"/>
            <w:noWrap/>
            <w:vAlign w:val="bottom"/>
            <w:hideMark/>
          </w:tcPr>
          <w:p w14:paraId="546A9D5C"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18,82</w:t>
            </w:r>
          </w:p>
        </w:tc>
        <w:tc>
          <w:tcPr>
            <w:tcW w:w="1224" w:type="dxa"/>
            <w:tcBorders>
              <w:top w:val="nil"/>
              <w:left w:val="nil"/>
              <w:bottom w:val="single" w:sz="4" w:space="0" w:color="auto"/>
              <w:right w:val="single" w:sz="4" w:space="0" w:color="auto"/>
            </w:tcBorders>
            <w:shd w:val="clear" w:color="auto" w:fill="auto"/>
            <w:noWrap/>
            <w:vAlign w:val="bottom"/>
            <w:hideMark/>
          </w:tcPr>
          <w:p w14:paraId="1923C31E"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259" w:type="dxa"/>
            <w:tcBorders>
              <w:top w:val="nil"/>
              <w:left w:val="nil"/>
              <w:bottom w:val="single" w:sz="4" w:space="0" w:color="auto"/>
              <w:right w:val="single" w:sz="4" w:space="0" w:color="auto"/>
            </w:tcBorders>
            <w:shd w:val="clear" w:color="auto" w:fill="auto"/>
            <w:noWrap/>
            <w:vAlign w:val="bottom"/>
            <w:hideMark/>
          </w:tcPr>
          <w:p w14:paraId="0C011092"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67" w:type="dxa"/>
            <w:tcBorders>
              <w:top w:val="nil"/>
              <w:left w:val="nil"/>
              <w:bottom w:val="single" w:sz="4" w:space="0" w:color="auto"/>
              <w:right w:val="single" w:sz="4" w:space="0" w:color="auto"/>
            </w:tcBorders>
            <w:shd w:val="clear" w:color="auto" w:fill="auto"/>
            <w:noWrap/>
            <w:vAlign w:val="bottom"/>
            <w:hideMark/>
          </w:tcPr>
          <w:p w14:paraId="1FE56D22"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22" w:type="dxa"/>
            <w:tcBorders>
              <w:top w:val="nil"/>
              <w:left w:val="nil"/>
              <w:bottom w:val="single" w:sz="4" w:space="0" w:color="auto"/>
              <w:right w:val="single" w:sz="4" w:space="0" w:color="auto"/>
            </w:tcBorders>
            <w:shd w:val="clear" w:color="auto" w:fill="auto"/>
            <w:noWrap/>
            <w:vAlign w:val="bottom"/>
            <w:hideMark/>
          </w:tcPr>
          <w:p w14:paraId="3F987EC1"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22" w:type="dxa"/>
            <w:tcBorders>
              <w:top w:val="nil"/>
              <w:left w:val="nil"/>
              <w:bottom w:val="single" w:sz="4" w:space="0" w:color="auto"/>
              <w:right w:val="single" w:sz="4" w:space="0" w:color="auto"/>
            </w:tcBorders>
            <w:shd w:val="clear" w:color="auto" w:fill="auto"/>
            <w:noWrap/>
            <w:vAlign w:val="bottom"/>
            <w:hideMark/>
          </w:tcPr>
          <w:p w14:paraId="58437DF1"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908" w:type="dxa"/>
            <w:tcBorders>
              <w:top w:val="nil"/>
              <w:left w:val="nil"/>
              <w:bottom w:val="single" w:sz="4" w:space="0" w:color="auto"/>
              <w:right w:val="single" w:sz="4" w:space="0" w:color="auto"/>
            </w:tcBorders>
            <w:shd w:val="clear" w:color="auto" w:fill="auto"/>
            <w:hideMark/>
          </w:tcPr>
          <w:p w14:paraId="3043597F"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r>
      <w:tr w:rsidR="006F3067" w:rsidRPr="008860BA" w14:paraId="33A1186A" w14:textId="77777777" w:rsidTr="006F3067">
        <w:trPr>
          <w:trHeight w:val="20"/>
        </w:trPr>
        <w:tc>
          <w:tcPr>
            <w:tcW w:w="3423" w:type="dxa"/>
            <w:tcBorders>
              <w:top w:val="nil"/>
              <w:left w:val="single" w:sz="4" w:space="0" w:color="auto"/>
              <w:bottom w:val="single" w:sz="4" w:space="0" w:color="auto"/>
              <w:right w:val="single" w:sz="4" w:space="0" w:color="auto"/>
            </w:tcBorders>
            <w:shd w:val="clear" w:color="auto" w:fill="auto"/>
            <w:hideMark/>
          </w:tcPr>
          <w:p w14:paraId="36330173" w14:textId="77777777" w:rsidR="006F3067" w:rsidRPr="008860BA" w:rsidRDefault="006F3067" w:rsidP="00332FF7">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Ambalaj</w:t>
            </w:r>
          </w:p>
        </w:tc>
        <w:tc>
          <w:tcPr>
            <w:tcW w:w="967" w:type="dxa"/>
            <w:tcBorders>
              <w:top w:val="nil"/>
              <w:left w:val="nil"/>
              <w:bottom w:val="single" w:sz="4" w:space="0" w:color="auto"/>
              <w:right w:val="single" w:sz="4" w:space="0" w:color="auto"/>
            </w:tcBorders>
            <w:shd w:val="clear" w:color="auto" w:fill="auto"/>
            <w:noWrap/>
            <w:vAlign w:val="bottom"/>
            <w:hideMark/>
          </w:tcPr>
          <w:p w14:paraId="5DCB6AE6"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99" w:type="dxa"/>
            <w:tcBorders>
              <w:top w:val="nil"/>
              <w:left w:val="nil"/>
              <w:bottom w:val="single" w:sz="4" w:space="0" w:color="auto"/>
              <w:right w:val="single" w:sz="4" w:space="0" w:color="auto"/>
            </w:tcBorders>
            <w:shd w:val="clear" w:color="auto" w:fill="auto"/>
            <w:hideMark/>
          </w:tcPr>
          <w:p w14:paraId="5FD0D664"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1,15</w:t>
            </w:r>
          </w:p>
        </w:tc>
        <w:tc>
          <w:tcPr>
            <w:tcW w:w="1195" w:type="dxa"/>
            <w:tcBorders>
              <w:top w:val="nil"/>
              <w:left w:val="nil"/>
              <w:bottom w:val="single" w:sz="4" w:space="0" w:color="auto"/>
              <w:right w:val="single" w:sz="4" w:space="0" w:color="auto"/>
            </w:tcBorders>
            <w:shd w:val="clear" w:color="auto" w:fill="auto"/>
            <w:noWrap/>
            <w:vAlign w:val="bottom"/>
            <w:hideMark/>
          </w:tcPr>
          <w:p w14:paraId="69BD9630"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1,15</w:t>
            </w:r>
          </w:p>
        </w:tc>
        <w:tc>
          <w:tcPr>
            <w:tcW w:w="1092" w:type="dxa"/>
            <w:tcBorders>
              <w:top w:val="nil"/>
              <w:left w:val="nil"/>
              <w:bottom w:val="single" w:sz="4" w:space="0" w:color="auto"/>
              <w:right w:val="single" w:sz="4" w:space="0" w:color="auto"/>
            </w:tcBorders>
            <w:shd w:val="clear" w:color="auto" w:fill="auto"/>
            <w:hideMark/>
          </w:tcPr>
          <w:p w14:paraId="2937A3CE"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1224" w:type="dxa"/>
            <w:tcBorders>
              <w:top w:val="nil"/>
              <w:left w:val="nil"/>
              <w:bottom w:val="single" w:sz="4" w:space="0" w:color="auto"/>
              <w:right w:val="single" w:sz="4" w:space="0" w:color="auto"/>
            </w:tcBorders>
            <w:shd w:val="clear" w:color="auto" w:fill="auto"/>
            <w:noWrap/>
            <w:vAlign w:val="bottom"/>
            <w:hideMark/>
          </w:tcPr>
          <w:p w14:paraId="5693CCAF"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259" w:type="dxa"/>
            <w:tcBorders>
              <w:top w:val="nil"/>
              <w:left w:val="nil"/>
              <w:bottom w:val="single" w:sz="4" w:space="0" w:color="auto"/>
              <w:right w:val="single" w:sz="4" w:space="0" w:color="auto"/>
            </w:tcBorders>
            <w:shd w:val="clear" w:color="auto" w:fill="auto"/>
            <w:noWrap/>
            <w:vAlign w:val="bottom"/>
            <w:hideMark/>
          </w:tcPr>
          <w:p w14:paraId="7F202DE9"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67" w:type="dxa"/>
            <w:tcBorders>
              <w:top w:val="nil"/>
              <w:left w:val="nil"/>
              <w:bottom w:val="single" w:sz="4" w:space="0" w:color="auto"/>
              <w:right w:val="single" w:sz="4" w:space="0" w:color="auto"/>
            </w:tcBorders>
            <w:shd w:val="clear" w:color="auto" w:fill="auto"/>
            <w:noWrap/>
            <w:vAlign w:val="bottom"/>
            <w:hideMark/>
          </w:tcPr>
          <w:p w14:paraId="108E49C5"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1,15</w:t>
            </w:r>
          </w:p>
        </w:tc>
        <w:tc>
          <w:tcPr>
            <w:tcW w:w="822" w:type="dxa"/>
            <w:tcBorders>
              <w:top w:val="nil"/>
              <w:left w:val="nil"/>
              <w:bottom w:val="single" w:sz="4" w:space="0" w:color="auto"/>
              <w:right w:val="single" w:sz="4" w:space="0" w:color="auto"/>
            </w:tcBorders>
            <w:shd w:val="clear" w:color="auto" w:fill="auto"/>
            <w:noWrap/>
            <w:vAlign w:val="bottom"/>
            <w:hideMark/>
          </w:tcPr>
          <w:p w14:paraId="3DB0C370"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22" w:type="dxa"/>
            <w:tcBorders>
              <w:top w:val="nil"/>
              <w:left w:val="nil"/>
              <w:bottom w:val="single" w:sz="4" w:space="0" w:color="auto"/>
              <w:right w:val="single" w:sz="4" w:space="0" w:color="auto"/>
            </w:tcBorders>
            <w:shd w:val="clear" w:color="auto" w:fill="auto"/>
            <w:noWrap/>
            <w:vAlign w:val="bottom"/>
            <w:hideMark/>
          </w:tcPr>
          <w:p w14:paraId="4146745B"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908" w:type="dxa"/>
            <w:tcBorders>
              <w:top w:val="nil"/>
              <w:left w:val="nil"/>
              <w:bottom w:val="single" w:sz="4" w:space="0" w:color="auto"/>
              <w:right w:val="single" w:sz="4" w:space="0" w:color="auto"/>
            </w:tcBorders>
            <w:shd w:val="clear" w:color="auto" w:fill="auto"/>
            <w:noWrap/>
            <w:vAlign w:val="bottom"/>
            <w:hideMark/>
          </w:tcPr>
          <w:p w14:paraId="46EAAAA3"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r>
      <w:tr w:rsidR="006F3067" w:rsidRPr="008860BA" w14:paraId="79085663" w14:textId="77777777" w:rsidTr="006F3067">
        <w:trPr>
          <w:trHeight w:val="20"/>
        </w:trPr>
        <w:tc>
          <w:tcPr>
            <w:tcW w:w="3423" w:type="dxa"/>
            <w:tcBorders>
              <w:top w:val="nil"/>
              <w:left w:val="single" w:sz="4" w:space="0" w:color="auto"/>
              <w:bottom w:val="single" w:sz="4" w:space="0" w:color="auto"/>
              <w:right w:val="single" w:sz="4" w:space="0" w:color="auto"/>
            </w:tcBorders>
            <w:shd w:val="clear" w:color="auto" w:fill="auto"/>
            <w:hideMark/>
          </w:tcPr>
          <w:p w14:paraId="4632753F" w14:textId="77777777" w:rsidR="006F3067" w:rsidRPr="008860BA" w:rsidRDefault="006F3067" w:rsidP="00332FF7">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Amortizarea IN</w:t>
            </w:r>
          </w:p>
        </w:tc>
        <w:tc>
          <w:tcPr>
            <w:tcW w:w="967" w:type="dxa"/>
            <w:tcBorders>
              <w:top w:val="nil"/>
              <w:left w:val="nil"/>
              <w:bottom w:val="single" w:sz="4" w:space="0" w:color="auto"/>
              <w:right w:val="single" w:sz="4" w:space="0" w:color="auto"/>
            </w:tcBorders>
            <w:shd w:val="clear" w:color="auto" w:fill="auto"/>
            <w:noWrap/>
            <w:vAlign w:val="bottom"/>
            <w:hideMark/>
          </w:tcPr>
          <w:p w14:paraId="18C8CA74"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99" w:type="dxa"/>
            <w:tcBorders>
              <w:top w:val="nil"/>
              <w:left w:val="nil"/>
              <w:bottom w:val="single" w:sz="4" w:space="0" w:color="auto"/>
              <w:right w:val="single" w:sz="4" w:space="0" w:color="auto"/>
            </w:tcBorders>
            <w:shd w:val="clear" w:color="auto" w:fill="auto"/>
            <w:hideMark/>
          </w:tcPr>
          <w:p w14:paraId="6A0B9270"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62,95</w:t>
            </w:r>
          </w:p>
        </w:tc>
        <w:tc>
          <w:tcPr>
            <w:tcW w:w="1195" w:type="dxa"/>
            <w:tcBorders>
              <w:top w:val="nil"/>
              <w:left w:val="nil"/>
              <w:bottom w:val="single" w:sz="4" w:space="0" w:color="auto"/>
              <w:right w:val="single" w:sz="4" w:space="0" w:color="auto"/>
            </w:tcBorders>
            <w:shd w:val="clear" w:color="auto" w:fill="auto"/>
            <w:noWrap/>
            <w:vAlign w:val="bottom"/>
            <w:hideMark/>
          </w:tcPr>
          <w:p w14:paraId="58FDCBC5"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62,95</w:t>
            </w:r>
          </w:p>
        </w:tc>
        <w:tc>
          <w:tcPr>
            <w:tcW w:w="1092" w:type="dxa"/>
            <w:tcBorders>
              <w:top w:val="nil"/>
              <w:left w:val="nil"/>
              <w:bottom w:val="single" w:sz="4" w:space="0" w:color="auto"/>
              <w:right w:val="single" w:sz="4" w:space="0" w:color="auto"/>
            </w:tcBorders>
            <w:shd w:val="clear" w:color="auto" w:fill="auto"/>
            <w:hideMark/>
          </w:tcPr>
          <w:p w14:paraId="1B7F32CA"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1224" w:type="dxa"/>
            <w:tcBorders>
              <w:top w:val="nil"/>
              <w:left w:val="nil"/>
              <w:bottom w:val="single" w:sz="4" w:space="0" w:color="auto"/>
              <w:right w:val="single" w:sz="4" w:space="0" w:color="auto"/>
            </w:tcBorders>
            <w:shd w:val="clear" w:color="auto" w:fill="auto"/>
            <w:noWrap/>
            <w:vAlign w:val="bottom"/>
            <w:hideMark/>
          </w:tcPr>
          <w:p w14:paraId="79CC2A46"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259" w:type="dxa"/>
            <w:tcBorders>
              <w:top w:val="nil"/>
              <w:left w:val="nil"/>
              <w:bottom w:val="single" w:sz="4" w:space="0" w:color="auto"/>
              <w:right w:val="single" w:sz="4" w:space="0" w:color="auto"/>
            </w:tcBorders>
            <w:shd w:val="clear" w:color="auto" w:fill="auto"/>
            <w:noWrap/>
            <w:vAlign w:val="bottom"/>
            <w:hideMark/>
          </w:tcPr>
          <w:p w14:paraId="287EB6CB"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67" w:type="dxa"/>
            <w:tcBorders>
              <w:top w:val="nil"/>
              <w:left w:val="nil"/>
              <w:bottom w:val="single" w:sz="4" w:space="0" w:color="auto"/>
              <w:right w:val="single" w:sz="4" w:space="0" w:color="auto"/>
            </w:tcBorders>
            <w:shd w:val="clear" w:color="auto" w:fill="auto"/>
            <w:noWrap/>
            <w:vAlign w:val="bottom"/>
            <w:hideMark/>
          </w:tcPr>
          <w:p w14:paraId="20374ADC"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22" w:type="dxa"/>
            <w:tcBorders>
              <w:top w:val="nil"/>
              <w:left w:val="nil"/>
              <w:bottom w:val="single" w:sz="4" w:space="0" w:color="auto"/>
              <w:right w:val="single" w:sz="4" w:space="0" w:color="auto"/>
            </w:tcBorders>
            <w:shd w:val="clear" w:color="auto" w:fill="auto"/>
            <w:noWrap/>
            <w:vAlign w:val="bottom"/>
            <w:hideMark/>
          </w:tcPr>
          <w:p w14:paraId="043FADD8"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22" w:type="dxa"/>
            <w:tcBorders>
              <w:top w:val="nil"/>
              <w:left w:val="nil"/>
              <w:bottom w:val="single" w:sz="4" w:space="0" w:color="auto"/>
              <w:right w:val="single" w:sz="4" w:space="0" w:color="auto"/>
            </w:tcBorders>
            <w:shd w:val="clear" w:color="auto" w:fill="auto"/>
            <w:noWrap/>
            <w:vAlign w:val="bottom"/>
            <w:hideMark/>
          </w:tcPr>
          <w:p w14:paraId="19FCFBBB"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3,95</w:t>
            </w:r>
          </w:p>
        </w:tc>
        <w:tc>
          <w:tcPr>
            <w:tcW w:w="908" w:type="dxa"/>
            <w:tcBorders>
              <w:top w:val="nil"/>
              <w:left w:val="nil"/>
              <w:bottom w:val="single" w:sz="4" w:space="0" w:color="auto"/>
              <w:right w:val="single" w:sz="4" w:space="0" w:color="auto"/>
            </w:tcBorders>
            <w:shd w:val="clear" w:color="auto" w:fill="auto"/>
            <w:noWrap/>
            <w:vAlign w:val="bottom"/>
            <w:hideMark/>
          </w:tcPr>
          <w:p w14:paraId="1951FA9F"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59,00</w:t>
            </w:r>
          </w:p>
        </w:tc>
      </w:tr>
      <w:tr w:rsidR="006F3067" w:rsidRPr="008860BA" w14:paraId="6959393D" w14:textId="77777777" w:rsidTr="006F3067">
        <w:trPr>
          <w:trHeight w:val="20"/>
        </w:trPr>
        <w:tc>
          <w:tcPr>
            <w:tcW w:w="3423" w:type="dxa"/>
            <w:tcBorders>
              <w:top w:val="nil"/>
              <w:left w:val="single" w:sz="4" w:space="0" w:color="auto"/>
              <w:bottom w:val="single" w:sz="4" w:space="0" w:color="auto"/>
              <w:right w:val="single" w:sz="4" w:space="0" w:color="auto"/>
            </w:tcBorders>
            <w:shd w:val="clear" w:color="auto" w:fill="auto"/>
            <w:hideMark/>
          </w:tcPr>
          <w:p w14:paraId="4FE70FBF" w14:textId="77777777" w:rsidR="006F3067" w:rsidRPr="008860BA" w:rsidRDefault="006F3067" w:rsidP="00332FF7">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Amortizarea MF</w:t>
            </w:r>
          </w:p>
        </w:tc>
        <w:tc>
          <w:tcPr>
            <w:tcW w:w="967" w:type="dxa"/>
            <w:tcBorders>
              <w:top w:val="nil"/>
              <w:left w:val="nil"/>
              <w:bottom w:val="single" w:sz="4" w:space="0" w:color="auto"/>
              <w:right w:val="single" w:sz="4" w:space="0" w:color="auto"/>
            </w:tcBorders>
            <w:shd w:val="clear" w:color="auto" w:fill="auto"/>
            <w:noWrap/>
            <w:vAlign w:val="bottom"/>
            <w:hideMark/>
          </w:tcPr>
          <w:p w14:paraId="6E53EEEC"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99" w:type="dxa"/>
            <w:tcBorders>
              <w:top w:val="nil"/>
              <w:left w:val="nil"/>
              <w:bottom w:val="single" w:sz="4" w:space="0" w:color="auto"/>
              <w:right w:val="single" w:sz="4" w:space="0" w:color="auto"/>
            </w:tcBorders>
            <w:shd w:val="clear" w:color="auto" w:fill="auto"/>
            <w:hideMark/>
          </w:tcPr>
          <w:p w14:paraId="2501BA17"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4.138,96</w:t>
            </w:r>
          </w:p>
        </w:tc>
        <w:tc>
          <w:tcPr>
            <w:tcW w:w="1195" w:type="dxa"/>
            <w:tcBorders>
              <w:top w:val="nil"/>
              <w:left w:val="nil"/>
              <w:bottom w:val="single" w:sz="4" w:space="0" w:color="auto"/>
              <w:right w:val="single" w:sz="4" w:space="0" w:color="auto"/>
            </w:tcBorders>
            <w:shd w:val="clear" w:color="auto" w:fill="auto"/>
            <w:noWrap/>
            <w:vAlign w:val="bottom"/>
            <w:hideMark/>
          </w:tcPr>
          <w:p w14:paraId="4E4CBCA0"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4.138,96</w:t>
            </w:r>
          </w:p>
        </w:tc>
        <w:tc>
          <w:tcPr>
            <w:tcW w:w="1092" w:type="dxa"/>
            <w:tcBorders>
              <w:top w:val="nil"/>
              <w:left w:val="nil"/>
              <w:bottom w:val="single" w:sz="4" w:space="0" w:color="auto"/>
              <w:right w:val="single" w:sz="4" w:space="0" w:color="auto"/>
            </w:tcBorders>
            <w:shd w:val="clear" w:color="auto" w:fill="auto"/>
            <w:noWrap/>
            <w:vAlign w:val="bottom"/>
            <w:hideMark/>
          </w:tcPr>
          <w:p w14:paraId="70ED2FC5"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1.074,75</w:t>
            </w:r>
          </w:p>
        </w:tc>
        <w:tc>
          <w:tcPr>
            <w:tcW w:w="1224" w:type="dxa"/>
            <w:tcBorders>
              <w:top w:val="nil"/>
              <w:left w:val="nil"/>
              <w:bottom w:val="single" w:sz="4" w:space="0" w:color="auto"/>
              <w:right w:val="single" w:sz="4" w:space="0" w:color="auto"/>
            </w:tcBorders>
            <w:shd w:val="clear" w:color="auto" w:fill="auto"/>
            <w:noWrap/>
            <w:vAlign w:val="bottom"/>
            <w:hideMark/>
          </w:tcPr>
          <w:p w14:paraId="564E9D1D"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259" w:type="dxa"/>
            <w:tcBorders>
              <w:top w:val="nil"/>
              <w:left w:val="nil"/>
              <w:bottom w:val="single" w:sz="4" w:space="0" w:color="auto"/>
              <w:right w:val="single" w:sz="4" w:space="0" w:color="auto"/>
            </w:tcBorders>
            <w:shd w:val="clear" w:color="auto" w:fill="auto"/>
            <w:noWrap/>
            <w:vAlign w:val="bottom"/>
            <w:hideMark/>
          </w:tcPr>
          <w:p w14:paraId="20EE47D1"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67" w:type="dxa"/>
            <w:tcBorders>
              <w:top w:val="nil"/>
              <w:left w:val="nil"/>
              <w:bottom w:val="single" w:sz="4" w:space="0" w:color="auto"/>
              <w:right w:val="single" w:sz="4" w:space="0" w:color="auto"/>
            </w:tcBorders>
            <w:shd w:val="clear" w:color="auto" w:fill="auto"/>
            <w:noWrap/>
            <w:vAlign w:val="bottom"/>
            <w:hideMark/>
          </w:tcPr>
          <w:p w14:paraId="7045CE13"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4,51</w:t>
            </w:r>
          </w:p>
        </w:tc>
        <w:tc>
          <w:tcPr>
            <w:tcW w:w="822" w:type="dxa"/>
            <w:tcBorders>
              <w:top w:val="nil"/>
              <w:left w:val="nil"/>
              <w:bottom w:val="single" w:sz="4" w:space="0" w:color="auto"/>
              <w:right w:val="single" w:sz="4" w:space="0" w:color="auto"/>
            </w:tcBorders>
            <w:shd w:val="clear" w:color="auto" w:fill="auto"/>
            <w:noWrap/>
            <w:vAlign w:val="bottom"/>
            <w:hideMark/>
          </w:tcPr>
          <w:p w14:paraId="40FFB519"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38,74</w:t>
            </w:r>
          </w:p>
        </w:tc>
        <w:tc>
          <w:tcPr>
            <w:tcW w:w="822" w:type="dxa"/>
            <w:tcBorders>
              <w:top w:val="nil"/>
              <w:left w:val="nil"/>
              <w:bottom w:val="single" w:sz="4" w:space="0" w:color="auto"/>
              <w:right w:val="single" w:sz="4" w:space="0" w:color="auto"/>
            </w:tcBorders>
            <w:shd w:val="clear" w:color="auto" w:fill="auto"/>
            <w:noWrap/>
            <w:vAlign w:val="bottom"/>
            <w:hideMark/>
          </w:tcPr>
          <w:p w14:paraId="2CD36636"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42,20</w:t>
            </w:r>
          </w:p>
        </w:tc>
        <w:tc>
          <w:tcPr>
            <w:tcW w:w="908" w:type="dxa"/>
            <w:tcBorders>
              <w:top w:val="nil"/>
              <w:left w:val="nil"/>
              <w:bottom w:val="single" w:sz="4" w:space="0" w:color="auto"/>
              <w:right w:val="single" w:sz="4" w:space="0" w:color="auto"/>
            </w:tcBorders>
            <w:shd w:val="clear" w:color="auto" w:fill="auto"/>
            <w:noWrap/>
            <w:vAlign w:val="bottom"/>
            <w:hideMark/>
          </w:tcPr>
          <w:p w14:paraId="4504EF32"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2.978,77</w:t>
            </w:r>
          </w:p>
        </w:tc>
      </w:tr>
      <w:tr w:rsidR="006F3067" w:rsidRPr="008860BA" w14:paraId="1B9238D2" w14:textId="77777777" w:rsidTr="006F3067">
        <w:trPr>
          <w:trHeight w:val="20"/>
        </w:trPr>
        <w:tc>
          <w:tcPr>
            <w:tcW w:w="3423" w:type="dxa"/>
            <w:tcBorders>
              <w:top w:val="nil"/>
              <w:left w:val="single" w:sz="4" w:space="0" w:color="auto"/>
              <w:bottom w:val="single" w:sz="4" w:space="0" w:color="auto"/>
              <w:right w:val="single" w:sz="4" w:space="0" w:color="auto"/>
            </w:tcBorders>
            <w:shd w:val="clear" w:color="auto" w:fill="auto"/>
            <w:hideMark/>
          </w:tcPr>
          <w:p w14:paraId="1EF5BE77" w14:textId="77777777" w:rsidR="006F3067" w:rsidRPr="008860BA" w:rsidRDefault="006F3067" w:rsidP="00332FF7">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Apa potabilă</w:t>
            </w:r>
          </w:p>
        </w:tc>
        <w:tc>
          <w:tcPr>
            <w:tcW w:w="967" w:type="dxa"/>
            <w:tcBorders>
              <w:top w:val="nil"/>
              <w:left w:val="nil"/>
              <w:bottom w:val="single" w:sz="4" w:space="0" w:color="auto"/>
              <w:right w:val="single" w:sz="4" w:space="0" w:color="auto"/>
            </w:tcBorders>
            <w:shd w:val="clear" w:color="auto" w:fill="auto"/>
            <w:noWrap/>
            <w:vAlign w:val="bottom"/>
            <w:hideMark/>
          </w:tcPr>
          <w:p w14:paraId="5498A4E2"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99" w:type="dxa"/>
            <w:tcBorders>
              <w:top w:val="nil"/>
              <w:left w:val="nil"/>
              <w:bottom w:val="single" w:sz="4" w:space="0" w:color="auto"/>
              <w:right w:val="single" w:sz="4" w:space="0" w:color="auto"/>
            </w:tcBorders>
            <w:shd w:val="clear" w:color="auto" w:fill="auto"/>
            <w:hideMark/>
          </w:tcPr>
          <w:p w14:paraId="7EFA6124"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6,70</w:t>
            </w:r>
          </w:p>
        </w:tc>
        <w:tc>
          <w:tcPr>
            <w:tcW w:w="1195" w:type="dxa"/>
            <w:tcBorders>
              <w:top w:val="nil"/>
              <w:left w:val="nil"/>
              <w:bottom w:val="single" w:sz="4" w:space="0" w:color="auto"/>
              <w:right w:val="single" w:sz="4" w:space="0" w:color="auto"/>
            </w:tcBorders>
            <w:shd w:val="clear" w:color="auto" w:fill="auto"/>
            <w:noWrap/>
            <w:vAlign w:val="bottom"/>
            <w:hideMark/>
          </w:tcPr>
          <w:p w14:paraId="666DA99F"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6,70</w:t>
            </w:r>
          </w:p>
        </w:tc>
        <w:tc>
          <w:tcPr>
            <w:tcW w:w="1092" w:type="dxa"/>
            <w:tcBorders>
              <w:top w:val="nil"/>
              <w:left w:val="nil"/>
              <w:bottom w:val="single" w:sz="4" w:space="0" w:color="auto"/>
              <w:right w:val="single" w:sz="4" w:space="0" w:color="auto"/>
            </w:tcBorders>
            <w:shd w:val="clear" w:color="auto" w:fill="auto"/>
            <w:noWrap/>
            <w:vAlign w:val="bottom"/>
            <w:hideMark/>
          </w:tcPr>
          <w:p w14:paraId="1811293B"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224" w:type="dxa"/>
            <w:tcBorders>
              <w:top w:val="nil"/>
              <w:left w:val="nil"/>
              <w:bottom w:val="single" w:sz="4" w:space="0" w:color="auto"/>
              <w:right w:val="single" w:sz="4" w:space="0" w:color="auto"/>
            </w:tcBorders>
            <w:shd w:val="clear" w:color="auto" w:fill="auto"/>
            <w:noWrap/>
            <w:vAlign w:val="bottom"/>
            <w:hideMark/>
          </w:tcPr>
          <w:p w14:paraId="6567888F"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259" w:type="dxa"/>
            <w:tcBorders>
              <w:top w:val="nil"/>
              <w:left w:val="nil"/>
              <w:bottom w:val="single" w:sz="4" w:space="0" w:color="auto"/>
              <w:right w:val="single" w:sz="4" w:space="0" w:color="auto"/>
            </w:tcBorders>
            <w:shd w:val="clear" w:color="auto" w:fill="auto"/>
            <w:noWrap/>
            <w:vAlign w:val="bottom"/>
            <w:hideMark/>
          </w:tcPr>
          <w:p w14:paraId="4FEEC4C4"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67" w:type="dxa"/>
            <w:tcBorders>
              <w:top w:val="nil"/>
              <w:left w:val="nil"/>
              <w:bottom w:val="single" w:sz="4" w:space="0" w:color="auto"/>
              <w:right w:val="single" w:sz="4" w:space="0" w:color="auto"/>
            </w:tcBorders>
            <w:shd w:val="clear" w:color="auto" w:fill="auto"/>
            <w:noWrap/>
            <w:vAlign w:val="bottom"/>
            <w:hideMark/>
          </w:tcPr>
          <w:p w14:paraId="15FF85D9"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0,78</w:t>
            </w:r>
          </w:p>
        </w:tc>
        <w:tc>
          <w:tcPr>
            <w:tcW w:w="822" w:type="dxa"/>
            <w:tcBorders>
              <w:top w:val="nil"/>
              <w:left w:val="nil"/>
              <w:bottom w:val="single" w:sz="4" w:space="0" w:color="auto"/>
              <w:right w:val="single" w:sz="4" w:space="0" w:color="auto"/>
            </w:tcBorders>
            <w:shd w:val="clear" w:color="auto" w:fill="auto"/>
            <w:hideMark/>
          </w:tcPr>
          <w:p w14:paraId="06BE85DD"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822" w:type="dxa"/>
            <w:tcBorders>
              <w:top w:val="nil"/>
              <w:left w:val="nil"/>
              <w:bottom w:val="single" w:sz="4" w:space="0" w:color="auto"/>
              <w:right w:val="single" w:sz="4" w:space="0" w:color="auto"/>
            </w:tcBorders>
            <w:shd w:val="clear" w:color="auto" w:fill="auto"/>
            <w:noWrap/>
            <w:vAlign w:val="bottom"/>
            <w:hideMark/>
          </w:tcPr>
          <w:p w14:paraId="56223352"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5,92</w:t>
            </w:r>
          </w:p>
        </w:tc>
        <w:tc>
          <w:tcPr>
            <w:tcW w:w="908" w:type="dxa"/>
            <w:tcBorders>
              <w:top w:val="nil"/>
              <w:left w:val="nil"/>
              <w:bottom w:val="single" w:sz="4" w:space="0" w:color="auto"/>
              <w:right w:val="single" w:sz="4" w:space="0" w:color="auto"/>
            </w:tcBorders>
            <w:shd w:val="clear" w:color="auto" w:fill="auto"/>
            <w:noWrap/>
            <w:vAlign w:val="bottom"/>
            <w:hideMark/>
          </w:tcPr>
          <w:p w14:paraId="7917A7ED"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r>
      <w:tr w:rsidR="006F3067" w:rsidRPr="008860BA" w14:paraId="7C524BD5" w14:textId="77777777" w:rsidTr="006F3067">
        <w:trPr>
          <w:trHeight w:val="20"/>
        </w:trPr>
        <w:tc>
          <w:tcPr>
            <w:tcW w:w="3423" w:type="dxa"/>
            <w:tcBorders>
              <w:top w:val="nil"/>
              <w:left w:val="single" w:sz="4" w:space="0" w:color="auto"/>
              <w:bottom w:val="single" w:sz="4" w:space="0" w:color="auto"/>
              <w:right w:val="single" w:sz="4" w:space="0" w:color="auto"/>
            </w:tcBorders>
            <w:shd w:val="clear" w:color="auto" w:fill="auto"/>
            <w:hideMark/>
          </w:tcPr>
          <w:p w14:paraId="539A7E5E" w14:textId="7F1779DC" w:rsidR="006F3067" w:rsidRPr="008860BA" w:rsidRDefault="006F3067">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xml:space="preserve">Apa </w:t>
            </w:r>
            <w:r w:rsidR="00885EE0" w:rsidRPr="008860BA">
              <w:rPr>
                <w:rFonts w:asciiTheme="majorHAnsi" w:eastAsia="Times New Roman" w:hAnsiTheme="majorHAnsi" w:cstheme="majorHAnsi"/>
                <w:sz w:val="18"/>
                <w:szCs w:val="18"/>
                <w:lang w:val="ro-MD"/>
              </w:rPr>
              <w:t>ș</w:t>
            </w:r>
            <w:r w:rsidRPr="008860BA">
              <w:rPr>
                <w:rFonts w:asciiTheme="majorHAnsi" w:eastAsia="Times New Roman" w:hAnsiTheme="majorHAnsi" w:cstheme="majorHAnsi"/>
                <w:sz w:val="18"/>
                <w:szCs w:val="18"/>
                <w:lang w:val="ro-MD"/>
              </w:rPr>
              <w:t>i canalizarea</w:t>
            </w:r>
          </w:p>
        </w:tc>
        <w:tc>
          <w:tcPr>
            <w:tcW w:w="967" w:type="dxa"/>
            <w:tcBorders>
              <w:top w:val="nil"/>
              <w:left w:val="nil"/>
              <w:bottom w:val="single" w:sz="4" w:space="0" w:color="auto"/>
              <w:right w:val="single" w:sz="4" w:space="0" w:color="auto"/>
            </w:tcBorders>
            <w:shd w:val="clear" w:color="auto" w:fill="auto"/>
            <w:noWrap/>
            <w:vAlign w:val="bottom"/>
            <w:hideMark/>
          </w:tcPr>
          <w:p w14:paraId="68EED12F"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99" w:type="dxa"/>
            <w:tcBorders>
              <w:top w:val="nil"/>
              <w:left w:val="nil"/>
              <w:bottom w:val="single" w:sz="4" w:space="0" w:color="auto"/>
              <w:right w:val="single" w:sz="4" w:space="0" w:color="auto"/>
            </w:tcBorders>
            <w:shd w:val="clear" w:color="auto" w:fill="auto"/>
            <w:hideMark/>
          </w:tcPr>
          <w:p w14:paraId="2CDBEDA3"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387,28</w:t>
            </w:r>
          </w:p>
        </w:tc>
        <w:tc>
          <w:tcPr>
            <w:tcW w:w="1195" w:type="dxa"/>
            <w:tcBorders>
              <w:top w:val="nil"/>
              <w:left w:val="nil"/>
              <w:bottom w:val="single" w:sz="4" w:space="0" w:color="auto"/>
              <w:right w:val="single" w:sz="4" w:space="0" w:color="auto"/>
            </w:tcBorders>
            <w:shd w:val="clear" w:color="auto" w:fill="auto"/>
            <w:noWrap/>
            <w:vAlign w:val="bottom"/>
            <w:hideMark/>
          </w:tcPr>
          <w:p w14:paraId="0C385FD5"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387,28</w:t>
            </w:r>
          </w:p>
        </w:tc>
        <w:tc>
          <w:tcPr>
            <w:tcW w:w="1092" w:type="dxa"/>
            <w:tcBorders>
              <w:top w:val="nil"/>
              <w:left w:val="nil"/>
              <w:bottom w:val="single" w:sz="4" w:space="0" w:color="auto"/>
              <w:right w:val="single" w:sz="4" w:space="0" w:color="auto"/>
            </w:tcBorders>
            <w:shd w:val="clear" w:color="auto" w:fill="auto"/>
            <w:noWrap/>
            <w:vAlign w:val="bottom"/>
            <w:hideMark/>
          </w:tcPr>
          <w:p w14:paraId="69C12B25"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213,00</w:t>
            </w:r>
          </w:p>
        </w:tc>
        <w:tc>
          <w:tcPr>
            <w:tcW w:w="1224" w:type="dxa"/>
            <w:tcBorders>
              <w:top w:val="nil"/>
              <w:left w:val="nil"/>
              <w:bottom w:val="single" w:sz="4" w:space="0" w:color="auto"/>
              <w:right w:val="single" w:sz="4" w:space="0" w:color="auto"/>
            </w:tcBorders>
            <w:shd w:val="clear" w:color="auto" w:fill="auto"/>
            <w:noWrap/>
            <w:vAlign w:val="bottom"/>
            <w:hideMark/>
          </w:tcPr>
          <w:p w14:paraId="32A11032"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259" w:type="dxa"/>
            <w:tcBorders>
              <w:top w:val="nil"/>
              <w:left w:val="nil"/>
              <w:bottom w:val="single" w:sz="4" w:space="0" w:color="auto"/>
              <w:right w:val="single" w:sz="4" w:space="0" w:color="auto"/>
            </w:tcBorders>
            <w:shd w:val="clear" w:color="auto" w:fill="auto"/>
            <w:noWrap/>
            <w:vAlign w:val="bottom"/>
            <w:hideMark/>
          </w:tcPr>
          <w:p w14:paraId="67F71B43"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67" w:type="dxa"/>
            <w:tcBorders>
              <w:top w:val="nil"/>
              <w:left w:val="nil"/>
              <w:bottom w:val="single" w:sz="4" w:space="0" w:color="auto"/>
              <w:right w:val="single" w:sz="4" w:space="0" w:color="auto"/>
            </w:tcBorders>
            <w:shd w:val="clear" w:color="auto" w:fill="auto"/>
            <w:noWrap/>
            <w:vAlign w:val="bottom"/>
            <w:hideMark/>
          </w:tcPr>
          <w:p w14:paraId="0DDDD606"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174,28</w:t>
            </w:r>
          </w:p>
        </w:tc>
        <w:tc>
          <w:tcPr>
            <w:tcW w:w="822" w:type="dxa"/>
            <w:tcBorders>
              <w:top w:val="nil"/>
              <w:left w:val="nil"/>
              <w:bottom w:val="single" w:sz="4" w:space="0" w:color="auto"/>
              <w:right w:val="single" w:sz="4" w:space="0" w:color="auto"/>
            </w:tcBorders>
            <w:shd w:val="clear" w:color="auto" w:fill="auto"/>
            <w:noWrap/>
            <w:vAlign w:val="bottom"/>
            <w:hideMark/>
          </w:tcPr>
          <w:p w14:paraId="12686140"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22" w:type="dxa"/>
            <w:tcBorders>
              <w:top w:val="nil"/>
              <w:left w:val="nil"/>
              <w:bottom w:val="single" w:sz="4" w:space="0" w:color="auto"/>
              <w:right w:val="single" w:sz="4" w:space="0" w:color="auto"/>
            </w:tcBorders>
            <w:shd w:val="clear" w:color="auto" w:fill="auto"/>
            <w:noWrap/>
            <w:vAlign w:val="bottom"/>
            <w:hideMark/>
          </w:tcPr>
          <w:p w14:paraId="49678926"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908" w:type="dxa"/>
            <w:tcBorders>
              <w:top w:val="nil"/>
              <w:left w:val="nil"/>
              <w:bottom w:val="single" w:sz="4" w:space="0" w:color="auto"/>
              <w:right w:val="single" w:sz="4" w:space="0" w:color="auto"/>
            </w:tcBorders>
            <w:shd w:val="clear" w:color="auto" w:fill="auto"/>
            <w:noWrap/>
            <w:vAlign w:val="bottom"/>
            <w:hideMark/>
          </w:tcPr>
          <w:p w14:paraId="240559C9"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r>
      <w:tr w:rsidR="006F3067" w:rsidRPr="008860BA" w14:paraId="77A3D067" w14:textId="77777777" w:rsidTr="006F3067">
        <w:trPr>
          <w:trHeight w:val="20"/>
        </w:trPr>
        <w:tc>
          <w:tcPr>
            <w:tcW w:w="3423" w:type="dxa"/>
            <w:tcBorders>
              <w:top w:val="nil"/>
              <w:left w:val="single" w:sz="4" w:space="0" w:color="auto"/>
              <w:bottom w:val="single" w:sz="4" w:space="0" w:color="auto"/>
              <w:right w:val="single" w:sz="4" w:space="0" w:color="auto"/>
            </w:tcBorders>
            <w:shd w:val="clear" w:color="auto" w:fill="auto"/>
            <w:hideMark/>
          </w:tcPr>
          <w:p w14:paraId="7C342615" w14:textId="77777777" w:rsidR="006F3067" w:rsidRPr="008860BA" w:rsidRDefault="006F3067" w:rsidP="00332FF7">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Chetuieli de reprezentare</w:t>
            </w:r>
          </w:p>
        </w:tc>
        <w:tc>
          <w:tcPr>
            <w:tcW w:w="967" w:type="dxa"/>
            <w:tcBorders>
              <w:top w:val="nil"/>
              <w:left w:val="nil"/>
              <w:bottom w:val="single" w:sz="4" w:space="0" w:color="auto"/>
              <w:right w:val="single" w:sz="4" w:space="0" w:color="auto"/>
            </w:tcBorders>
            <w:shd w:val="clear" w:color="auto" w:fill="auto"/>
            <w:noWrap/>
            <w:vAlign w:val="bottom"/>
            <w:hideMark/>
          </w:tcPr>
          <w:p w14:paraId="77A5EFA2"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99" w:type="dxa"/>
            <w:tcBorders>
              <w:top w:val="nil"/>
              <w:left w:val="nil"/>
              <w:bottom w:val="single" w:sz="4" w:space="0" w:color="auto"/>
              <w:right w:val="single" w:sz="4" w:space="0" w:color="auto"/>
            </w:tcBorders>
            <w:shd w:val="clear" w:color="auto" w:fill="auto"/>
            <w:hideMark/>
          </w:tcPr>
          <w:p w14:paraId="33E70B5E"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1195" w:type="dxa"/>
            <w:tcBorders>
              <w:top w:val="nil"/>
              <w:left w:val="nil"/>
              <w:bottom w:val="single" w:sz="4" w:space="0" w:color="auto"/>
              <w:right w:val="single" w:sz="4" w:space="0" w:color="auto"/>
            </w:tcBorders>
            <w:shd w:val="clear" w:color="auto" w:fill="auto"/>
            <w:noWrap/>
            <w:vAlign w:val="bottom"/>
            <w:hideMark/>
          </w:tcPr>
          <w:p w14:paraId="41ABF62E"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92" w:type="dxa"/>
            <w:tcBorders>
              <w:top w:val="nil"/>
              <w:left w:val="nil"/>
              <w:bottom w:val="single" w:sz="4" w:space="0" w:color="auto"/>
              <w:right w:val="single" w:sz="4" w:space="0" w:color="auto"/>
            </w:tcBorders>
            <w:shd w:val="clear" w:color="auto" w:fill="auto"/>
            <w:hideMark/>
          </w:tcPr>
          <w:p w14:paraId="7D10252A"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1224" w:type="dxa"/>
            <w:tcBorders>
              <w:top w:val="nil"/>
              <w:left w:val="nil"/>
              <w:bottom w:val="single" w:sz="4" w:space="0" w:color="auto"/>
              <w:right w:val="single" w:sz="4" w:space="0" w:color="auto"/>
            </w:tcBorders>
            <w:shd w:val="clear" w:color="auto" w:fill="auto"/>
            <w:noWrap/>
            <w:vAlign w:val="bottom"/>
            <w:hideMark/>
          </w:tcPr>
          <w:p w14:paraId="6F6EB005"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259" w:type="dxa"/>
            <w:tcBorders>
              <w:top w:val="nil"/>
              <w:left w:val="nil"/>
              <w:bottom w:val="single" w:sz="4" w:space="0" w:color="auto"/>
              <w:right w:val="single" w:sz="4" w:space="0" w:color="auto"/>
            </w:tcBorders>
            <w:shd w:val="clear" w:color="auto" w:fill="auto"/>
            <w:noWrap/>
            <w:vAlign w:val="bottom"/>
            <w:hideMark/>
          </w:tcPr>
          <w:p w14:paraId="0463A216"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67" w:type="dxa"/>
            <w:tcBorders>
              <w:top w:val="nil"/>
              <w:left w:val="nil"/>
              <w:bottom w:val="single" w:sz="4" w:space="0" w:color="auto"/>
              <w:right w:val="single" w:sz="4" w:space="0" w:color="auto"/>
            </w:tcBorders>
            <w:shd w:val="clear" w:color="auto" w:fill="auto"/>
            <w:noWrap/>
            <w:vAlign w:val="bottom"/>
            <w:hideMark/>
          </w:tcPr>
          <w:p w14:paraId="7D4DD99D"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22" w:type="dxa"/>
            <w:tcBorders>
              <w:top w:val="nil"/>
              <w:left w:val="nil"/>
              <w:bottom w:val="single" w:sz="4" w:space="0" w:color="auto"/>
              <w:right w:val="single" w:sz="4" w:space="0" w:color="auto"/>
            </w:tcBorders>
            <w:shd w:val="clear" w:color="auto" w:fill="auto"/>
            <w:noWrap/>
            <w:vAlign w:val="bottom"/>
            <w:hideMark/>
          </w:tcPr>
          <w:p w14:paraId="2EA26202"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22" w:type="dxa"/>
            <w:tcBorders>
              <w:top w:val="nil"/>
              <w:left w:val="nil"/>
              <w:bottom w:val="single" w:sz="4" w:space="0" w:color="auto"/>
              <w:right w:val="single" w:sz="4" w:space="0" w:color="auto"/>
            </w:tcBorders>
            <w:shd w:val="clear" w:color="auto" w:fill="auto"/>
            <w:noWrap/>
            <w:vAlign w:val="bottom"/>
            <w:hideMark/>
          </w:tcPr>
          <w:p w14:paraId="2696B7E0"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908" w:type="dxa"/>
            <w:tcBorders>
              <w:top w:val="nil"/>
              <w:left w:val="nil"/>
              <w:bottom w:val="single" w:sz="4" w:space="0" w:color="auto"/>
              <w:right w:val="single" w:sz="4" w:space="0" w:color="auto"/>
            </w:tcBorders>
            <w:shd w:val="clear" w:color="auto" w:fill="auto"/>
            <w:noWrap/>
            <w:vAlign w:val="bottom"/>
            <w:hideMark/>
          </w:tcPr>
          <w:p w14:paraId="7F18DB59"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r>
      <w:tr w:rsidR="006F3067" w:rsidRPr="008860BA" w14:paraId="6E71F6E7" w14:textId="77777777" w:rsidTr="006F3067">
        <w:trPr>
          <w:trHeight w:val="20"/>
        </w:trPr>
        <w:tc>
          <w:tcPr>
            <w:tcW w:w="3423" w:type="dxa"/>
            <w:tcBorders>
              <w:top w:val="nil"/>
              <w:left w:val="single" w:sz="4" w:space="0" w:color="auto"/>
              <w:bottom w:val="single" w:sz="4" w:space="0" w:color="auto"/>
              <w:right w:val="single" w:sz="4" w:space="0" w:color="auto"/>
            </w:tcBorders>
            <w:shd w:val="clear" w:color="auto" w:fill="auto"/>
            <w:hideMark/>
          </w:tcPr>
          <w:p w14:paraId="627EEEFC" w14:textId="77777777" w:rsidR="006F3067" w:rsidRPr="008860BA" w:rsidRDefault="006F3067" w:rsidP="00332FF7">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Cheltuieli de transport</w:t>
            </w:r>
          </w:p>
        </w:tc>
        <w:tc>
          <w:tcPr>
            <w:tcW w:w="967" w:type="dxa"/>
            <w:tcBorders>
              <w:top w:val="nil"/>
              <w:left w:val="nil"/>
              <w:bottom w:val="single" w:sz="4" w:space="0" w:color="auto"/>
              <w:right w:val="single" w:sz="4" w:space="0" w:color="auto"/>
            </w:tcBorders>
            <w:shd w:val="clear" w:color="auto" w:fill="auto"/>
            <w:noWrap/>
            <w:vAlign w:val="bottom"/>
            <w:hideMark/>
          </w:tcPr>
          <w:p w14:paraId="3AA32538"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99" w:type="dxa"/>
            <w:tcBorders>
              <w:top w:val="nil"/>
              <w:left w:val="nil"/>
              <w:bottom w:val="single" w:sz="4" w:space="0" w:color="auto"/>
              <w:right w:val="single" w:sz="4" w:space="0" w:color="auto"/>
            </w:tcBorders>
            <w:shd w:val="clear" w:color="auto" w:fill="auto"/>
            <w:hideMark/>
          </w:tcPr>
          <w:p w14:paraId="1FD7AFDC"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41,47</w:t>
            </w:r>
          </w:p>
        </w:tc>
        <w:tc>
          <w:tcPr>
            <w:tcW w:w="1195" w:type="dxa"/>
            <w:tcBorders>
              <w:top w:val="nil"/>
              <w:left w:val="nil"/>
              <w:bottom w:val="single" w:sz="4" w:space="0" w:color="auto"/>
              <w:right w:val="single" w:sz="4" w:space="0" w:color="auto"/>
            </w:tcBorders>
            <w:shd w:val="clear" w:color="auto" w:fill="auto"/>
            <w:noWrap/>
            <w:vAlign w:val="bottom"/>
            <w:hideMark/>
          </w:tcPr>
          <w:p w14:paraId="30824E95"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41,47</w:t>
            </w:r>
          </w:p>
        </w:tc>
        <w:tc>
          <w:tcPr>
            <w:tcW w:w="1092" w:type="dxa"/>
            <w:tcBorders>
              <w:top w:val="nil"/>
              <w:left w:val="nil"/>
              <w:bottom w:val="single" w:sz="4" w:space="0" w:color="auto"/>
              <w:right w:val="single" w:sz="4" w:space="0" w:color="auto"/>
            </w:tcBorders>
            <w:shd w:val="clear" w:color="auto" w:fill="auto"/>
            <w:noWrap/>
            <w:vAlign w:val="bottom"/>
            <w:hideMark/>
          </w:tcPr>
          <w:p w14:paraId="120D84CC"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21,01</w:t>
            </w:r>
          </w:p>
        </w:tc>
        <w:tc>
          <w:tcPr>
            <w:tcW w:w="1224" w:type="dxa"/>
            <w:tcBorders>
              <w:top w:val="nil"/>
              <w:left w:val="nil"/>
              <w:bottom w:val="single" w:sz="4" w:space="0" w:color="auto"/>
              <w:right w:val="single" w:sz="4" w:space="0" w:color="auto"/>
            </w:tcBorders>
            <w:shd w:val="clear" w:color="auto" w:fill="auto"/>
            <w:noWrap/>
            <w:vAlign w:val="bottom"/>
            <w:hideMark/>
          </w:tcPr>
          <w:p w14:paraId="2BAC3158"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259" w:type="dxa"/>
            <w:tcBorders>
              <w:top w:val="nil"/>
              <w:left w:val="nil"/>
              <w:bottom w:val="single" w:sz="4" w:space="0" w:color="auto"/>
              <w:right w:val="single" w:sz="4" w:space="0" w:color="auto"/>
            </w:tcBorders>
            <w:shd w:val="clear" w:color="auto" w:fill="auto"/>
            <w:noWrap/>
            <w:vAlign w:val="bottom"/>
            <w:hideMark/>
          </w:tcPr>
          <w:p w14:paraId="07EDCF65"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67" w:type="dxa"/>
            <w:tcBorders>
              <w:top w:val="nil"/>
              <w:left w:val="nil"/>
              <w:bottom w:val="single" w:sz="4" w:space="0" w:color="auto"/>
              <w:right w:val="single" w:sz="4" w:space="0" w:color="auto"/>
            </w:tcBorders>
            <w:shd w:val="clear" w:color="auto" w:fill="auto"/>
            <w:noWrap/>
            <w:vAlign w:val="bottom"/>
            <w:hideMark/>
          </w:tcPr>
          <w:p w14:paraId="493A01AD"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22" w:type="dxa"/>
            <w:tcBorders>
              <w:top w:val="nil"/>
              <w:left w:val="nil"/>
              <w:bottom w:val="single" w:sz="4" w:space="0" w:color="auto"/>
              <w:right w:val="single" w:sz="4" w:space="0" w:color="auto"/>
            </w:tcBorders>
            <w:shd w:val="clear" w:color="auto" w:fill="auto"/>
            <w:noWrap/>
            <w:vAlign w:val="bottom"/>
            <w:hideMark/>
          </w:tcPr>
          <w:p w14:paraId="515F153A"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22" w:type="dxa"/>
            <w:tcBorders>
              <w:top w:val="nil"/>
              <w:left w:val="nil"/>
              <w:bottom w:val="single" w:sz="4" w:space="0" w:color="auto"/>
              <w:right w:val="single" w:sz="4" w:space="0" w:color="auto"/>
            </w:tcBorders>
            <w:shd w:val="clear" w:color="auto" w:fill="auto"/>
            <w:noWrap/>
            <w:vAlign w:val="bottom"/>
            <w:hideMark/>
          </w:tcPr>
          <w:p w14:paraId="47BE2192"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20,27</w:t>
            </w:r>
          </w:p>
        </w:tc>
        <w:tc>
          <w:tcPr>
            <w:tcW w:w="908" w:type="dxa"/>
            <w:tcBorders>
              <w:top w:val="nil"/>
              <w:left w:val="nil"/>
              <w:bottom w:val="single" w:sz="4" w:space="0" w:color="auto"/>
              <w:right w:val="single" w:sz="4" w:space="0" w:color="auto"/>
            </w:tcBorders>
            <w:shd w:val="clear" w:color="auto" w:fill="auto"/>
            <w:noWrap/>
            <w:vAlign w:val="bottom"/>
            <w:hideMark/>
          </w:tcPr>
          <w:p w14:paraId="641AAD29"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0,19</w:t>
            </w:r>
          </w:p>
        </w:tc>
      </w:tr>
      <w:tr w:rsidR="006F3067" w:rsidRPr="008860BA" w14:paraId="4FB8C4B6" w14:textId="77777777" w:rsidTr="006F3067">
        <w:trPr>
          <w:trHeight w:val="20"/>
        </w:trPr>
        <w:tc>
          <w:tcPr>
            <w:tcW w:w="3423" w:type="dxa"/>
            <w:tcBorders>
              <w:top w:val="nil"/>
              <w:left w:val="single" w:sz="4" w:space="0" w:color="auto"/>
              <w:bottom w:val="single" w:sz="4" w:space="0" w:color="auto"/>
              <w:right w:val="single" w:sz="4" w:space="0" w:color="auto"/>
            </w:tcBorders>
            <w:shd w:val="clear" w:color="auto" w:fill="auto"/>
            <w:hideMark/>
          </w:tcPr>
          <w:p w14:paraId="2519E32C" w14:textId="42AAFBBC" w:rsidR="006F3067" w:rsidRPr="008860BA" w:rsidRDefault="006F3067">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Comunica</w:t>
            </w:r>
            <w:r w:rsidR="00885EE0" w:rsidRPr="008860BA">
              <w:rPr>
                <w:rFonts w:asciiTheme="majorHAnsi" w:eastAsia="Times New Roman" w:hAnsiTheme="majorHAnsi" w:cstheme="majorHAnsi"/>
                <w:sz w:val="18"/>
                <w:szCs w:val="18"/>
                <w:lang w:val="ro-MD"/>
              </w:rPr>
              <w:t>ț</w:t>
            </w:r>
            <w:r w:rsidRPr="008860BA">
              <w:rPr>
                <w:rFonts w:asciiTheme="majorHAnsi" w:eastAsia="Times New Roman" w:hAnsiTheme="majorHAnsi" w:cstheme="majorHAnsi"/>
                <w:sz w:val="18"/>
                <w:szCs w:val="18"/>
                <w:lang w:val="ro-MD"/>
              </w:rPr>
              <w:t>ii</w:t>
            </w:r>
          </w:p>
        </w:tc>
        <w:tc>
          <w:tcPr>
            <w:tcW w:w="967" w:type="dxa"/>
            <w:tcBorders>
              <w:top w:val="nil"/>
              <w:left w:val="nil"/>
              <w:bottom w:val="single" w:sz="4" w:space="0" w:color="auto"/>
              <w:right w:val="single" w:sz="4" w:space="0" w:color="auto"/>
            </w:tcBorders>
            <w:shd w:val="clear" w:color="auto" w:fill="auto"/>
            <w:noWrap/>
            <w:vAlign w:val="bottom"/>
            <w:hideMark/>
          </w:tcPr>
          <w:p w14:paraId="6D2CCE26"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99" w:type="dxa"/>
            <w:tcBorders>
              <w:top w:val="nil"/>
              <w:left w:val="nil"/>
              <w:bottom w:val="single" w:sz="4" w:space="0" w:color="auto"/>
              <w:right w:val="single" w:sz="4" w:space="0" w:color="auto"/>
            </w:tcBorders>
            <w:shd w:val="clear" w:color="auto" w:fill="auto"/>
            <w:hideMark/>
          </w:tcPr>
          <w:p w14:paraId="6AED665D"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112,36</w:t>
            </w:r>
          </w:p>
        </w:tc>
        <w:tc>
          <w:tcPr>
            <w:tcW w:w="1195" w:type="dxa"/>
            <w:tcBorders>
              <w:top w:val="nil"/>
              <w:left w:val="nil"/>
              <w:bottom w:val="single" w:sz="4" w:space="0" w:color="auto"/>
              <w:right w:val="single" w:sz="4" w:space="0" w:color="auto"/>
            </w:tcBorders>
            <w:shd w:val="clear" w:color="auto" w:fill="auto"/>
            <w:noWrap/>
            <w:vAlign w:val="bottom"/>
            <w:hideMark/>
          </w:tcPr>
          <w:p w14:paraId="307CE09E"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112,36</w:t>
            </w:r>
          </w:p>
        </w:tc>
        <w:tc>
          <w:tcPr>
            <w:tcW w:w="1092" w:type="dxa"/>
            <w:tcBorders>
              <w:top w:val="nil"/>
              <w:left w:val="nil"/>
              <w:bottom w:val="single" w:sz="4" w:space="0" w:color="auto"/>
              <w:right w:val="single" w:sz="4" w:space="0" w:color="auto"/>
            </w:tcBorders>
            <w:shd w:val="clear" w:color="auto" w:fill="auto"/>
            <w:noWrap/>
            <w:vAlign w:val="bottom"/>
            <w:hideMark/>
          </w:tcPr>
          <w:p w14:paraId="41C1D75A"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58,47</w:t>
            </w:r>
          </w:p>
        </w:tc>
        <w:tc>
          <w:tcPr>
            <w:tcW w:w="1224" w:type="dxa"/>
            <w:tcBorders>
              <w:top w:val="nil"/>
              <w:left w:val="nil"/>
              <w:bottom w:val="single" w:sz="4" w:space="0" w:color="auto"/>
              <w:right w:val="single" w:sz="4" w:space="0" w:color="auto"/>
            </w:tcBorders>
            <w:shd w:val="clear" w:color="auto" w:fill="auto"/>
            <w:noWrap/>
            <w:vAlign w:val="bottom"/>
            <w:hideMark/>
          </w:tcPr>
          <w:p w14:paraId="446F7C40"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259" w:type="dxa"/>
            <w:tcBorders>
              <w:top w:val="nil"/>
              <w:left w:val="nil"/>
              <w:bottom w:val="single" w:sz="4" w:space="0" w:color="auto"/>
              <w:right w:val="single" w:sz="4" w:space="0" w:color="auto"/>
            </w:tcBorders>
            <w:shd w:val="clear" w:color="auto" w:fill="auto"/>
            <w:noWrap/>
            <w:vAlign w:val="bottom"/>
            <w:hideMark/>
          </w:tcPr>
          <w:p w14:paraId="03FE73F4"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67" w:type="dxa"/>
            <w:tcBorders>
              <w:top w:val="nil"/>
              <w:left w:val="nil"/>
              <w:bottom w:val="single" w:sz="4" w:space="0" w:color="auto"/>
              <w:right w:val="single" w:sz="4" w:space="0" w:color="auto"/>
            </w:tcBorders>
            <w:shd w:val="clear" w:color="auto" w:fill="auto"/>
            <w:noWrap/>
            <w:vAlign w:val="bottom"/>
            <w:hideMark/>
          </w:tcPr>
          <w:p w14:paraId="53B2FCCE"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9,26</w:t>
            </w:r>
          </w:p>
        </w:tc>
        <w:tc>
          <w:tcPr>
            <w:tcW w:w="822" w:type="dxa"/>
            <w:tcBorders>
              <w:top w:val="nil"/>
              <w:left w:val="nil"/>
              <w:bottom w:val="single" w:sz="4" w:space="0" w:color="auto"/>
              <w:right w:val="single" w:sz="4" w:space="0" w:color="auto"/>
            </w:tcBorders>
            <w:shd w:val="clear" w:color="auto" w:fill="auto"/>
            <w:noWrap/>
            <w:vAlign w:val="bottom"/>
            <w:hideMark/>
          </w:tcPr>
          <w:p w14:paraId="14994846"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22" w:type="dxa"/>
            <w:tcBorders>
              <w:top w:val="nil"/>
              <w:left w:val="nil"/>
              <w:bottom w:val="single" w:sz="4" w:space="0" w:color="auto"/>
              <w:right w:val="single" w:sz="4" w:space="0" w:color="auto"/>
            </w:tcBorders>
            <w:shd w:val="clear" w:color="auto" w:fill="auto"/>
            <w:noWrap/>
            <w:vAlign w:val="bottom"/>
            <w:hideMark/>
          </w:tcPr>
          <w:p w14:paraId="57766C50"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42,64</w:t>
            </w:r>
          </w:p>
        </w:tc>
        <w:tc>
          <w:tcPr>
            <w:tcW w:w="908" w:type="dxa"/>
            <w:tcBorders>
              <w:top w:val="nil"/>
              <w:left w:val="nil"/>
              <w:bottom w:val="single" w:sz="4" w:space="0" w:color="auto"/>
              <w:right w:val="single" w:sz="4" w:space="0" w:color="auto"/>
            </w:tcBorders>
            <w:shd w:val="clear" w:color="auto" w:fill="auto"/>
            <w:noWrap/>
            <w:vAlign w:val="bottom"/>
            <w:hideMark/>
          </w:tcPr>
          <w:p w14:paraId="75260C74"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2,00</w:t>
            </w:r>
          </w:p>
        </w:tc>
      </w:tr>
      <w:tr w:rsidR="006F3067" w:rsidRPr="008860BA" w14:paraId="05D120F3" w14:textId="77777777" w:rsidTr="006F3067">
        <w:trPr>
          <w:trHeight w:val="20"/>
        </w:trPr>
        <w:tc>
          <w:tcPr>
            <w:tcW w:w="3423" w:type="dxa"/>
            <w:tcBorders>
              <w:top w:val="nil"/>
              <w:left w:val="single" w:sz="4" w:space="0" w:color="auto"/>
              <w:bottom w:val="single" w:sz="4" w:space="0" w:color="auto"/>
              <w:right w:val="single" w:sz="4" w:space="0" w:color="auto"/>
            </w:tcBorders>
            <w:shd w:val="clear" w:color="auto" w:fill="auto"/>
            <w:hideMark/>
          </w:tcPr>
          <w:p w14:paraId="7E5F5CA5" w14:textId="34883D3B" w:rsidR="006F3067" w:rsidRPr="008860BA" w:rsidRDefault="006F3067">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Deplas</w:t>
            </w:r>
            <w:r w:rsidR="00885EE0" w:rsidRPr="008860BA">
              <w:rPr>
                <w:rFonts w:asciiTheme="majorHAnsi" w:eastAsia="Times New Roman" w:hAnsiTheme="majorHAnsi" w:cstheme="majorHAnsi"/>
                <w:sz w:val="18"/>
                <w:szCs w:val="18"/>
                <w:lang w:val="ro-MD"/>
              </w:rPr>
              <w:t>ă</w:t>
            </w:r>
            <w:r w:rsidRPr="008860BA">
              <w:rPr>
                <w:rFonts w:asciiTheme="majorHAnsi" w:eastAsia="Times New Roman" w:hAnsiTheme="majorHAnsi" w:cstheme="majorHAnsi"/>
                <w:sz w:val="18"/>
                <w:szCs w:val="18"/>
                <w:lang w:val="ro-MD"/>
              </w:rPr>
              <w:t>ri</w:t>
            </w:r>
          </w:p>
        </w:tc>
        <w:tc>
          <w:tcPr>
            <w:tcW w:w="967" w:type="dxa"/>
            <w:tcBorders>
              <w:top w:val="nil"/>
              <w:left w:val="nil"/>
              <w:bottom w:val="single" w:sz="4" w:space="0" w:color="auto"/>
              <w:right w:val="single" w:sz="4" w:space="0" w:color="auto"/>
            </w:tcBorders>
            <w:shd w:val="clear" w:color="auto" w:fill="auto"/>
            <w:noWrap/>
            <w:vAlign w:val="bottom"/>
            <w:hideMark/>
          </w:tcPr>
          <w:p w14:paraId="2B7220AD"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99" w:type="dxa"/>
            <w:tcBorders>
              <w:top w:val="nil"/>
              <w:left w:val="nil"/>
              <w:bottom w:val="single" w:sz="4" w:space="0" w:color="auto"/>
              <w:right w:val="single" w:sz="4" w:space="0" w:color="auto"/>
            </w:tcBorders>
            <w:shd w:val="clear" w:color="auto" w:fill="auto"/>
            <w:hideMark/>
          </w:tcPr>
          <w:p w14:paraId="545C54B4"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1195" w:type="dxa"/>
            <w:tcBorders>
              <w:top w:val="nil"/>
              <w:left w:val="nil"/>
              <w:bottom w:val="single" w:sz="4" w:space="0" w:color="auto"/>
              <w:right w:val="single" w:sz="4" w:space="0" w:color="auto"/>
            </w:tcBorders>
            <w:shd w:val="clear" w:color="auto" w:fill="auto"/>
            <w:noWrap/>
            <w:vAlign w:val="bottom"/>
            <w:hideMark/>
          </w:tcPr>
          <w:p w14:paraId="752A5EA5"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92" w:type="dxa"/>
            <w:tcBorders>
              <w:top w:val="nil"/>
              <w:left w:val="nil"/>
              <w:bottom w:val="single" w:sz="4" w:space="0" w:color="auto"/>
              <w:right w:val="single" w:sz="4" w:space="0" w:color="auto"/>
            </w:tcBorders>
            <w:shd w:val="clear" w:color="auto" w:fill="auto"/>
            <w:hideMark/>
          </w:tcPr>
          <w:p w14:paraId="757DD74D"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1224" w:type="dxa"/>
            <w:tcBorders>
              <w:top w:val="nil"/>
              <w:left w:val="nil"/>
              <w:bottom w:val="single" w:sz="4" w:space="0" w:color="auto"/>
              <w:right w:val="single" w:sz="4" w:space="0" w:color="auto"/>
            </w:tcBorders>
            <w:shd w:val="clear" w:color="auto" w:fill="auto"/>
            <w:noWrap/>
            <w:vAlign w:val="bottom"/>
            <w:hideMark/>
          </w:tcPr>
          <w:p w14:paraId="77B98C72"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259" w:type="dxa"/>
            <w:tcBorders>
              <w:top w:val="nil"/>
              <w:left w:val="nil"/>
              <w:bottom w:val="single" w:sz="4" w:space="0" w:color="auto"/>
              <w:right w:val="single" w:sz="4" w:space="0" w:color="auto"/>
            </w:tcBorders>
            <w:shd w:val="clear" w:color="auto" w:fill="auto"/>
            <w:noWrap/>
            <w:vAlign w:val="bottom"/>
            <w:hideMark/>
          </w:tcPr>
          <w:p w14:paraId="244DEBC6"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67" w:type="dxa"/>
            <w:tcBorders>
              <w:top w:val="nil"/>
              <w:left w:val="nil"/>
              <w:bottom w:val="single" w:sz="4" w:space="0" w:color="auto"/>
              <w:right w:val="single" w:sz="4" w:space="0" w:color="auto"/>
            </w:tcBorders>
            <w:shd w:val="clear" w:color="auto" w:fill="auto"/>
            <w:hideMark/>
          </w:tcPr>
          <w:p w14:paraId="5C5AD63B"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822" w:type="dxa"/>
            <w:tcBorders>
              <w:top w:val="nil"/>
              <w:left w:val="nil"/>
              <w:bottom w:val="single" w:sz="4" w:space="0" w:color="auto"/>
              <w:right w:val="single" w:sz="4" w:space="0" w:color="auto"/>
            </w:tcBorders>
            <w:shd w:val="clear" w:color="auto" w:fill="auto"/>
            <w:noWrap/>
            <w:vAlign w:val="bottom"/>
            <w:hideMark/>
          </w:tcPr>
          <w:p w14:paraId="23D98454"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22" w:type="dxa"/>
            <w:tcBorders>
              <w:top w:val="nil"/>
              <w:left w:val="nil"/>
              <w:bottom w:val="single" w:sz="4" w:space="0" w:color="auto"/>
              <w:right w:val="single" w:sz="4" w:space="0" w:color="auto"/>
            </w:tcBorders>
            <w:shd w:val="clear" w:color="auto" w:fill="auto"/>
            <w:noWrap/>
            <w:vAlign w:val="bottom"/>
            <w:hideMark/>
          </w:tcPr>
          <w:p w14:paraId="6AB65DC2"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908" w:type="dxa"/>
            <w:tcBorders>
              <w:top w:val="nil"/>
              <w:left w:val="nil"/>
              <w:bottom w:val="single" w:sz="4" w:space="0" w:color="auto"/>
              <w:right w:val="single" w:sz="4" w:space="0" w:color="auto"/>
            </w:tcBorders>
            <w:shd w:val="clear" w:color="auto" w:fill="auto"/>
            <w:noWrap/>
            <w:vAlign w:val="bottom"/>
            <w:hideMark/>
          </w:tcPr>
          <w:p w14:paraId="7137D41C"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r>
      <w:tr w:rsidR="006F3067" w:rsidRPr="008860BA" w14:paraId="15D55114" w14:textId="77777777" w:rsidTr="006F3067">
        <w:trPr>
          <w:trHeight w:val="20"/>
        </w:trPr>
        <w:tc>
          <w:tcPr>
            <w:tcW w:w="3423" w:type="dxa"/>
            <w:tcBorders>
              <w:top w:val="nil"/>
              <w:left w:val="single" w:sz="4" w:space="0" w:color="auto"/>
              <w:bottom w:val="single" w:sz="4" w:space="0" w:color="auto"/>
              <w:right w:val="single" w:sz="4" w:space="0" w:color="auto"/>
            </w:tcBorders>
            <w:shd w:val="clear" w:color="auto" w:fill="auto"/>
            <w:hideMark/>
          </w:tcPr>
          <w:p w14:paraId="42E9B79C" w14:textId="77FAFF83" w:rsidR="006F3067" w:rsidRPr="008860BA" w:rsidRDefault="006F3067" w:rsidP="00332FF7">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Detergen</w:t>
            </w:r>
            <w:r w:rsidR="00B13B9A" w:rsidRPr="008860BA">
              <w:rPr>
                <w:rFonts w:asciiTheme="majorHAnsi" w:eastAsia="Times New Roman" w:hAnsiTheme="majorHAnsi" w:cstheme="majorHAnsi"/>
                <w:sz w:val="18"/>
                <w:szCs w:val="18"/>
                <w:lang w:val="ro-MD"/>
              </w:rPr>
              <w:t>ț</w:t>
            </w:r>
            <w:r w:rsidRPr="008860BA">
              <w:rPr>
                <w:rFonts w:asciiTheme="majorHAnsi" w:eastAsia="Times New Roman" w:hAnsiTheme="majorHAnsi" w:cstheme="majorHAnsi"/>
                <w:sz w:val="18"/>
                <w:szCs w:val="18"/>
                <w:lang w:val="ro-MD"/>
              </w:rPr>
              <w:t>i</w:t>
            </w:r>
          </w:p>
        </w:tc>
        <w:tc>
          <w:tcPr>
            <w:tcW w:w="967" w:type="dxa"/>
            <w:tcBorders>
              <w:top w:val="nil"/>
              <w:left w:val="nil"/>
              <w:bottom w:val="single" w:sz="4" w:space="0" w:color="auto"/>
              <w:right w:val="single" w:sz="4" w:space="0" w:color="auto"/>
            </w:tcBorders>
            <w:shd w:val="clear" w:color="auto" w:fill="auto"/>
            <w:noWrap/>
            <w:vAlign w:val="bottom"/>
            <w:hideMark/>
          </w:tcPr>
          <w:p w14:paraId="1B35B164"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99" w:type="dxa"/>
            <w:tcBorders>
              <w:top w:val="nil"/>
              <w:left w:val="nil"/>
              <w:bottom w:val="single" w:sz="4" w:space="0" w:color="auto"/>
              <w:right w:val="single" w:sz="4" w:space="0" w:color="auto"/>
            </w:tcBorders>
            <w:shd w:val="clear" w:color="auto" w:fill="auto"/>
            <w:hideMark/>
          </w:tcPr>
          <w:p w14:paraId="75E31B5F"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57,06</w:t>
            </w:r>
          </w:p>
        </w:tc>
        <w:tc>
          <w:tcPr>
            <w:tcW w:w="1195" w:type="dxa"/>
            <w:tcBorders>
              <w:top w:val="nil"/>
              <w:left w:val="nil"/>
              <w:bottom w:val="single" w:sz="4" w:space="0" w:color="auto"/>
              <w:right w:val="single" w:sz="4" w:space="0" w:color="auto"/>
            </w:tcBorders>
            <w:shd w:val="clear" w:color="auto" w:fill="auto"/>
            <w:noWrap/>
            <w:vAlign w:val="bottom"/>
            <w:hideMark/>
          </w:tcPr>
          <w:p w14:paraId="249E07BF"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57,06</w:t>
            </w:r>
          </w:p>
        </w:tc>
        <w:tc>
          <w:tcPr>
            <w:tcW w:w="1092" w:type="dxa"/>
            <w:tcBorders>
              <w:top w:val="nil"/>
              <w:left w:val="nil"/>
              <w:bottom w:val="single" w:sz="4" w:space="0" w:color="auto"/>
              <w:right w:val="single" w:sz="4" w:space="0" w:color="auto"/>
            </w:tcBorders>
            <w:shd w:val="clear" w:color="auto" w:fill="auto"/>
            <w:noWrap/>
            <w:vAlign w:val="bottom"/>
            <w:hideMark/>
          </w:tcPr>
          <w:p w14:paraId="5D9BE428"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46,43</w:t>
            </w:r>
          </w:p>
        </w:tc>
        <w:tc>
          <w:tcPr>
            <w:tcW w:w="1224" w:type="dxa"/>
            <w:tcBorders>
              <w:top w:val="nil"/>
              <w:left w:val="nil"/>
              <w:bottom w:val="single" w:sz="4" w:space="0" w:color="auto"/>
              <w:right w:val="single" w:sz="4" w:space="0" w:color="auto"/>
            </w:tcBorders>
            <w:shd w:val="clear" w:color="auto" w:fill="auto"/>
            <w:noWrap/>
            <w:vAlign w:val="bottom"/>
            <w:hideMark/>
          </w:tcPr>
          <w:p w14:paraId="408CAE18"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259" w:type="dxa"/>
            <w:tcBorders>
              <w:top w:val="nil"/>
              <w:left w:val="nil"/>
              <w:bottom w:val="single" w:sz="4" w:space="0" w:color="auto"/>
              <w:right w:val="single" w:sz="4" w:space="0" w:color="auto"/>
            </w:tcBorders>
            <w:shd w:val="clear" w:color="auto" w:fill="auto"/>
            <w:noWrap/>
            <w:vAlign w:val="bottom"/>
            <w:hideMark/>
          </w:tcPr>
          <w:p w14:paraId="6FFFA735"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67" w:type="dxa"/>
            <w:tcBorders>
              <w:top w:val="nil"/>
              <w:left w:val="nil"/>
              <w:bottom w:val="single" w:sz="4" w:space="0" w:color="auto"/>
              <w:right w:val="single" w:sz="4" w:space="0" w:color="auto"/>
            </w:tcBorders>
            <w:shd w:val="clear" w:color="auto" w:fill="auto"/>
            <w:noWrap/>
            <w:vAlign w:val="bottom"/>
            <w:hideMark/>
          </w:tcPr>
          <w:p w14:paraId="3DBE89F3"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10,63</w:t>
            </w:r>
          </w:p>
        </w:tc>
        <w:tc>
          <w:tcPr>
            <w:tcW w:w="822" w:type="dxa"/>
            <w:tcBorders>
              <w:top w:val="nil"/>
              <w:left w:val="nil"/>
              <w:bottom w:val="single" w:sz="4" w:space="0" w:color="auto"/>
              <w:right w:val="single" w:sz="4" w:space="0" w:color="auto"/>
            </w:tcBorders>
            <w:shd w:val="clear" w:color="auto" w:fill="auto"/>
            <w:noWrap/>
            <w:vAlign w:val="bottom"/>
            <w:hideMark/>
          </w:tcPr>
          <w:p w14:paraId="51BF061E"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22" w:type="dxa"/>
            <w:tcBorders>
              <w:top w:val="nil"/>
              <w:left w:val="nil"/>
              <w:bottom w:val="single" w:sz="4" w:space="0" w:color="auto"/>
              <w:right w:val="single" w:sz="4" w:space="0" w:color="auto"/>
            </w:tcBorders>
            <w:shd w:val="clear" w:color="auto" w:fill="auto"/>
            <w:noWrap/>
            <w:vAlign w:val="bottom"/>
            <w:hideMark/>
          </w:tcPr>
          <w:p w14:paraId="285A9ABF"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908" w:type="dxa"/>
            <w:tcBorders>
              <w:top w:val="nil"/>
              <w:left w:val="nil"/>
              <w:bottom w:val="single" w:sz="4" w:space="0" w:color="auto"/>
              <w:right w:val="single" w:sz="4" w:space="0" w:color="auto"/>
            </w:tcBorders>
            <w:shd w:val="clear" w:color="auto" w:fill="auto"/>
            <w:hideMark/>
          </w:tcPr>
          <w:p w14:paraId="36EF4FCE"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r>
      <w:tr w:rsidR="006F3067" w:rsidRPr="008860BA" w14:paraId="0D63314F" w14:textId="77777777" w:rsidTr="006F3067">
        <w:trPr>
          <w:trHeight w:val="20"/>
        </w:trPr>
        <w:tc>
          <w:tcPr>
            <w:tcW w:w="3423" w:type="dxa"/>
            <w:tcBorders>
              <w:top w:val="nil"/>
              <w:left w:val="single" w:sz="4" w:space="0" w:color="auto"/>
              <w:bottom w:val="single" w:sz="4" w:space="0" w:color="auto"/>
              <w:right w:val="single" w:sz="4" w:space="0" w:color="auto"/>
            </w:tcBorders>
            <w:shd w:val="clear" w:color="auto" w:fill="auto"/>
            <w:hideMark/>
          </w:tcPr>
          <w:p w14:paraId="33942B6E" w14:textId="69A1C36B" w:rsidR="006F3067" w:rsidRPr="008860BA" w:rsidRDefault="006F3067" w:rsidP="00332FF7">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Energie electric</w:t>
            </w:r>
            <w:r w:rsidR="00885EE0" w:rsidRPr="008860BA">
              <w:rPr>
                <w:rFonts w:asciiTheme="majorHAnsi" w:eastAsia="Times New Roman" w:hAnsiTheme="majorHAnsi" w:cstheme="majorHAnsi"/>
                <w:sz w:val="18"/>
                <w:szCs w:val="18"/>
                <w:lang w:val="ro-MD"/>
              </w:rPr>
              <w:t>ă</w:t>
            </w:r>
          </w:p>
        </w:tc>
        <w:tc>
          <w:tcPr>
            <w:tcW w:w="967" w:type="dxa"/>
            <w:tcBorders>
              <w:top w:val="nil"/>
              <w:left w:val="nil"/>
              <w:bottom w:val="single" w:sz="4" w:space="0" w:color="auto"/>
              <w:right w:val="single" w:sz="4" w:space="0" w:color="auto"/>
            </w:tcBorders>
            <w:shd w:val="clear" w:color="auto" w:fill="auto"/>
            <w:noWrap/>
            <w:vAlign w:val="bottom"/>
            <w:hideMark/>
          </w:tcPr>
          <w:p w14:paraId="5652F985"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99" w:type="dxa"/>
            <w:tcBorders>
              <w:top w:val="nil"/>
              <w:left w:val="nil"/>
              <w:bottom w:val="single" w:sz="4" w:space="0" w:color="auto"/>
              <w:right w:val="single" w:sz="4" w:space="0" w:color="auto"/>
            </w:tcBorders>
            <w:shd w:val="clear" w:color="auto" w:fill="auto"/>
            <w:hideMark/>
          </w:tcPr>
          <w:p w14:paraId="483B45FF"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2.203,15</w:t>
            </w:r>
          </w:p>
        </w:tc>
        <w:tc>
          <w:tcPr>
            <w:tcW w:w="1195" w:type="dxa"/>
            <w:tcBorders>
              <w:top w:val="nil"/>
              <w:left w:val="nil"/>
              <w:bottom w:val="single" w:sz="4" w:space="0" w:color="auto"/>
              <w:right w:val="single" w:sz="4" w:space="0" w:color="auto"/>
            </w:tcBorders>
            <w:shd w:val="clear" w:color="auto" w:fill="auto"/>
            <w:noWrap/>
            <w:vAlign w:val="bottom"/>
            <w:hideMark/>
          </w:tcPr>
          <w:p w14:paraId="24F929F2"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2.203,15</w:t>
            </w:r>
          </w:p>
        </w:tc>
        <w:tc>
          <w:tcPr>
            <w:tcW w:w="1092" w:type="dxa"/>
            <w:tcBorders>
              <w:top w:val="nil"/>
              <w:left w:val="nil"/>
              <w:bottom w:val="single" w:sz="4" w:space="0" w:color="auto"/>
              <w:right w:val="single" w:sz="4" w:space="0" w:color="auto"/>
            </w:tcBorders>
            <w:shd w:val="clear" w:color="auto" w:fill="auto"/>
            <w:noWrap/>
            <w:vAlign w:val="bottom"/>
            <w:hideMark/>
          </w:tcPr>
          <w:p w14:paraId="05CAE862"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1.711,22</w:t>
            </w:r>
          </w:p>
        </w:tc>
        <w:tc>
          <w:tcPr>
            <w:tcW w:w="1224" w:type="dxa"/>
            <w:tcBorders>
              <w:top w:val="nil"/>
              <w:left w:val="nil"/>
              <w:bottom w:val="single" w:sz="4" w:space="0" w:color="auto"/>
              <w:right w:val="single" w:sz="4" w:space="0" w:color="auto"/>
            </w:tcBorders>
            <w:shd w:val="clear" w:color="auto" w:fill="auto"/>
            <w:noWrap/>
            <w:vAlign w:val="bottom"/>
            <w:hideMark/>
          </w:tcPr>
          <w:p w14:paraId="5441A54F"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259" w:type="dxa"/>
            <w:tcBorders>
              <w:top w:val="nil"/>
              <w:left w:val="nil"/>
              <w:bottom w:val="single" w:sz="4" w:space="0" w:color="auto"/>
              <w:right w:val="single" w:sz="4" w:space="0" w:color="auto"/>
            </w:tcBorders>
            <w:shd w:val="clear" w:color="auto" w:fill="auto"/>
            <w:noWrap/>
            <w:vAlign w:val="bottom"/>
            <w:hideMark/>
          </w:tcPr>
          <w:p w14:paraId="756F99E5"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67" w:type="dxa"/>
            <w:tcBorders>
              <w:top w:val="nil"/>
              <w:left w:val="nil"/>
              <w:bottom w:val="single" w:sz="4" w:space="0" w:color="auto"/>
              <w:right w:val="single" w:sz="4" w:space="0" w:color="auto"/>
            </w:tcBorders>
            <w:shd w:val="clear" w:color="auto" w:fill="auto"/>
            <w:noWrap/>
            <w:vAlign w:val="bottom"/>
            <w:hideMark/>
          </w:tcPr>
          <w:p w14:paraId="556FC9FF"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491,94</w:t>
            </w:r>
          </w:p>
        </w:tc>
        <w:tc>
          <w:tcPr>
            <w:tcW w:w="822" w:type="dxa"/>
            <w:tcBorders>
              <w:top w:val="nil"/>
              <w:left w:val="nil"/>
              <w:bottom w:val="single" w:sz="4" w:space="0" w:color="auto"/>
              <w:right w:val="single" w:sz="4" w:space="0" w:color="auto"/>
            </w:tcBorders>
            <w:shd w:val="clear" w:color="auto" w:fill="auto"/>
            <w:noWrap/>
            <w:vAlign w:val="bottom"/>
            <w:hideMark/>
          </w:tcPr>
          <w:p w14:paraId="3CA51361"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22" w:type="dxa"/>
            <w:tcBorders>
              <w:top w:val="nil"/>
              <w:left w:val="nil"/>
              <w:bottom w:val="single" w:sz="4" w:space="0" w:color="auto"/>
              <w:right w:val="single" w:sz="4" w:space="0" w:color="auto"/>
            </w:tcBorders>
            <w:shd w:val="clear" w:color="auto" w:fill="auto"/>
            <w:noWrap/>
            <w:vAlign w:val="bottom"/>
            <w:hideMark/>
          </w:tcPr>
          <w:p w14:paraId="23E53E9E"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908" w:type="dxa"/>
            <w:tcBorders>
              <w:top w:val="nil"/>
              <w:left w:val="nil"/>
              <w:bottom w:val="single" w:sz="4" w:space="0" w:color="auto"/>
              <w:right w:val="single" w:sz="4" w:space="0" w:color="auto"/>
            </w:tcBorders>
            <w:shd w:val="clear" w:color="auto" w:fill="auto"/>
            <w:hideMark/>
          </w:tcPr>
          <w:p w14:paraId="2C9FE6BA"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r>
      <w:tr w:rsidR="006F3067" w:rsidRPr="008860BA" w14:paraId="2F8982AA" w14:textId="77777777" w:rsidTr="006F3067">
        <w:trPr>
          <w:trHeight w:val="20"/>
        </w:trPr>
        <w:tc>
          <w:tcPr>
            <w:tcW w:w="3423" w:type="dxa"/>
            <w:tcBorders>
              <w:top w:val="nil"/>
              <w:left w:val="single" w:sz="4" w:space="0" w:color="auto"/>
              <w:bottom w:val="single" w:sz="4" w:space="0" w:color="auto"/>
              <w:right w:val="single" w:sz="4" w:space="0" w:color="auto"/>
            </w:tcBorders>
            <w:shd w:val="clear" w:color="auto" w:fill="auto"/>
            <w:hideMark/>
          </w:tcPr>
          <w:p w14:paraId="31675EF8" w14:textId="7DD2C88B" w:rsidR="006F3067" w:rsidRPr="008860BA" w:rsidRDefault="006F3067" w:rsidP="00332FF7">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Energie termic</w:t>
            </w:r>
            <w:r w:rsidR="00885EE0" w:rsidRPr="008860BA">
              <w:rPr>
                <w:rFonts w:asciiTheme="majorHAnsi" w:eastAsia="Times New Roman" w:hAnsiTheme="majorHAnsi" w:cstheme="majorHAnsi"/>
                <w:sz w:val="18"/>
                <w:szCs w:val="18"/>
                <w:lang w:val="ro-MD"/>
              </w:rPr>
              <w:t>ă</w:t>
            </w:r>
          </w:p>
        </w:tc>
        <w:tc>
          <w:tcPr>
            <w:tcW w:w="967" w:type="dxa"/>
            <w:tcBorders>
              <w:top w:val="nil"/>
              <w:left w:val="nil"/>
              <w:bottom w:val="single" w:sz="4" w:space="0" w:color="auto"/>
              <w:right w:val="single" w:sz="4" w:space="0" w:color="auto"/>
            </w:tcBorders>
            <w:shd w:val="clear" w:color="auto" w:fill="auto"/>
            <w:noWrap/>
            <w:vAlign w:val="bottom"/>
            <w:hideMark/>
          </w:tcPr>
          <w:p w14:paraId="65B31D91"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99" w:type="dxa"/>
            <w:tcBorders>
              <w:top w:val="nil"/>
              <w:left w:val="nil"/>
              <w:bottom w:val="single" w:sz="4" w:space="0" w:color="auto"/>
              <w:right w:val="single" w:sz="4" w:space="0" w:color="auto"/>
            </w:tcBorders>
            <w:shd w:val="clear" w:color="auto" w:fill="auto"/>
            <w:hideMark/>
          </w:tcPr>
          <w:p w14:paraId="23823CD6"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2.686,51</w:t>
            </w:r>
          </w:p>
        </w:tc>
        <w:tc>
          <w:tcPr>
            <w:tcW w:w="1195" w:type="dxa"/>
            <w:tcBorders>
              <w:top w:val="nil"/>
              <w:left w:val="nil"/>
              <w:bottom w:val="single" w:sz="4" w:space="0" w:color="auto"/>
              <w:right w:val="single" w:sz="4" w:space="0" w:color="auto"/>
            </w:tcBorders>
            <w:shd w:val="clear" w:color="auto" w:fill="auto"/>
            <w:noWrap/>
            <w:vAlign w:val="bottom"/>
            <w:hideMark/>
          </w:tcPr>
          <w:p w14:paraId="5664AC91"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2.686,51</w:t>
            </w:r>
          </w:p>
        </w:tc>
        <w:tc>
          <w:tcPr>
            <w:tcW w:w="1092" w:type="dxa"/>
            <w:tcBorders>
              <w:top w:val="nil"/>
              <w:left w:val="nil"/>
              <w:bottom w:val="single" w:sz="4" w:space="0" w:color="auto"/>
              <w:right w:val="single" w:sz="4" w:space="0" w:color="auto"/>
            </w:tcBorders>
            <w:shd w:val="clear" w:color="auto" w:fill="auto"/>
            <w:noWrap/>
            <w:vAlign w:val="bottom"/>
            <w:hideMark/>
          </w:tcPr>
          <w:p w14:paraId="6F3D13CF"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1.901,27</w:t>
            </w:r>
          </w:p>
        </w:tc>
        <w:tc>
          <w:tcPr>
            <w:tcW w:w="1224" w:type="dxa"/>
            <w:tcBorders>
              <w:top w:val="nil"/>
              <w:left w:val="nil"/>
              <w:bottom w:val="single" w:sz="4" w:space="0" w:color="auto"/>
              <w:right w:val="single" w:sz="4" w:space="0" w:color="auto"/>
            </w:tcBorders>
            <w:shd w:val="clear" w:color="auto" w:fill="auto"/>
            <w:noWrap/>
            <w:vAlign w:val="bottom"/>
            <w:hideMark/>
          </w:tcPr>
          <w:p w14:paraId="152DE3F0"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259" w:type="dxa"/>
            <w:tcBorders>
              <w:top w:val="nil"/>
              <w:left w:val="nil"/>
              <w:bottom w:val="single" w:sz="4" w:space="0" w:color="auto"/>
              <w:right w:val="single" w:sz="4" w:space="0" w:color="auto"/>
            </w:tcBorders>
            <w:shd w:val="clear" w:color="auto" w:fill="auto"/>
            <w:noWrap/>
            <w:vAlign w:val="bottom"/>
            <w:hideMark/>
          </w:tcPr>
          <w:p w14:paraId="1C8E2BDB"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67" w:type="dxa"/>
            <w:tcBorders>
              <w:top w:val="nil"/>
              <w:left w:val="nil"/>
              <w:bottom w:val="single" w:sz="4" w:space="0" w:color="auto"/>
              <w:right w:val="single" w:sz="4" w:space="0" w:color="auto"/>
            </w:tcBorders>
            <w:shd w:val="clear" w:color="auto" w:fill="auto"/>
            <w:noWrap/>
            <w:vAlign w:val="bottom"/>
            <w:hideMark/>
          </w:tcPr>
          <w:p w14:paraId="153536D8"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785,24</w:t>
            </w:r>
          </w:p>
        </w:tc>
        <w:tc>
          <w:tcPr>
            <w:tcW w:w="822" w:type="dxa"/>
            <w:tcBorders>
              <w:top w:val="nil"/>
              <w:left w:val="nil"/>
              <w:bottom w:val="single" w:sz="4" w:space="0" w:color="auto"/>
              <w:right w:val="single" w:sz="4" w:space="0" w:color="auto"/>
            </w:tcBorders>
            <w:shd w:val="clear" w:color="auto" w:fill="auto"/>
            <w:noWrap/>
            <w:vAlign w:val="bottom"/>
            <w:hideMark/>
          </w:tcPr>
          <w:p w14:paraId="3585BE7B"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22" w:type="dxa"/>
            <w:tcBorders>
              <w:top w:val="nil"/>
              <w:left w:val="nil"/>
              <w:bottom w:val="single" w:sz="4" w:space="0" w:color="auto"/>
              <w:right w:val="single" w:sz="4" w:space="0" w:color="auto"/>
            </w:tcBorders>
            <w:shd w:val="clear" w:color="auto" w:fill="auto"/>
            <w:noWrap/>
            <w:vAlign w:val="bottom"/>
            <w:hideMark/>
          </w:tcPr>
          <w:p w14:paraId="66E94F7F"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908" w:type="dxa"/>
            <w:tcBorders>
              <w:top w:val="nil"/>
              <w:left w:val="nil"/>
              <w:bottom w:val="single" w:sz="4" w:space="0" w:color="auto"/>
              <w:right w:val="single" w:sz="4" w:space="0" w:color="auto"/>
            </w:tcBorders>
            <w:shd w:val="clear" w:color="auto" w:fill="auto"/>
            <w:hideMark/>
          </w:tcPr>
          <w:p w14:paraId="1F9B9AAC"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r>
      <w:tr w:rsidR="006F3067" w:rsidRPr="008860BA" w14:paraId="085CB87E" w14:textId="77777777" w:rsidTr="006F3067">
        <w:trPr>
          <w:trHeight w:val="20"/>
        </w:trPr>
        <w:tc>
          <w:tcPr>
            <w:tcW w:w="3423" w:type="dxa"/>
            <w:tcBorders>
              <w:top w:val="nil"/>
              <w:left w:val="single" w:sz="4" w:space="0" w:color="auto"/>
              <w:bottom w:val="single" w:sz="4" w:space="0" w:color="auto"/>
              <w:right w:val="single" w:sz="4" w:space="0" w:color="auto"/>
            </w:tcBorders>
            <w:shd w:val="clear" w:color="auto" w:fill="auto"/>
            <w:hideMark/>
          </w:tcPr>
          <w:p w14:paraId="496686DA" w14:textId="1AA3A120" w:rsidR="006F3067" w:rsidRPr="008860BA" w:rsidRDefault="006F3067">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Fondul social (24%)</w:t>
            </w:r>
          </w:p>
        </w:tc>
        <w:tc>
          <w:tcPr>
            <w:tcW w:w="967" w:type="dxa"/>
            <w:tcBorders>
              <w:top w:val="nil"/>
              <w:left w:val="nil"/>
              <w:bottom w:val="single" w:sz="4" w:space="0" w:color="auto"/>
              <w:right w:val="single" w:sz="4" w:space="0" w:color="auto"/>
            </w:tcBorders>
            <w:shd w:val="clear" w:color="auto" w:fill="auto"/>
            <w:noWrap/>
            <w:vAlign w:val="bottom"/>
            <w:hideMark/>
          </w:tcPr>
          <w:p w14:paraId="7D5043E4"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99" w:type="dxa"/>
            <w:tcBorders>
              <w:top w:val="nil"/>
              <w:left w:val="nil"/>
              <w:bottom w:val="single" w:sz="4" w:space="0" w:color="auto"/>
              <w:right w:val="single" w:sz="4" w:space="0" w:color="auto"/>
            </w:tcBorders>
            <w:shd w:val="clear" w:color="auto" w:fill="auto"/>
            <w:hideMark/>
          </w:tcPr>
          <w:p w14:paraId="0B4974D9"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8.597,76</w:t>
            </w:r>
          </w:p>
        </w:tc>
        <w:tc>
          <w:tcPr>
            <w:tcW w:w="1195" w:type="dxa"/>
            <w:tcBorders>
              <w:top w:val="nil"/>
              <w:left w:val="nil"/>
              <w:bottom w:val="single" w:sz="4" w:space="0" w:color="auto"/>
              <w:right w:val="single" w:sz="4" w:space="0" w:color="auto"/>
            </w:tcBorders>
            <w:shd w:val="clear" w:color="auto" w:fill="auto"/>
            <w:noWrap/>
            <w:vAlign w:val="bottom"/>
            <w:hideMark/>
          </w:tcPr>
          <w:p w14:paraId="1C14556B"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8.597,76</w:t>
            </w:r>
          </w:p>
        </w:tc>
        <w:tc>
          <w:tcPr>
            <w:tcW w:w="1092" w:type="dxa"/>
            <w:tcBorders>
              <w:top w:val="nil"/>
              <w:left w:val="nil"/>
              <w:bottom w:val="single" w:sz="4" w:space="0" w:color="auto"/>
              <w:right w:val="single" w:sz="4" w:space="0" w:color="auto"/>
            </w:tcBorders>
            <w:shd w:val="clear" w:color="auto" w:fill="auto"/>
            <w:noWrap/>
            <w:vAlign w:val="bottom"/>
            <w:hideMark/>
          </w:tcPr>
          <w:p w14:paraId="531DA045"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6.411,51</w:t>
            </w:r>
          </w:p>
        </w:tc>
        <w:tc>
          <w:tcPr>
            <w:tcW w:w="1224" w:type="dxa"/>
            <w:tcBorders>
              <w:top w:val="nil"/>
              <w:left w:val="nil"/>
              <w:bottom w:val="single" w:sz="4" w:space="0" w:color="auto"/>
              <w:right w:val="single" w:sz="4" w:space="0" w:color="auto"/>
            </w:tcBorders>
            <w:shd w:val="clear" w:color="auto" w:fill="auto"/>
            <w:noWrap/>
            <w:vAlign w:val="bottom"/>
            <w:hideMark/>
          </w:tcPr>
          <w:p w14:paraId="329A4BF6"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32,77</w:t>
            </w:r>
          </w:p>
        </w:tc>
        <w:tc>
          <w:tcPr>
            <w:tcW w:w="1259" w:type="dxa"/>
            <w:tcBorders>
              <w:top w:val="nil"/>
              <w:left w:val="nil"/>
              <w:bottom w:val="single" w:sz="4" w:space="0" w:color="auto"/>
              <w:right w:val="single" w:sz="4" w:space="0" w:color="auto"/>
            </w:tcBorders>
            <w:shd w:val="clear" w:color="auto" w:fill="auto"/>
            <w:noWrap/>
            <w:vAlign w:val="bottom"/>
            <w:hideMark/>
          </w:tcPr>
          <w:p w14:paraId="6460EE7D"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67" w:type="dxa"/>
            <w:tcBorders>
              <w:top w:val="nil"/>
              <w:left w:val="nil"/>
              <w:bottom w:val="single" w:sz="4" w:space="0" w:color="auto"/>
              <w:right w:val="single" w:sz="4" w:space="0" w:color="auto"/>
            </w:tcBorders>
            <w:shd w:val="clear" w:color="auto" w:fill="auto"/>
            <w:noWrap/>
            <w:vAlign w:val="bottom"/>
            <w:hideMark/>
          </w:tcPr>
          <w:p w14:paraId="75AA0E3E"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1.447,50</w:t>
            </w:r>
          </w:p>
        </w:tc>
        <w:tc>
          <w:tcPr>
            <w:tcW w:w="822" w:type="dxa"/>
            <w:tcBorders>
              <w:top w:val="nil"/>
              <w:left w:val="nil"/>
              <w:bottom w:val="single" w:sz="4" w:space="0" w:color="auto"/>
              <w:right w:val="single" w:sz="4" w:space="0" w:color="auto"/>
            </w:tcBorders>
            <w:shd w:val="clear" w:color="auto" w:fill="auto"/>
            <w:noWrap/>
            <w:vAlign w:val="bottom"/>
            <w:hideMark/>
          </w:tcPr>
          <w:p w14:paraId="17F162C0"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197,11</w:t>
            </w:r>
          </w:p>
        </w:tc>
        <w:tc>
          <w:tcPr>
            <w:tcW w:w="822" w:type="dxa"/>
            <w:tcBorders>
              <w:top w:val="nil"/>
              <w:left w:val="nil"/>
              <w:bottom w:val="single" w:sz="4" w:space="0" w:color="auto"/>
              <w:right w:val="single" w:sz="4" w:space="0" w:color="auto"/>
            </w:tcBorders>
            <w:shd w:val="clear" w:color="auto" w:fill="auto"/>
            <w:noWrap/>
            <w:vAlign w:val="bottom"/>
            <w:hideMark/>
          </w:tcPr>
          <w:p w14:paraId="22662DE7"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96,78</w:t>
            </w:r>
          </w:p>
        </w:tc>
        <w:tc>
          <w:tcPr>
            <w:tcW w:w="908" w:type="dxa"/>
            <w:tcBorders>
              <w:top w:val="nil"/>
              <w:left w:val="nil"/>
              <w:bottom w:val="single" w:sz="4" w:space="0" w:color="auto"/>
              <w:right w:val="single" w:sz="4" w:space="0" w:color="auto"/>
            </w:tcBorders>
            <w:shd w:val="clear" w:color="auto" w:fill="auto"/>
            <w:noWrap/>
            <w:vAlign w:val="bottom"/>
            <w:hideMark/>
          </w:tcPr>
          <w:p w14:paraId="44FBBBB4"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412,09</w:t>
            </w:r>
          </w:p>
        </w:tc>
      </w:tr>
      <w:tr w:rsidR="006F3067" w:rsidRPr="008860BA" w14:paraId="1FCFF158" w14:textId="77777777" w:rsidTr="006F3067">
        <w:trPr>
          <w:trHeight w:val="20"/>
        </w:trPr>
        <w:tc>
          <w:tcPr>
            <w:tcW w:w="3423" w:type="dxa"/>
            <w:tcBorders>
              <w:top w:val="nil"/>
              <w:left w:val="single" w:sz="4" w:space="0" w:color="auto"/>
              <w:bottom w:val="single" w:sz="4" w:space="0" w:color="auto"/>
              <w:right w:val="single" w:sz="4" w:space="0" w:color="auto"/>
            </w:tcBorders>
            <w:shd w:val="clear" w:color="auto" w:fill="auto"/>
            <w:hideMark/>
          </w:tcPr>
          <w:p w14:paraId="681E73EA" w14:textId="77777777" w:rsidR="006F3067" w:rsidRPr="008860BA" w:rsidRDefault="006F3067" w:rsidP="00332FF7">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Formulare statistice</w:t>
            </w:r>
          </w:p>
        </w:tc>
        <w:tc>
          <w:tcPr>
            <w:tcW w:w="967" w:type="dxa"/>
            <w:tcBorders>
              <w:top w:val="nil"/>
              <w:left w:val="nil"/>
              <w:bottom w:val="single" w:sz="4" w:space="0" w:color="auto"/>
              <w:right w:val="single" w:sz="4" w:space="0" w:color="auto"/>
            </w:tcBorders>
            <w:shd w:val="clear" w:color="auto" w:fill="auto"/>
            <w:noWrap/>
            <w:vAlign w:val="bottom"/>
            <w:hideMark/>
          </w:tcPr>
          <w:p w14:paraId="7351D669"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99" w:type="dxa"/>
            <w:tcBorders>
              <w:top w:val="nil"/>
              <w:left w:val="nil"/>
              <w:bottom w:val="single" w:sz="4" w:space="0" w:color="auto"/>
              <w:right w:val="single" w:sz="4" w:space="0" w:color="auto"/>
            </w:tcBorders>
            <w:shd w:val="clear" w:color="auto" w:fill="auto"/>
            <w:hideMark/>
          </w:tcPr>
          <w:p w14:paraId="259B6465"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1195" w:type="dxa"/>
            <w:tcBorders>
              <w:top w:val="nil"/>
              <w:left w:val="nil"/>
              <w:bottom w:val="single" w:sz="4" w:space="0" w:color="auto"/>
              <w:right w:val="single" w:sz="4" w:space="0" w:color="auto"/>
            </w:tcBorders>
            <w:shd w:val="clear" w:color="auto" w:fill="auto"/>
            <w:noWrap/>
            <w:vAlign w:val="bottom"/>
            <w:hideMark/>
          </w:tcPr>
          <w:p w14:paraId="5567400C"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92" w:type="dxa"/>
            <w:tcBorders>
              <w:top w:val="nil"/>
              <w:left w:val="nil"/>
              <w:bottom w:val="single" w:sz="4" w:space="0" w:color="auto"/>
              <w:right w:val="single" w:sz="4" w:space="0" w:color="auto"/>
            </w:tcBorders>
            <w:shd w:val="clear" w:color="auto" w:fill="auto"/>
            <w:noWrap/>
            <w:vAlign w:val="bottom"/>
            <w:hideMark/>
          </w:tcPr>
          <w:p w14:paraId="7510DF87"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224" w:type="dxa"/>
            <w:tcBorders>
              <w:top w:val="nil"/>
              <w:left w:val="nil"/>
              <w:bottom w:val="single" w:sz="4" w:space="0" w:color="auto"/>
              <w:right w:val="single" w:sz="4" w:space="0" w:color="auto"/>
            </w:tcBorders>
            <w:shd w:val="clear" w:color="auto" w:fill="auto"/>
            <w:hideMark/>
          </w:tcPr>
          <w:p w14:paraId="235C2FB6"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1259" w:type="dxa"/>
            <w:tcBorders>
              <w:top w:val="nil"/>
              <w:left w:val="nil"/>
              <w:bottom w:val="single" w:sz="4" w:space="0" w:color="auto"/>
              <w:right w:val="single" w:sz="4" w:space="0" w:color="auto"/>
            </w:tcBorders>
            <w:shd w:val="clear" w:color="auto" w:fill="auto"/>
            <w:noWrap/>
            <w:vAlign w:val="bottom"/>
            <w:hideMark/>
          </w:tcPr>
          <w:p w14:paraId="229F21BA"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67" w:type="dxa"/>
            <w:tcBorders>
              <w:top w:val="nil"/>
              <w:left w:val="nil"/>
              <w:bottom w:val="single" w:sz="4" w:space="0" w:color="auto"/>
              <w:right w:val="single" w:sz="4" w:space="0" w:color="auto"/>
            </w:tcBorders>
            <w:shd w:val="clear" w:color="auto" w:fill="auto"/>
            <w:hideMark/>
          </w:tcPr>
          <w:p w14:paraId="4DDD906C"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822" w:type="dxa"/>
            <w:tcBorders>
              <w:top w:val="nil"/>
              <w:left w:val="nil"/>
              <w:bottom w:val="single" w:sz="4" w:space="0" w:color="auto"/>
              <w:right w:val="single" w:sz="4" w:space="0" w:color="auto"/>
            </w:tcBorders>
            <w:shd w:val="clear" w:color="auto" w:fill="auto"/>
            <w:hideMark/>
          </w:tcPr>
          <w:p w14:paraId="47FA4D62"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822" w:type="dxa"/>
            <w:tcBorders>
              <w:top w:val="nil"/>
              <w:left w:val="nil"/>
              <w:bottom w:val="single" w:sz="4" w:space="0" w:color="auto"/>
              <w:right w:val="single" w:sz="4" w:space="0" w:color="auto"/>
            </w:tcBorders>
            <w:shd w:val="clear" w:color="auto" w:fill="auto"/>
            <w:noWrap/>
            <w:vAlign w:val="bottom"/>
            <w:hideMark/>
          </w:tcPr>
          <w:p w14:paraId="687793BF"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0,00</w:t>
            </w:r>
          </w:p>
        </w:tc>
        <w:tc>
          <w:tcPr>
            <w:tcW w:w="908" w:type="dxa"/>
            <w:tcBorders>
              <w:top w:val="nil"/>
              <w:left w:val="nil"/>
              <w:bottom w:val="single" w:sz="4" w:space="0" w:color="auto"/>
              <w:right w:val="single" w:sz="4" w:space="0" w:color="auto"/>
            </w:tcBorders>
            <w:shd w:val="clear" w:color="auto" w:fill="auto"/>
            <w:hideMark/>
          </w:tcPr>
          <w:p w14:paraId="4E6BFCD9"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r>
      <w:tr w:rsidR="006F3067" w:rsidRPr="008860BA" w14:paraId="3E4DA195" w14:textId="77777777" w:rsidTr="006F3067">
        <w:trPr>
          <w:trHeight w:val="20"/>
        </w:trPr>
        <w:tc>
          <w:tcPr>
            <w:tcW w:w="3423" w:type="dxa"/>
            <w:tcBorders>
              <w:top w:val="nil"/>
              <w:left w:val="single" w:sz="4" w:space="0" w:color="auto"/>
              <w:bottom w:val="single" w:sz="4" w:space="0" w:color="auto"/>
              <w:right w:val="single" w:sz="4" w:space="0" w:color="auto"/>
            </w:tcBorders>
            <w:shd w:val="clear" w:color="auto" w:fill="auto"/>
            <w:hideMark/>
          </w:tcPr>
          <w:p w14:paraId="076A6EA6" w14:textId="0D8F530C" w:rsidR="006F3067" w:rsidRPr="008860BA" w:rsidRDefault="006F3067" w:rsidP="00332FF7">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Indemniza</w:t>
            </w:r>
            <w:r w:rsidR="00B13B9A" w:rsidRPr="008860BA">
              <w:rPr>
                <w:rFonts w:asciiTheme="majorHAnsi" w:eastAsia="Times New Roman" w:hAnsiTheme="majorHAnsi" w:cstheme="majorHAnsi"/>
                <w:sz w:val="18"/>
                <w:szCs w:val="18"/>
                <w:lang w:val="ro-MD"/>
              </w:rPr>
              <w:t>ț</w:t>
            </w:r>
            <w:r w:rsidRPr="008860BA">
              <w:rPr>
                <w:rFonts w:asciiTheme="majorHAnsi" w:eastAsia="Times New Roman" w:hAnsiTheme="majorHAnsi" w:cstheme="majorHAnsi"/>
                <w:sz w:val="18"/>
                <w:szCs w:val="18"/>
                <w:lang w:val="ro-MD"/>
              </w:rPr>
              <w:t>ie unică</w:t>
            </w:r>
          </w:p>
        </w:tc>
        <w:tc>
          <w:tcPr>
            <w:tcW w:w="967" w:type="dxa"/>
            <w:tcBorders>
              <w:top w:val="nil"/>
              <w:left w:val="nil"/>
              <w:bottom w:val="single" w:sz="4" w:space="0" w:color="auto"/>
              <w:right w:val="single" w:sz="4" w:space="0" w:color="auto"/>
            </w:tcBorders>
            <w:shd w:val="clear" w:color="auto" w:fill="auto"/>
            <w:noWrap/>
            <w:vAlign w:val="bottom"/>
            <w:hideMark/>
          </w:tcPr>
          <w:p w14:paraId="19239A31"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99" w:type="dxa"/>
            <w:tcBorders>
              <w:top w:val="nil"/>
              <w:left w:val="nil"/>
              <w:bottom w:val="single" w:sz="4" w:space="0" w:color="auto"/>
              <w:right w:val="single" w:sz="4" w:space="0" w:color="auto"/>
            </w:tcBorders>
            <w:shd w:val="clear" w:color="auto" w:fill="auto"/>
            <w:hideMark/>
          </w:tcPr>
          <w:p w14:paraId="05DF1302"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96,71</w:t>
            </w:r>
          </w:p>
        </w:tc>
        <w:tc>
          <w:tcPr>
            <w:tcW w:w="1195" w:type="dxa"/>
            <w:tcBorders>
              <w:top w:val="nil"/>
              <w:left w:val="nil"/>
              <w:bottom w:val="single" w:sz="4" w:space="0" w:color="auto"/>
              <w:right w:val="single" w:sz="4" w:space="0" w:color="auto"/>
            </w:tcBorders>
            <w:shd w:val="clear" w:color="auto" w:fill="auto"/>
            <w:noWrap/>
            <w:vAlign w:val="bottom"/>
            <w:hideMark/>
          </w:tcPr>
          <w:p w14:paraId="59E8F8F6"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96,71</w:t>
            </w:r>
          </w:p>
        </w:tc>
        <w:tc>
          <w:tcPr>
            <w:tcW w:w="1092" w:type="dxa"/>
            <w:tcBorders>
              <w:top w:val="nil"/>
              <w:left w:val="nil"/>
              <w:bottom w:val="single" w:sz="4" w:space="0" w:color="auto"/>
              <w:right w:val="single" w:sz="4" w:space="0" w:color="auto"/>
            </w:tcBorders>
            <w:shd w:val="clear" w:color="auto" w:fill="auto"/>
            <w:hideMark/>
          </w:tcPr>
          <w:p w14:paraId="59A3C8E9"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1224" w:type="dxa"/>
            <w:tcBorders>
              <w:top w:val="nil"/>
              <w:left w:val="nil"/>
              <w:bottom w:val="single" w:sz="4" w:space="0" w:color="auto"/>
              <w:right w:val="single" w:sz="4" w:space="0" w:color="auto"/>
            </w:tcBorders>
            <w:shd w:val="clear" w:color="auto" w:fill="auto"/>
            <w:hideMark/>
          </w:tcPr>
          <w:p w14:paraId="7B5F80C9"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1259" w:type="dxa"/>
            <w:tcBorders>
              <w:top w:val="nil"/>
              <w:left w:val="nil"/>
              <w:bottom w:val="single" w:sz="4" w:space="0" w:color="auto"/>
              <w:right w:val="single" w:sz="4" w:space="0" w:color="auto"/>
            </w:tcBorders>
            <w:shd w:val="clear" w:color="auto" w:fill="auto"/>
            <w:noWrap/>
            <w:vAlign w:val="bottom"/>
            <w:hideMark/>
          </w:tcPr>
          <w:p w14:paraId="19DC9FAD"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67" w:type="dxa"/>
            <w:tcBorders>
              <w:top w:val="nil"/>
              <w:left w:val="nil"/>
              <w:bottom w:val="single" w:sz="4" w:space="0" w:color="auto"/>
              <w:right w:val="single" w:sz="4" w:space="0" w:color="auto"/>
            </w:tcBorders>
            <w:shd w:val="clear" w:color="auto" w:fill="auto"/>
            <w:hideMark/>
          </w:tcPr>
          <w:p w14:paraId="3FE65EAE"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822" w:type="dxa"/>
            <w:tcBorders>
              <w:top w:val="nil"/>
              <w:left w:val="nil"/>
              <w:bottom w:val="single" w:sz="4" w:space="0" w:color="auto"/>
              <w:right w:val="single" w:sz="4" w:space="0" w:color="auto"/>
            </w:tcBorders>
            <w:shd w:val="clear" w:color="auto" w:fill="auto"/>
            <w:hideMark/>
          </w:tcPr>
          <w:p w14:paraId="03CB00D9"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822" w:type="dxa"/>
            <w:tcBorders>
              <w:top w:val="nil"/>
              <w:left w:val="nil"/>
              <w:bottom w:val="single" w:sz="4" w:space="0" w:color="auto"/>
              <w:right w:val="single" w:sz="4" w:space="0" w:color="auto"/>
            </w:tcBorders>
            <w:shd w:val="clear" w:color="auto" w:fill="auto"/>
            <w:noWrap/>
            <w:vAlign w:val="bottom"/>
            <w:hideMark/>
          </w:tcPr>
          <w:p w14:paraId="1DEC2AD3"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96,71</w:t>
            </w:r>
          </w:p>
        </w:tc>
        <w:tc>
          <w:tcPr>
            <w:tcW w:w="908" w:type="dxa"/>
            <w:tcBorders>
              <w:top w:val="nil"/>
              <w:left w:val="nil"/>
              <w:bottom w:val="single" w:sz="4" w:space="0" w:color="auto"/>
              <w:right w:val="single" w:sz="4" w:space="0" w:color="auto"/>
            </w:tcBorders>
            <w:shd w:val="clear" w:color="auto" w:fill="auto"/>
            <w:hideMark/>
          </w:tcPr>
          <w:p w14:paraId="083397A7"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r>
      <w:tr w:rsidR="006F3067" w:rsidRPr="008860BA" w14:paraId="1203AE6D" w14:textId="77777777" w:rsidTr="006F3067">
        <w:trPr>
          <w:trHeight w:val="20"/>
        </w:trPr>
        <w:tc>
          <w:tcPr>
            <w:tcW w:w="3423" w:type="dxa"/>
            <w:tcBorders>
              <w:top w:val="nil"/>
              <w:left w:val="single" w:sz="4" w:space="0" w:color="auto"/>
              <w:bottom w:val="single" w:sz="4" w:space="0" w:color="auto"/>
              <w:right w:val="single" w:sz="4" w:space="0" w:color="auto"/>
            </w:tcBorders>
            <w:shd w:val="clear" w:color="auto" w:fill="auto"/>
            <w:hideMark/>
          </w:tcPr>
          <w:p w14:paraId="433CA8A5" w14:textId="77777777" w:rsidR="006F3067" w:rsidRPr="008860BA" w:rsidRDefault="006F3067" w:rsidP="00332FF7">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Gaz</w:t>
            </w:r>
          </w:p>
        </w:tc>
        <w:tc>
          <w:tcPr>
            <w:tcW w:w="967" w:type="dxa"/>
            <w:tcBorders>
              <w:top w:val="nil"/>
              <w:left w:val="nil"/>
              <w:bottom w:val="single" w:sz="4" w:space="0" w:color="auto"/>
              <w:right w:val="single" w:sz="4" w:space="0" w:color="auto"/>
            </w:tcBorders>
            <w:shd w:val="clear" w:color="auto" w:fill="auto"/>
            <w:noWrap/>
            <w:vAlign w:val="bottom"/>
            <w:hideMark/>
          </w:tcPr>
          <w:p w14:paraId="091EA1C7"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99" w:type="dxa"/>
            <w:tcBorders>
              <w:top w:val="nil"/>
              <w:left w:val="nil"/>
              <w:bottom w:val="single" w:sz="4" w:space="0" w:color="auto"/>
              <w:right w:val="single" w:sz="4" w:space="0" w:color="auto"/>
            </w:tcBorders>
            <w:shd w:val="clear" w:color="auto" w:fill="auto"/>
            <w:hideMark/>
          </w:tcPr>
          <w:p w14:paraId="77310EFB"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978,68</w:t>
            </w:r>
          </w:p>
        </w:tc>
        <w:tc>
          <w:tcPr>
            <w:tcW w:w="1195" w:type="dxa"/>
            <w:tcBorders>
              <w:top w:val="nil"/>
              <w:left w:val="nil"/>
              <w:bottom w:val="single" w:sz="4" w:space="0" w:color="auto"/>
              <w:right w:val="single" w:sz="4" w:space="0" w:color="auto"/>
            </w:tcBorders>
            <w:shd w:val="clear" w:color="auto" w:fill="auto"/>
            <w:noWrap/>
            <w:vAlign w:val="bottom"/>
            <w:hideMark/>
          </w:tcPr>
          <w:p w14:paraId="30189C29"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978,68</w:t>
            </w:r>
          </w:p>
        </w:tc>
        <w:tc>
          <w:tcPr>
            <w:tcW w:w="1092" w:type="dxa"/>
            <w:tcBorders>
              <w:top w:val="nil"/>
              <w:left w:val="nil"/>
              <w:bottom w:val="single" w:sz="4" w:space="0" w:color="auto"/>
              <w:right w:val="single" w:sz="4" w:space="0" w:color="auto"/>
            </w:tcBorders>
            <w:shd w:val="clear" w:color="auto" w:fill="auto"/>
            <w:noWrap/>
            <w:vAlign w:val="bottom"/>
            <w:hideMark/>
          </w:tcPr>
          <w:p w14:paraId="3B2B96CE"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978,68</w:t>
            </w:r>
          </w:p>
        </w:tc>
        <w:tc>
          <w:tcPr>
            <w:tcW w:w="1224" w:type="dxa"/>
            <w:tcBorders>
              <w:top w:val="nil"/>
              <w:left w:val="nil"/>
              <w:bottom w:val="single" w:sz="4" w:space="0" w:color="auto"/>
              <w:right w:val="single" w:sz="4" w:space="0" w:color="auto"/>
            </w:tcBorders>
            <w:shd w:val="clear" w:color="auto" w:fill="auto"/>
            <w:noWrap/>
            <w:vAlign w:val="bottom"/>
            <w:hideMark/>
          </w:tcPr>
          <w:p w14:paraId="1245225F"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259" w:type="dxa"/>
            <w:tcBorders>
              <w:top w:val="nil"/>
              <w:left w:val="nil"/>
              <w:bottom w:val="single" w:sz="4" w:space="0" w:color="auto"/>
              <w:right w:val="single" w:sz="4" w:space="0" w:color="auto"/>
            </w:tcBorders>
            <w:shd w:val="clear" w:color="auto" w:fill="auto"/>
            <w:noWrap/>
            <w:vAlign w:val="bottom"/>
            <w:hideMark/>
          </w:tcPr>
          <w:p w14:paraId="01445F92"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67" w:type="dxa"/>
            <w:tcBorders>
              <w:top w:val="nil"/>
              <w:left w:val="nil"/>
              <w:bottom w:val="single" w:sz="4" w:space="0" w:color="auto"/>
              <w:right w:val="single" w:sz="4" w:space="0" w:color="auto"/>
            </w:tcBorders>
            <w:shd w:val="clear" w:color="auto" w:fill="auto"/>
            <w:noWrap/>
            <w:vAlign w:val="bottom"/>
            <w:hideMark/>
          </w:tcPr>
          <w:p w14:paraId="37131B56"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22" w:type="dxa"/>
            <w:tcBorders>
              <w:top w:val="nil"/>
              <w:left w:val="nil"/>
              <w:bottom w:val="single" w:sz="4" w:space="0" w:color="auto"/>
              <w:right w:val="single" w:sz="4" w:space="0" w:color="auto"/>
            </w:tcBorders>
            <w:shd w:val="clear" w:color="auto" w:fill="auto"/>
            <w:noWrap/>
            <w:vAlign w:val="bottom"/>
            <w:hideMark/>
          </w:tcPr>
          <w:p w14:paraId="730C8E07"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22" w:type="dxa"/>
            <w:tcBorders>
              <w:top w:val="nil"/>
              <w:left w:val="nil"/>
              <w:bottom w:val="single" w:sz="4" w:space="0" w:color="auto"/>
              <w:right w:val="single" w:sz="4" w:space="0" w:color="auto"/>
            </w:tcBorders>
            <w:shd w:val="clear" w:color="auto" w:fill="auto"/>
            <w:noWrap/>
            <w:vAlign w:val="bottom"/>
            <w:hideMark/>
          </w:tcPr>
          <w:p w14:paraId="43B19B67"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908" w:type="dxa"/>
            <w:tcBorders>
              <w:top w:val="nil"/>
              <w:left w:val="nil"/>
              <w:bottom w:val="single" w:sz="4" w:space="0" w:color="auto"/>
              <w:right w:val="single" w:sz="4" w:space="0" w:color="auto"/>
            </w:tcBorders>
            <w:shd w:val="clear" w:color="auto" w:fill="auto"/>
            <w:hideMark/>
          </w:tcPr>
          <w:p w14:paraId="0FA397D0"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r>
      <w:tr w:rsidR="006F3067" w:rsidRPr="008860BA" w14:paraId="768CF4D5" w14:textId="77777777" w:rsidTr="006F3067">
        <w:trPr>
          <w:trHeight w:val="20"/>
        </w:trPr>
        <w:tc>
          <w:tcPr>
            <w:tcW w:w="3423" w:type="dxa"/>
            <w:tcBorders>
              <w:top w:val="nil"/>
              <w:left w:val="single" w:sz="4" w:space="0" w:color="auto"/>
              <w:bottom w:val="single" w:sz="4" w:space="0" w:color="auto"/>
              <w:right w:val="single" w:sz="4" w:space="0" w:color="auto"/>
            </w:tcBorders>
            <w:shd w:val="clear" w:color="auto" w:fill="auto"/>
            <w:hideMark/>
          </w:tcPr>
          <w:p w14:paraId="3247575A" w14:textId="7AB25F0C" w:rsidR="006F3067" w:rsidRPr="008860BA" w:rsidRDefault="006F3067" w:rsidP="00332FF7">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Materiale de construc</w:t>
            </w:r>
            <w:r w:rsidR="00B13B9A" w:rsidRPr="008860BA">
              <w:rPr>
                <w:rFonts w:asciiTheme="majorHAnsi" w:eastAsia="Times New Roman" w:hAnsiTheme="majorHAnsi" w:cstheme="majorHAnsi"/>
                <w:sz w:val="18"/>
                <w:szCs w:val="18"/>
                <w:lang w:val="ro-MD"/>
              </w:rPr>
              <w:t>ț</w:t>
            </w:r>
            <w:r w:rsidRPr="008860BA">
              <w:rPr>
                <w:rFonts w:asciiTheme="majorHAnsi" w:eastAsia="Times New Roman" w:hAnsiTheme="majorHAnsi" w:cstheme="majorHAnsi"/>
                <w:sz w:val="18"/>
                <w:szCs w:val="18"/>
                <w:lang w:val="ro-MD"/>
              </w:rPr>
              <w:t>ie</w:t>
            </w:r>
          </w:p>
        </w:tc>
        <w:tc>
          <w:tcPr>
            <w:tcW w:w="967" w:type="dxa"/>
            <w:tcBorders>
              <w:top w:val="nil"/>
              <w:left w:val="nil"/>
              <w:bottom w:val="single" w:sz="4" w:space="0" w:color="auto"/>
              <w:right w:val="single" w:sz="4" w:space="0" w:color="auto"/>
            </w:tcBorders>
            <w:shd w:val="clear" w:color="auto" w:fill="auto"/>
            <w:noWrap/>
            <w:vAlign w:val="bottom"/>
            <w:hideMark/>
          </w:tcPr>
          <w:p w14:paraId="75EEE3AB"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99" w:type="dxa"/>
            <w:tcBorders>
              <w:top w:val="nil"/>
              <w:left w:val="nil"/>
              <w:bottom w:val="single" w:sz="4" w:space="0" w:color="auto"/>
              <w:right w:val="single" w:sz="4" w:space="0" w:color="auto"/>
            </w:tcBorders>
            <w:shd w:val="clear" w:color="auto" w:fill="auto"/>
            <w:hideMark/>
          </w:tcPr>
          <w:p w14:paraId="68A11E5D"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14,70</w:t>
            </w:r>
          </w:p>
        </w:tc>
        <w:tc>
          <w:tcPr>
            <w:tcW w:w="1195" w:type="dxa"/>
            <w:tcBorders>
              <w:top w:val="nil"/>
              <w:left w:val="nil"/>
              <w:bottom w:val="single" w:sz="4" w:space="0" w:color="auto"/>
              <w:right w:val="single" w:sz="4" w:space="0" w:color="auto"/>
            </w:tcBorders>
            <w:shd w:val="clear" w:color="auto" w:fill="auto"/>
            <w:noWrap/>
            <w:vAlign w:val="bottom"/>
            <w:hideMark/>
          </w:tcPr>
          <w:p w14:paraId="0816D0BF"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14,70</w:t>
            </w:r>
          </w:p>
        </w:tc>
        <w:tc>
          <w:tcPr>
            <w:tcW w:w="1092" w:type="dxa"/>
            <w:tcBorders>
              <w:top w:val="nil"/>
              <w:left w:val="nil"/>
              <w:bottom w:val="single" w:sz="4" w:space="0" w:color="auto"/>
              <w:right w:val="single" w:sz="4" w:space="0" w:color="auto"/>
            </w:tcBorders>
            <w:shd w:val="clear" w:color="auto" w:fill="auto"/>
            <w:noWrap/>
            <w:vAlign w:val="bottom"/>
            <w:hideMark/>
          </w:tcPr>
          <w:p w14:paraId="6E52E5A2"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11,00</w:t>
            </w:r>
          </w:p>
        </w:tc>
        <w:tc>
          <w:tcPr>
            <w:tcW w:w="1224" w:type="dxa"/>
            <w:tcBorders>
              <w:top w:val="nil"/>
              <w:left w:val="nil"/>
              <w:bottom w:val="single" w:sz="4" w:space="0" w:color="auto"/>
              <w:right w:val="single" w:sz="4" w:space="0" w:color="auto"/>
            </w:tcBorders>
            <w:shd w:val="clear" w:color="auto" w:fill="auto"/>
            <w:noWrap/>
            <w:vAlign w:val="bottom"/>
            <w:hideMark/>
          </w:tcPr>
          <w:p w14:paraId="7D40652B"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259" w:type="dxa"/>
            <w:tcBorders>
              <w:top w:val="nil"/>
              <w:left w:val="nil"/>
              <w:bottom w:val="single" w:sz="4" w:space="0" w:color="auto"/>
              <w:right w:val="single" w:sz="4" w:space="0" w:color="auto"/>
            </w:tcBorders>
            <w:shd w:val="clear" w:color="auto" w:fill="auto"/>
            <w:noWrap/>
            <w:vAlign w:val="bottom"/>
            <w:hideMark/>
          </w:tcPr>
          <w:p w14:paraId="2A76236D"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67" w:type="dxa"/>
            <w:tcBorders>
              <w:top w:val="nil"/>
              <w:left w:val="nil"/>
              <w:bottom w:val="single" w:sz="4" w:space="0" w:color="auto"/>
              <w:right w:val="single" w:sz="4" w:space="0" w:color="auto"/>
            </w:tcBorders>
            <w:shd w:val="clear" w:color="auto" w:fill="auto"/>
            <w:noWrap/>
            <w:vAlign w:val="bottom"/>
            <w:hideMark/>
          </w:tcPr>
          <w:p w14:paraId="1139C95E"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0,07</w:t>
            </w:r>
          </w:p>
        </w:tc>
        <w:tc>
          <w:tcPr>
            <w:tcW w:w="822" w:type="dxa"/>
            <w:tcBorders>
              <w:top w:val="nil"/>
              <w:left w:val="nil"/>
              <w:bottom w:val="single" w:sz="4" w:space="0" w:color="auto"/>
              <w:right w:val="single" w:sz="4" w:space="0" w:color="auto"/>
            </w:tcBorders>
            <w:shd w:val="clear" w:color="auto" w:fill="auto"/>
            <w:noWrap/>
            <w:vAlign w:val="bottom"/>
            <w:hideMark/>
          </w:tcPr>
          <w:p w14:paraId="70EEDA89"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22" w:type="dxa"/>
            <w:tcBorders>
              <w:top w:val="nil"/>
              <w:left w:val="nil"/>
              <w:bottom w:val="single" w:sz="4" w:space="0" w:color="auto"/>
              <w:right w:val="single" w:sz="4" w:space="0" w:color="auto"/>
            </w:tcBorders>
            <w:shd w:val="clear" w:color="auto" w:fill="auto"/>
            <w:noWrap/>
            <w:vAlign w:val="bottom"/>
            <w:hideMark/>
          </w:tcPr>
          <w:p w14:paraId="1642AD3D"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3,63</w:t>
            </w:r>
          </w:p>
        </w:tc>
        <w:tc>
          <w:tcPr>
            <w:tcW w:w="908" w:type="dxa"/>
            <w:tcBorders>
              <w:top w:val="nil"/>
              <w:left w:val="nil"/>
              <w:bottom w:val="single" w:sz="4" w:space="0" w:color="auto"/>
              <w:right w:val="single" w:sz="4" w:space="0" w:color="auto"/>
            </w:tcBorders>
            <w:shd w:val="clear" w:color="auto" w:fill="auto"/>
            <w:noWrap/>
            <w:vAlign w:val="bottom"/>
            <w:hideMark/>
          </w:tcPr>
          <w:p w14:paraId="16FCAD31"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r>
      <w:tr w:rsidR="006F3067" w:rsidRPr="008860BA" w14:paraId="26003C9F" w14:textId="77777777" w:rsidTr="006F3067">
        <w:trPr>
          <w:trHeight w:val="20"/>
        </w:trPr>
        <w:tc>
          <w:tcPr>
            <w:tcW w:w="3423" w:type="dxa"/>
            <w:tcBorders>
              <w:top w:val="nil"/>
              <w:left w:val="single" w:sz="4" w:space="0" w:color="auto"/>
              <w:bottom w:val="single" w:sz="4" w:space="0" w:color="auto"/>
              <w:right w:val="single" w:sz="4" w:space="0" w:color="auto"/>
            </w:tcBorders>
            <w:shd w:val="clear" w:color="auto" w:fill="auto"/>
            <w:hideMark/>
          </w:tcPr>
          <w:p w14:paraId="18998CE3" w14:textId="77777777" w:rsidR="006F3067" w:rsidRPr="008860BA" w:rsidRDefault="006F3067" w:rsidP="00332FF7">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Materiale de uz gospodăresc</w:t>
            </w:r>
          </w:p>
        </w:tc>
        <w:tc>
          <w:tcPr>
            <w:tcW w:w="967" w:type="dxa"/>
            <w:tcBorders>
              <w:top w:val="nil"/>
              <w:left w:val="nil"/>
              <w:bottom w:val="single" w:sz="4" w:space="0" w:color="auto"/>
              <w:right w:val="single" w:sz="4" w:space="0" w:color="auto"/>
            </w:tcBorders>
            <w:shd w:val="clear" w:color="auto" w:fill="auto"/>
            <w:noWrap/>
            <w:vAlign w:val="bottom"/>
            <w:hideMark/>
          </w:tcPr>
          <w:p w14:paraId="55BE9D88"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99" w:type="dxa"/>
            <w:tcBorders>
              <w:top w:val="nil"/>
              <w:left w:val="nil"/>
              <w:bottom w:val="single" w:sz="4" w:space="0" w:color="auto"/>
              <w:right w:val="single" w:sz="4" w:space="0" w:color="auto"/>
            </w:tcBorders>
            <w:shd w:val="clear" w:color="auto" w:fill="auto"/>
            <w:hideMark/>
          </w:tcPr>
          <w:p w14:paraId="0CAE45AC"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255,60</w:t>
            </w:r>
          </w:p>
        </w:tc>
        <w:tc>
          <w:tcPr>
            <w:tcW w:w="1195" w:type="dxa"/>
            <w:tcBorders>
              <w:top w:val="nil"/>
              <w:left w:val="nil"/>
              <w:bottom w:val="single" w:sz="4" w:space="0" w:color="auto"/>
              <w:right w:val="single" w:sz="4" w:space="0" w:color="auto"/>
            </w:tcBorders>
            <w:shd w:val="clear" w:color="auto" w:fill="auto"/>
            <w:noWrap/>
            <w:vAlign w:val="bottom"/>
            <w:hideMark/>
          </w:tcPr>
          <w:p w14:paraId="14B3941B"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255,60</w:t>
            </w:r>
          </w:p>
        </w:tc>
        <w:tc>
          <w:tcPr>
            <w:tcW w:w="1092" w:type="dxa"/>
            <w:tcBorders>
              <w:top w:val="nil"/>
              <w:left w:val="nil"/>
              <w:bottom w:val="single" w:sz="4" w:space="0" w:color="auto"/>
              <w:right w:val="single" w:sz="4" w:space="0" w:color="auto"/>
            </w:tcBorders>
            <w:shd w:val="clear" w:color="auto" w:fill="auto"/>
            <w:noWrap/>
            <w:vAlign w:val="bottom"/>
            <w:hideMark/>
          </w:tcPr>
          <w:p w14:paraId="48458143"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192,70</w:t>
            </w:r>
          </w:p>
        </w:tc>
        <w:tc>
          <w:tcPr>
            <w:tcW w:w="1224" w:type="dxa"/>
            <w:tcBorders>
              <w:top w:val="nil"/>
              <w:left w:val="nil"/>
              <w:bottom w:val="single" w:sz="4" w:space="0" w:color="auto"/>
              <w:right w:val="single" w:sz="4" w:space="0" w:color="auto"/>
            </w:tcBorders>
            <w:shd w:val="clear" w:color="auto" w:fill="auto"/>
            <w:hideMark/>
          </w:tcPr>
          <w:p w14:paraId="2D7CBCAF"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1259" w:type="dxa"/>
            <w:tcBorders>
              <w:top w:val="nil"/>
              <w:left w:val="nil"/>
              <w:bottom w:val="single" w:sz="4" w:space="0" w:color="auto"/>
              <w:right w:val="single" w:sz="4" w:space="0" w:color="auto"/>
            </w:tcBorders>
            <w:shd w:val="clear" w:color="auto" w:fill="auto"/>
            <w:noWrap/>
            <w:vAlign w:val="bottom"/>
            <w:hideMark/>
          </w:tcPr>
          <w:p w14:paraId="255F5B25"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67" w:type="dxa"/>
            <w:tcBorders>
              <w:top w:val="nil"/>
              <w:left w:val="nil"/>
              <w:bottom w:val="single" w:sz="4" w:space="0" w:color="auto"/>
              <w:right w:val="single" w:sz="4" w:space="0" w:color="auto"/>
            </w:tcBorders>
            <w:shd w:val="clear" w:color="auto" w:fill="auto"/>
            <w:noWrap/>
            <w:vAlign w:val="bottom"/>
            <w:hideMark/>
          </w:tcPr>
          <w:p w14:paraId="56385E8D"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8,72</w:t>
            </w:r>
          </w:p>
        </w:tc>
        <w:tc>
          <w:tcPr>
            <w:tcW w:w="822" w:type="dxa"/>
            <w:tcBorders>
              <w:top w:val="nil"/>
              <w:left w:val="nil"/>
              <w:bottom w:val="single" w:sz="4" w:space="0" w:color="auto"/>
              <w:right w:val="single" w:sz="4" w:space="0" w:color="auto"/>
            </w:tcBorders>
            <w:shd w:val="clear" w:color="auto" w:fill="auto"/>
            <w:noWrap/>
            <w:vAlign w:val="bottom"/>
            <w:hideMark/>
          </w:tcPr>
          <w:p w14:paraId="4B902555"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22" w:type="dxa"/>
            <w:tcBorders>
              <w:top w:val="nil"/>
              <w:left w:val="nil"/>
              <w:bottom w:val="single" w:sz="4" w:space="0" w:color="auto"/>
              <w:right w:val="single" w:sz="4" w:space="0" w:color="auto"/>
            </w:tcBorders>
            <w:shd w:val="clear" w:color="auto" w:fill="auto"/>
            <w:noWrap/>
            <w:vAlign w:val="bottom"/>
            <w:hideMark/>
          </w:tcPr>
          <w:p w14:paraId="73F50D1C"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4,67</w:t>
            </w:r>
          </w:p>
        </w:tc>
        <w:tc>
          <w:tcPr>
            <w:tcW w:w="908" w:type="dxa"/>
            <w:tcBorders>
              <w:top w:val="nil"/>
              <w:left w:val="nil"/>
              <w:bottom w:val="single" w:sz="4" w:space="0" w:color="auto"/>
              <w:right w:val="single" w:sz="4" w:space="0" w:color="auto"/>
            </w:tcBorders>
            <w:shd w:val="clear" w:color="auto" w:fill="auto"/>
            <w:noWrap/>
            <w:vAlign w:val="bottom"/>
            <w:hideMark/>
          </w:tcPr>
          <w:p w14:paraId="1B04E635"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49,51</w:t>
            </w:r>
          </w:p>
        </w:tc>
      </w:tr>
      <w:tr w:rsidR="006F3067" w:rsidRPr="008860BA" w14:paraId="27FBC11D" w14:textId="77777777" w:rsidTr="006F3067">
        <w:trPr>
          <w:trHeight w:val="20"/>
        </w:trPr>
        <w:tc>
          <w:tcPr>
            <w:tcW w:w="3423" w:type="dxa"/>
            <w:tcBorders>
              <w:top w:val="nil"/>
              <w:left w:val="single" w:sz="4" w:space="0" w:color="auto"/>
              <w:bottom w:val="single" w:sz="4" w:space="0" w:color="auto"/>
              <w:right w:val="single" w:sz="4" w:space="0" w:color="auto"/>
            </w:tcBorders>
            <w:shd w:val="clear" w:color="auto" w:fill="auto"/>
            <w:hideMark/>
          </w:tcPr>
          <w:p w14:paraId="72227088" w14:textId="77777777" w:rsidR="006F3067" w:rsidRPr="008860BA" w:rsidRDefault="006F3067" w:rsidP="00332FF7">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xml:space="preserve">Medicamente </w:t>
            </w:r>
          </w:p>
        </w:tc>
        <w:tc>
          <w:tcPr>
            <w:tcW w:w="967" w:type="dxa"/>
            <w:tcBorders>
              <w:top w:val="nil"/>
              <w:left w:val="nil"/>
              <w:bottom w:val="single" w:sz="4" w:space="0" w:color="auto"/>
              <w:right w:val="single" w:sz="4" w:space="0" w:color="auto"/>
            </w:tcBorders>
            <w:shd w:val="clear" w:color="auto" w:fill="auto"/>
            <w:noWrap/>
            <w:vAlign w:val="bottom"/>
            <w:hideMark/>
          </w:tcPr>
          <w:p w14:paraId="2E440A44"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99" w:type="dxa"/>
            <w:tcBorders>
              <w:top w:val="nil"/>
              <w:left w:val="nil"/>
              <w:bottom w:val="single" w:sz="4" w:space="0" w:color="auto"/>
              <w:right w:val="single" w:sz="4" w:space="0" w:color="auto"/>
            </w:tcBorders>
            <w:shd w:val="clear" w:color="auto" w:fill="auto"/>
            <w:hideMark/>
          </w:tcPr>
          <w:p w14:paraId="034AAC19"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15.434,18</w:t>
            </w:r>
          </w:p>
        </w:tc>
        <w:tc>
          <w:tcPr>
            <w:tcW w:w="1195" w:type="dxa"/>
            <w:tcBorders>
              <w:top w:val="nil"/>
              <w:left w:val="nil"/>
              <w:bottom w:val="single" w:sz="4" w:space="0" w:color="auto"/>
              <w:right w:val="single" w:sz="4" w:space="0" w:color="auto"/>
            </w:tcBorders>
            <w:shd w:val="clear" w:color="auto" w:fill="auto"/>
            <w:noWrap/>
            <w:vAlign w:val="bottom"/>
            <w:hideMark/>
          </w:tcPr>
          <w:p w14:paraId="62B8E2F1"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15.434,18</w:t>
            </w:r>
          </w:p>
        </w:tc>
        <w:tc>
          <w:tcPr>
            <w:tcW w:w="1092" w:type="dxa"/>
            <w:tcBorders>
              <w:top w:val="nil"/>
              <w:left w:val="nil"/>
              <w:bottom w:val="single" w:sz="4" w:space="0" w:color="auto"/>
              <w:right w:val="single" w:sz="4" w:space="0" w:color="auto"/>
            </w:tcBorders>
            <w:shd w:val="clear" w:color="auto" w:fill="auto"/>
            <w:noWrap/>
            <w:vAlign w:val="bottom"/>
            <w:hideMark/>
          </w:tcPr>
          <w:p w14:paraId="69E729AB"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2.386,51</w:t>
            </w:r>
          </w:p>
        </w:tc>
        <w:tc>
          <w:tcPr>
            <w:tcW w:w="1224" w:type="dxa"/>
            <w:tcBorders>
              <w:top w:val="nil"/>
              <w:left w:val="nil"/>
              <w:bottom w:val="single" w:sz="4" w:space="0" w:color="auto"/>
              <w:right w:val="single" w:sz="4" w:space="0" w:color="auto"/>
            </w:tcBorders>
            <w:shd w:val="clear" w:color="auto" w:fill="auto"/>
            <w:noWrap/>
            <w:vAlign w:val="bottom"/>
            <w:hideMark/>
          </w:tcPr>
          <w:p w14:paraId="64366819"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259" w:type="dxa"/>
            <w:tcBorders>
              <w:top w:val="nil"/>
              <w:left w:val="nil"/>
              <w:bottom w:val="single" w:sz="4" w:space="0" w:color="auto"/>
              <w:right w:val="single" w:sz="4" w:space="0" w:color="auto"/>
            </w:tcBorders>
            <w:shd w:val="clear" w:color="auto" w:fill="auto"/>
            <w:noWrap/>
            <w:vAlign w:val="bottom"/>
            <w:hideMark/>
          </w:tcPr>
          <w:p w14:paraId="16448544"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67" w:type="dxa"/>
            <w:tcBorders>
              <w:top w:val="nil"/>
              <w:left w:val="nil"/>
              <w:bottom w:val="single" w:sz="4" w:space="0" w:color="auto"/>
              <w:right w:val="single" w:sz="4" w:space="0" w:color="auto"/>
            </w:tcBorders>
            <w:shd w:val="clear" w:color="auto" w:fill="auto"/>
            <w:noWrap/>
            <w:vAlign w:val="bottom"/>
            <w:hideMark/>
          </w:tcPr>
          <w:p w14:paraId="5DB930AF"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13,88</w:t>
            </w:r>
          </w:p>
        </w:tc>
        <w:tc>
          <w:tcPr>
            <w:tcW w:w="822" w:type="dxa"/>
            <w:tcBorders>
              <w:top w:val="nil"/>
              <w:left w:val="nil"/>
              <w:bottom w:val="single" w:sz="4" w:space="0" w:color="auto"/>
              <w:right w:val="single" w:sz="4" w:space="0" w:color="auto"/>
            </w:tcBorders>
            <w:shd w:val="clear" w:color="auto" w:fill="auto"/>
            <w:noWrap/>
            <w:vAlign w:val="bottom"/>
            <w:hideMark/>
          </w:tcPr>
          <w:p w14:paraId="248D7F25"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74,55</w:t>
            </w:r>
          </w:p>
        </w:tc>
        <w:tc>
          <w:tcPr>
            <w:tcW w:w="822" w:type="dxa"/>
            <w:tcBorders>
              <w:top w:val="nil"/>
              <w:left w:val="nil"/>
              <w:bottom w:val="single" w:sz="4" w:space="0" w:color="auto"/>
              <w:right w:val="single" w:sz="4" w:space="0" w:color="auto"/>
            </w:tcBorders>
            <w:shd w:val="clear" w:color="auto" w:fill="auto"/>
            <w:noWrap/>
            <w:vAlign w:val="bottom"/>
            <w:hideMark/>
          </w:tcPr>
          <w:p w14:paraId="6353728D"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49,38</w:t>
            </w:r>
          </w:p>
        </w:tc>
        <w:tc>
          <w:tcPr>
            <w:tcW w:w="908" w:type="dxa"/>
            <w:tcBorders>
              <w:top w:val="nil"/>
              <w:left w:val="nil"/>
              <w:bottom w:val="single" w:sz="4" w:space="0" w:color="auto"/>
              <w:right w:val="single" w:sz="4" w:space="0" w:color="auto"/>
            </w:tcBorders>
            <w:shd w:val="clear" w:color="auto" w:fill="auto"/>
            <w:noWrap/>
            <w:vAlign w:val="bottom"/>
            <w:hideMark/>
          </w:tcPr>
          <w:p w14:paraId="135E6956"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12.909,86</w:t>
            </w:r>
          </w:p>
        </w:tc>
      </w:tr>
      <w:tr w:rsidR="006F3067" w:rsidRPr="008860BA" w14:paraId="78145DBB" w14:textId="77777777" w:rsidTr="006F3067">
        <w:trPr>
          <w:trHeight w:val="20"/>
        </w:trPr>
        <w:tc>
          <w:tcPr>
            <w:tcW w:w="3423" w:type="dxa"/>
            <w:tcBorders>
              <w:top w:val="nil"/>
              <w:left w:val="single" w:sz="4" w:space="0" w:color="auto"/>
              <w:bottom w:val="single" w:sz="4" w:space="0" w:color="auto"/>
              <w:right w:val="single" w:sz="4" w:space="0" w:color="auto"/>
            </w:tcBorders>
            <w:shd w:val="clear" w:color="auto" w:fill="auto"/>
            <w:hideMark/>
          </w:tcPr>
          <w:p w14:paraId="002C4A35" w14:textId="77777777" w:rsidR="006F3067" w:rsidRPr="008860BA" w:rsidRDefault="006F3067" w:rsidP="00332FF7">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Paza</w:t>
            </w:r>
          </w:p>
        </w:tc>
        <w:tc>
          <w:tcPr>
            <w:tcW w:w="967" w:type="dxa"/>
            <w:tcBorders>
              <w:top w:val="nil"/>
              <w:left w:val="nil"/>
              <w:bottom w:val="single" w:sz="4" w:space="0" w:color="auto"/>
              <w:right w:val="single" w:sz="4" w:space="0" w:color="auto"/>
            </w:tcBorders>
            <w:shd w:val="clear" w:color="auto" w:fill="auto"/>
            <w:noWrap/>
            <w:vAlign w:val="bottom"/>
            <w:hideMark/>
          </w:tcPr>
          <w:p w14:paraId="3E279079"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99" w:type="dxa"/>
            <w:tcBorders>
              <w:top w:val="nil"/>
              <w:left w:val="nil"/>
              <w:bottom w:val="single" w:sz="4" w:space="0" w:color="auto"/>
              <w:right w:val="single" w:sz="4" w:space="0" w:color="auto"/>
            </w:tcBorders>
            <w:shd w:val="clear" w:color="auto" w:fill="auto"/>
            <w:hideMark/>
          </w:tcPr>
          <w:p w14:paraId="0EDE34CC"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23,49</w:t>
            </w:r>
          </w:p>
        </w:tc>
        <w:tc>
          <w:tcPr>
            <w:tcW w:w="1195" w:type="dxa"/>
            <w:tcBorders>
              <w:top w:val="nil"/>
              <w:left w:val="nil"/>
              <w:bottom w:val="single" w:sz="4" w:space="0" w:color="auto"/>
              <w:right w:val="single" w:sz="4" w:space="0" w:color="auto"/>
            </w:tcBorders>
            <w:shd w:val="clear" w:color="auto" w:fill="auto"/>
            <w:noWrap/>
            <w:vAlign w:val="bottom"/>
            <w:hideMark/>
          </w:tcPr>
          <w:p w14:paraId="7D9C38DE"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23,49</w:t>
            </w:r>
          </w:p>
        </w:tc>
        <w:tc>
          <w:tcPr>
            <w:tcW w:w="1092" w:type="dxa"/>
            <w:tcBorders>
              <w:top w:val="nil"/>
              <w:left w:val="nil"/>
              <w:bottom w:val="single" w:sz="4" w:space="0" w:color="auto"/>
              <w:right w:val="single" w:sz="4" w:space="0" w:color="auto"/>
            </w:tcBorders>
            <w:shd w:val="clear" w:color="auto" w:fill="auto"/>
            <w:noWrap/>
            <w:vAlign w:val="bottom"/>
            <w:hideMark/>
          </w:tcPr>
          <w:p w14:paraId="6D3E96C7"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23,49</w:t>
            </w:r>
          </w:p>
        </w:tc>
        <w:tc>
          <w:tcPr>
            <w:tcW w:w="1224" w:type="dxa"/>
            <w:tcBorders>
              <w:top w:val="nil"/>
              <w:left w:val="nil"/>
              <w:bottom w:val="single" w:sz="4" w:space="0" w:color="auto"/>
              <w:right w:val="single" w:sz="4" w:space="0" w:color="auto"/>
            </w:tcBorders>
            <w:shd w:val="clear" w:color="auto" w:fill="auto"/>
            <w:noWrap/>
            <w:vAlign w:val="bottom"/>
            <w:hideMark/>
          </w:tcPr>
          <w:p w14:paraId="152B537F"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259" w:type="dxa"/>
            <w:tcBorders>
              <w:top w:val="nil"/>
              <w:left w:val="nil"/>
              <w:bottom w:val="single" w:sz="4" w:space="0" w:color="auto"/>
              <w:right w:val="single" w:sz="4" w:space="0" w:color="auto"/>
            </w:tcBorders>
            <w:shd w:val="clear" w:color="auto" w:fill="auto"/>
            <w:noWrap/>
            <w:vAlign w:val="bottom"/>
            <w:hideMark/>
          </w:tcPr>
          <w:p w14:paraId="3A2EE4B6"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67" w:type="dxa"/>
            <w:tcBorders>
              <w:top w:val="nil"/>
              <w:left w:val="nil"/>
              <w:bottom w:val="single" w:sz="4" w:space="0" w:color="auto"/>
              <w:right w:val="single" w:sz="4" w:space="0" w:color="auto"/>
            </w:tcBorders>
            <w:shd w:val="clear" w:color="auto" w:fill="auto"/>
            <w:noWrap/>
            <w:vAlign w:val="bottom"/>
            <w:hideMark/>
          </w:tcPr>
          <w:p w14:paraId="3408EF16"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22" w:type="dxa"/>
            <w:tcBorders>
              <w:top w:val="nil"/>
              <w:left w:val="nil"/>
              <w:bottom w:val="single" w:sz="4" w:space="0" w:color="auto"/>
              <w:right w:val="single" w:sz="4" w:space="0" w:color="auto"/>
            </w:tcBorders>
            <w:shd w:val="clear" w:color="auto" w:fill="auto"/>
            <w:noWrap/>
            <w:vAlign w:val="bottom"/>
            <w:hideMark/>
          </w:tcPr>
          <w:p w14:paraId="55C8F815"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22" w:type="dxa"/>
            <w:tcBorders>
              <w:top w:val="nil"/>
              <w:left w:val="nil"/>
              <w:bottom w:val="single" w:sz="4" w:space="0" w:color="auto"/>
              <w:right w:val="single" w:sz="4" w:space="0" w:color="auto"/>
            </w:tcBorders>
            <w:shd w:val="clear" w:color="auto" w:fill="auto"/>
            <w:noWrap/>
            <w:vAlign w:val="bottom"/>
            <w:hideMark/>
          </w:tcPr>
          <w:p w14:paraId="19E21659"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908" w:type="dxa"/>
            <w:tcBorders>
              <w:top w:val="nil"/>
              <w:left w:val="nil"/>
              <w:bottom w:val="single" w:sz="4" w:space="0" w:color="auto"/>
              <w:right w:val="single" w:sz="4" w:space="0" w:color="auto"/>
            </w:tcBorders>
            <w:shd w:val="clear" w:color="auto" w:fill="auto"/>
            <w:noWrap/>
            <w:vAlign w:val="bottom"/>
            <w:hideMark/>
          </w:tcPr>
          <w:p w14:paraId="11800A35"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r>
      <w:tr w:rsidR="006F3067" w:rsidRPr="008860BA" w14:paraId="09F476C2" w14:textId="77777777" w:rsidTr="006F3067">
        <w:trPr>
          <w:trHeight w:val="20"/>
        </w:trPr>
        <w:tc>
          <w:tcPr>
            <w:tcW w:w="3423" w:type="dxa"/>
            <w:tcBorders>
              <w:top w:val="nil"/>
              <w:left w:val="single" w:sz="4" w:space="0" w:color="auto"/>
              <w:bottom w:val="single" w:sz="4" w:space="0" w:color="auto"/>
              <w:right w:val="single" w:sz="4" w:space="0" w:color="auto"/>
            </w:tcBorders>
            <w:shd w:val="clear" w:color="auto" w:fill="auto"/>
            <w:hideMark/>
          </w:tcPr>
          <w:p w14:paraId="405CBDE7" w14:textId="77777777" w:rsidR="006F3067" w:rsidRPr="008860BA" w:rsidRDefault="006F3067" w:rsidP="00332FF7">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Penalitate</w:t>
            </w:r>
          </w:p>
        </w:tc>
        <w:tc>
          <w:tcPr>
            <w:tcW w:w="967" w:type="dxa"/>
            <w:tcBorders>
              <w:top w:val="nil"/>
              <w:left w:val="nil"/>
              <w:bottom w:val="single" w:sz="4" w:space="0" w:color="auto"/>
              <w:right w:val="single" w:sz="4" w:space="0" w:color="auto"/>
            </w:tcBorders>
            <w:shd w:val="clear" w:color="auto" w:fill="auto"/>
            <w:noWrap/>
            <w:vAlign w:val="bottom"/>
            <w:hideMark/>
          </w:tcPr>
          <w:p w14:paraId="40EE2135"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99" w:type="dxa"/>
            <w:tcBorders>
              <w:top w:val="nil"/>
              <w:left w:val="nil"/>
              <w:bottom w:val="single" w:sz="4" w:space="0" w:color="auto"/>
              <w:right w:val="single" w:sz="4" w:space="0" w:color="auto"/>
            </w:tcBorders>
            <w:shd w:val="clear" w:color="auto" w:fill="auto"/>
            <w:hideMark/>
          </w:tcPr>
          <w:p w14:paraId="0A7CC360"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5,67</w:t>
            </w:r>
          </w:p>
        </w:tc>
        <w:tc>
          <w:tcPr>
            <w:tcW w:w="1195" w:type="dxa"/>
            <w:tcBorders>
              <w:top w:val="nil"/>
              <w:left w:val="nil"/>
              <w:bottom w:val="single" w:sz="4" w:space="0" w:color="auto"/>
              <w:right w:val="single" w:sz="4" w:space="0" w:color="auto"/>
            </w:tcBorders>
            <w:shd w:val="clear" w:color="auto" w:fill="auto"/>
            <w:noWrap/>
            <w:vAlign w:val="bottom"/>
            <w:hideMark/>
          </w:tcPr>
          <w:p w14:paraId="6F5FFA89"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5,67</w:t>
            </w:r>
          </w:p>
        </w:tc>
        <w:tc>
          <w:tcPr>
            <w:tcW w:w="1092" w:type="dxa"/>
            <w:tcBorders>
              <w:top w:val="nil"/>
              <w:left w:val="nil"/>
              <w:bottom w:val="single" w:sz="4" w:space="0" w:color="auto"/>
              <w:right w:val="single" w:sz="4" w:space="0" w:color="auto"/>
            </w:tcBorders>
            <w:shd w:val="clear" w:color="auto" w:fill="auto"/>
            <w:hideMark/>
          </w:tcPr>
          <w:p w14:paraId="501B509B"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1224" w:type="dxa"/>
            <w:tcBorders>
              <w:top w:val="nil"/>
              <w:left w:val="nil"/>
              <w:bottom w:val="single" w:sz="4" w:space="0" w:color="auto"/>
              <w:right w:val="single" w:sz="4" w:space="0" w:color="auto"/>
            </w:tcBorders>
            <w:shd w:val="clear" w:color="auto" w:fill="auto"/>
            <w:noWrap/>
            <w:vAlign w:val="bottom"/>
            <w:hideMark/>
          </w:tcPr>
          <w:p w14:paraId="42F02772"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259" w:type="dxa"/>
            <w:tcBorders>
              <w:top w:val="nil"/>
              <w:left w:val="nil"/>
              <w:bottom w:val="single" w:sz="4" w:space="0" w:color="auto"/>
              <w:right w:val="single" w:sz="4" w:space="0" w:color="auto"/>
            </w:tcBorders>
            <w:shd w:val="clear" w:color="auto" w:fill="auto"/>
            <w:noWrap/>
            <w:vAlign w:val="bottom"/>
            <w:hideMark/>
          </w:tcPr>
          <w:p w14:paraId="122611CA"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67" w:type="dxa"/>
            <w:tcBorders>
              <w:top w:val="nil"/>
              <w:left w:val="nil"/>
              <w:bottom w:val="single" w:sz="4" w:space="0" w:color="auto"/>
              <w:right w:val="single" w:sz="4" w:space="0" w:color="auto"/>
            </w:tcBorders>
            <w:shd w:val="clear" w:color="auto" w:fill="auto"/>
            <w:noWrap/>
            <w:vAlign w:val="bottom"/>
            <w:hideMark/>
          </w:tcPr>
          <w:p w14:paraId="59852FE6"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22" w:type="dxa"/>
            <w:tcBorders>
              <w:top w:val="nil"/>
              <w:left w:val="nil"/>
              <w:bottom w:val="single" w:sz="4" w:space="0" w:color="auto"/>
              <w:right w:val="single" w:sz="4" w:space="0" w:color="auto"/>
            </w:tcBorders>
            <w:shd w:val="clear" w:color="auto" w:fill="auto"/>
            <w:noWrap/>
            <w:vAlign w:val="bottom"/>
            <w:hideMark/>
          </w:tcPr>
          <w:p w14:paraId="658B6943"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22" w:type="dxa"/>
            <w:tcBorders>
              <w:top w:val="nil"/>
              <w:left w:val="nil"/>
              <w:bottom w:val="single" w:sz="4" w:space="0" w:color="auto"/>
              <w:right w:val="single" w:sz="4" w:space="0" w:color="auto"/>
            </w:tcBorders>
            <w:shd w:val="clear" w:color="auto" w:fill="auto"/>
            <w:noWrap/>
            <w:vAlign w:val="bottom"/>
            <w:hideMark/>
          </w:tcPr>
          <w:p w14:paraId="30521FF5"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5,67</w:t>
            </w:r>
          </w:p>
        </w:tc>
        <w:tc>
          <w:tcPr>
            <w:tcW w:w="908" w:type="dxa"/>
            <w:tcBorders>
              <w:top w:val="nil"/>
              <w:left w:val="nil"/>
              <w:bottom w:val="single" w:sz="4" w:space="0" w:color="auto"/>
              <w:right w:val="single" w:sz="4" w:space="0" w:color="auto"/>
            </w:tcBorders>
            <w:shd w:val="clear" w:color="auto" w:fill="auto"/>
            <w:noWrap/>
            <w:vAlign w:val="bottom"/>
            <w:hideMark/>
          </w:tcPr>
          <w:p w14:paraId="59A0D411"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r>
      <w:tr w:rsidR="006F3067" w:rsidRPr="008860BA" w14:paraId="637C473A" w14:textId="77777777" w:rsidTr="006F3067">
        <w:trPr>
          <w:trHeight w:val="20"/>
        </w:trPr>
        <w:tc>
          <w:tcPr>
            <w:tcW w:w="3423" w:type="dxa"/>
            <w:tcBorders>
              <w:top w:val="nil"/>
              <w:left w:val="single" w:sz="4" w:space="0" w:color="auto"/>
              <w:bottom w:val="single" w:sz="4" w:space="0" w:color="auto"/>
              <w:right w:val="single" w:sz="4" w:space="0" w:color="auto"/>
            </w:tcBorders>
            <w:shd w:val="clear" w:color="auto" w:fill="auto"/>
            <w:hideMark/>
          </w:tcPr>
          <w:p w14:paraId="027C9725" w14:textId="1269144E" w:rsidR="006F3067" w:rsidRPr="008860BA" w:rsidRDefault="006F3067">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Perfec</w:t>
            </w:r>
            <w:r w:rsidR="00885EE0" w:rsidRPr="008860BA">
              <w:rPr>
                <w:rFonts w:asciiTheme="majorHAnsi" w:eastAsia="Times New Roman" w:hAnsiTheme="majorHAnsi" w:cstheme="majorHAnsi"/>
                <w:sz w:val="18"/>
                <w:szCs w:val="18"/>
                <w:lang w:val="ro-MD"/>
              </w:rPr>
              <w:t>ț</w:t>
            </w:r>
            <w:r w:rsidRPr="008860BA">
              <w:rPr>
                <w:rFonts w:asciiTheme="majorHAnsi" w:eastAsia="Times New Roman" w:hAnsiTheme="majorHAnsi" w:cstheme="majorHAnsi"/>
                <w:sz w:val="18"/>
                <w:szCs w:val="18"/>
                <w:lang w:val="ro-MD"/>
              </w:rPr>
              <w:t>ionarea cadrelor</w:t>
            </w:r>
          </w:p>
        </w:tc>
        <w:tc>
          <w:tcPr>
            <w:tcW w:w="967" w:type="dxa"/>
            <w:tcBorders>
              <w:top w:val="nil"/>
              <w:left w:val="nil"/>
              <w:bottom w:val="single" w:sz="4" w:space="0" w:color="auto"/>
              <w:right w:val="single" w:sz="4" w:space="0" w:color="auto"/>
            </w:tcBorders>
            <w:shd w:val="clear" w:color="auto" w:fill="auto"/>
            <w:noWrap/>
            <w:vAlign w:val="bottom"/>
            <w:hideMark/>
          </w:tcPr>
          <w:p w14:paraId="00BF0F6E"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99" w:type="dxa"/>
            <w:tcBorders>
              <w:top w:val="nil"/>
              <w:left w:val="nil"/>
              <w:bottom w:val="single" w:sz="4" w:space="0" w:color="auto"/>
              <w:right w:val="single" w:sz="4" w:space="0" w:color="auto"/>
            </w:tcBorders>
            <w:shd w:val="clear" w:color="auto" w:fill="auto"/>
            <w:hideMark/>
          </w:tcPr>
          <w:p w14:paraId="3CBFB027"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157,76</w:t>
            </w:r>
          </w:p>
        </w:tc>
        <w:tc>
          <w:tcPr>
            <w:tcW w:w="1195" w:type="dxa"/>
            <w:tcBorders>
              <w:top w:val="nil"/>
              <w:left w:val="nil"/>
              <w:bottom w:val="single" w:sz="4" w:space="0" w:color="auto"/>
              <w:right w:val="single" w:sz="4" w:space="0" w:color="auto"/>
            </w:tcBorders>
            <w:shd w:val="clear" w:color="auto" w:fill="auto"/>
            <w:noWrap/>
            <w:vAlign w:val="bottom"/>
            <w:hideMark/>
          </w:tcPr>
          <w:p w14:paraId="20D593B1"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157,76</w:t>
            </w:r>
          </w:p>
        </w:tc>
        <w:tc>
          <w:tcPr>
            <w:tcW w:w="1092" w:type="dxa"/>
            <w:tcBorders>
              <w:top w:val="nil"/>
              <w:left w:val="nil"/>
              <w:bottom w:val="single" w:sz="4" w:space="0" w:color="auto"/>
              <w:right w:val="single" w:sz="4" w:space="0" w:color="auto"/>
            </w:tcBorders>
            <w:shd w:val="clear" w:color="auto" w:fill="auto"/>
            <w:noWrap/>
            <w:vAlign w:val="bottom"/>
            <w:hideMark/>
          </w:tcPr>
          <w:p w14:paraId="3C8FB7A1"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132,34</w:t>
            </w:r>
          </w:p>
        </w:tc>
        <w:tc>
          <w:tcPr>
            <w:tcW w:w="1224" w:type="dxa"/>
            <w:tcBorders>
              <w:top w:val="nil"/>
              <w:left w:val="nil"/>
              <w:bottom w:val="single" w:sz="4" w:space="0" w:color="auto"/>
              <w:right w:val="single" w:sz="4" w:space="0" w:color="auto"/>
            </w:tcBorders>
            <w:shd w:val="clear" w:color="auto" w:fill="auto"/>
            <w:noWrap/>
            <w:vAlign w:val="bottom"/>
            <w:hideMark/>
          </w:tcPr>
          <w:p w14:paraId="70847C85"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259" w:type="dxa"/>
            <w:tcBorders>
              <w:top w:val="nil"/>
              <w:left w:val="nil"/>
              <w:bottom w:val="single" w:sz="4" w:space="0" w:color="auto"/>
              <w:right w:val="single" w:sz="4" w:space="0" w:color="auto"/>
            </w:tcBorders>
            <w:shd w:val="clear" w:color="auto" w:fill="auto"/>
            <w:noWrap/>
            <w:vAlign w:val="bottom"/>
            <w:hideMark/>
          </w:tcPr>
          <w:p w14:paraId="25A9DCC6"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67" w:type="dxa"/>
            <w:tcBorders>
              <w:top w:val="nil"/>
              <w:left w:val="nil"/>
              <w:bottom w:val="single" w:sz="4" w:space="0" w:color="auto"/>
              <w:right w:val="single" w:sz="4" w:space="0" w:color="auto"/>
            </w:tcBorders>
            <w:shd w:val="clear" w:color="auto" w:fill="auto"/>
            <w:noWrap/>
            <w:vAlign w:val="bottom"/>
            <w:hideMark/>
          </w:tcPr>
          <w:p w14:paraId="0087657C"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4,03</w:t>
            </w:r>
          </w:p>
        </w:tc>
        <w:tc>
          <w:tcPr>
            <w:tcW w:w="822" w:type="dxa"/>
            <w:tcBorders>
              <w:top w:val="nil"/>
              <w:left w:val="nil"/>
              <w:bottom w:val="single" w:sz="4" w:space="0" w:color="auto"/>
              <w:right w:val="single" w:sz="4" w:space="0" w:color="auto"/>
            </w:tcBorders>
            <w:shd w:val="clear" w:color="auto" w:fill="auto"/>
            <w:noWrap/>
            <w:vAlign w:val="bottom"/>
            <w:hideMark/>
          </w:tcPr>
          <w:p w14:paraId="654CF972"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22" w:type="dxa"/>
            <w:tcBorders>
              <w:top w:val="nil"/>
              <w:left w:val="nil"/>
              <w:bottom w:val="single" w:sz="4" w:space="0" w:color="auto"/>
              <w:right w:val="single" w:sz="4" w:space="0" w:color="auto"/>
            </w:tcBorders>
            <w:shd w:val="clear" w:color="auto" w:fill="auto"/>
            <w:noWrap/>
            <w:vAlign w:val="bottom"/>
            <w:hideMark/>
          </w:tcPr>
          <w:p w14:paraId="550A7B7B"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21,39</w:t>
            </w:r>
          </w:p>
        </w:tc>
        <w:tc>
          <w:tcPr>
            <w:tcW w:w="908" w:type="dxa"/>
            <w:tcBorders>
              <w:top w:val="nil"/>
              <w:left w:val="nil"/>
              <w:bottom w:val="single" w:sz="4" w:space="0" w:color="auto"/>
              <w:right w:val="single" w:sz="4" w:space="0" w:color="auto"/>
            </w:tcBorders>
            <w:shd w:val="clear" w:color="auto" w:fill="auto"/>
            <w:noWrap/>
            <w:vAlign w:val="bottom"/>
            <w:hideMark/>
          </w:tcPr>
          <w:p w14:paraId="0E3006A9"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r>
      <w:tr w:rsidR="006F3067" w:rsidRPr="008860BA" w14:paraId="6A104197" w14:textId="77777777" w:rsidTr="006F3067">
        <w:trPr>
          <w:trHeight w:val="20"/>
        </w:trPr>
        <w:tc>
          <w:tcPr>
            <w:tcW w:w="3423" w:type="dxa"/>
            <w:tcBorders>
              <w:top w:val="nil"/>
              <w:left w:val="single" w:sz="4" w:space="0" w:color="auto"/>
              <w:bottom w:val="single" w:sz="4" w:space="0" w:color="auto"/>
              <w:right w:val="single" w:sz="4" w:space="0" w:color="auto"/>
            </w:tcBorders>
            <w:shd w:val="clear" w:color="auto" w:fill="auto"/>
            <w:hideMark/>
          </w:tcPr>
          <w:p w14:paraId="31C56100" w14:textId="77777777" w:rsidR="006F3067" w:rsidRPr="008860BA" w:rsidRDefault="006F3067" w:rsidP="00332FF7">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Piese de schimb</w:t>
            </w:r>
          </w:p>
        </w:tc>
        <w:tc>
          <w:tcPr>
            <w:tcW w:w="967" w:type="dxa"/>
            <w:tcBorders>
              <w:top w:val="nil"/>
              <w:left w:val="nil"/>
              <w:bottom w:val="single" w:sz="4" w:space="0" w:color="auto"/>
              <w:right w:val="single" w:sz="4" w:space="0" w:color="auto"/>
            </w:tcBorders>
            <w:shd w:val="clear" w:color="auto" w:fill="auto"/>
            <w:noWrap/>
            <w:vAlign w:val="bottom"/>
            <w:hideMark/>
          </w:tcPr>
          <w:p w14:paraId="7C270A2C"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99" w:type="dxa"/>
            <w:tcBorders>
              <w:top w:val="nil"/>
              <w:left w:val="nil"/>
              <w:bottom w:val="single" w:sz="4" w:space="0" w:color="auto"/>
              <w:right w:val="single" w:sz="4" w:space="0" w:color="auto"/>
            </w:tcBorders>
            <w:shd w:val="clear" w:color="auto" w:fill="auto"/>
            <w:hideMark/>
          </w:tcPr>
          <w:p w14:paraId="00BE3DA3"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9,33</w:t>
            </w:r>
          </w:p>
        </w:tc>
        <w:tc>
          <w:tcPr>
            <w:tcW w:w="1195" w:type="dxa"/>
            <w:tcBorders>
              <w:top w:val="nil"/>
              <w:left w:val="nil"/>
              <w:bottom w:val="single" w:sz="4" w:space="0" w:color="auto"/>
              <w:right w:val="single" w:sz="4" w:space="0" w:color="auto"/>
            </w:tcBorders>
            <w:shd w:val="clear" w:color="auto" w:fill="auto"/>
            <w:noWrap/>
            <w:vAlign w:val="bottom"/>
            <w:hideMark/>
          </w:tcPr>
          <w:p w14:paraId="1D4F4F3D"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9,33</w:t>
            </w:r>
          </w:p>
        </w:tc>
        <w:tc>
          <w:tcPr>
            <w:tcW w:w="1092" w:type="dxa"/>
            <w:tcBorders>
              <w:top w:val="nil"/>
              <w:left w:val="nil"/>
              <w:bottom w:val="single" w:sz="4" w:space="0" w:color="auto"/>
              <w:right w:val="single" w:sz="4" w:space="0" w:color="auto"/>
            </w:tcBorders>
            <w:shd w:val="clear" w:color="auto" w:fill="auto"/>
            <w:noWrap/>
            <w:vAlign w:val="bottom"/>
            <w:hideMark/>
          </w:tcPr>
          <w:p w14:paraId="069F9368"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224" w:type="dxa"/>
            <w:tcBorders>
              <w:top w:val="nil"/>
              <w:left w:val="nil"/>
              <w:bottom w:val="single" w:sz="4" w:space="0" w:color="auto"/>
              <w:right w:val="single" w:sz="4" w:space="0" w:color="auto"/>
            </w:tcBorders>
            <w:shd w:val="clear" w:color="auto" w:fill="auto"/>
            <w:noWrap/>
            <w:vAlign w:val="bottom"/>
            <w:hideMark/>
          </w:tcPr>
          <w:p w14:paraId="32E6BD42"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2,54</w:t>
            </w:r>
          </w:p>
        </w:tc>
        <w:tc>
          <w:tcPr>
            <w:tcW w:w="1259" w:type="dxa"/>
            <w:tcBorders>
              <w:top w:val="nil"/>
              <w:left w:val="nil"/>
              <w:bottom w:val="single" w:sz="4" w:space="0" w:color="auto"/>
              <w:right w:val="single" w:sz="4" w:space="0" w:color="auto"/>
            </w:tcBorders>
            <w:shd w:val="clear" w:color="auto" w:fill="auto"/>
            <w:noWrap/>
            <w:vAlign w:val="bottom"/>
            <w:hideMark/>
          </w:tcPr>
          <w:p w14:paraId="58F75F36"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67" w:type="dxa"/>
            <w:tcBorders>
              <w:top w:val="nil"/>
              <w:left w:val="nil"/>
              <w:bottom w:val="single" w:sz="4" w:space="0" w:color="auto"/>
              <w:right w:val="single" w:sz="4" w:space="0" w:color="auto"/>
            </w:tcBorders>
            <w:shd w:val="clear" w:color="auto" w:fill="auto"/>
            <w:noWrap/>
            <w:vAlign w:val="bottom"/>
            <w:hideMark/>
          </w:tcPr>
          <w:p w14:paraId="250C6EBA"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22" w:type="dxa"/>
            <w:tcBorders>
              <w:top w:val="nil"/>
              <w:left w:val="nil"/>
              <w:bottom w:val="single" w:sz="4" w:space="0" w:color="auto"/>
              <w:right w:val="single" w:sz="4" w:space="0" w:color="auto"/>
            </w:tcBorders>
            <w:shd w:val="clear" w:color="auto" w:fill="auto"/>
            <w:noWrap/>
            <w:vAlign w:val="bottom"/>
            <w:hideMark/>
          </w:tcPr>
          <w:p w14:paraId="6900981B"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22" w:type="dxa"/>
            <w:tcBorders>
              <w:top w:val="nil"/>
              <w:left w:val="nil"/>
              <w:bottom w:val="single" w:sz="4" w:space="0" w:color="auto"/>
              <w:right w:val="single" w:sz="4" w:space="0" w:color="auto"/>
            </w:tcBorders>
            <w:shd w:val="clear" w:color="auto" w:fill="auto"/>
            <w:noWrap/>
            <w:vAlign w:val="bottom"/>
            <w:hideMark/>
          </w:tcPr>
          <w:p w14:paraId="56D82909"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5,82</w:t>
            </w:r>
          </w:p>
        </w:tc>
        <w:tc>
          <w:tcPr>
            <w:tcW w:w="908" w:type="dxa"/>
            <w:tcBorders>
              <w:top w:val="nil"/>
              <w:left w:val="nil"/>
              <w:bottom w:val="single" w:sz="4" w:space="0" w:color="auto"/>
              <w:right w:val="single" w:sz="4" w:space="0" w:color="auto"/>
            </w:tcBorders>
            <w:shd w:val="clear" w:color="auto" w:fill="auto"/>
            <w:noWrap/>
            <w:vAlign w:val="bottom"/>
            <w:hideMark/>
          </w:tcPr>
          <w:p w14:paraId="3DAB2752"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0,98</w:t>
            </w:r>
          </w:p>
        </w:tc>
      </w:tr>
      <w:tr w:rsidR="006F3067" w:rsidRPr="008860BA" w14:paraId="610ABC40" w14:textId="77777777" w:rsidTr="006F3067">
        <w:trPr>
          <w:trHeight w:val="20"/>
        </w:trPr>
        <w:tc>
          <w:tcPr>
            <w:tcW w:w="3423" w:type="dxa"/>
            <w:tcBorders>
              <w:top w:val="nil"/>
              <w:left w:val="single" w:sz="4" w:space="0" w:color="auto"/>
              <w:bottom w:val="single" w:sz="4" w:space="0" w:color="auto"/>
              <w:right w:val="single" w:sz="4" w:space="0" w:color="auto"/>
            </w:tcBorders>
            <w:shd w:val="clear" w:color="auto" w:fill="auto"/>
            <w:hideMark/>
          </w:tcPr>
          <w:p w14:paraId="0CB11EAB" w14:textId="77777777" w:rsidR="006F3067" w:rsidRPr="008860BA" w:rsidRDefault="006F3067" w:rsidP="00332FF7">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Produse petroliere</w:t>
            </w:r>
          </w:p>
        </w:tc>
        <w:tc>
          <w:tcPr>
            <w:tcW w:w="967" w:type="dxa"/>
            <w:tcBorders>
              <w:top w:val="nil"/>
              <w:left w:val="nil"/>
              <w:bottom w:val="single" w:sz="4" w:space="0" w:color="auto"/>
              <w:right w:val="single" w:sz="4" w:space="0" w:color="auto"/>
            </w:tcBorders>
            <w:shd w:val="clear" w:color="auto" w:fill="auto"/>
            <w:noWrap/>
            <w:vAlign w:val="bottom"/>
            <w:hideMark/>
          </w:tcPr>
          <w:p w14:paraId="01F22D50"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99" w:type="dxa"/>
            <w:tcBorders>
              <w:top w:val="nil"/>
              <w:left w:val="nil"/>
              <w:bottom w:val="single" w:sz="4" w:space="0" w:color="auto"/>
              <w:right w:val="single" w:sz="4" w:space="0" w:color="auto"/>
            </w:tcBorders>
            <w:shd w:val="clear" w:color="auto" w:fill="auto"/>
            <w:hideMark/>
          </w:tcPr>
          <w:p w14:paraId="42C10977"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403,90</w:t>
            </w:r>
          </w:p>
        </w:tc>
        <w:tc>
          <w:tcPr>
            <w:tcW w:w="1195" w:type="dxa"/>
            <w:tcBorders>
              <w:top w:val="nil"/>
              <w:left w:val="nil"/>
              <w:bottom w:val="single" w:sz="4" w:space="0" w:color="auto"/>
              <w:right w:val="single" w:sz="4" w:space="0" w:color="auto"/>
            </w:tcBorders>
            <w:shd w:val="clear" w:color="auto" w:fill="auto"/>
            <w:noWrap/>
            <w:vAlign w:val="bottom"/>
            <w:hideMark/>
          </w:tcPr>
          <w:p w14:paraId="0294E4F1"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403,90</w:t>
            </w:r>
          </w:p>
        </w:tc>
        <w:tc>
          <w:tcPr>
            <w:tcW w:w="1092" w:type="dxa"/>
            <w:tcBorders>
              <w:top w:val="nil"/>
              <w:left w:val="nil"/>
              <w:bottom w:val="single" w:sz="4" w:space="0" w:color="auto"/>
              <w:right w:val="single" w:sz="4" w:space="0" w:color="auto"/>
            </w:tcBorders>
            <w:shd w:val="clear" w:color="auto" w:fill="auto"/>
            <w:noWrap/>
            <w:vAlign w:val="bottom"/>
            <w:hideMark/>
          </w:tcPr>
          <w:p w14:paraId="251F9957"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2,64</w:t>
            </w:r>
          </w:p>
        </w:tc>
        <w:tc>
          <w:tcPr>
            <w:tcW w:w="1224" w:type="dxa"/>
            <w:tcBorders>
              <w:top w:val="nil"/>
              <w:left w:val="nil"/>
              <w:bottom w:val="single" w:sz="4" w:space="0" w:color="auto"/>
              <w:right w:val="single" w:sz="4" w:space="0" w:color="auto"/>
            </w:tcBorders>
            <w:shd w:val="clear" w:color="auto" w:fill="auto"/>
            <w:noWrap/>
            <w:vAlign w:val="bottom"/>
            <w:hideMark/>
          </w:tcPr>
          <w:p w14:paraId="484A6364"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221,45</w:t>
            </w:r>
          </w:p>
        </w:tc>
        <w:tc>
          <w:tcPr>
            <w:tcW w:w="1259" w:type="dxa"/>
            <w:tcBorders>
              <w:top w:val="nil"/>
              <w:left w:val="nil"/>
              <w:bottom w:val="single" w:sz="4" w:space="0" w:color="auto"/>
              <w:right w:val="single" w:sz="4" w:space="0" w:color="auto"/>
            </w:tcBorders>
            <w:shd w:val="clear" w:color="auto" w:fill="auto"/>
            <w:noWrap/>
            <w:vAlign w:val="bottom"/>
            <w:hideMark/>
          </w:tcPr>
          <w:p w14:paraId="68D3DA6D"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67" w:type="dxa"/>
            <w:tcBorders>
              <w:top w:val="nil"/>
              <w:left w:val="nil"/>
              <w:bottom w:val="single" w:sz="4" w:space="0" w:color="auto"/>
              <w:right w:val="single" w:sz="4" w:space="0" w:color="auto"/>
            </w:tcBorders>
            <w:shd w:val="clear" w:color="auto" w:fill="auto"/>
            <w:noWrap/>
            <w:vAlign w:val="bottom"/>
            <w:hideMark/>
          </w:tcPr>
          <w:p w14:paraId="226F8568"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22" w:type="dxa"/>
            <w:tcBorders>
              <w:top w:val="nil"/>
              <w:left w:val="nil"/>
              <w:bottom w:val="single" w:sz="4" w:space="0" w:color="auto"/>
              <w:right w:val="single" w:sz="4" w:space="0" w:color="auto"/>
            </w:tcBorders>
            <w:shd w:val="clear" w:color="auto" w:fill="auto"/>
            <w:noWrap/>
            <w:vAlign w:val="bottom"/>
            <w:hideMark/>
          </w:tcPr>
          <w:p w14:paraId="2B5D9949"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22" w:type="dxa"/>
            <w:tcBorders>
              <w:top w:val="nil"/>
              <w:left w:val="nil"/>
              <w:bottom w:val="single" w:sz="4" w:space="0" w:color="auto"/>
              <w:right w:val="single" w:sz="4" w:space="0" w:color="auto"/>
            </w:tcBorders>
            <w:shd w:val="clear" w:color="auto" w:fill="auto"/>
            <w:noWrap/>
            <w:vAlign w:val="bottom"/>
            <w:hideMark/>
          </w:tcPr>
          <w:p w14:paraId="40CE4954"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908" w:type="dxa"/>
            <w:tcBorders>
              <w:top w:val="nil"/>
              <w:left w:val="nil"/>
              <w:bottom w:val="single" w:sz="4" w:space="0" w:color="auto"/>
              <w:right w:val="single" w:sz="4" w:space="0" w:color="auto"/>
            </w:tcBorders>
            <w:shd w:val="clear" w:color="auto" w:fill="auto"/>
            <w:noWrap/>
            <w:vAlign w:val="bottom"/>
            <w:hideMark/>
          </w:tcPr>
          <w:p w14:paraId="44E0041E"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179,81</w:t>
            </w:r>
          </w:p>
        </w:tc>
      </w:tr>
      <w:tr w:rsidR="006F3067" w:rsidRPr="008860BA" w14:paraId="26CC25EE" w14:textId="77777777" w:rsidTr="006F3067">
        <w:trPr>
          <w:trHeight w:val="20"/>
        </w:trPr>
        <w:tc>
          <w:tcPr>
            <w:tcW w:w="3423" w:type="dxa"/>
            <w:tcBorders>
              <w:top w:val="nil"/>
              <w:left w:val="single" w:sz="4" w:space="0" w:color="auto"/>
              <w:bottom w:val="single" w:sz="4" w:space="0" w:color="auto"/>
              <w:right w:val="single" w:sz="4" w:space="0" w:color="auto"/>
            </w:tcBorders>
            <w:shd w:val="clear" w:color="auto" w:fill="auto"/>
            <w:hideMark/>
          </w:tcPr>
          <w:p w14:paraId="73E4DCC8" w14:textId="77777777" w:rsidR="006F3067" w:rsidRPr="008860BA" w:rsidRDefault="006F3067" w:rsidP="00332FF7">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Produse sanguine</w:t>
            </w:r>
          </w:p>
        </w:tc>
        <w:tc>
          <w:tcPr>
            <w:tcW w:w="967" w:type="dxa"/>
            <w:tcBorders>
              <w:top w:val="nil"/>
              <w:left w:val="nil"/>
              <w:bottom w:val="single" w:sz="4" w:space="0" w:color="auto"/>
              <w:right w:val="single" w:sz="4" w:space="0" w:color="auto"/>
            </w:tcBorders>
            <w:shd w:val="clear" w:color="auto" w:fill="auto"/>
            <w:noWrap/>
            <w:vAlign w:val="bottom"/>
            <w:hideMark/>
          </w:tcPr>
          <w:p w14:paraId="2DF6D653"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99" w:type="dxa"/>
            <w:tcBorders>
              <w:top w:val="nil"/>
              <w:left w:val="nil"/>
              <w:bottom w:val="single" w:sz="4" w:space="0" w:color="auto"/>
              <w:right w:val="single" w:sz="4" w:space="0" w:color="auto"/>
            </w:tcBorders>
            <w:shd w:val="clear" w:color="auto" w:fill="auto"/>
            <w:hideMark/>
          </w:tcPr>
          <w:p w14:paraId="7188F6C1"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1195" w:type="dxa"/>
            <w:tcBorders>
              <w:top w:val="nil"/>
              <w:left w:val="nil"/>
              <w:bottom w:val="single" w:sz="4" w:space="0" w:color="auto"/>
              <w:right w:val="single" w:sz="4" w:space="0" w:color="auto"/>
            </w:tcBorders>
            <w:shd w:val="clear" w:color="auto" w:fill="auto"/>
            <w:noWrap/>
            <w:vAlign w:val="bottom"/>
            <w:hideMark/>
          </w:tcPr>
          <w:p w14:paraId="2E6F4AB1"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92" w:type="dxa"/>
            <w:tcBorders>
              <w:top w:val="nil"/>
              <w:left w:val="nil"/>
              <w:bottom w:val="single" w:sz="4" w:space="0" w:color="auto"/>
              <w:right w:val="single" w:sz="4" w:space="0" w:color="auto"/>
            </w:tcBorders>
            <w:shd w:val="clear" w:color="auto" w:fill="auto"/>
            <w:hideMark/>
          </w:tcPr>
          <w:p w14:paraId="7E913673"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1224" w:type="dxa"/>
            <w:tcBorders>
              <w:top w:val="nil"/>
              <w:left w:val="nil"/>
              <w:bottom w:val="single" w:sz="4" w:space="0" w:color="auto"/>
              <w:right w:val="single" w:sz="4" w:space="0" w:color="auto"/>
            </w:tcBorders>
            <w:shd w:val="clear" w:color="auto" w:fill="auto"/>
            <w:noWrap/>
            <w:vAlign w:val="bottom"/>
            <w:hideMark/>
          </w:tcPr>
          <w:p w14:paraId="23E2C4ED"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259" w:type="dxa"/>
            <w:tcBorders>
              <w:top w:val="nil"/>
              <w:left w:val="nil"/>
              <w:bottom w:val="single" w:sz="4" w:space="0" w:color="auto"/>
              <w:right w:val="single" w:sz="4" w:space="0" w:color="auto"/>
            </w:tcBorders>
            <w:shd w:val="clear" w:color="auto" w:fill="auto"/>
            <w:noWrap/>
            <w:vAlign w:val="bottom"/>
            <w:hideMark/>
          </w:tcPr>
          <w:p w14:paraId="4DA98858"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67" w:type="dxa"/>
            <w:tcBorders>
              <w:top w:val="nil"/>
              <w:left w:val="nil"/>
              <w:bottom w:val="single" w:sz="4" w:space="0" w:color="auto"/>
              <w:right w:val="single" w:sz="4" w:space="0" w:color="auto"/>
            </w:tcBorders>
            <w:shd w:val="clear" w:color="auto" w:fill="auto"/>
            <w:noWrap/>
            <w:vAlign w:val="bottom"/>
            <w:hideMark/>
          </w:tcPr>
          <w:p w14:paraId="7BE08669"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22" w:type="dxa"/>
            <w:tcBorders>
              <w:top w:val="nil"/>
              <w:left w:val="nil"/>
              <w:bottom w:val="single" w:sz="4" w:space="0" w:color="auto"/>
              <w:right w:val="single" w:sz="4" w:space="0" w:color="auto"/>
            </w:tcBorders>
            <w:shd w:val="clear" w:color="auto" w:fill="auto"/>
            <w:noWrap/>
            <w:vAlign w:val="bottom"/>
            <w:hideMark/>
          </w:tcPr>
          <w:p w14:paraId="6F91604E"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22" w:type="dxa"/>
            <w:tcBorders>
              <w:top w:val="nil"/>
              <w:left w:val="nil"/>
              <w:bottom w:val="single" w:sz="4" w:space="0" w:color="auto"/>
              <w:right w:val="single" w:sz="4" w:space="0" w:color="auto"/>
            </w:tcBorders>
            <w:shd w:val="clear" w:color="auto" w:fill="auto"/>
            <w:noWrap/>
            <w:vAlign w:val="bottom"/>
            <w:hideMark/>
          </w:tcPr>
          <w:p w14:paraId="37287B69"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908" w:type="dxa"/>
            <w:tcBorders>
              <w:top w:val="nil"/>
              <w:left w:val="nil"/>
              <w:bottom w:val="single" w:sz="4" w:space="0" w:color="auto"/>
              <w:right w:val="single" w:sz="4" w:space="0" w:color="auto"/>
            </w:tcBorders>
            <w:shd w:val="clear" w:color="auto" w:fill="auto"/>
            <w:hideMark/>
          </w:tcPr>
          <w:p w14:paraId="2713345A"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r>
      <w:tr w:rsidR="006F3067" w:rsidRPr="008860BA" w14:paraId="08337647" w14:textId="77777777" w:rsidTr="006F3067">
        <w:trPr>
          <w:trHeight w:val="20"/>
        </w:trPr>
        <w:tc>
          <w:tcPr>
            <w:tcW w:w="3423" w:type="dxa"/>
            <w:tcBorders>
              <w:top w:val="nil"/>
              <w:left w:val="single" w:sz="4" w:space="0" w:color="auto"/>
              <w:bottom w:val="single" w:sz="4" w:space="0" w:color="auto"/>
              <w:right w:val="single" w:sz="4" w:space="0" w:color="auto"/>
            </w:tcBorders>
            <w:shd w:val="clear" w:color="auto" w:fill="auto"/>
            <w:hideMark/>
          </w:tcPr>
          <w:p w14:paraId="00D7EF03" w14:textId="61E5A99A" w:rsidR="006F3067" w:rsidRPr="008860BA" w:rsidRDefault="006F3067">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Protec</w:t>
            </w:r>
            <w:r w:rsidR="00885EE0" w:rsidRPr="008860BA">
              <w:rPr>
                <w:rFonts w:asciiTheme="majorHAnsi" w:eastAsia="Times New Roman" w:hAnsiTheme="majorHAnsi" w:cstheme="majorHAnsi"/>
                <w:sz w:val="18"/>
                <w:szCs w:val="18"/>
                <w:lang w:val="ro-MD"/>
              </w:rPr>
              <w:t>ț</w:t>
            </w:r>
            <w:r w:rsidRPr="008860BA">
              <w:rPr>
                <w:rFonts w:asciiTheme="majorHAnsi" w:eastAsia="Times New Roman" w:hAnsiTheme="majorHAnsi" w:cstheme="majorHAnsi"/>
                <w:sz w:val="18"/>
                <w:szCs w:val="18"/>
                <w:lang w:val="ro-MD"/>
              </w:rPr>
              <w:t>ia muncii (produse alimentare)</w:t>
            </w:r>
          </w:p>
        </w:tc>
        <w:tc>
          <w:tcPr>
            <w:tcW w:w="967" w:type="dxa"/>
            <w:tcBorders>
              <w:top w:val="nil"/>
              <w:left w:val="nil"/>
              <w:bottom w:val="single" w:sz="4" w:space="0" w:color="auto"/>
              <w:right w:val="single" w:sz="4" w:space="0" w:color="auto"/>
            </w:tcBorders>
            <w:shd w:val="clear" w:color="auto" w:fill="auto"/>
            <w:noWrap/>
            <w:vAlign w:val="bottom"/>
            <w:hideMark/>
          </w:tcPr>
          <w:p w14:paraId="76F8E781"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99" w:type="dxa"/>
            <w:tcBorders>
              <w:top w:val="nil"/>
              <w:left w:val="nil"/>
              <w:bottom w:val="single" w:sz="4" w:space="0" w:color="auto"/>
              <w:right w:val="single" w:sz="4" w:space="0" w:color="auto"/>
            </w:tcBorders>
            <w:shd w:val="clear" w:color="auto" w:fill="auto"/>
            <w:hideMark/>
          </w:tcPr>
          <w:p w14:paraId="45D64084"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142,85</w:t>
            </w:r>
          </w:p>
        </w:tc>
        <w:tc>
          <w:tcPr>
            <w:tcW w:w="1195" w:type="dxa"/>
            <w:tcBorders>
              <w:top w:val="nil"/>
              <w:left w:val="nil"/>
              <w:bottom w:val="single" w:sz="4" w:space="0" w:color="auto"/>
              <w:right w:val="single" w:sz="4" w:space="0" w:color="auto"/>
            </w:tcBorders>
            <w:shd w:val="clear" w:color="auto" w:fill="auto"/>
            <w:noWrap/>
            <w:vAlign w:val="bottom"/>
            <w:hideMark/>
          </w:tcPr>
          <w:p w14:paraId="4775E8AF"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142,85</w:t>
            </w:r>
          </w:p>
        </w:tc>
        <w:tc>
          <w:tcPr>
            <w:tcW w:w="1092" w:type="dxa"/>
            <w:tcBorders>
              <w:top w:val="nil"/>
              <w:left w:val="nil"/>
              <w:bottom w:val="single" w:sz="4" w:space="0" w:color="auto"/>
              <w:right w:val="single" w:sz="4" w:space="0" w:color="auto"/>
            </w:tcBorders>
            <w:shd w:val="clear" w:color="auto" w:fill="auto"/>
            <w:noWrap/>
            <w:vAlign w:val="bottom"/>
            <w:hideMark/>
          </w:tcPr>
          <w:p w14:paraId="116C6E86"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142,85</w:t>
            </w:r>
          </w:p>
        </w:tc>
        <w:tc>
          <w:tcPr>
            <w:tcW w:w="1224" w:type="dxa"/>
            <w:tcBorders>
              <w:top w:val="nil"/>
              <w:left w:val="nil"/>
              <w:bottom w:val="single" w:sz="4" w:space="0" w:color="auto"/>
              <w:right w:val="single" w:sz="4" w:space="0" w:color="auto"/>
            </w:tcBorders>
            <w:shd w:val="clear" w:color="auto" w:fill="auto"/>
            <w:noWrap/>
            <w:vAlign w:val="bottom"/>
            <w:hideMark/>
          </w:tcPr>
          <w:p w14:paraId="07D8C235"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259" w:type="dxa"/>
            <w:tcBorders>
              <w:top w:val="nil"/>
              <w:left w:val="nil"/>
              <w:bottom w:val="single" w:sz="4" w:space="0" w:color="auto"/>
              <w:right w:val="single" w:sz="4" w:space="0" w:color="auto"/>
            </w:tcBorders>
            <w:shd w:val="clear" w:color="auto" w:fill="auto"/>
            <w:noWrap/>
            <w:vAlign w:val="bottom"/>
            <w:hideMark/>
          </w:tcPr>
          <w:p w14:paraId="219F0F39"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67" w:type="dxa"/>
            <w:tcBorders>
              <w:top w:val="nil"/>
              <w:left w:val="nil"/>
              <w:bottom w:val="single" w:sz="4" w:space="0" w:color="auto"/>
              <w:right w:val="single" w:sz="4" w:space="0" w:color="auto"/>
            </w:tcBorders>
            <w:shd w:val="clear" w:color="auto" w:fill="auto"/>
            <w:noWrap/>
            <w:vAlign w:val="bottom"/>
            <w:hideMark/>
          </w:tcPr>
          <w:p w14:paraId="6E17B860"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22" w:type="dxa"/>
            <w:tcBorders>
              <w:top w:val="nil"/>
              <w:left w:val="nil"/>
              <w:bottom w:val="single" w:sz="4" w:space="0" w:color="auto"/>
              <w:right w:val="single" w:sz="4" w:space="0" w:color="auto"/>
            </w:tcBorders>
            <w:shd w:val="clear" w:color="auto" w:fill="auto"/>
            <w:noWrap/>
            <w:vAlign w:val="bottom"/>
            <w:hideMark/>
          </w:tcPr>
          <w:p w14:paraId="1F091D55"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22" w:type="dxa"/>
            <w:tcBorders>
              <w:top w:val="nil"/>
              <w:left w:val="nil"/>
              <w:bottom w:val="single" w:sz="4" w:space="0" w:color="auto"/>
              <w:right w:val="single" w:sz="4" w:space="0" w:color="auto"/>
            </w:tcBorders>
            <w:shd w:val="clear" w:color="auto" w:fill="auto"/>
            <w:noWrap/>
            <w:vAlign w:val="bottom"/>
            <w:hideMark/>
          </w:tcPr>
          <w:p w14:paraId="3BB7136E"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908" w:type="dxa"/>
            <w:tcBorders>
              <w:top w:val="nil"/>
              <w:left w:val="nil"/>
              <w:bottom w:val="single" w:sz="4" w:space="0" w:color="auto"/>
              <w:right w:val="single" w:sz="4" w:space="0" w:color="auto"/>
            </w:tcBorders>
            <w:shd w:val="clear" w:color="auto" w:fill="auto"/>
            <w:hideMark/>
          </w:tcPr>
          <w:p w14:paraId="79713CB9"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r>
      <w:tr w:rsidR="006F3067" w:rsidRPr="008860BA" w14:paraId="7743E866" w14:textId="77777777" w:rsidTr="006F3067">
        <w:trPr>
          <w:trHeight w:val="20"/>
        </w:trPr>
        <w:tc>
          <w:tcPr>
            <w:tcW w:w="3423" w:type="dxa"/>
            <w:tcBorders>
              <w:top w:val="nil"/>
              <w:left w:val="single" w:sz="4" w:space="0" w:color="auto"/>
              <w:bottom w:val="single" w:sz="4" w:space="0" w:color="auto"/>
              <w:right w:val="single" w:sz="4" w:space="0" w:color="auto"/>
            </w:tcBorders>
            <w:shd w:val="clear" w:color="auto" w:fill="auto"/>
            <w:hideMark/>
          </w:tcPr>
          <w:p w14:paraId="394D3904" w14:textId="07732AA7" w:rsidR="006F3067" w:rsidRPr="008860BA" w:rsidRDefault="006F3067" w:rsidP="00332FF7">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Rambursarea garan</w:t>
            </w:r>
            <w:r w:rsidR="00B13B9A" w:rsidRPr="008860BA">
              <w:rPr>
                <w:rFonts w:asciiTheme="majorHAnsi" w:eastAsia="Times New Roman" w:hAnsiTheme="majorHAnsi" w:cstheme="majorHAnsi"/>
                <w:sz w:val="18"/>
                <w:szCs w:val="18"/>
                <w:lang w:val="ro-MD"/>
              </w:rPr>
              <w:t>ț</w:t>
            </w:r>
            <w:r w:rsidRPr="008860BA">
              <w:rPr>
                <w:rFonts w:asciiTheme="majorHAnsi" w:eastAsia="Times New Roman" w:hAnsiTheme="majorHAnsi" w:cstheme="majorHAnsi"/>
                <w:sz w:val="18"/>
                <w:szCs w:val="18"/>
                <w:lang w:val="ro-MD"/>
              </w:rPr>
              <w:t>iei de ofertă</w:t>
            </w:r>
          </w:p>
        </w:tc>
        <w:tc>
          <w:tcPr>
            <w:tcW w:w="967" w:type="dxa"/>
            <w:tcBorders>
              <w:top w:val="nil"/>
              <w:left w:val="nil"/>
              <w:bottom w:val="single" w:sz="4" w:space="0" w:color="auto"/>
              <w:right w:val="single" w:sz="4" w:space="0" w:color="auto"/>
            </w:tcBorders>
            <w:shd w:val="clear" w:color="auto" w:fill="auto"/>
            <w:noWrap/>
            <w:vAlign w:val="bottom"/>
            <w:hideMark/>
          </w:tcPr>
          <w:p w14:paraId="62912345"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99" w:type="dxa"/>
            <w:tcBorders>
              <w:top w:val="nil"/>
              <w:left w:val="nil"/>
              <w:bottom w:val="single" w:sz="4" w:space="0" w:color="auto"/>
              <w:right w:val="single" w:sz="4" w:space="0" w:color="auto"/>
            </w:tcBorders>
            <w:shd w:val="clear" w:color="auto" w:fill="auto"/>
            <w:hideMark/>
          </w:tcPr>
          <w:p w14:paraId="7502FF94"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1195" w:type="dxa"/>
            <w:tcBorders>
              <w:top w:val="nil"/>
              <w:left w:val="nil"/>
              <w:bottom w:val="single" w:sz="4" w:space="0" w:color="auto"/>
              <w:right w:val="single" w:sz="4" w:space="0" w:color="auto"/>
            </w:tcBorders>
            <w:shd w:val="clear" w:color="auto" w:fill="auto"/>
            <w:noWrap/>
            <w:vAlign w:val="bottom"/>
            <w:hideMark/>
          </w:tcPr>
          <w:p w14:paraId="0F13D817"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92" w:type="dxa"/>
            <w:tcBorders>
              <w:top w:val="nil"/>
              <w:left w:val="nil"/>
              <w:bottom w:val="single" w:sz="4" w:space="0" w:color="auto"/>
              <w:right w:val="single" w:sz="4" w:space="0" w:color="auto"/>
            </w:tcBorders>
            <w:shd w:val="clear" w:color="auto" w:fill="auto"/>
            <w:noWrap/>
            <w:vAlign w:val="bottom"/>
            <w:hideMark/>
          </w:tcPr>
          <w:p w14:paraId="07559FA2"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224" w:type="dxa"/>
            <w:tcBorders>
              <w:top w:val="nil"/>
              <w:left w:val="nil"/>
              <w:bottom w:val="single" w:sz="4" w:space="0" w:color="auto"/>
              <w:right w:val="single" w:sz="4" w:space="0" w:color="auto"/>
            </w:tcBorders>
            <w:shd w:val="clear" w:color="auto" w:fill="auto"/>
            <w:noWrap/>
            <w:vAlign w:val="bottom"/>
            <w:hideMark/>
          </w:tcPr>
          <w:p w14:paraId="7AD9C2F2"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259" w:type="dxa"/>
            <w:tcBorders>
              <w:top w:val="nil"/>
              <w:left w:val="nil"/>
              <w:bottom w:val="single" w:sz="4" w:space="0" w:color="auto"/>
              <w:right w:val="single" w:sz="4" w:space="0" w:color="auto"/>
            </w:tcBorders>
            <w:shd w:val="clear" w:color="auto" w:fill="auto"/>
            <w:noWrap/>
            <w:vAlign w:val="bottom"/>
            <w:hideMark/>
          </w:tcPr>
          <w:p w14:paraId="0F18A77E"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67" w:type="dxa"/>
            <w:tcBorders>
              <w:top w:val="nil"/>
              <w:left w:val="nil"/>
              <w:bottom w:val="single" w:sz="4" w:space="0" w:color="auto"/>
              <w:right w:val="single" w:sz="4" w:space="0" w:color="auto"/>
            </w:tcBorders>
            <w:shd w:val="clear" w:color="auto" w:fill="auto"/>
            <w:noWrap/>
            <w:vAlign w:val="bottom"/>
            <w:hideMark/>
          </w:tcPr>
          <w:p w14:paraId="3FDE3DB4"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22" w:type="dxa"/>
            <w:tcBorders>
              <w:top w:val="nil"/>
              <w:left w:val="nil"/>
              <w:bottom w:val="single" w:sz="4" w:space="0" w:color="auto"/>
              <w:right w:val="single" w:sz="4" w:space="0" w:color="auto"/>
            </w:tcBorders>
            <w:shd w:val="clear" w:color="auto" w:fill="auto"/>
            <w:noWrap/>
            <w:vAlign w:val="bottom"/>
            <w:hideMark/>
          </w:tcPr>
          <w:p w14:paraId="4BF1ED52"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22" w:type="dxa"/>
            <w:tcBorders>
              <w:top w:val="nil"/>
              <w:left w:val="nil"/>
              <w:bottom w:val="single" w:sz="4" w:space="0" w:color="auto"/>
              <w:right w:val="single" w:sz="4" w:space="0" w:color="auto"/>
            </w:tcBorders>
            <w:shd w:val="clear" w:color="auto" w:fill="auto"/>
            <w:noWrap/>
            <w:vAlign w:val="bottom"/>
            <w:hideMark/>
          </w:tcPr>
          <w:p w14:paraId="1B2A2ED8"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908" w:type="dxa"/>
            <w:tcBorders>
              <w:top w:val="nil"/>
              <w:left w:val="nil"/>
              <w:bottom w:val="single" w:sz="4" w:space="0" w:color="auto"/>
              <w:right w:val="single" w:sz="4" w:space="0" w:color="auto"/>
            </w:tcBorders>
            <w:shd w:val="clear" w:color="auto" w:fill="auto"/>
            <w:noWrap/>
            <w:vAlign w:val="bottom"/>
            <w:hideMark/>
          </w:tcPr>
          <w:p w14:paraId="3C53D5F5"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r>
      <w:tr w:rsidR="006F3067" w:rsidRPr="008860BA" w14:paraId="343EF19D" w14:textId="77777777" w:rsidTr="006F3067">
        <w:trPr>
          <w:trHeight w:val="20"/>
        </w:trPr>
        <w:tc>
          <w:tcPr>
            <w:tcW w:w="3423" w:type="dxa"/>
            <w:tcBorders>
              <w:top w:val="nil"/>
              <w:left w:val="single" w:sz="4" w:space="0" w:color="auto"/>
              <w:bottom w:val="single" w:sz="4" w:space="0" w:color="auto"/>
              <w:right w:val="single" w:sz="4" w:space="0" w:color="auto"/>
            </w:tcBorders>
            <w:shd w:val="clear" w:color="auto" w:fill="auto"/>
            <w:hideMark/>
          </w:tcPr>
          <w:p w14:paraId="03378D71" w14:textId="77777777" w:rsidR="006F3067" w:rsidRPr="008860BA" w:rsidRDefault="006F3067" w:rsidP="00332FF7">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Rechizite de birou</w:t>
            </w:r>
          </w:p>
        </w:tc>
        <w:tc>
          <w:tcPr>
            <w:tcW w:w="967" w:type="dxa"/>
            <w:tcBorders>
              <w:top w:val="nil"/>
              <w:left w:val="nil"/>
              <w:bottom w:val="single" w:sz="4" w:space="0" w:color="auto"/>
              <w:right w:val="single" w:sz="4" w:space="0" w:color="auto"/>
            </w:tcBorders>
            <w:shd w:val="clear" w:color="auto" w:fill="auto"/>
            <w:noWrap/>
            <w:vAlign w:val="bottom"/>
            <w:hideMark/>
          </w:tcPr>
          <w:p w14:paraId="0539C93F"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99" w:type="dxa"/>
            <w:tcBorders>
              <w:top w:val="nil"/>
              <w:left w:val="nil"/>
              <w:bottom w:val="single" w:sz="4" w:space="0" w:color="auto"/>
              <w:right w:val="single" w:sz="4" w:space="0" w:color="auto"/>
            </w:tcBorders>
            <w:shd w:val="clear" w:color="auto" w:fill="auto"/>
            <w:hideMark/>
          </w:tcPr>
          <w:p w14:paraId="14EA3B47"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37,28</w:t>
            </w:r>
          </w:p>
        </w:tc>
        <w:tc>
          <w:tcPr>
            <w:tcW w:w="1195" w:type="dxa"/>
            <w:tcBorders>
              <w:top w:val="nil"/>
              <w:left w:val="nil"/>
              <w:bottom w:val="single" w:sz="4" w:space="0" w:color="auto"/>
              <w:right w:val="single" w:sz="4" w:space="0" w:color="auto"/>
            </w:tcBorders>
            <w:shd w:val="clear" w:color="auto" w:fill="auto"/>
            <w:noWrap/>
            <w:vAlign w:val="bottom"/>
            <w:hideMark/>
          </w:tcPr>
          <w:p w14:paraId="78F0BE8A"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37,28</w:t>
            </w:r>
          </w:p>
        </w:tc>
        <w:tc>
          <w:tcPr>
            <w:tcW w:w="1092" w:type="dxa"/>
            <w:tcBorders>
              <w:top w:val="nil"/>
              <w:left w:val="nil"/>
              <w:bottom w:val="single" w:sz="4" w:space="0" w:color="auto"/>
              <w:right w:val="single" w:sz="4" w:space="0" w:color="auto"/>
            </w:tcBorders>
            <w:shd w:val="clear" w:color="auto" w:fill="auto"/>
            <w:noWrap/>
            <w:vAlign w:val="bottom"/>
            <w:hideMark/>
          </w:tcPr>
          <w:p w14:paraId="46CAA816"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22,18</w:t>
            </w:r>
          </w:p>
        </w:tc>
        <w:tc>
          <w:tcPr>
            <w:tcW w:w="1224" w:type="dxa"/>
            <w:tcBorders>
              <w:top w:val="nil"/>
              <w:left w:val="nil"/>
              <w:bottom w:val="single" w:sz="4" w:space="0" w:color="auto"/>
              <w:right w:val="single" w:sz="4" w:space="0" w:color="auto"/>
            </w:tcBorders>
            <w:shd w:val="clear" w:color="auto" w:fill="auto"/>
            <w:noWrap/>
            <w:vAlign w:val="bottom"/>
            <w:hideMark/>
          </w:tcPr>
          <w:p w14:paraId="679F1E18"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259" w:type="dxa"/>
            <w:tcBorders>
              <w:top w:val="nil"/>
              <w:left w:val="nil"/>
              <w:bottom w:val="single" w:sz="4" w:space="0" w:color="auto"/>
              <w:right w:val="single" w:sz="4" w:space="0" w:color="auto"/>
            </w:tcBorders>
            <w:shd w:val="clear" w:color="auto" w:fill="auto"/>
            <w:noWrap/>
            <w:vAlign w:val="bottom"/>
            <w:hideMark/>
          </w:tcPr>
          <w:p w14:paraId="5E527135"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67" w:type="dxa"/>
            <w:tcBorders>
              <w:top w:val="nil"/>
              <w:left w:val="nil"/>
              <w:bottom w:val="single" w:sz="4" w:space="0" w:color="auto"/>
              <w:right w:val="single" w:sz="4" w:space="0" w:color="auto"/>
            </w:tcBorders>
            <w:shd w:val="clear" w:color="auto" w:fill="auto"/>
            <w:noWrap/>
            <w:vAlign w:val="bottom"/>
            <w:hideMark/>
          </w:tcPr>
          <w:p w14:paraId="1BCDED13"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22" w:type="dxa"/>
            <w:tcBorders>
              <w:top w:val="nil"/>
              <w:left w:val="nil"/>
              <w:bottom w:val="single" w:sz="4" w:space="0" w:color="auto"/>
              <w:right w:val="single" w:sz="4" w:space="0" w:color="auto"/>
            </w:tcBorders>
            <w:shd w:val="clear" w:color="auto" w:fill="auto"/>
            <w:noWrap/>
            <w:vAlign w:val="bottom"/>
            <w:hideMark/>
          </w:tcPr>
          <w:p w14:paraId="460CBE2E"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22" w:type="dxa"/>
            <w:tcBorders>
              <w:top w:val="nil"/>
              <w:left w:val="nil"/>
              <w:bottom w:val="single" w:sz="4" w:space="0" w:color="auto"/>
              <w:right w:val="single" w:sz="4" w:space="0" w:color="auto"/>
            </w:tcBorders>
            <w:shd w:val="clear" w:color="auto" w:fill="auto"/>
            <w:noWrap/>
            <w:vAlign w:val="bottom"/>
            <w:hideMark/>
          </w:tcPr>
          <w:p w14:paraId="71E8C11A"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4,30</w:t>
            </w:r>
          </w:p>
        </w:tc>
        <w:tc>
          <w:tcPr>
            <w:tcW w:w="908" w:type="dxa"/>
            <w:tcBorders>
              <w:top w:val="nil"/>
              <w:left w:val="nil"/>
              <w:bottom w:val="single" w:sz="4" w:space="0" w:color="auto"/>
              <w:right w:val="single" w:sz="4" w:space="0" w:color="auto"/>
            </w:tcBorders>
            <w:shd w:val="clear" w:color="auto" w:fill="auto"/>
            <w:noWrap/>
            <w:vAlign w:val="bottom"/>
            <w:hideMark/>
          </w:tcPr>
          <w:p w14:paraId="0944ECD9"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10,80</w:t>
            </w:r>
          </w:p>
        </w:tc>
      </w:tr>
      <w:tr w:rsidR="006F3067" w:rsidRPr="008860BA" w14:paraId="4A12444D" w14:textId="77777777" w:rsidTr="006F3067">
        <w:trPr>
          <w:trHeight w:val="20"/>
        </w:trPr>
        <w:tc>
          <w:tcPr>
            <w:tcW w:w="3423" w:type="dxa"/>
            <w:tcBorders>
              <w:top w:val="nil"/>
              <w:left w:val="single" w:sz="4" w:space="0" w:color="auto"/>
              <w:bottom w:val="single" w:sz="4" w:space="0" w:color="auto"/>
              <w:right w:val="single" w:sz="4" w:space="0" w:color="auto"/>
            </w:tcBorders>
            <w:shd w:val="clear" w:color="auto" w:fill="auto"/>
            <w:hideMark/>
          </w:tcPr>
          <w:p w14:paraId="6DC7D106" w14:textId="77777777" w:rsidR="006F3067" w:rsidRPr="008860BA" w:rsidRDefault="006F3067" w:rsidP="00332FF7">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Remunerarea muncii</w:t>
            </w:r>
          </w:p>
        </w:tc>
        <w:tc>
          <w:tcPr>
            <w:tcW w:w="967" w:type="dxa"/>
            <w:tcBorders>
              <w:top w:val="nil"/>
              <w:left w:val="nil"/>
              <w:bottom w:val="single" w:sz="4" w:space="0" w:color="auto"/>
              <w:right w:val="single" w:sz="4" w:space="0" w:color="auto"/>
            </w:tcBorders>
            <w:shd w:val="clear" w:color="auto" w:fill="auto"/>
            <w:noWrap/>
            <w:vAlign w:val="bottom"/>
            <w:hideMark/>
          </w:tcPr>
          <w:p w14:paraId="25AACDD7"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99" w:type="dxa"/>
            <w:tcBorders>
              <w:top w:val="nil"/>
              <w:left w:val="nil"/>
              <w:bottom w:val="single" w:sz="4" w:space="0" w:color="auto"/>
              <w:right w:val="single" w:sz="4" w:space="0" w:color="auto"/>
            </w:tcBorders>
            <w:shd w:val="clear" w:color="auto" w:fill="auto"/>
            <w:hideMark/>
          </w:tcPr>
          <w:p w14:paraId="24A771EC"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35.824,00</w:t>
            </w:r>
          </w:p>
        </w:tc>
        <w:tc>
          <w:tcPr>
            <w:tcW w:w="1195" w:type="dxa"/>
            <w:tcBorders>
              <w:top w:val="nil"/>
              <w:left w:val="nil"/>
              <w:bottom w:val="single" w:sz="4" w:space="0" w:color="auto"/>
              <w:right w:val="single" w:sz="4" w:space="0" w:color="auto"/>
            </w:tcBorders>
            <w:shd w:val="clear" w:color="auto" w:fill="auto"/>
            <w:noWrap/>
            <w:vAlign w:val="bottom"/>
            <w:hideMark/>
          </w:tcPr>
          <w:p w14:paraId="46CA22C8"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35.824,00</w:t>
            </w:r>
          </w:p>
        </w:tc>
        <w:tc>
          <w:tcPr>
            <w:tcW w:w="1092" w:type="dxa"/>
            <w:tcBorders>
              <w:top w:val="nil"/>
              <w:left w:val="nil"/>
              <w:bottom w:val="single" w:sz="4" w:space="0" w:color="auto"/>
              <w:right w:val="single" w:sz="4" w:space="0" w:color="auto"/>
            </w:tcBorders>
            <w:shd w:val="clear" w:color="auto" w:fill="auto"/>
            <w:noWrap/>
            <w:vAlign w:val="bottom"/>
            <w:hideMark/>
          </w:tcPr>
          <w:p w14:paraId="53A52766"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26.714,61</w:t>
            </w:r>
          </w:p>
        </w:tc>
        <w:tc>
          <w:tcPr>
            <w:tcW w:w="1224" w:type="dxa"/>
            <w:tcBorders>
              <w:top w:val="nil"/>
              <w:left w:val="nil"/>
              <w:bottom w:val="single" w:sz="4" w:space="0" w:color="auto"/>
              <w:right w:val="single" w:sz="4" w:space="0" w:color="auto"/>
            </w:tcBorders>
            <w:shd w:val="clear" w:color="auto" w:fill="auto"/>
            <w:noWrap/>
            <w:vAlign w:val="bottom"/>
            <w:hideMark/>
          </w:tcPr>
          <w:p w14:paraId="01E55E9B"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136,55</w:t>
            </w:r>
          </w:p>
        </w:tc>
        <w:tc>
          <w:tcPr>
            <w:tcW w:w="1259" w:type="dxa"/>
            <w:tcBorders>
              <w:top w:val="nil"/>
              <w:left w:val="nil"/>
              <w:bottom w:val="single" w:sz="4" w:space="0" w:color="auto"/>
              <w:right w:val="single" w:sz="4" w:space="0" w:color="auto"/>
            </w:tcBorders>
            <w:shd w:val="clear" w:color="auto" w:fill="auto"/>
            <w:noWrap/>
            <w:vAlign w:val="bottom"/>
            <w:hideMark/>
          </w:tcPr>
          <w:p w14:paraId="576B1F06"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67" w:type="dxa"/>
            <w:tcBorders>
              <w:top w:val="nil"/>
              <w:left w:val="nil"/>
              <w:bottom w:val="single" w:sz="4" w:space="0" w:color="auto"/>
              <w:right w:val="single" w:sz="4" w:space="0" w:color="auto"/>
            </w:tcBorders>
            <w:shd w:val="clear" w:color="auto" w:fill="auto"/>
            <w:noWrap/>
            <w:vAlign w:val="bottom"/>
            <w:hideMark/>
          </w:tcPr>
          <w:p w14:paraId="4392044C"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6.031,26</w:t>
            </w:r>
          </w:p>
        </w:tc>
        <w:tc>
          <w:tcPr>
            <w:tcW w:w="822" w:type="dxa"/>
            <w:tcBorders>
              <w:top w:val="nil"/>
              <w:left w:val="nil"/>
              <w:bottom w:val="single" w:sz="4" w:space="0" w:color="auto"/>
              <w:right w:val="single" w:sz="4" w:space="0" w:color="auto"/>
            </w:tcBorders>
            <w:shd w:val="clear" w:color="auto" w:fill="auto"/>
            <w:noWrap/>
            <w:vAlign w:val="bottom"/>
            <w:hideMark/>
          </w:tcPr>
          <w:p w14:paraId="53BB9D4B"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821,30</w:t>
            </w:r>
          </w:p>
        </w:tc>
        <w:tc>
          <w:tcPr>
            <w:tcW w:w="822" w:type="dxa"/>
            <w:tcBorders>
              <w:top w:val="nil"/>
              <w:left w:val="nil"/>
              <w:bottom w:val="single" w:sz="4" w:space="0" w:color="auto"/>
              <w:right w:val="single" w:sz="4" w:space="0" w:color="auto"/>
            </w:tcBorders>
            <w:shd w:val="clear" w:color="auto" w:fill="auto"/>
            <w:noWrap/>
            <w:vAlign w:val="bottom"/>
            <w:hideMark/>
          </w:tcPr>
          <w:p w14:paraId="5F8E1D3C"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403,26</w:t>
            </w:r>
          </w:p>
        </w:tc>
        <w:tc>
          <w:tcPr>
            <w:tcW w:w="908" w:type="dxa"/>
            <w:tcBorders>
              <w:top w:val="nil"/>
              <w:left w:val="nil"/>
              <w:bottom w:val="single" w:sz="4" w:space="0" w:color="auto"/>
              <w:right w:val="single" w:sz="4" w:space="0" w:color="auto"/>
            </w:tcBorders>
            <w:shd w:val="clear" w:color="auto" w:fill="auto"/>
            <w:noWrap/>
            <w:vAlign w:val="bottom"/>
            <w:hideMark/>
          </w:tcPr>
          <w:p w14:paraId="6A048293"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1.717,03</w:t>
            </w:r>
          </w:p>
        </w:tc>
      </w:tr>
      <w:tr w:rsidR="006F3067" w:rsidRPr="008860BA" w14:paraId="0E1B2D33" w14:textId="77777777" w:rsidTr="006F3067">
        <w:trPr>
          <w:trHeight w:val="20"/>
        </w:trPr>
        <w:tc>
          <w:tcPr>
            <w:tcW w:w="3423" w:type="dxa"/>
            <w:tcBorders>
              <w:top w:val="nil"/>
              <w:left w:val="single" w:sz="4" w:space="0" w:color="auto"/>
              <w:bottom w:val="single" w:sz="4" w:space="0" w:color="auto"/>
              <w:right w:val="single" w:sz="4" w:space="0" w:color="auto"/>
            </w:tcBorders>
            <w:shd w:val="clear" w:color="auto" w:fill="auto"/>
            <w:hideMark/>
          </w:tcPr>
          <w:p w14:paraId="39D32453" w14:textId="419938AD" w:rsidR="006F3067" w:rsidRPr="008860BA" w:rsidRDefault="006F3067">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Repara</w:t>
            </w:r>
            <w:r w:rsidR="00885EE0" w:rsidRPr="008860BA">
              <w:rPr>
                <w:rFonts w:asciiTheme="majorHAnsi" w:eastAsia="Times New Roman" w:hAnsiTheme="majorHAnsi" w:cstheme="majorHAnsi"/>
                <w:sz w:val="18"/>
                <w:szCs w:val="18"/>
                <w:lang w:val="ro-MD"/>
              </w:rPr>
              <w:t>ț</w:t>
            </w:r>
            <w:r w:rsidRPr="008860BA">
              <w:rPr>
                <w:rFonts w:asciiTheme="majorHAnsi" w:eastAsia="Times New Roman" w:hAnsiTheme="majorHAnsi" w:cstheme="majorHAnsi"/>
                <w:sz w:val="18"/>
                <w:szCs w:val="18"/>
                <w:lang w:val="ro-MD"/>
              </w:rPr>
              <w:t>ia curent</w:t>
            </w:r>
            <w:r w:rsidR="00885EE0" w:rsidRPr="008860BA">
              <w:rPr>
                <w:rFonts w:asciiTheme="majorHAnsi" w:eastAsia="Times New Roman" w:hAnsiTheme="majorHAnsi" w:cstheme="majorHAnsi"/>
                <w:sz w:val="18"/>
                <w:szCs w:val="18"/>
                <w:lang w:val="ro-MD"/>
              </w:rPr>
              <w:t>ă</w:t>
            </w:r>
            <w:r w:rsidRPr="008860BA">
              <w:rPr>
                <w:rFonts w:asciiTheme="majorHAnsi" w:eastAsia="Times New Roman" w:hAnsiTheme="majorHAnsi" w:cstheme="majorHAnsi"/>
                <w:sz w:val="18"/>
                <w:szCs w:val="18"/>
                <w:lang w:val="ro-MD"/>
              </w:rPr>
              <w:t xml:space="preserve"> </w:t>
            </w:r>
            <w:r w:rsidR="00885EE0" w:rsidRPr="008860BA">
              <w:rPr>
                <w:rFonts w:asciiTheme="majorHAnsi" w:eastAsia="Times New Roman" w:hAnsiTheme="majorHAnsi" w:cstheme="majorHAnsi"/>
                <w:sz w:val="18"/>
                <w:szCs w:val="18"/>
                <w:lang w:val="ro-MD"/>
              </w:rPr>
              <w:t>ș</w:t>
            </w:r>
            <w:r w:rsidRPr="008860BA">
              <w:rPr>
                <w:rFonts w:asciiTheme="majorHAnsi" w:eastAsia="Times New Roman" w:hAnsiTheme="majorHAnsi" w:cstheme="majorHAnsi"/>
                <w:sz w:val="18"/>
                <w:szCs w:val="18"/>
                <w:lang w:val="ro-MD"/>
              </w:rPr>
              <w:t>i deservirea MF</w:t>
            </w:r>
          </w:p>
        </w:tc>
        <w:tc>
          <w:tcPr>
            <w:tcW w:w="967" w:type="dxa"/>
            <w:tcBorders>
              <w:top w:val="nil"/>
              <w:left w:val="nil"/>
              <w:bottom w:val="single" w:sz="4" w:space="0" w:color="auto"/>
              <w:right w:val="single" w:sz="4" w:space="0" w:color="auto"/>
            </w:tcBorders>
            <w:shd w:val="clear" w:color="auto" w:fill="auto"/>
            <w:noWrap/>
            <w:vAlign w:val="bottom"/>
            <w:hideMark/>
          </w:tcPr>
          <w:p w14:paraId="742562A2"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99" w:type="dxa"/>
            <w:tcBorders>
              <w:top w:val="nil"/>
              <w:left w:val="nil"/>
              <w:bottom w:val="single" w:sz="4" w:space="0" w:color="auto"/>
              <w:right w:val="single" w:sz="4" w:space="0" w:color="auto"/>
            </w:tcBorders>
            <w:shd w:val="clear" w:color="auto" w:fill="auto"/>
            <w:hideMark/>
          </w:tcPr>
          <w:p w14:paraId="5945E2ED"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455,97</w:t>
            </w:r>
          </w:p>
        </w:tc>
        <w:tc>
          <w:tcPr>
            <w:tcW w:w="1195" w:type="dxa"/>
            <w:tcBorders>
              <w:top w:val="nil"/>
              <w:left w:val="nil"/>
              <w:bottom w:val="single" w:sz="4" w:space="0" w:color="auto"/>
              <w:right w:val="single" w:sz="4" w:space="0" w:color="auto"/>
            </w:tcBorders>
            <w:shd w:val="clear" w:color="auto" w:fill="auto"/>
            <w:noWrap/>
            <w:vAlign w:val="bottom"/>
            <w:hideMark/>
          </w:tcPr>
          <w:p w14:paraId="691F8486"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455,97</w:t>
            </w:r>
          </w:p>
        </w:tc>
        <w:tc>
          <w:tcPr>
            <w:tcW w:w="1092" w:type="dxa"/>
            <w:tcBorders>
              <w:top w:val="nil"/>
              <w:left w:val="nil"/>
              <w:bottom w:val="single" w:sz="4" w:space="0" w:color="auto"/>
              <w:right w:val="single" w:sz="4" w:space="0" w:color="auto"/>
            </w:tcBorders>
            <w:shd w:val="clear" w:color="auto" w:fill="auto"/>
            <w:noWrap/>
            <w:vAlign w:val="bottom"/>
            <w:hideMark/>
          </w:tcPr>
          <w:p w14:paraId="792BEE21"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273,40</w:t>
            </w:r>
          </w:p>
        </w:tc>
        <w:tc>
          <w:tcPr>
            <w:tcW w:w="1224" w:type="dxa"/>
            <w:tcBorders>
              <w:top w:val="nil"/>
              <w:left w:val="nil"/>
              <w:bottom w:val="single" w:sz="4" w:space="0" w:color="auto"/>
              <w:right w:val="single" w:sz="4" w:space="0" w:color="auto"/>
            </w:tcBorders>
            <w:shd w:val="clear" w:color="auto" w:fill="auto"/>
            <w:noWrap/>
            <w:vAlign w:val="bottom"/>
            <w:hideMark/>
          </w:tcPr>
          <w:p w14:paraId="255B65F2"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104,95</w:t>
            </w:r>
          </w:p>
        </w:tc>
        <w:tc>
          <w:tcPr>
            <w:tcW w:w="1259" w:type="dxa"/>
            <w:tcBorders>
              <w:top w:val="nil"/>
              <w:left w:val="nil"/>
              <w:bottom w:val="single" w:sz="4" w:space="0" w:color="auto"/>
              <w:right w:val="single" w:sz="4" w:space="0" w:color="auto"/>
            </w:tcBorders>
            <w:shd w:val="clear" w:color="auto" w:fill="auto"/>
            <w:noWrap/>
            <w:vAlign w:val="bottom"/>
            <w:hideMark/>
          </w:tcPr>
          <w:p w14:paraId="3E62B56E"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67" w:type="dxa"/>
            <w:tcBorders>
              <w:top w:val="nil"/>
              <w:left w:val="nil"/>
              <w:bottom w:val="single" w:sz="4" w:space="0" w:color="auto"/>
              <w:right w:val="single" w:sz="4" w:space="0" w:color="auto"/>
            </w:tcBorders>
            <w:shd w:val="clear" w:color="auto" w:fill="auto"/>
            <w:noWrap/>
            <w:vAlign w:val="bottom"/>
            <w:hideMark/>
          </w:tcPr>
          <w:p w14:paraId="6BD6FF7F"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73,41</w:t>
            </w:r>
          </w:p>
        </w:tc>
        <w:tc>
          <w:tcPr>
            <w:tcW w:w="822" w:type="dxa"/>
            <w:tcBorders>
              <w:top w:val="nil"/>
              <w:left w:val="nil"/>
              <w:bottom w:val="single" w:sz="4" w:space="0" w:color="auto"/>
              <w:right w:val="single" w:sz="4" w:space="0" w:color="auto"/>
            </w:tcBorders>
            <w:shd w:val="clear" w:color="auto" w:fill="auto"/>
            <w:noWrap/>
            <w:vAlign w:val="bottom"/>
            <w:hideMark/>
          </w:tcPr>
          <w:p w14:paraId="3214905E"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22" w:type="dxa"/>
            <w:tcBorders>
              <w:top w:val="nil"/>
              <w:left w:val="nil"/>
              <w:bottom w:val="single" w:sz="4" w:space="0" w:color="auto"/>
              <w:right w:val="single" w:sz="4" w:space="0" w:color="auto"/>
            </w:tcBorders>
            <w:shd w:val="clear" w:color="auto" w:fill="auto"/>
            <w:noWrap/>
            <w:vAlign w:val="bottom"/>
            <w:hideMark/>
          </w:tcPr>
          <w:p w14:paraId="59F328E9"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908" w:type="dxa"/>
            <w:tcBorders>
              <w:top w:val="nil"/>
              <w:left w:val="nil"/>
              <w:bottom w:val="single" w:sz="4" w:space="0" w:color="auto"/>
              <w:right w:val="single" w:sz="4" w:space="0" w:color="auto"/>
            </w:tcBorders>
            <w:shd w:val="clear" w:color="auto" w:fill="auto"/>
            <w:noWrap/>
            <w:vAlign w:val="bottom"/>
            <w:hideMark/>
          </w:tcPr>
          <w:p w14:paraId="6075466A"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4,21</w:t>
            </w:r>
          </w:p>
        </w:tc>
      </w:tr>
      <w:tr w:rsidR="006F3067" w:rsidRPr="008860BA" w14:paraId="71EF0119" w14:textId="77777777" w:rsidTr="006F3067">
        <w:trPr>
          <w:trHeight w:val="20"/>
        </w:trPr>
        <w:tc>
          <w:tcPr>
            <w:tcW w:w="3423" w:type="dxa"/>
            <w:tcBorders>
              <w:top w:val="nil"/>
              <w:left w:val="single" w:sz="4" w:space="0" w:color="auto"/>
              <w:bottom w:val="single" w:sz="4" w:space="0" w:color="auto"/>
              <w:right w:val="single" w:sz="4" w:space="0" w:color="auto"/>
            </w:tcBorders>
            <w:shd w:val="clear" w:color="auto" w:fill="auto"/>
            <w:hideMark/>
          </w:tcPr>
          <w:p w14:paraId="43A1A517" w14:textId="2E200FB4" w:rsidR="006F3067" w:rsidRPr="008860BA" w:rsidRDefault="006F3067" w:rsidP="00332FF7">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Salubritatea, evacuarea de</w:t>
            </w:r>
            <w:r w:rsidR="00885EE0" w:rsidRPr="008860BA">
              <w:rPr>
                <w:rFonts w:asciiTheme="majorHAnsi" w:eastAsia="Times New Roman" w:hAnsiTheme="majorHAnsi" w:cstheme="majorHAnsi"/>
                <w:sz w:val="18"/>
                <w:szCs w:val="18"/>
                <w:lang w:val="ro-MD"/>
              </w:rPr>
              <w:t>ș</w:t>
            </w:r>
            <w:r w:rsidRPr="008860BA">
              <w:rPr>
                <w:rFonts w:asciiTheme="majorHAnsi" w:eastAsia="Times New Roman" w:hAnsiTheme="majorHAnsi" w:cstheme="majorHAnsi"/>
                <w:sz w:val="18"/>
                <w:szCs w:val="18"/>
                <w:lang w:val="ro-MD"/>
              </w:rPr>
              <w:t xml:space="preserve">eurilor </w:t>
            </w:r>
          </w:p>
        </w:tc>
        <w:tc>
          <w:tcPr>
            <w:tcW w:w="967" w:type="dxa"/>
            <w:tcBorders>
              <w:top w:val="nil"/>
              <w:left w:val="nil"/>
              <w:bottom w:val="single" w:sz="4" w:space="0" w:color="auto"/>
              <w:right w:val="single" w:sz="4" w:space="0" w:color="auto"/>
            </w:tcBorders>
            <w:shd w:val="clear" w:color="auto" w:fill="auto"/>
            <w:noWrap/>
            <w:vAlign w:val="bottom"/>
            <w:hideMark/>
          </w:tcPr>
          <w:p w14:paraId="2B473999"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99" w:type="dxa"/>
            <w:tcBorders>
              <w:top w:val="nil"/>
              <w:left w:val="nil"/>
              <w:bottom w:val="single" w:sz="4" w:space="0" w:color="auto"/>
              <w:right w:val="single" w:sz="4" w:space="0" w:color="auto"/>
            </w:tcBorders>
            <w:shd w:val="clear" w:color="auto" w:fill="auto"/>
            <w:hideMark/>
          </w:tcPr>
          <w:p w14:paraId="66797F0B"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127,22</w:t>
            </w:r>
          </w:p>
        </w:tc>
        <w:tc>
          <w:tcPr>
            <w:tcW w:w="1195" w:type="dxa"/>
            <w:tcBorders>
              <w:top w:val="nil"/>
              <w:left w:val="nil"/>
              <w:bottom w:val="single" w:sz="4" w:space="0" w:color="auto"/>
              <w:right w:val="single" w:sz="4" w:space="0" w:color="auto"/>
            </w:tcBorders>
            <w:shd w:val="clear" w:color="auto" w:fill="auto"/>
            <w:noWrap/>
            <w:vAlign w:val="bottom"/>
            <w:hideMark/>
          </w:tcPr>
          <w:p w14:paraId="5E0BA861"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127,22</w:t>
            </w:r>
          </w:p>
        </w:tc>
        <w:tc>
          <w:tcPr>
            <w:tcW w:w="1092" w:type="dxa"/>
            <w:tcBorders>
              <w:top w:val="nil"/>
              <w:left w:val="nil"/>
              <w:bottom w:val="single" w:sz="4" w:space="0" w:color="auto"/>
              <w:right w:val="single" w:sz="4" w:space="0" w:color="auto"/>
            </w:tcBorders>
            <w:shd w:val="clear" w:color="auto" w:fill="auto"/>
            <w:noWrap/>
            <w:vAlign w:val="bottom"/>
            <w:hideMark/>
          </w:tcPr>
          <w:p w14:paraId="004773D9"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103,20</w:t>
            </w:r>
          </w:p>
        </w:tc>
        <w:tc>
          <w:tcPr>
            <w:tcW w:w="1224" w:type="dxa"/>
            <w:tcBorders>
              <w:top w:val="nil"/>
              <w:left w:val="nil"/>
              <w:bottom w:val="single" w:sz="4" w:space="0" w:color="auto"/>
              <w:right w:val="single" w:sz="4" w:space="0" w:color="auto"/>
            </w:tcBorders>
            <w:shd w:val="clear" w:color="auto" w:fill="auto"/>
            <w:noWrap/>
            <w:vAlign w:val="bottom"/>
            <w:hideMark/>
          </w:tcPr>
          <w:p w14:paraId="503400CE"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259" w:type="dxa"/>
            <w:tcBorders>
              <w:top w:val="nil"/>
              <w:left w:val="nil"/>
              <w:bottom w:val="single" w:sz="4" w:space="0" w:color="auto"/>
              <w:right w:val="single" w:sz="4" w:space="0" w:color="auto"/>
            </w:tcBorders>
            <w:shd w:val="clear" w:color="auto" w:fill="auto"/>
            <w:noWrap/>
            <w:vAlign w:val="bottom"/>
            <w:hideMark/>
          </w:tcPr>
          <w:p w14:paraId="760FC8C8"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67" w:type="dxa"/>
            <w:tcBorders>
              <w:top w:val="nil"/>
              <w:left w:val="nil"/>
              <w:bottom w:val="single" w:sz="4" w:space="0" w:color="auto"/>
              <w:right w:val="single" w:sz="4" w:space="0" w:color="auto"/>
            </w:tcBorders>
            <w:shd w:val="clear" w:color="auto" w:fill="auto"/>
            <w:noWrap/>
            <w:vAlign w:val="bottom"/>
            <w:hideMark/>
          </w:tcPr>
          <w:p w14:paraId="5696A91A"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24,02</w:t>
            </w:r>
          </w:p>
        </w:tc>
        <w:tc>
          <w:tcPr>
            <w:tcW w:w="822" w:type="dxa"/>
            <w:tcBorders>
              <w:top w:val="nil"/>
              <w:left w:val="nil"/>
              <w:bottom w:val="single" w:sz="4" w:space="0" w:color="auto"/>
              <w:right w:val="single" w:sz="4" w:space="0" w:color="auto"/>
            </w:tcBorders>
            <w:shd w:val="clear" w:color="auto" w:fill="auto"/>
            <w:noWrap/>
            <w:vAlign w:val="bottom"/>
            <w:hideMark/>
          </w:tcPr>
          <w:p w14:paraId="6CE21B71"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22" w:type="dxa"/>
            <w:tcBorders>
              <w:top w:val="nil"/>
              <w:left w:val="nil"/>
              <w:bottom w:val="single" w:sz="4" w:space="0" w:color="auto"/>
              <w:right w:val="single" w:sz="4" w:space="0" w:color="auto"/>
            </w:tcBorders>
            <w:shd w:val="clear" w:color="auto" w:fill="auto"/>
            <w:noWrap/>
            <w:vAlign w:val="bottom"/>
            <w:hideMark/>
          </w:tcPr>
          <w:p w14:paraId="3943A574"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908" w:type="dxa"/>
            <w:tcBorders>
              <w:top w:val="nil"/>
              <w:left w:val="nil"/>
              <w:bottom w:val="single" w:sz="4" w:space="0" w:color="auto"/>
              <w:right w:val="single" w:sz="4" w:space="0" w:color="auto"/>
            </w:tcBorders>
            <w:shd w:val="clear" w:color="auto" w:fill="auto"/>
            <w:noWrap/>
            <w:vAlign w:val="bottom"/>
            <w:hideMark/>
          </w:tcPr>
          <w:p w14:paraId="732F2017"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r>
      <w:tr w:rsidR="006F3067" w:rsidRPr="008860BA" w14:paraId="7CAC8415" w14:textId="77777777" w:rsidTr="006F3067">
        <w:trPr>
          <w:trHeight w:val="20"/>
        </w:trPr>
        <w:tc>
          <w:tcPr>
            <w:tcW w:w="3423" w:type="dxa"/>
            <w:tcBorders>
              <w:top w:val="nil"/>
              <w:left w:val="single" w:sz="4" w:space="0" w:color="auto"/>
              <w:bottom w:val="single" w:sz="4" w:space="0" w:color="auto"/>
              <w:right w:val="single" w:sz="4" w:space="0" w:color="auto"/>
            </w:tcBorders>
            <w:shd w:val="clear" w:color="auto" w:fill="auto"/>
            <w:hideMark/>
          </w:tcPr>
          <w:p w14:paraId="790A07E7" w14:textId="77777777" w:rsidR="006F3067" w:rsidRPr="008860BA" w:rsidRDefault="006F3067" w:rsidP="00332FF7">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xml:space="preserve">Servicii medicale </w:t>
            </w:r>
          </w:p>
        </w:tc>
        <w:tc>
          <w:tcPr>
            <w:tcW w:w="967" w:type="dxa"/>
            <w:tcBorders>
              <w:top w:val="nil"/>
              <w:left w:val="nil"/>
              <w:bottom w:val="single" w:sz="4" w:space="0" w:color="auto"/>
              <w:right w:val="single" w:sz="4" w:space="0" w:color="auto"/>
            </w:tcBorders>
            <w:shd w:val="clear" w:color="auto" w:fill="auto"/>
            <w:noWrap/>
            <w:vAlign w:val="bottom"/>
            <w:hideMark/>
          </w:tcPr>
          <w:p w14:paraId="10DE1172"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99" w:type="dxa"/>
            <w:tcBorders>
              <w:top w:val="nil"/>
              <w:left w:val="nil"/>
              <w:bottom w:val="single" w:sz="4" w:space="0" w:color="auto"/>
              <w:right w:val="single" w:sz="4" w:space="0" w:color="auto"/>
            </w:tcBorders>
            <w:shd w:val="clear" w:color="auto" w:fill="auto"/>
            <w:hideMark/>
          </w:tcPr>
          <w:p w14:paraId="325004E0"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417,92</w:t>
            </w:r>
          </w:p>
        </w:tc>
        <w:tc>
          <w:tcPr>
            <w:tcW w:w="1195" w:type="dxa"/>
            <w:tcBorders>
              <w:top w:val="nil"/>
              <w:left w:val="nil"/>
              <w:bottom w:val="single" w:sz="4" w:space="0" w:color="auto"/>
              <w:right w:val="single" w:sz="4" w:space="0" w:color="auto"/>
            </w:tcBorders>
            <w:shd w:val="clear" w:color="auto" w:fill="auto"/>
            <w:noWrap/>
            <w:vAlign w:val="bottom"/>
            <w:hideMark/>
          </w:tcPr>
          <w:p w14:paraId="42D7E3A3"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417,92</w:t>
            </w:r>
          </w:p>
        </w:tc>
        <w:tc>
          <w:tcPr>
            <w:tcW w:w="1092" w:type="dxa"/>
            <w:tcBorders>
              <w:top w:val="nil"/>
              <w:left w:val="nil"/>
              <w:bottom w:val="single" w:sz="4" w:space="0" w:color="auto"/>
              <w:right w:val="single" w:sz="4" w:space="0" w:color="auto"/>
            </w:tcBorders>
            <w:shd w:val="clear" w:color="auto" w:fill="auto"/>
            <w:noWrap/>
            <w:vAlign w:val="bottom"/>
            <w:hideMark/>
          </w:tcPr>
          <w:p w14:paraId="6F44AB05"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393,17</w:t>
            </w:r>
          </w:p>
        </w:tc>
        <w:tc>
          <w:tcPr>
            <w:tcW w:w="1224" w:type="dxa"/>
            <w:tcBorders>
              <w:top w:val="nil"/>
              <w:left w:val="nil"/>
              <w:bottom w:val="single" w:sz="4" w:space="0" w:color="auto"/>
              <w:right w:val="single" w:sz="4" w:space="0" w:color="auto"/>
            </w:tcBorders>
            <w:shd w:val="clear" w:color="auto" w:fill="auto"/>
            <w:noWrap/>
            <w:vAlign w:val="bottom"/>
            <w:hideMark/>
          </w:tcPr>
          <w:p w14:paraId="3861D19B"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259" w:type="dxa"/>
            <w:tcBorders>
              <w:top w:val="nil"/>
              <w:left w:val="nil"/>
              <w:bottom w:val="single" w:sz="4" w:space="0" w:color="auto"/>
              <w:right w:val="single" w:sz="4" w:space="0" w:color="auto"/>
            </w:tcBorders>
            <w:shd w:val="clear" w:color="auto" w:fill="auto"/>
            <w:noWrap/>
            <w:vAlign w:val="bottom"/>
            <w:hideMark/>
          </w:tcPr>
          <w:p w14:paraId="1BB30BA4"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67" w:type="dxa"/>
            <w:tcBorders>
              <w:top w:val="nil"/>
              <w:left w:val="nil"/>
              <w:bottom w:val="single" w:sz="4" w:space="0" w:color="auto"/>
              <w:right w:val="single" w:sz="4" w:space="0" w:color="auto"/>
            </w:tcBorders>
            <w:shd w:val="clear" w:color="auto" w:fill="auto"/>
            <w:noWrap/>
            <w:vAlign w:val="bottom"/>
            <w:hideMark/>
          </w:tcPr>
          <w:p w14:paraId="3ED24E5F"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22" w:type="dxa"/>
            <w:tcBorders>
              <w:top w:val="nil"/>
              <w:left w:val="nil"/>
              <w:bottom w:val="single" w:sz="4" w:space="0" w:color="auto"/>
              <w:right w:val="single" w:sz="4" w:space="0" w:color="auto"/>
            </w:tcBorders>
            <w:shd w:val="clear" w:color="auto" w:fill="auto"/>
            <w:noWrap/>
            <w:vAlign w:val="bottom"/>
            <w:hideMark/>
          </w:tcPr>
          <w:p w14:paraId="25156A68"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22" w:type="dxa"/>
            <w:tcBorders>
              <w:top w:val="nil"/>
              <w:left w:val="nil"/>
              <w:bottom w:val="single" w:sz="4" w:space="0" w:color="auto"/>
              <w:right w:val="single" w:sz="4" w:space="0" w:color="auto"/>
            </w:tcBorders>
            <w:shd w:val="clear" w:color="auto" w:fill="auto"/>
            <w:noWrap/>
            <w:vAlign w:val="bottom"/>
            <w:hideMark/>
          </w:tcPr>
          <w:p w14:paraId="419FCDBB"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24,75</w:t>
            </w:r>
          </w:p>
        </w:tc>
        <w:tc>
          <w:tcPr>
            <w:tcW w:w="908" w:type="dxa"/>
            <w:tcBorders>
              <w:top w:val="nil"/>
              <w:left w:val="nil"/>
              <w:bottom w:val="single" w:sz="4" w:space="0" w:color="auto"/>
              <w:right w:val="single" w:sz="4" w:space="0" w:color="auto"/>
            </w:tcBorders>
            <w:shd w:val="clear" w:color="auto" w:fill="auto"/>
            <w:noWrap/>
            <w:vAlign w:val="bottom"/>
            <w:hideMark/>
          </w:tcPr>
          <w:p w14:paraId="2AA45062"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r>
      <w:tr w:rsidR="006F3067" w:rsidRPr="008860BA" w14:paraId="1927CF05" w14:textId="77777777" w:rsidTr="006F3067">
        <w:trPr>
          <w:trHeight w:val="20"/>
        </w:trPr>
        <w:tc>
          <w:tcPr>
            <w:tcW w:w="3423" w:type="dxa"/>
            <w:tcBorders>
              <w:top w:val="nil"/>
              <w:left w:val="single" w:sz="4" w:space="0" w:color="auto"/>
              <w:bottom w:val="single" w:sz="4" w:space="0" w:color="auto"/>
              <w:right w:val="single" w:sz="4" w:space="0" w:color="auto"/>
            </w:tcBorders>
            <w:shd w:val="clear" w:color="auto" w:fill="auto"/>
            <w:hideMark/>
          </w:tcPr>
          <w:p w14:paraId="01541A96" w14:textId="1F07317A" w:rsidR="006F3067" w:rsidRPr="008860BA" w:rsidRDefault="006F3067">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Suport sistem informa</w:t>
            </w:r>
            <w:r w:rsidR="00885EE0" w:rsidRPr="008860BA">
              <w:rPr>
                <w:rFonts w:asciiTheme="majorHAnsi" w:eastAsia="Times New Roman" w:hAnsiTheme="majorHAnsi" w:cstheme="majorHAnsi"/>
                <w:sz w:val="18"/>
                <w:szCs w:val="18"/>
                <w:lang w:val="ro-MD"/>
              </w:rPr>
              <w:t>ț</w:t>
            </w:r>
            <w:r w:rsidRPr="008860BA">
              <w:rPr>
                <w:rFonts w:asciiTheme="majorHAnsi" w:eastAsia="Times New Roman" w:hAnsiTheme="majorHAnsi" w:cstheme="majorHAnsi"/>
                <w:sz w:val="18"/>
                <w:szCs w:val="18"/>
                <w:lang w:val="ro-MD"/>
              </w:rPr>
              <w:t>ional</w:t>
            </w:r>
          </w:p>
        </w:tc>
        <w:tc>
          <w:tcPr>
            <w:tcW w:w="967" w:type="dxa"/>
            <w:tcBorders>
              <w:top w:val="nil"/>
              <w:left w:val="nil"/>
              <w:bottom w:val="single" w:sz="4" w:space="0" w:color="auto"/>
              <w:right w:val="single" w:sz="4" w:space="0" w:color="auto"/>
            </w:tcBorders>
            <w:shd w:val="clear" w:color="auto" w:fill="auto"/>
            <w:noWrap/>
            <w:vAlign w:val="bottom"/>
            <w:hideMark/>
          </w:tcPr>
          <w:p w14:paraId="128C90D6"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99" w:type="dxa"/>
            <w:tcBorders>
              <w:top w:val="nil"/>
              <w:left w:val="nil"/>
              <w:bottom w:val="single" w:sz="4" w:space="0" w:color="auto"/>
              <w:right w:val="single" w:sz="4" w:space="0" w:color="auto"/>
            </w:tcBorders>
            <w:shd w:val="clear" w:color="auto" w:fill="auto"/>
            <w:hideMark/>
          </w:tcPr>
          <w:p w14:paraId="359D18E4"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1195" w:type="dxa"/>
            <w:tcBorders>
              <w:top w:val="nil"/>
              <w:left w:val="nil"/>
              <w:bottom w:val="single" w:sz="4" w:space="0" w:color="auto"/>
              <w:right w:val="single" w:sz="4" w:space="0" w:color="auto"/>
            </w:tcBorders>
            <w:shd w:val="clear" w:color="auto" w:fill="auto"/>
            <w:noWrap/>
            <w:vAlign w:val="bottom"/>
            <w:hideMark/>
          </w:tcPr>
          <w:p w14:paraId="66D0BC2E"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92" w:type="dxa"/>
            <w:tcBorders>
              <w:top w:val="nil"/>
              <w:left w:val="nil"/>
              <w:bottom w:val="single" w:sz="4" w:space="0" w:color="auto"/>
              <w:right w:val="single" w:sz="4" w:space="0" w:color="auto"/>
            </w:tcBorders>
            <w:shd w:val="clear" w:color="auto" w:fill="auto"/>
            <w:noWrap/>
            <w:vAlign w:val="bottom"/>
            <w:hideMark/>
          </w:tcPr>
          <w:p w14:paraId="70D00EAB"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224" w:type="dxa"/>
            <w:tcBorders>
              <w:top w:val="nil"/>
              <w:left w:val="nil"/>
              <w:bottom w:val="single" w:sz="4" w:space="0" w:color="auto"/>
              <w:right w:val="single" w:sz="4" w:space="0" w:color="auto"/>
            </w:tcBorders>
            <w:shd w:val="clear" w:color="auto" w:fill="auto"/>
            <w:noWrap/>
            <w:vAlign w:val="bottom"/>
            <w:hideMark/>
          </w:tcPr>
          <w:p w14:paraId="78CFADC7"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259" w:type="dxa"/>
            <w:tcBorders>
              <w:top w:val="nil"/>
              <w:left w:val="nil"/>
              <w:bottom w:val="single" w:sz="4" w:space="0" w:color="auto"/>
              <w:right w:val="single" w:sz="4" w:space="0" w:color="auto"/>
            </w:tcBorders>
            <w:shd w:val="clear" w:color="auto" w:fill="auto"/>
            <w:noWrap/>
            <w:vAlign w:val="bottom"/>
            <w:hideMark/>
          </w:tcPr>
          <w:p w14:paraId="524AAEA4"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67" w:type="dxa"/>
            <w:tcBorders>
              <w:top w:val="nil"/>
              <w:left w:val="nil"/>
              <w:bottom w:val="single" w:sz="4" w:space="0" w:color="auto"/>
              <w:right w:val="single" w:sz="4" w:space="0" w:color="auto"/>
            </w:tcBorders>
            <w:shd w:val="clear" w:color="auto" w:fill="auto"/>
            <w:noWrap/>
            <w:vAlign w:val="bottom"/>
            <w:hideMark/>
          </w:tcPr>
          <w:p w14:paraId="161AB374"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22" w:type="dxa"/>
            <w:tcBorders>
              <w:top w:val="nil"/>
              <w:left w:val="nil"/>
              <w:bottom w:val="single" w:sz="4" w:space="0" w:color="auto"/>
              <w:right w:val="single" w:sz="4" w:space="0" w:color="auto"/>
            </w:tcBorders>
            <w:shd w:val="clear" w:color="auto" w:fill="auto"/>
            <w:noWrap/>
            <w:vAlign w:val="bottom"/>
            <w:hideMark/>
          </w:tcPr>
          <w:p w14:paraId="196335DF"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22" w:type="dxa"/>
            <w:tcBorders>
              <w:top w:val="nil"/>
              <w:left w:val="nil"/>
              <w:bottom w:val="single" w:sz="4" w:space="0" w:color="auto"/>
              <w:right w:val="single" w:sz="4" w:space="0" w:color="auto"/>
            </w:tcBorders>
            <w:shd w:val="clear" w:color="auto" w:fill="auto"/>
            <w:hideMark/>
          </w:tcPr>
          <w:p w14:paraId="0E165F7E"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0,00</w:t>
            </w:r>
          </w:p>
        </w:tc>
        <w:tc>
          <w:tcPr>
            <w:tcW w:w="908" w:type="dxa"/>
            <w:tcBorders>
              <w:top w:val="nil"/>
              <w:left w:val="nil"/>
              <w:bottom w:val="single" w:sz="4" w:space="0" w:color="auto"/>
              <w:right w:val="single" w:sz="4" w:space="0" w:color="auto"/>
            </w:tcBorders>
            <w:shd w:val="clear" w:color="auto" w:fill="auto"/>
            <w:noWrap/>
            <w:vAlign w:val="bottom"/>
            <w:hideMark/>
          </w:tcPr>
          <w:p w14:paraId="0B5A1016"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r>
      <w:tr w:rsidR="006F3067" w:rsidRPr="008860BA" w14:paraId="26D8F777" w14:textId="77777777" w:rsidTr="006F3067">
        <w:trPr>
          <w:trHeight w:val="20"/>
        </w:trPr>
        <w:tc>
          <w:tcPr>
            <w:tcW w:w="3423" w:type="dxa"/>
            <w:tcBorders>
              <w:top w:val="nil"/>
              <w:left w:val="single" w:sz="4" w:space="0" w:color="auto"/>
              <w:bottom w:val="single" w:sz="4" w:space="0" w:color="auto"/>
              <w:right w:val="single" w:sz="4" w:space="0" w:color="auto"/>
            </w:tcBorders>
            <w:shd w:val="clear" w:color="auto" w:fill="auto"/>
            <w:hideMark/>
          </w:tcPr>
          <w:p w14:paraId="273DC10B" w14:textId="77777777" w:rsidR="006F3067" w:rsidRPr="008860BA" w:rsidRDefault="006F3067" w:rsidP="00332FF7">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Taxa pentru drepturile de import export</w:t>
            </w:r>
          </w:p>
        </w:tc>
        <w:tc>
          <w:tcPr>
            <w:tcW w:w="967" w:type="dxa"/>
            <w:tcBorders>
              <w:top w:val="nil"/>
              <w:left w:val="nil"/>
              <w:bottom w:val="single" w:sz="4" w:space="0" w:color="auto"/>
              <w:right w:val="single" w:sz="4" w:space="0" w:color="auto"/>
            </w:tcBorders>
            <w:shd w:val="clear" w:color="auto" w:fill="auto"/>
            <w:noWrap/>
            <w:vAlign w:val="bottom"/>
            <w:hideMark/>
          </w:tcPr>
          <w:p w14:paraId="07238EC1"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99" w:type="dxa"/>
            <w:tcBorders>
              <w:top w:val="nil"/>
              <w:left w:val="nil"/>
              <w:bottom w:val="single" w:sz="4" w:space="0" w:color="auto"/>
              <w:right w:val="single" w:sz="4" w:space="0" w:color="auto"/>
            </w:tcBorders>
            <w:shd w:val="clear" w:color="auto" w:fill="auto"/>
            <w:hideMark/>
          </w:tcPr>
          <w:p w14:paraId="7A2827B9"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2,00</w:t>
            </w:r>
          </w:p>
        </w:tc>
        <w:tc>
          <w:tcPr>
            <w:tcW w:w="1195" w:type="dxa"/>
            <w:tcBorders>
              <w:top w:val="nil"/>
              <w:left w:val="nil"/>
              <w:bottom w:val="single" w:sz="4" w:space="0" w:color="auto"/>
              <w:right w:val="single" w:sz="4" w:space="0" w:color="auto"/>
            </w:tcBorders>
            <w:shd w:val="clear" w:color="auto" w:fill="auto"/>
            <w:noWrap/>
            <w:vAlign w:val="bottom"/>
            <w:hideMark/>
          </w:tcPr>
          <w:p w14:paraId="7188EB73"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2,00</w:t>
            </w:r>
          </w:p>
        </w:tc>
        <w:tc>
          <w:tcPr>
            <w:tcW w:w="1092" w:type="dxa"/>
            <w:tcBorders>
              <w:top w:val="nil"/>
              <w:left w:val="nil"/>
              <w:bottom w:val="single" w:sz="4" w:space="0" w:color="auto"/>
              <w:right w:val="single" w:sz="4" w:space="0" w:color="auto"/>
            </w:tcBorders>
            <w:shd w:val="clear" w:color="auto" w:fill="auto"/>
            <w:hideMark/>
          </w:tcPr>
          <w:p w14:paraId="2CBD95BC"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1224" w:type="dxa"/>
            <w:tcBorders>
              <w:top w:val="nil"/>
              <w:left w:val="nil"/>
              <w:bottom w:val="single" w:sz="4" w:space="0" w:color="auto"/>
              <w:right w:val="single" w:sz="4" w:space="0" w:color="auto"/>
            </w:tcBorders>
            <w:shd w:val="clear" w:color="auto" w:fill="auto"/>
            <w:noWrap/>
            <w:vAlign w:val="bottom"/>
            <w:hideMark/>
          </w:tcPr>
          <w:p w14:paraId="002629FD"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259" w:type="dxa"/>
            <w:tcBorders>
              <w:top w:val="nil"/>
              <w:left w:val="nil"/>
              <w:bottom w:val="single" w:sz="4" w:space="0" w:color="auto"/>
              <w:right w:val="single" w:sz="4" w:space="0" w:color="auto"/>
            </w:tcBorders>
            <w:shd w:val="clear" w:color="auto" w:fill="auto"/>
            <w:noWrap/>
            <w:vAlign w:val="bottom"/>
            <w:hideMark/>
          </w:tcPr>
          <w:p w14:paraId="53257679"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67" w:type="dxa"/>
            <w:tcBorders>
              <w:top w:val="nil"/>
              <w:left w:val="nil"/>
              <w:bottom w:val="single" w:sz="4" w:space="0" w:color="auto"/>
              <w:right w:val="single" w:sz="4" w:space="0" w:color="auto"/>
            </w:tcBorders>
            <w:shd w:val="clear" w:color="auto" w:fill="auto"/>
            <w:noWrap/>
            <w:vAlign w:val="bottom"/>
            <w:hideMark/>
          </w:tcPr>
          <w:p w14:paraId="5F3ED633"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22" w:type="dxa"/>
            <w:tcBorders>
              <w:top w:val="nil"/>
              <w:left w:val="nil"/>
              <w:bottom w:val="single" w:sz="4" w:space="0" w:color="auto"/>
              <w:right w:val="single" w:sz="4" w:space="0" w:color="auto"/>
            </w:tcBorders>
            <w:shd w:val="clear" w:color="auto" w:fill="auto"/>
            <w:noWrap/>
            <w:vAlign w:val="bottom"/>
            <w:hideMark/>
          </w:tcPr>
          <w:p w14:paraId="08AC4D61"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22" w:type="dxa"/>
            <w:tcBorders>
              <w:top w:val="nil"/>
              <w:left w:val="nil"/>
              <w:bottom w:val="single" w:sz="4" w:space="0" w:color="auto"/>
              <w:right w:val="single" w:sz="4" w:space="0" w:color="auto"/>
            </w:tcBorders>
            <w:shd w:val="clear" w:color="auto" w:fill="auto"/>
            <w:noWrap/>
            <w:vAlign w:val="bottom"/>
            <w:hideMark/>
          </w:tcPr>
          <w:p w14:paraId="55213676"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2,00</w:t>
            </w:r>
          </w:p>
        </w:tc>
        <w:tc>
          <w:tcPr>
            <w:tcW w:w="908" w:type="dxa"/>
            <w:tcBorders>
              <w:top w:val="nil"/>
              <w:left w:val="nil"/>
              <w:bottom w:val="single" w:sz="4" w:space="0" w:color="auto"/>
              <w:right w:val="single" w:sz="4" w:space="0" w:color="auto"/>
            </w:tcBorders>
            <w:shd w:val="clear" w:color="auto" w:fill="auto"/>
            <w:hideMark/>
          </w:tcPr>
          <w:p w14:paraId="76333DDB"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r>
      <w:tr w:rsidR="006F3067" w:rsidRPr="008860BA" w14:paraId="702F875B" w14:textId="77777777" w:rsidTr="006F3067">
        <w:trPr>
          <w:trHeight w:val="20"/>
        </w:trPr>
        <w:tc>
          <w:tcPr>
            <w:tcW w:w="3423" w:type="dxa"/>
            <w:tcBorders>
              <w:top w:val="nil"/>
              <w:left w:val="single" w:sz="4" w:space="0" w:color="auto"/>
              <w:bottom w:val="single" w:sz="4" w:space="0" w:color="auto"/>
              <w:right w:val="single" w:sz="4" w:space="0" w:color="auto"/>
            </w:tcBorders>
            <w:shd w:val="clear" w:color="auto" w:fill="auto"/>
            <w:hideMark/>
          </w:tcPr>
          <w:p w14:paraId="6C9A6246" w14:textId="7201DAED" w:rsidR="006F3067" w:rsidRPr="008860BA" w:rsidRDefault="006F3067">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Taxa pentru achizi</w:t>
            </w:r>
            <w:r w:rsidR="00885EE0" w:rsidRPr="008860BA">
              <w:rPr>
                <w:rFonts w:asciiTheme="majorHAnsi" w:eastAsia="Times New Roman" w:hAnsiTheme="majorHAnsi" w:cstheme="majorHAnsi"/>
                <w:sz w:val="18"/>
                <w:szCs w:val="18"/>
                <w:lang w:val="ro-MD"/>
              </w:rPr>
              <w:t>ț</w:t>
            </w:r>
            <w:r w:rsidRPr="008860BA">
              <w:rPr>
                <w:rFonts w:asciiTheme="majorHAnsi" w:eastAsia="Times New Roman" w:hAnsiTheme="majorHAnsi" w:cstheme="majorHAnsi"/>
                <w:sz w:val="18"/>
                <w:szCs w:val="18"/>
                <w:lang w:val="ro-MD"/>
              </w:rPr>
              <w:t>ii publice</w:t>
            </w:r>
          </w:p>
        </w:tc>
        <w:tc>
          <w:tcPr>
            <w:tcW w:w="967" w:type="dxa"/>
            <w:tcBorders>
              <w:top w:val="nil"/>
              <w:left w:val="nil"/>
              <w:bottom w:val="single" w:sz="4" w:space="0" w:color="auto"/>
              <w:right w:val="single" w:sz="4" w:space="0" w:color="auto"/>
            </w:tcBorders>
            <w:shd w:val="clear" w:color="auto" w:fill="auto"/>
            <w:noWrap/>
            <w:vAlign w:val="bottom"/>
            <w:hideMark/>
          </w:tcPr>
          <w:p w14:paraId="79B913A8"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99" w:type="dxa"/>
            <w:tcBorders>
              <w:top w:val="nil"/>
              <w:left w:val="nil"/>
              <w:bottom w:val="single" w:sz="4" w:space="0" w:color="auto"/>
              <w:right w:val="single" w:sz="4" w:space="0" w:color="auto"/>
            </w:tcBorders>
            <w:shd w:val="clear" w:color="auto" w:fill="auto"/>
            <w:hideMark/>
          </w:tcPr>
          <w:p w14:paraId="4C341A87"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29,95</w:t>
            </w:r>
          </w:p>
        </w:tc>
        <w:tc>
          <w:tcPr>
            <w:tcW w:w="1195" w:type="dxa"/>
            <w:tcBorders>
              <w:top w:val="nil"/>
              <w:left w:val="nil"/>
              <w:bottom w:val="single" w:sz="4" w:space="0" w:color="auto"/>
              <w:right w:val="single" w:sz="4" w:space="0" w:color="auto"/>
            </w:tcBorders>
            <w:shd w:val="clear" w:color="auto" w:fill="auto"/>
            <w:noWrap/>
            <w:vAlign w:val="bottom"/>
            <w:hideMark/>
          </w:tcPr>
          <w:p w14:paraId="05EA88AF"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29,95</w:t>
            </w:r>
          </w:p>
        </w:tc>
        <w:tc>
          <w:tcPr>
            <w:tcW w:w="1092" w:type="dxa"/>
            <w:tcBorders>
              <w:top w:val="nil"/>
              <w:left w:val="nil"/>
              <w:bottom w:val="single" w:sz="4" w:space="0" w:color="auto"/>
              <w:right w:val="single" w:sz="4" w:space="0" w:color="auto"/>
            </w:tcBorders>
            <w:shd w:val="clear" w:color="auto" w:fill="auto"/>
            <w:noWrap/>
            <w:vAlign w:val="bottom"/>
            <w:hideMark/>
          </w:tcPr>
          <w:p w14:paraId="118A5AAC"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29,95</w:t>
            </w:r>
          </w:p>
        </w:tc>
        <w:tc>
          <w:tcPr>
            <w:tcW w:w="1224" w:type="dxa"/>
            <w:tcBorders>
              <w:top w:val="nil"/>
              <w:left w:val="nil"/>
              <w:bottom w:val="single" w:sz="4" w:space="0" w:color="auto"/>
              <w:right w:val="single" w:sz="4" w:space="0" w:color="auto"/>
            </w:tcBorders>
            <w:shd w:val="clear" w:color="auto" w:fill="auto"/>
            <w:noWrap/>
            <w:vAlign w:val="bottom"/>
            <w:hideMark/>
          </w:tcPr>
          <w:p w14:paraId="03C53BB3"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259" w:type="dxa"/>
            <w:tcBorders>
              <w:top w:val="nil"/>
              <w:left w:val="nil"/>
              <w:bottom w:val="single" w:sz="4" w:space="0" w:color="auto"/>
              <w:right w:val="single" w:sz="4" w:space="0" w:color="auto"/>
            </w:tcBorders>
            <w:shd w:val="clear" w:color="auto" w:fill="auto"/>
            <w:noWrap/>
            <w:vAlign w:val="bottom"/>
            <w:hideMark/>
          </w:tcPr>
          <w:p w14:paraId="408FF2E2"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67" w:type="dxa"/>
            <w:tcBorders>
              <w:top w:val="nil"/>
              <w:left w:val="nil"/>
              <w:bottom w:val="single" w:sz="4" w:space="0" w:color="auto"/>
              <w:right w:val="single" w:sz="4" w:space="0" w:color="auto"/>
            </w:tcBorders>
            <w:shd w:val="clear" w:color="auto" w:fill="auto"/>
            <w:hideMark/>
          </w:tcPr>
          <w:p w14:paraId="6D658C0F"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822" w:type="dxa"/>
            <w:tcBorders>
              <w:top w:val="nil"/>
              <w:left w:val="nil"/>
              <w:bottom w:val="single" w:sz="4" w:space="0" w:color="auto"/>
              <w:right w:val="single" w:sz="4" w:space="0" w:color="auto"/>
            </w:tcBorders>
            <w:shd w:val="clear" w:color="auto" w:fill="auto"/>
            <w:noWrap/>
            <w:vAlign w:val="bottom"/>
            <w:hideMark/>
          </w:tcPr>
          <w:p w14:paraId="6BBB11FC"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22" w:type="dxa"/>
            <w:tcBorders>
              <w:top w:val="nil"/>
              <w:left w:val="nil"/>
              <w:bottom w:val="single" w:sz="4" w:space="0" w:color="auto"/>
              <w:right w:val="single" w:sz="4" w:space="0" w:color="auto"/>
            </w:tcBorders>
            <w:shd w:val="clear" w:color="auto" w:fill="auto"/>
            <w:noWrap/>
            <w:vAlign w:val="bottom"/>
            <w:hideMark/>
          </w:tcPr>
          <w:p w14:paraId="02ADD82D"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908" w:type="dxa"/>
            <w:tcBorders>
              <w:top w:val="nil"/>
              <w:left w:val="nil"/>
              <w:bottom w:val="single" w:sz="4" w:space="0" w:color="auto"/>
              <w:right w:val="single" w:sz="4" w:space="0" w:color="auto"/>
            </w:tcBorders>
            <w:shd w:val="clear" w:color="auto" w:fill="auto"/>
            <w:noWrap/>
            <w:vAlign w:val="bottom"/>
            <w:hideMark/>
          </w:tcPr>
          <w:p w14:paraId="624AF1EA"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r>
      <w:tr w:rsidR="006F3067" w:rsidRPr="008860BA" w14:paraId="383D7FBD" w14:textId="77777777" w:rsidTr="006F3067">
        <w:trPr>
          <w:trHeight w:val="20"/>
        </w:trPr>
        <w:tc>
          <w:tcPr>
            <w:tcW w:w="3423" w:type="dxa"/>
            <w:tcBorders>
              <w:top w:val="nil"/>
              <w:left w:val="single" w:sz="4" w:space="0" w:color="auto"/>
              <w:bottom w:val="single" w:sz="4" w:space="0" w:color="auto"/>
              <w:right w:val="single" w:sz="4" w:space="0" w:color="auto"/>
            </w:tcBorders>
            <w:shd w:val="clear" w:color="auto" w:fill="auto"/>
            <w:hideMark/>
          </w:tcPr>
          <w:p w14:paraId="6A68ADBC" w14:textId="77777777" w:rsidR="006F3067" w:rsidRPr="008860BA" w:rsidRDefault="006F3067" w:rsidP="00332FF7">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Toner</w:t>
            </w:r>
          </w:p>
        </w:tc>
        <w:tc>
          <w:tcPr>
            <w:tcW w:w="967" w:type="dxa"/>
            <w:tcBorders>
              <w:top w:val="nil"/>
              <w:left w:val="nil"/>
              <w:bottom w:val="single" w:sz="4" w:space="0" w:color="auto"/>
              <w:right w:val="single" w:sz="4" w:space="0" w:color="auto"/>
            </w:tcBorders>
            <w:shd w:val="clear" w:color="auto" w:fill="auto"/>
            <w:noWrap/>
            <w:vAlign w:val="bottom"/>
            <w:hideMark/>
          </w:tcPr>
          <w:p w14:paraId="4CDDF2EB"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99" w:type="dxa"/>
            <w:tcBorders>
              <w:top w:val="nil"/>
              <w:left w:val="nil"/>
              <w:bottom w:val="single" w:sz="4" w:space="0" w:color="auto"/>
              <w:right w:val="single" w:sz="4" w:space="0" w:color="auto"/>
            </w:tcBorders>
            <w:shd w:val="clear" w:color="auto" w:fill="auto"/>
            <w:hideMark/>
          </w:tcPr>
          <w:p w14:paraId="79BCF13E"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46,06</w:t>
            </w:r>
          </w:p>
        </w:tc>
        <w:tc>
          <w:tcPr>
            <w:tcW w:w="1195" w:type="dxa"/>
            <w:tcBorders>
              <w:top w:val="nil"/>
              <w:left w:val="nil"/>
              <w:bottom w:val="single" w:sz="4" w:space="0" w:color="auto"/>
              <w:right w:val="single" w:sz="4" w:space="0" w:color="auto"/>
            </w:tcBorders>
            <w:shd w:val="clear" w:color="auto" w:fill="auto"/>
            <w:noWrap/>
            <w:vAlign w:val="bottom"/>
            <w:hideMark/>
          </w:tcPr>
          <w:p w14:paraId="607FC97D"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46,06</w:t>
            </w:r>
          </w:p>
        </w:tc>
        <w:tc>
          <w:tcPr>
            <w:tcW w:w="1092" w:type="dxa"/>
            <w:tcBorders>
              <w:top w:val="nil"/>
              <w:left w:val="nil"/>
              <w:bottom w:val="single" w:sz="4" w:space="0" w:color="auto"/>
              <w:right w:val="single" w:sz="4" w:space="0" w:color="auto"/>
            </w:tcBorders>
            <w:shd w:val="clear" w:color="auto" w:fill="auto"/>
            <w:noWrap/>
            <w:vAlign w:val="bottom"/>
            <w:hideMark/>
          </w:tcPr>
          <w:p w14:paraId="2161A4E4"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46,06</w:t>
            </w:r>
          </w:p>
        </w:tc>
        <w:tc>
          <w:tcPr>
            <w:tcW w:w="1224" w:type="dxa"/>
            <w:tcBorders>
              <w:top w:val="nil"/>
              <w:left w:val="nil"/>
              <w:bottom w:val="single" w:sz="4" w:space="0" w:color="auto"/>
              <w:right w:val="single" w:sz="4" w:space="0" w:color="auto"/>
            </w:tcBorders>
            <w:shd w:val="clear" w:color="auto" w:fill="auto"/>
            <w:noWrap/>
            <w:vAlign w:val="bottom"/>
            <w:hideMark/>
          </w:tcPr>
          <w:p w14:paraId="39FF888F"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259" w:type="dxa"/>
            <w:tcBorders>
              <w:top w:val="nil"/>
              <w:left w:val="nil"/>
              <w:bottom w:val="single" w:sz="4" w:space="0" w:color="auto"/>
              <w:right w:val="single" w:sz="4" w:space="0" w:color="auto"/>
            </w:tcBorders>
            <w:shd w:val="clear" w:color="auto" w:fill="auto"/>
            <w:noWrap/>
            <w:vAlign w:val="bottom"/>
            <w:hideMark/>
          </w:tcPr>
          <w:p w14:paraId="1B26A59A"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67" w:type="dxa"/>
            <w:tcBorders>
              <w:top w:val="nil"/>
              <w:left w:val="nil"/>
              <w:bottom w:val="single" w:sz="4" w:space="0" w:color="auto"/>
              <w:right w:val="single" w:sz="4" w:space="0" w:color="auto"/>
            </w:tcBorders>
            <w:shd w:val="clear" w:color="auto" w:fill="auto"/>
            <w:hideMark/>
          </w:tcPr>
          <w:p w14:paraId="34ABBBA5"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822" w:type="dxa"/>
            <w:tcBorders>
              <w:top w:val="nil"/>
              <w:left w:val="nil"/>
              <w:bottom w:val="single" w:sz="4" w:space="0" w:color="auto"/>
              <w:right w:val="single" w:sz="4" w:space="0" w:color="auto"/>
            </w:tcBorders>
            <w:shd w:val="clear" w:color="auto" w:fill="auto"/>
            <w:noWrap/>
            <w:vAlign w:val="bottom"/>
            <w:hideMark/>
          </w:tcPr>
          <w:p w14:paraId="3B4A7359"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22" w:type="dxa"/>
            <w:tcBorders>
              <w:top w:val="nil"/>
              <w:left w:val="nil"/>
              <w:bottom w:val="single" w:sz="4" w:space="0" w:color="auto"/>
              <w:right w:val="single" w:sz="4" w:space="0" w:color="auto"/>
            </w:tcBorders>
            <w:shd w:val="clear" w:color="auto" w:fill="auto"/>
            <w:noWrap/>
            <w:vAlign w:val="bottom"/>
            <w:hideMark/>
          </w:tcPr>
          <w:p w14:paraId="3237DEF8"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908" w:type="dxa"/>
            <w:tcBorders>
              <w:top w:val="nil"/>
              <w:left w:val="nil"/>
              <w:bottom w:val="single" w:sz="4" w:space="0" w:color="auto"/>
              <w:right w:val="single" w:sz="4" w:space="0" w:color="auto"/>
            </w:tcBorders>
            <w:shd w:val="clear" w:color="auto" w:fill="auto"/>
            <w:noWrap/>
            <w:vAlign w:val="bottom"/>
            <w:hideMark/>
          </w:tcPr>
          <w:p w14:paraId="2471AE6E"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r>
      <w:tr w:rsidR="006F3067" w:rsidRPr="008860BA" w14:paraId="18889D05" w14:textId="77777777" w:rsidTr="006F3067">
        <w:trPr>
          <w:trHeight w:val="20"/>
        </w:trPr>
        <w:tc>
          <w:tcPr>
            <w:tcW w:w="3423" w:type="dxa"/>
            <w:tcBorders>
              <w:top w:val="nil"/>
              <w:left w:val="single" w:sz="4" w:space="0" w:color="auto"/>
              <w:bottom w:val="single" w:sz="4" w:space="0" w:color="auto"/>
              <w:right w:val="single" w:sz="4" w:space="0" w:color="auto"/>
            </w:tcBorders>
            <w:shd w:val="clear" w:color="auto" w:fill="auto"/>
            <w:hideMark/>
          </w:tcPr>
          <w:p w14:paraId="2A5A3DF8" w14:textId="4C38AC7C" w:rsidR="006F3067" w:rsidRPr="008860BA" w:rsidRDefault="006F3067">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xml:space="preserve">Uzura acumulatoare </w:t>
            </w:r>
            <w:r w:rsidR="00885EE0" w:rsidRPr="008860BA">
              <w:rPr>
                <w:rFonts w:asciiTheme="majorHAnsi" w:eastAsia="Times New Roman" w:hAnsiTheme="majorHAnsi" w:cstheme="majorHAnsi"/>
                <w:sz w:val="18"/>
                <w:szCs w:val="18"/>
                <w:lang w:val="ro-MD"/>
              </w:rPr>
              <w:t>ș</w:t>
            </w:r>
            <w:r w:rsidRPr="008860BA">
              <w:rPr>
                <w:rFonts w:asciiTheme="majorHAnsi" w:eastAsia="Times New Roman" w:hAnsiTheme="majorHAnsi" w:cstheme="majorHAnsi"/>
                <w:sz w:val="18"/>
                <w:szCs w:val="18"/>
                <w:lang w:val="ro-MD"/>
              </w:rPr>
              <w:t>i anvelope</w:t>
            </w:r>
          </w:p>
        </w:tc>
        <w:tc>
          <w:tcPr>
            <w:tcW w:w="967" w:type="dxa"/>
            <w:tcBorders>
              <w:top w:val="nil"/>
              <w:left w:val="nil"/>
              <w:bottom w:val="single" w:sz="4" w:space="0" w:color="auto"/>
              <w:right w:val="single" w:sz="4" w:space="0" w:color="auto"/>
            </w:tcBorders>
            <w:shd w:val="clear" w:color="auto" w:fill="auto"/>
            <w:noWrap/>
            <w:vAlign w:val="bottom"/>
            <w:hideMark/>
          </w:tcPr>
          <w:p w14:paraId="6308116F"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99" w:type="dxa"/>
            <w:tcBorders>
              <w:top w:val="nil"/>
              <w:left w:val="nil"/>
              <w:bottom w:val="single" w:sz="4" w:space="0" w:color="auto"/>
              <w:right w:val="single" w:sz="4" w:space="0" w:color="auto"/>
            </w:tcBorders>
            <w:shd w:val="clear" w:color="auto" w:fill="auto"/>
            <w:hideMark/>
          </w:tcPr>
          <w:p w14:paraId="4791ADF5"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3,05</w:t>
            </w:r>
          </w:p>
        </w:tc>
        <w:tc>
          <w:tcPr>
            <w:tcW w:w="1195" w:type="dxa"/>
            <w:tcBorders>
              <w:top w:val="nil"/>
              <w:left w:val="nil"/>
              <w:bottom w:val="single" w:sz="4" w:space="0" w:color="auto"/>
              <w:right w:val="single" w:sz="4" w:space="0" w:color="auto"/>
            </w:tcBorders>
            <w:shd w:val="clear" w:color="auto" w:fill="auto"/>
            <w:noWrap/>
            <w:vAlign w:val="bottom"/>
            <w:hideMark/>
          </w:tcPr>
          <w:p w14:paraId="3ACB79A7"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3,05</w:t>
            </w:r>
          </w:p>
        </w:tc>
        <w:tc>
          <w:tcPr>
            <w:tcW w:w="1092" w:type="dxa"/>
            <w:tcBorders>
              <w:top w:val="nil"/>
              <w:left w:val="nil"/>
              <w:bottom w:val="single" w:sz="4" w:space="0" w:color="auto"/>
              <w:right w:val="single" w:sz="4" w:space="0" w:color="auto"/>
            </w:tcBorders>
            <w:shd w:val="clear" w:color="auto" w:fill="auto"/>
            <w:noWrap/>
            <w:vAlign w:val="bottom"/>
            <w:hideMark/>
          </w:tcPr>
          <w:p w14:paraId="2B06D9DB"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0,17</w:t>
            </w:r>
          </w:p>
        </w:tc>
        <w:tc>
          <w:tcPr>
            <w:tcW w:w="1224" w:type="dxa"/>
            <w:tcBorders>
              <w:top w:val="nil"/>
              <w:left w:val="nil"/>
              <w:bottom w:val="single" w:sz="4" w:space="0" w:color="auto"/>
              <w:right w:val="single" w:sz="4" w:space="0" w:color="auto"/>
            </w:tcBorders>
            <w:shd w:val="clear" w:color="auto" w:fill="auto"/>
            <w:noWrap/>
            <w:vAlign w:val="bottom"/>
            <w:hideMark/>
          </w:tcPr>
          <w:p w14:paraId="40E06666"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0,84</w:t>
            </w:r>
          </w:p>
        </w:tc>
        <w:tc>
          <w:tcPr>
            <w:tcW w:w="1259" w:type="dxa"/>
            <w:tcBorders>
              <w:top w:val="nil"/>
              <w:left w:val="nil"/>
              <w:bottom w:val="single" w:sz="4" w:space="0" w:color="auto"/>
              <w:right w:val="single" w:sz="4" w:space="0" w:color="auto"/>
            </w:tcBorders>
            <w:shd w:val="clear" w:color="auto" w:fill="auto"/>
            <w:noWrap/>
            <w:vAlign w:val="bottom"/>
            <w:hideMark/>
          </w:tcPr>
          <w:p w14:paraId="7BC52799"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67" w:type="dxa"/>
            <w:tcBorders>
              <w:top w:val="nil"/>
              <w:left w:val="nil"/>
              <w:bottom w:val="single" w:sz="4" w:space="0" w:color="auto"/>
              <w:right w:val="single" w:sz="4" w:space="0" w:color="auto"/>
            </w:tcBorders>
            <w:shd w:val="clear" w:color="auto" w:fill="auto"/>
            <w:hideMark/>
          </w:tcPr>
          <w:p w14:paraId="558D22E6"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822" w:type="dxa"/>
            <w:tcBorders>
              <w:top w:val="nil"/>
              <w:left w:val="nil"/>
              <w:bottom w:val="single" w:sz="4" w:space="0" w:color="auto"/>
              <w:right w:val="single" w:sz="4" w:space="0" w:color="auto"/>
            </w:tcBorders>
            <w:shd w:val="clear" w:color="auto" w:fill="auto"/>
            <w:noWrap/>
            <w:vAlign w:val="bottom"/>
            <w:hideMark/>
          </w:tcPr>
          <w:p w14:paraId="2280B762"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22" w:type="dxa"/>
            <w:tcBorders>
              <w:top w:val="nil"/>
              <w:left w:val="nil"/>
              <w:bottom w:val="single" w:sz="4" w:space="0" w:color="auto"/>
              <w:right w:val="single" w:sz="4" w:space="0" w:color="auto"/>
            </w:tcBorders>
            <w:shd w:val="clear" w:color="auto" w:fill="auto"/>
            <w:noWrap/>
            <w:vAlign w:val="bottom"/>
            <w:hideMark/>
          </w:tcPr>
          <w:p w14:paraId="3F07FEAC"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908" w:type="dxa"/>
            <w:tcBorders>
              <w:top w:val="nil"/>
              <w:left w:val="nil"/>
              <w:bottom w:val="single" w:sz="4" w:space="0" w:color="auto"/>
              <w:right w:val="single" w:sz="4" w:space="0" w:color="auto"/>
            </w:tcBorders>
            <w:shd w:val="clear" w:color="auto" w:fill="auto"/>
            <w:noWrap/>
            <w:vAlign w:val="bottom"/>
            <w:hideMark/>
          </w:tcPr>
          <w:p w14:paraId="30C1DEAF"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2,04</w:t>
            </w:r>
          </w:p>
        </w:tc>
      </w:tr>
      <w:tr w:rsidR="006F3067" w:rsidRPr="008860BA" w14:paraId="049E3034" w14:textId="77777777" w:rsidTr="006F3067">
        <w:trPr>
          <w:trHeight w:val="20"/>
        </w:trPr>
        <w:tc>
          <w:tcPr>
            <w:tcW w:w="3423" w:type="dxa"/>
            <w:tcBorders>
              <w:top w:val="nil"/>
              <w:left w:val="single" w:sz="4" w:space="0" w:color="auto"/>
              <w:bottom w:val="single" w:sz="4" w:space="0" w:color="auto"/>
              <w:right w:val="single" w:sz="4" w:space="0" w:color="auto"/>
            </w:tcBorders>
            <w:shd w:val="clear" w:color="auto" w:fill="auto"/>
            <w:hideMark/>
          </w:tcPr>
          <w:p w14:paraId="4BFC7A32" w14:textId="77777777" w:rsidR="006F3067" w:rsidRPr="008860BA" w:rsidRDefault="006F3067" w:rsidP="00332FF7">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Transfer intern</w:t>
            </w:r>
          </w:p>
        </w:tc>
        <w:tc>
          <w:tcPr>
            <w:tcW w:w="967" w:type="dxa"/>
            <w:tcBorders>
              <w:top w:val="nil"/>
              <w:left w:val="nil"/>
              <w:bottom w:val="single" w:sz="4" w:space="0" w:color="auto"/>
              <w:right w:val="single" w:sz="4" w:space="0" w:color="auto"/>
            </w:tcBorders>
            <w:shd w:val="clear" w:color="auto" w:fill="auto"/>
            <w:noWrap/>
            <w:vAlign w:val="bottom"/>
            <w:hideMark/>
          </w:tcPr>
          <w:p w14:paraId="2FE89E8A"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99" w:type="dxa"/>
            <w:tcBorders>
              <w:top w:val="nil"/>
              <w:left w:val="nil"/>
              <w:bottom w:val="single" w:sz="4" w:space="0" w:color="auto"/>
              <w:right w:val="single" w:sz="4" w:space="0" w:color="auto"/>
            </w:tcBorders>
            <w:shd w:val="clear" w:color="auto" w:fill="auto"/>
            <w:hideMark/>
          </w:tcPr>
          <w:p w14:paraId="0A16EDD3"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2,06</w:t>
            </w:r>
          </w:p>
        </w:tc>
        <w:tc>
          <w:tcPr>
            <w:tcW w:w="1195" w:type="dxa"/>
            <w:tcBorders>
              <w:top w:val="nil"/>
              <w:left w:val="nil"/>
              <w:bottom w:val="single" w:sz="4" w:space="0" w:color="auto"/>
              <w:right w:val="single" w:sz="4" w:space="0" w:color="auto"/>
            </w:tcBorders>
            <w:shd w:val="clear" w:color="auto" w:fill="auto"/>
            <w:noWrap/>
            <w:vAlign w:val="bottom"/>
            <w:hideMark/>
          </w:tcPr>
          <w:p w14:paraId="2CAE7B64"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2,06</w:t>
            </w:r>
          </w:p>
        </w:tc>
        <w:tc>
          <w:tcPr>
            <w:tcW w:w="1092" w:type="dxa"/>
            <w:tcBorders>
              <w:top w:val="nil"/>
              <w:left w:val="nil"/>
              <w:bottom w:val="single" w:sz="4" w:space="0" w:color="auto"/>
              <w:right w:val="single" w:sz="4" w:space="0" w:color="auto"/>
            </w:tcBorders>
            <w:shd w:val="clear" w:color="auto" w:fill="auto"/>
            <w:hideMark/>
          </w:tcPr>
          <w:p w14:paraId="3CC06699"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0,00</w:t>
            </w:r>
          </w:p>
        </w:tc>
        <w:tc>
          <w:tcPr>
            <w:tcW w:w="1224" w:type="dxa"/>
            <w:tcBorders>
              <w:top w:val="nil"/>
              <w:left w:val="nil"/>
              <w:bottom w:val="single" w:sz="4" w:space="0" w:color="auto"/>
              <w:right w:val="single" w:sz="4" w:space="0" w:color="auto"/>
            </w:tcBorders>
            <w:shd w:val="clear" w:color="auto" w:fill="auto"/>
            <w:noWrap/>
            <w:vAlign w:val="bottom"/>
            <w:hideMark/>
          </w:tcPr>
          <w:p w14:paraId="3C2CC90F"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259" w:type="dxa"/>
            <w:tcBorders>
              <w:top w:val="nil"/>
              <w:left w:val="nil"/>
              <w:bottom w:val="single" w:sz="4" w:space="0" w:color="auto"/>
              <w:right w:val="single" w:sz="4" w:space="0" w:color="auto"/>
            </w:tcBorders>
            <w:shd w:val="clear" w:color="auto" w:fill="auto"/>
            <w:noWrap/>
            <w:vAlign w:val="bottom"/>
            <w:hideMark/>
          </w:tcPr>
          <w:p w14:paraId="1D2A173F"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67" w:type="dxa"/>
            <w:tcBorders>
              <w:top w:val="nil"/>
              <w:left w:val="nil"/>
              <w:bottom w:val="single" w:sz="4" w:space="0" w:color="auto"/>
              <w:right w:val="single" w:sz="4" w:space="0" w:color="auto"/>
            </w:tcBorders>
            <w:shd w:val="clear" w:color="auto" w:fill="auto"/>
            <w:hideMark/>
          </w:tcPr>
          <w:p w14:paraId="72CA9AB5"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c>
          <w:tcPr>
            <w:tcW w:w="822" w:type="dxa"/>
            <w:tcBorders>
              <w:top w:val="nil"/>
              <w:left w:val="nil"/>
              <w:bottom w:val="single" w:sz="4" w:space="0" w:color="auto"/>
              <w:right w:val="single" w:sz="4" w:space="0" w:color="auto"/>
            </w:tcBorders>
            <w:shd w:val="clear" w:color="auto" w:fill="auto"/>
            <w:noWrap/>
            <w:vAlign w:val="bottom"/>
            <w:hideMark/>
          </w:tcPr>
          <w:p w14:paraId="619E1540"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22" w:type="dxa"/>
            <w:tcBorders>
              <w:top w:val="nil"/>
              <w:left w:val="nil"/>
              <w:bottom w:val="single" w:sz="4" w:space="0" w:color="auto"/>
              <w:right w:val="single" w:sz="4" w:space="0" w:color="auto"/>
            </w:tcBorders>
            <w:shd w:val="clear" w:color="auto" w:fill="auto"/>
            <w:noWrap/>
            <w:vAlign w:val="bottom"/>
            <w:hideMark/>
          </w:tcPr>
          <w:p w14:paraId="08A23010"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2,06</w:t>
            </w:r>
          </w:p>
        </w:tc>
        <w:tc>
          <w:tcPr>
            <w:tcW w:w="908" w:type="dxa"/>
            <w:tcBorders>
              <w:top w:val="nil"/>
              <w:left w:val="nil"/>
              <w:bottom w:val="single" w:sz="4" w:space="0" w:color="auto"/>
              <w:right w:val="single" w:sz="4" w:space="0" w:color="auto"/>
            </w:tcBorders>
            <w:shd w:val="clear" w:color="auto" w:fill="auto"/>
            <w:hideMark/>
          </w:tcPr>
          <w:p w14:paraId="511A9A4C"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0,00</w:t>
            </w:r>
          </w:p>
        </w:tc>
      </w:tr>
      <w:tr w:rsidR="006F3067" w:rsidRPr="008860BA" w14:paraId="58CC0567" w14:textId="77777777" w:rsidTr="006F3067">
        <w:trPr>
          <w:trHeight w:val="20"/>
        </w:trPr>
        <w:tc>
          <w:tcPr>
            <w:tcW w:w="3423" w:type="dxa"/>
            <w:tcBorders>
              <w:top w:val="nil"/>
              <w:left w:val="single" w:sz="4" w:space="0" w:color="auto"/>
              <w:bottom w:val="single" w:sz="4" w:space="0" w:color="auto"/>
              <w:right w:val="single" w:sz="4" w:space="0" w:color="auto"/>
            </w:tcBorders>
            <w:shd w:val="clear" w:color="auto" w:fill="auto"/>
            <w:hideMark/>
          </w:tcPr>
          <w:p w14:paraId="43ABDF28" w14:textId="77777777" w:rsidR="006F3067" w:rsidRPr="008860BA" w:rsidRDefault="006F3067" w:rsidP="00332FF7">
            <w:pPr>
              <w:spacing w:after="0" w:line="240" w:lineRule="auto"/>
              <w:ind w:firstLineChars="100" w:firstLine="180"/>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Uzura OMVSD</w:t>
            </w:r>
          </w:p>
        </w:tc>
        <w:tc>
          <w:tcPr>
            <w:tcW w:w="967" w:type="dxa"/>
            <w:tcBorders>
              <w:top w:val="nil"/>
              <w:left w:val="nil"/>
              <w:bottom w:val="single" w:sz="4" w:space="0" w:color="auto"/>
              <w:right w:val="single" w:sz="4" w:space="0" w:color="auto"/>
            </w:tcBorders>
            <w:shd w:val="clear" w:color="auto" w:fill="auto"/>
            <w:noWrap/>
            <w:vAlign w:val="bottom"/>
            <w:hideMark/>
          </w:tcPr>
          <w:p w14:paraId="339CD813"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99" w:type="dxa"/>
            <w:tcBorders>
              <w:top w:val="nil"/>
              <w:left w:val="nil"/>
              <w:bottom w:val="single" w:sz="4" w:space="0" w:color="auto"/>
              <w:right w:val="single" w:sz="4" w:space="0" w:color="auto"/>
            </w:tcBorders>
            <w:shd w:val="clear" w:color="auto" w:fill="auto"/>
            <w:hideMark/>
          </w:tcPr>
          <w:p w14:paraId="231A22E0"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253,93</w:t>
            </w:r>
          </w:p>
        </w:tc>
        <w:tc>
          <w:tcPr>
            <w:tcW w:w="1195" w:type="dxa"/>
            <w:tcBorders>
              <w:top w:val="nil"/>
              <w:left w:val="nil"/>
              <w:bottom w:val="single" w:sz="4" w:space="0" w:color="auto"/>
              <w:right w:val="single" w:sz="4" w:space="0" w:color="auto"/>
            </w:tcBorders>
            <w:shd w:val="clear" w:color="auto" w:fill="auto"/>
            <w:noWrap/>
            <w:vAlign w:val="bottom"/>
            <w:hideMark/>
          </w:tcPr>
          <w:p w14:paraId="3CB8BA46"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253,93</w:t>
            </w:r>
          </w:p>
        </w:tc>
        <w:tc>
          <w:tcPr>
            <w:tcW w:w="1092" w:type="dxa"/>
            <w:tcBorders>
              <w:top w:val="nil"/>
              <w:left w:val="nil"/>
              <w:bottom w:val="single" w:sz="4" w:space="0" w:color="auto"/>
              <w:right w:val="single" w:sz="4" w:space="0" w:color="auto"/>
            </w:tcBorders>
            <w:shd w:val="clear" w:color="auto" w:fill="auto"/>
            <w:noWrap/>
            <w:vAlign w:val="bottom"/>
            <w:hideMark/>
          </w:tcPr>
          <w:p w14:paraId="15CEF389"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102,04</w:t>
            </w:r>
          </w:p>
        </w:tc>
        <w:tc>
          <w:tcPr>
            <w:tcW w:w="1224" w:type="dxa"/>
            <w:tcBorders>
              <w:top w:val="nil"/>
              <w:left w:val="nil"/>
              <w:bottom w:val="single" w:sz="4" w:space="0" w:color="auto"/>
              <w:right w:val="single" w:sz="4" w:space="0" w:color="auto"/>
            </w:tcBorders>
            <w:shd w:val="clear" w:color="auto" w:fill="auto"/>
            <w:noWrap/>
            <w:vAlign w:val="bottom"/>
            <w:hideMark/>
          </w:tcPr>
          <w:p w14:paraId="3F619C05"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1,09</w:t>
            </w:r>
          </w:p>
        </w:tc>
        <w:tc>
          <w:tcPr>
            <w:tcW w:w="1259" w:type="dxa"/>
            <w:tcBorders>
              <w:top w:val="nil"/>
              <w:left w:val="nil"/>
              <w:bottom w:val="single" w:sz="4" w:space="0" w:color="auto"/>
              <w:right w:val="single" w:sz="4" w:space="0" w:color="auto"/>
            </w:tcBorders>
            <w:shd w:val="clear" w:color="auto" w:fill="auto"/>
            <w:noWrap/>
            <w:vAlign w:val="bottom"/>
            <w:hideMark/>
          </w:tcPr>
          <w:p w14:paraId="1EAB5013"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67" w:type="dxa"/>
            <w:tcBorders>
              <w:top w:val="nil"/>
              <w:left w:val="nil"/>
              <w:bottom w:val="single" w:sz="4" w:space="0" w:color="auto"/>
              <w:right w:val="single" w:sz="4" w:space="0" w:color="auto"/>
            </w:tcBorders>
            <w:shd w:val="clear" w:color="auto" w:fill="auto"/>
            <w:noWrap/>
            <w:vAlign w:val="bottom"/>
            <w:hideMark/>
          </w:tcPr>
          <w:p w14:paraId="2D2B9DBA"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22" w:type="dxa"/>
            <w:tcBorders>
              <w:top w:val="nil"/>
              <w:left w:val="nil"/>
              <w:bottom w:val="single" w:sz="4" w:space="0" w:color="auto"/>
              <w:right w:val="single" w:sz="4" w:space="0" w:color="auto"/>
            </w:tcBorders>
            <w:shd w:val="clear" w:color="auto" w:fill="auto"/>
            <w:noWrap/>
            <w:vAlign w:val="bottom"/>
            <w:hideMark/>
          </w:tcPr>
          <w:p w14:paraId="7D4EC494"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22" w:type="dxa"/>
            <w:tcBorders>
              <w:top w:val="nil"/>
              <w:left w:val="nil"/>
              <w:bottom w:val="single" w:sz="4" w:space="0" w:color="auto"/>
              <w:right w:val="single" w:sz="4" w:space="0" w:color="auto"/>
            </w:tcBorders>
            <w:shd w:val="clear" w:color="auto" w:fill="auto"/>
            <w:noWrap/>
            <w:vAlign w:val="bottom"/>
            <w:hideMark/>
          </w:tcPr>
          <w:p w14:paraId="51D86411"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15,40</w:t>
            </w:r>
          </w:p>
        </w:tc>
        <w:tc>
          <w:tcPr>
            <w:tcW w:w="908" w:type="dxa"/>
            <w:tcBorders>
              <w:top w:val="nil"/>
              <w:left w:val="nil"/>
              <w:bottom w:val="single" w:sz="4" w:space="0" w:color="auto"/>
              <w:right w:val="single" w:sz="4" w:space="0" w:color="auto"/>
            </w:tcBorders>
            <w:shd w:val="clear" w:color="auto" w:fill="auto"/>
            <w:noWrap/>
            <w:vAlign w:val="bottom"/>
            <w:hideMark/>
          </w:tcPr>
          <w:p w14:paraId="7583B537"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135,40</w:t>
            </w:r>
          </w:p>
        </w:tc>
      </w:tr>
      <w:tr w:rsidR="006F3067" w:rsidRPr="008860BA" w14:paraId="2FC41497" w14:textId="77777777" w:rsidTr="006F3067">
        <w:trPr>
          <w:trHeight w:val="20"/>
        </w:trPr>
        <w:tc>
          <w:tcPr>
            <w:tcW w:w="3423" w:type="dxa"/>
            <w:tcBorders>
              <w:top w:val="nil"/>
              <w:left w:val="single" w:sz="4" w:space="0" w:color="auto"/>
              <w:bottom w:val="single" w:sz="4" w:space="0" w:color="auto"/>
              <w:right w:val="single" w:sz="4" w:space="0" w:color="auto"/>
            </w:tcBorders>
            <w:shd w:val="clear" w:color="auto" w:fill="auto"/>
            <w:noWrap/>
            <w:vAlign w:val="bottom"/>
            <w:hideMark/>
          </w:tcPr>
          <w:p w14:paraId="25F8152A" w14:textId="77777777" w:rsidR="006F3067" w:rsidRPr="008860BA" w:rsidRDefault="006F3067" w:rsidP="00332FF7">
            <w:pPr>
              <w:spacing w:after="0" w:line="240" w:lineRule="auto"/>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Cheltuieli administrative</w:t>
            </w:r>
          </w:p>
        </w:tc>
        <w:tc>
          <w:tcPr>
            <w:tcW w:w="967" w:type="dxa"/>
            <w:tcBorders>
              <w:top w:val="nil"/>
              <w:left w:val="nil"/>
              <w:bottom w:val="single" w:sz="4" w:space="0" w:color="auto"/>
              <w:right w:val="single" w:sz="4" w:space="0" w:color="auto"/>
            </w:tcBorders>
            <w:shd w:val="clear" w:color="auto" w:fill="auto"/>
            <w:noWrap/>
            <w:vAlign w:val="bottom"/>
            <w:hideMark/>
          </w:tcPr>
          <w:p w14:paraId="3950B071" w14:textId="77777777" w:rsidR="006F3067" w:rsidRPr="008860BA" w:rsidRDefault="006F3067" w:rsidP="00332FF7">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713</w:t>
            </w:r>
          </w:p>
        </w:tc>
        <w:tc>
          <w:tcPr>
            <w:tcW w:w="1099" w:type="dxa"/>
            <w:tcBorders>
              <w:top w:val="single" w:sz="8" w:space="0" w:color="auto"/>
              <w:left w:val="nil"/>
              <w:bottom w:val="nil"/>
              <w:right w:val="single" w:sz="4" w:space="0" w:color="auto"/>
            </w:tcBorders>
            <w:shd w:val="clear" w:color="auto" w:fill="auto"/>
            <w:hideMark/>
          </w:tcPr>
          <w:p w14:paraId="678DC421" w14:textId="77777777" w:rsidR="006F3067" w:rsidRPr="008860BA" w:rsidRDefault="006F3067" w:rsidP="00332FF7">
            <w:pPr>
              <w:spacing w:after="0" w:line="240" w:lineRule="auto"/>
              <w:jc w:val="right"/>
              <w:rPr>
                <w:rFonts w:asciiTheme="majorHAnsi" w:eastAsia="Times New Roman" w:hAnsiTheme="majorHAnsi" w:cstheme="majorHAnsi"/>
                <w:b/>
                <w:bCs/>
                <w:sz w:val="18"/>
                <w:szCs w:val="18"/>
                <w:lang w:val="ro-MD"/>
              </w:rPr>
            </w:pPr>
            <w:r w:rsidRPr="008860BA">
              <w:rPr>
                <w:rFonts w:asciiTheme="majorHAnsi" w:eastAsia="Times New Roman" w:hAnsiTheme="majorHAnsi" w:cstheme="majorHAnsi"/>
                <w:b/>
                <w:bCs/>
                <w:sz w:val="18"/>
                <w:szCs w:val="18"/>
                <w:lang w:val="ro-MD"/>
              </w:rPr>
              <w:t>8.155,06</w:t>
            </w:r>
          </w:p>
        </w:tc>
        <w:tc>
          <w:tcPr>
            <w:tcW w:w="1195" w:type="dxa"/>
            <w:tcBorders>
              <w:top w:val="nil"/>
              <w:left w:val="nil"/>
              <w:bottom w:val="single" w:sz="4" w:space="0" w:color="auto"/>
              <w:right w:val="single" w:sz="4" w:space="0" w:color="auto"/>
            </w:tcBorders>
            <w:shd w:val="clear" w:color="auto" w:fill="auto"/>
            <w:noWrap/>
            <w:vAlign w:val="bottom"/>
            <w:hideMark/>
          </w:tcPr>
          <w:p w14:paraId="44AA011A" w14:textId="77777777" w:rsidR="006F3067" w:rsidRPr="008860BA" w:rsidRDefault="006F3067" w:rsidP="00332FF7">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8.155,06</w:t>
            </w:r>
          </w:p>
        </w:tc>
        <w:tc>
          <w:tcPr>
            <w:tcW w:w="1092" w:type="dxa"/>
            <w:tcBorders>
              <w:top w:val="nil"/>
              <w:left w:val="nil"/>
              <w:bottom w:val="single" w:sz="4" w:space="0" w:color="auto"/>
              <w:right w:val="single" w:sz="4" w:space="0" w:color="auto"/>
            </w:tcBorders>
            <w:shd w:val="clear" w:color="auto" w:fill="auto"/>
            <w:noWrap/>
            <w:vAlign w:val="bottom"/>
            <w:hideMark/>
          </w:tcPr>
          <w:p w14:paraId="48F9177D" w14:textId="77777777" w:rsidR="006F3067" w:rsidRPr="008860BA" w:rsidRDefault="006F3067" w:rsidP="00332FF7">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7.830,64</w:t>
            </w:r>
          </w:p>
        </w:tc>
        <w:tc>
          <w:tcPr>
            <w:tcW w:w="1224" w:type="dxa"/>
            <w:tcBorders>
              <w:top w:val="nil"/>
              <w:left w:val="nil"/>
              <w:bottom w:val="single" w:sz="4" w:space="0" w:color="auto"/>
              <w:right w:val="single" w:sz="4" w:space="0" w:color="auto"/>
            </w:tcBorders>
            <w:shd w:val="clear" w:color="auto" w:fill="auto"/>
            <w:noWrap/>
            <w:vAlign w:val="bottom"/>
            <w:hideMark/>
          </w:tcPr>
          <w:p w14:paraId="1706F679" w14:textId="77777777" w:rsidR="006F3067" w:rsidRPr="008860BA" w:rsidRDefault="006F3067" w:rsidP="00332FF7">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3,32</w:t>
            </w:r>
          </w:p>
        </w:tc>
        <w:tc>
          <w:tcPr>
            <w:tcW w:w="1259" w:type="dxa"/>
            <w:tcBorders>
              <w:top w:val="nil"/>
              <w:left w:val="nil"/>
              <w:bottom w:val="single" w:sz="4" w:space="0" w:color="auto"/>
              <w:right w:val="single" w:sz="4" w:space="0" w:color="auto"/>
            </w:tcBorders>
            <w:shd w:val="clear" w:color="auto" w:fill="auto"/>
            <w:noWrap/>
            <w:vAlign w:val="bottom"/>
            <w:hideMark/>
          </w:tcPr>
          <w:p w14:paraId="012A2E31" w14:textId="77777777" w:rsidR="006F3067" w:rsidRPr="008860BA" w:rsidRDefault="006F3067" w:rsidP="00332FF7">
            <w:pPr>
              <w:spacing w:after="0" w:line="240" w:lineRule="auto"/>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 </w:t>
            </w:r>
          </w:p>
        </w:tc>
        <w:tc>
          <w:tcPr>
            <w:tcW w:w="1067" w:type="dxa"/>
            <w:tcBorders>
              <w:top w:val="nil"/>
              <w:left w:val="nil"/>
              <w:bottom w:val="single" w:sz="4" w:space="0" w:color="auto"/>
              <w:right w:val="single" w:sz="4" w:space="0" w:color="auto"/>
            </w:tcBorders>
            <w:shd w:val="clear" w:color="auto" w:fill="auto"/>
            <w:noWrap/>
            <w:vAlign w:val="bottom"/>
            <w:hideMark/>
          </w:tcPr>
          <w:p w14:paraId="4A3AC40C" w14:textId="77777777" w:rsidR="006F3067" w:rsidRPr="008860BA" w:rsidRDefault="006F3067" w:rsidP="00332FF7">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251,06</w:t>
            </w:r>
          </w:p>
        </w:tc>
        <w:tc>
          <w:tcPr>
            <w:tcW w:w="822" w:type="dxa"/>
            <w:tcBorders>
              <w:top w:val="nil"/>
              <w:left w:val="nil"/>
              <w:bottom w:val="single" w:sz="4" w:space="0" w:color="auto"/>
              <w:right w:val="single" w:sz="4" w:space="0" w:color="auto"/>
            </w:tcBorders>
            <w:shd w:val="clear" w:color="auto" w:fill="auto"/>
            <w:noWrap/>
            <w:vAlign w:val="bottom"/>
            <w:hideMark/>
          </w:tcPr>
          <w:p w14:paraId="4B7FEDAE" w14:textId="77777777" w:rsidR="006F3067" w:rsidRPr="008860BA" w:rsidRDefault="006F3067" w:rsidP="00332FF7">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29,24</w:t>
            </w:r>
          </w:p>
        </w:tc>
        <w:tc>
          <w:tcPr>
            <w:tcW w:w="822" w:type="dxa"/>
            <w:tcBorders>
              <w:top w:val="nil"/>
              <w:left w:val="nil"/>
              <w:bottom w:val="single" w:sz="4" w:space="0" w:color="auto"/>
              <w:right w:val="single" w:sz="4" w:space="0" w:color="auto"/>
            </w:tcBorders>
            <w:shd w:val="clear" w:color="auto" w:fill="auto"/>
            <w:noWrap/>
            <w:vAlign w:val="bottom"/>
            <w:hideMark/>
          </w:tcPr>
          <w:p w14:paraId="05CE120B" w14:textId="77777777" w:rsidR="006F3067" w:rsidRPr="008860BA" w:rsidRDefault="006F3067" w:rsidP="00332FF7">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40,80</w:t>
            </w:r>
          </w:p>
        </w:tc>
        <w:tc>
          <w:tcPr>
            <w:tcW w:w="908" w:type="dxa"/>
            <w:tcBorders>
              <w:top w:val="nil"/>
              <w:left w:val="nil"/>
              <w:bottom w:val="single" w:sz="4" w:space="0" w:color="auto"/>
              <w:right w:val="single" w:sz="4" w:space="0" w:color="auto"/>
            </w:tcBorders>
            <w:shd w:val="clear" w:color="auto" w:fill="auto"/>
            <w:noWrap/>
            <w:vAlign w:val="bottom"/>
            <w:hideMark/>
          </w:tcPr>
          <w:p w14:paraId="4D96DDB4" w14:textId="77777777" w:rsidR="006F3067" w:rsidRPr="008860BA" w:rsidRDefault="006F3067" w:rsidP="00332FF7">
            <w:pPr>
              <w:spacing w:after="0" w:line="240" w:lineRule="auto"/>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 </w:t>
            </w:r>
          </w:p>
        </w:tc>
      </w:tr>
      <w:tr w:rsidR="006F3067" w:rsidRPr="008860BA" w14:paraId="36FD3938" w14:textId="77777777" w:rsidTr="006F3067">
        <w:trPr>
          <w:trHeight w:val="20"/>
        </w:trPr>
        <w:tc>
          <w:tcPr>
            <w:tcW w:w="3423" w:type="dxa"/>
            <w:tcBorders>
              <w:top w:val="nil"/>
              <w:left w:val="single" w:sz="4" w:space="0" w:color="auto"/>
              <w:bottom w:val="single" w:sz="4" w:space="0" w:color="auto"/>
              <w:right w:val="single" w:sz="4" w:space="0" w:color="auto"/>
            </w:tcBorders>
            <w:shd w:val="clear" w:color="auto" w:fill="auto"/>
            <w:noWrap/>
            <w:vAlign w:val="bottom"/>
            <w:hideMark/>
          </w:tcPr>
          <w:p w14:paraId="1056A24D" w14:textId="235D58A8" w:rsidR="006F3067" w:rsidRPr="008860BA" w:rsidRDefault="006F306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Fondul social (24%)</w:t>
            </w:r>
          </w:p>
        </w:tc>
        <w:tc>
          <w:tcPr>
            <w:tcW w:w="967" w:type="dxa"/>
            <w:tcBorders>
              <w:top w:val="nil"/>
              <w:left w:val="nil"/>
              <w:bottom w:val="single" w:sz="4" w:space="0" w:color="auto"/>
              <w:right w:val="single" w:sz="4" w:space="0" w:color="auto"/>
            </w:tcBorders>
            <w:shd w:val="clear" w:color="auto" w:fill="auto"/>
            <w:noWrap/>
            <w:vAlign w:val="bottom"/>
            <w:hideMark/>
          </w:tcPr>
          <w:p w14:paraId="669D1559"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99" w:type="dxa"/>
            <w:tcBorders>
              <w:top w:val="single" w:sz="4" w:space="0" w:color="auto"/>
              <w:left w:val="nil"/>
              <w:bottom w:val="single" w:sz="4" w:space="0" w:color="auto"/>
              <w:right w:val="single" w:sz="4" w:space="0" w:color="auto"/>
            </w:tcBorders>
            <w:shd w:val="clear" w:color="auto" w:fill="auto"/>
            <w:noWrap/>
            <w:vAlign w:val="bottom"/>
            <w:hideMark/>
          </w:tcPr>
          <w:p w14:paraId="3348EC12"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1.542,14</w:t>
            </w:r>
          </w:p>
        </w:tc>
        <w:tc>
          <w:tcPr>
            <w:tcW w:w="1195" w:type="dxa"/>
            <w:tcBorders>
              <w:top w:val="nil"/>
              <w:left w:val="nil"/>
              <w:bottom w:val="single" w:sz="4" w:space="0" w:color="auto"/>
              <w:right w:val="single" w:sz="4" w:space="0" w:color="auto"/>
            </w:tcBorders>
            <w:shd w:val="clear" w:color="auto" w:fill="auto"/>
            <w:noWrap/>
            <w:vAlign w:val="bottom"/>
            <w:hideMark/>
          </w:tcPr>
          <w:p w14:paraId="0F95483B"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1.542,14</w:t>
            </w:r>
          </w:p>
        </w:tc>
        <w:tc>
          <w:tcPr>
            <w:tcW w:w="1092" w:type="dxa"/>
            <w:tcBorders>
              <w:top w:val="nil"/>
              <w:left w:val="nil"/>
              <w:bottom w:val="nil"/>
              <w:right w:val="single" w:sz="4" w:space="0" w:color="auto"/>
            </w:tcBorders>
            <w:shd w:val="clear" w:color="auto" w:fill="auto"/>
            <w:hideMark/>
          </w:tcPr>
          <w:p w14:paraId="6D00C32B"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1.491,05</w:t>
            </w:r>
          </w:p>
        </w:tc>
        <w:tc>
          <w:tcPr>
            <w:tcW w:w="1224" w:type="dxa"/>
            <w:tcBorders>
              <w:top w:val="nil"/>
              <w:left w:val="nil"/>
              <w:bottom w:val="single" w:sz="4" w:space="0" w:color="auto"/>
              <w:right w:val="single" w:sz="4" w:space="0" w:color="auto"/>
            </w:tcBorders>
            <w:shd w:val="clear" w:color="auto" w:fill="auto"/>
            <w:noWrap/>
            <w:vAlign w:val="bottom"/>
            <w:hideMark/>
          </w:tcPr>
          <w:p w14:paraId="514C2A40"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259" w:type="dxa"/>
            <w:tcBorders>
              <w:top w:val="nil"/>
              <w:left w:val="nil"/>
              <w:bottom w:val="single" w:sz="4" w:space="0" w:color="auto"/>
              <w:right w:val="single" w:sz="4" w:space="0" w:color="auto"/>
            </w:tcBorders>
            <w:shd w:val="clear" w:color="auto" w:fill="auto"/>
            <w:noWrap/>
            <w:vAlign w:val="bottom"/>
            <w:hideMark/>
          </w:tcPr>
          <w:p w14:paraId="71FDCD29"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67" w:type="dxa"/>
            <w:tcBorders>
              <w:top w:val="nil"/>
              <w:left w:val="nil"/>
              <w:bottom w:val="nil"/>
              <w:right w:val="single" w:sz="4" w:space="0" w:color="auto"/>
            </w:tcBorders>
            <w:shd w:val="clear" w:color="auto" w:fill="auto"/>
            <w:hideMark/>
          </w:tcPr>
          <w:p w14:paraId="30B49E06"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42,70</w:t>
            </w:r>
          </w:p>
        </w:tc>
        <w:tc>
          <w:tcPr>
            <w:tcW w:w="822" w:type="dxa"/>
            <w:tcBorders>
              <w:top w:val="nil"/>
              <w:left w:val="nil"/>
              <w:bottom w:val="single" w:sz="4" w:space="0" w:color="auto"/>
              <w:right w:val="single" w:sz="4" w:space="0" w:color="auto"/>
            </w:tcBorders>
            <w:shd w:val="clear" w:color="auto" w:fill="auto"/>
            <w:noWrap/>
            <w:vAlign w:val="bottom"/>
            <w:hideMark/>
          </w:tcPr>
          <w:p w14:paraId="1C1F1709"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5,60</w:t>
            </w:r>
          </w:p>
        </w:tc>
        <w:tc>
          <w:tcPr>
            <w:tcW w:w="822" w:type="dxa"/>
            <w:tcBorders>
              <w:top w:val="nil"/>
              <w:left w:val="nil"/>
              <w:bottom w:val="nil"/>
              <w:right w:val="single" w:sz="4" w:space="0" w:color="auto"/>
            </w:tcBorders>
            <w:shd w:val="clear" w:color="auto" w:fill="auto"/>
            <w:hideMark/>
          </w:tcPr>
          <w:p w14:paraId="6FC3795A"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2,78</w:t>
            </w:r>
          </w:p>
        </w:tc>
        <w:tc>
          <w:tcPr>
            <w:tcW w:w="908" w:type="dxa"/>
            <w:tcBorders>
              <w:top w:val="nil"/>
              <w:left w:val="nil"/>
              <w:bottom w:val="single" w:sz="4" w:space="0" w:color="auto"/>
              <w:right w:val="single" w:sz="4" w:space="0" w:color="auto"/>
            </w:tcBorders>
            <w:shd w:val="clear" w:color="auto" w:fill="auto"/>
            <w:noWrap/>
            <w:vAlign w:val="bottom"/>
            <w:hideMark/>
          </w:tcPr>
          <w:p w14:paraId="39135DAB"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r>
      <w:tr w:rsidR="006F3067" w:rsidRPr="008860BA" w14:paraId="473B4E49" w14:textId="77777777" w:rsidTr="006F3067">
        <w:trPr>
          <w:trHeight w:val="20"/>
        </w:trPr>
        <w:tc>
          <w:tcPr>
            <w:tcW w:w="3423" w:type="dxa"/>
            <w:tcBorders>
              <w:top w:val="nil"/>
              <w:left w:val="single" w:sz="4" w:space="0" w:color="auto"/>
              <w:bottom w:val="single" w:sz="4" w:space="0" w:color="auto"/>
              <w:right w:val="single" w:sz="4" w:space="0" w:color="auto"/>
            </w:tcBorders>
            <w:shd w:val="clear" w:color="auto" w:fill="auto"/>
            <w:noWrap/>
            <w:vAlign w:val="bottom"/>
            <w:hideMark/>
          </w:tcPr>
          <w:p w14:paraId="2B88F9DA"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Remunerarea muncii</w:t>
            </w:r>
          </w:p>
        </w:tc>
        <w:tc>
          <w:tcPr>
            <w:tcW w:w="967" w:type="dxa"/>
            <w:tcBorders>
              <w:top w:val="nil"/>
              <w:left w:val="nil"/>
              <w:bottom w:val="single" w:sz="4" w:space="0" w:color="auto"/>
              <w:right w:val="single" w:sz="4" w:space="0" w:color="auto"/>
            </w:tcBorders>
            <w:shd w:val="clear" w:color="auto" w:fill="auto"/>
            <w:noWrap/>
            <w:vAlign w:val="bottom"/>
            <w:hideMark/>
          </w:tcPr>
          <w:p w14:paraId="40E5F83C"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99" w:type="dxa"/>
            <w:tcBorders>
              <w:top w:val="nil"/>
              <w:left w:val="nil"/>
              <w:bottom w:val="single" w:sz="4" w:space="0" w:color="auto"/>
              <w:right w:val="single" w:sz="4" w:space="0" w:color="auto"/>
            </w:tcBorders>
            <w:shd w:val="clear" w:color="auto" w:fill="auto"/>
            <w:noWrap/>
            <w:vAlign w:val="bottom"/>
            <w:hideMark/>
          </w:tcPr>
          <w:p w14:paraId="5171000B"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6.425,59</w:t>
            </w:r>
          </w:p>
        </w:tc>
        <w:tc>
          <w:tcPr>
            <w:tcW w:w="1195" w:type="dxa"/>
            <w:tcBorders>
              <w:top w:val="nil"/>
              <w:left w:val="nil"/>
              <w:bottom w:val="single" w:sz="4" w:space="0" w:color="auto"/>
              <w:right w:val="single" w:sz="4" w:space="0" w:color="auto"/>
            </w:tcBorders>
            <w:shd w:val="clear" w:color="auto" w:fill="auto"/>
            <w:noWrap/>
            <w:vAlign w:val="bottom"/>
            <w:hideMark/>
          </w:tcPr>
          <w:p w14:paraId="771B9590"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6.425,59</w:t>
            </w:r>
          </w:p>
        </w:tc>
        <w:tc>
          <w:tcPr>
            <w:tcW w:w="1092" w:type="dxa"/>
            <w:tcBorders>
              <w:top w:val="single" w:sz="4" w:space="0" w:color="auto"/>
              <w:left w:val="nil"/>
              <w:bottom w:val="nil"/>
              <w:right w:val="single" w:sz="4" w:space="0" w:color="auto"/>
            </w:tcBorders>
            <w:shd w:val="clear" w:color="auto" w:fill="auto"/>
            <w:hideMark/>
          </w:tcPr>
          <w:p w14:paraId="7845A0E8"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6.212,72</w:t>
            </w:r>
          </w:p>
        </w:tc>
        <w:tc>
          <w:tcPr>
            <w:tcW w:w="1224" w:type="dxa"/>
            <w:tcBorders>
              <w:top w:val="nil"/>
              <w:left w:val="nil"/>
              <w:bottom w:val="single" w:sz="4" w:space="0" w:color="auto"/>
              <w:right w:val="single" w:sz="4" w:space="0" w:color="auto"/>
            </w:tcBorders>
            <w:shd w:val="clear" w:color="auto" w:fill="auto"/>
            <w:noWrap/>
            <w:vAlign w:val="bottom"/>
            <w:hideMark/>
          </w:tcPr>
          <w:p w14:paraId="223ADE31"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259" w:type="dxa"/>
            <w:tcBorders>
              <w:top w:val="nil"/>
              <w:left w:val="nil"/>
              <w:bottom w:val="single" w:sz="4" w:space="0" w:color="auto"/>
              <w:right w:val="single" w:sz="4" w:space="0" w:color="auto"/>
            </w:tcBorders>
            <w:shd w:val="clear" w:color="auto" w:fill="auto"/>
            <w:noWrap/>
            <w:vAlign w:val="bottom"/>
            <w:hideMark/>
          </w:tcPr>
          <w:p w14:paraId="476AC5A8"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67" w:type="dxa"/>
            <w:tcBorders>
              <w:top w:val="single" w:sz="4" w:space="0" w:color="auto"/>
              <w:left w:val="nil"/>
              <w:bottom w:val="nil"/>
              <w:right w:val="single" w:sz="4" w:space="0" w:color="auto"/>
            </w:tcBorders>
            <w:shd w:val="clear" w:color="auto" w:fill="auto"/>
            <w:hideMark/>
          </w:tcPr>
          <w:p w14:paraId="662D9F49"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177,93</w:t>
            </w:r>
          </w:p>
        </w:tc>
        <w:tc>
          <w:tcPr>
            <w:tcW w:w="822" w:type="dxa"/>
            <w:tcBorders>
              <w:top w:val="nil"/>
              <w:left w:val="nil"/>
              <w:bottom w:val="single" w:sz="4" w:space="0" w:color="auto"/>
              <w:right w:val="single" w:sz="4" w:space="0" w:color="auto"/>
            </w:tcBorders>
            <w:shd w:val="clear" w:color="auto" w:fill="auto"/>
            <w:noWrap/>
            <w:vAlign w:val="bottom"/>
            <w:hideMark/>
          </w:tcPr>
          <w:p w14:paraId="7F44AAE0"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23,35</w:t>
            </w:r>
          </w:p>
        </w:tc>
        <w:tc>
          <w:tcPr>
            <w:tcW w:w="822" w:type="dxa"/>
            <w:tcBorders>
              <w:top w:val="single" w:sz="4" w:space="0" w:color="auto"/>
              <w:left w:val="nil"/>
              <w:bottom w:val="nil"/>
              <w:right w:val="single" w:sz="4" w:space="0" w:color="auto"/>
            </w:tcBorders>
            <w:shd w:val="clear" w:color="auto" w:fill="auto"/>
            <w:hideMark/>
          </w:tcPr>
          <w:p w14:paraId="085C6125"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11,59</w:t>
            </w:r>
          </w:p>
        </w:tc>
        <w:tc>
          <w:tcPr>
            <w:tcW w:w="908" w:type="dxa"/>
            <w:tcBorders>
              <w:top w:val="nil"/>
              <w:left w:val="nil"/>
              <w:bottom w:val="single" w:sz="4" w:space="0" w:color="auto"/>
              <w:right w:val="single" w:sz="4" w:space="0" w:color="auto"/>
            </w:tcBorders>
            <w:shd w:val="clear" w:color="auto" w:fill="auto"/>
            <w:noWrap/>
            <w:vAlign w:val="bottom"/>
            <w:hideMark/>
          </w:tcPr>
          <w:p w14:paraId="5B076F07"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r>
      <w:tr w:rsidR="006F3067" w:rsidRPr="008860BA" w14:paraId="4DE80801" w14:textId="77777777" w:rsidTr="006F3067">
        <w:trPr>
          <w:trHeight w:val="20"/>
        </w:trPr>
        <w:tc>
          <w:tcPr>
            <w:tcW w:w="3423" w:type="dxa"/>
            <w:tcBorders>
              <w:top w:val="nil"/>
              <w:left w:val="single" w:sz="4" w:space="0" w:color="auto"/>
              <w:bottom w:val="single" w:sz="4" w:space="0" w:color="auto"/>
              <w:right w:val="single" w:sz="4" w:space="0" w:color="auto"/>
            </w:tcBorders>
            <w:shd w:val="clear" w:color="auto" w:fill="auto"/>
            <w:noWrap/>
            <w:vAlign w:val="bottom"/>
            <w:hideMark/>
          </w:tcPr>
          <w:p w14:paraId="49373231" w14:textId="55D75793" w:rsidR="006F3067" w:rsidRPr="008860BA" w:rsidRDefault="00304C60"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Incapacitate temporară de muncă</w:t>
            </w:r>
          </w:p>
        </w:tc>
        <w:tc>
          <w:tcPr>
            <w:tcW w:w="967" w:type="dxa"/>
            <w:tcBorders>
              <w:top w:val="nil"/>
              <w:left w:val="nil"/>
              <w:bottom w:val="single" w:sz="4" w:space="0" w:color="auto"/>
              <w:right w:val="single" w:sz="4" w:space="0" w:color="auto"/>
            </w:tcBorders>
            <w:shd w:val="clear" w:color="auto" w:fill="auto"/>
            <w:noWrap/>
            <w:vAlign w:val="bottom"/>
            <w:hideMark/>
          </w:tcPr>
          <w:p w14:paraId="658D5C50"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99" w:type="dxa"/>
            <w:tcBorders>
              <w:top w:val="nil"/>
              <w:left w:val="nil"/>
              <w:bottom w:val="single" w:sz="4" w:space="0" w:color="auto"/>
              <w:right w:val="single" w:sz="4" w:space="0" w:color="auto"/>
            </w:tcBorders>
            <w:shd w:val="clear" w:color="auto" w:fill="auto"/>
            <w:noWrap/>
            <w:vAlign w:val="bottom"/>
            <w:hideMark/>
          </w:tcPr>
          <w:p w14:paraId="7B1B5315"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161,02</w:t>
            </w:r>
          </w:p>
        </w:tc>
        <w:tc>
          <w:tcPr>
            <w:tcW w:w="1195" w:type="dxa"/>
            <w:tcBorders>
              <w:top w:val="nil"/>
              <w:left w:val="nil"/>
              <w:bottom w:val="single" w:sz="4" w:space="0" w:color="auto"/>
              <w:right w:val="single" w:sz="4" w:space="0" w:color="auto"/>
            </w:tcBorders>
            <w:shd w:val="clear" w:color="auto" w:fill="auto"/>
            <w:noWrap/>
            <w:vAlign w:val="bottom"/>
            <w:hideMark/>
          </w:tcPr>
          <w:p w14:paraId="624F4DA7"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161,02</w:t>
            </w:r>
          </w:p>
        </w:tc>
        <w:tc>
          <w:tcPr>
            <w:tcW w:w="1092" w:type="dxa"/>
            <w:tcBorders>
              <w:top w:val="single" w:sz="4" w:space="0" w:color="auto"/>
              <w:left w:val="nil"/>
              <w:bottom w:val="nil"/>
              <w:right w:val="single" w:sz="4" w:space="0" w:color="auto"/>
            </w:tcBorders>
            <w:shd w:val="clear" w:color="auto" w:fill="auto"/>
            <w:hideMark/>
          </w:tcPr>
          <w:p w14:paraId="1762F7C8"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126,86</w:t>
            </w:r>
          </w:p>
        </w:tc>
        <w:tc>
          <w:tcPr>
            <w:tcW w:w="1224" w:type="dxa"/>
            <w:tcBorders>
              <w:top w:val="nil"/>
              <w:left w:val="nil"/>
              <w:bottom w:val="single" w:sz="4" w:space="0" w:color="auto"/>
              <w:right w:val="single" w:sz="4" w:space="0" w:color="auto"/>
            </w:tcBorders>
            <w:shd w:val="clear" w:color="auto" w:fill="auto"/>
            <w:noWrap/>
            <w:vAlign w:val="bottom"/>
            <w:hideMark/>
          </w:tcPr>
          <w:p w14:paraId="4AC86DA7"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259" w:type="dxa"/>
            <w:tcBorders>
              <w:top w:val="nil"/>
              <w:left w:val="nil"/>
              <w:bottom w:val="nil"/>
              <w:right w:val="nil"/>
            </w:tcBorders>
            <w:shd w:val="clear" w:color="auto" w:fill="auto"/>
            <w:noWrap/>
            <w:vAlign w:val="bottom"/>
            <w:hideMark/>
          </w:tcPr>
          <w:p w14:paraId="062369C7"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9D9D0F"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30,43</w:t>
            </w:r>
          </w:p>
        </w:tc>
        <w:tc>
          <w:tcPr>
            <w:tcW w:w="822" w:type="dxa"/>
            <w:tcBorders>
              <w:top w:val="nil"/>
              <w:left w:val="nil"/>
              <w:bottom w:val="single" w:sz="4" w:space="0" w:color="auto"/>
              <w:right w:val="single" w:sz="4" w:space="0" w:color="auto"/>
            </w:tcBorders>
            <w:shd w:val="clear" w:color="auto" w:fill="auto"/>
            <w:noWrap/>
            <w:vAlign w:val="bottom"/>
            <w:hideMark/>
          </w:tcPr>
          <w:p w14:paraId="149F10E8"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0,29</w:t>
            </w:r>
          </w:p>
        </w:tc>
        <w:tc>
          <w:tcPr>
            <w:tcW w:w="822" w:type="dxa"/>
            <w:tcBorders>
              <w:top w:val="single" w:sz="4" w:space="0" w:color="auto"/>
              <w:left w:val="nil"/>
              <w:bottom w:val="nil"/>
              <w:right w:val="single" w:sz="4" w:space="0" w:color="auto"/>
            </w:tcBorders>
            <w:shd w:val="clear" w:color="auto" w:fill="auto"/>
            <w:hideMark/>
          </w:tcPr>
          <w:p w14:paraId="3558608F"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0,12</w:t>
            </w:r>
          </w:p>
        </w:tc>
        <w:tc>
          <w:tcPr>
            <w:tcW w:w="908" w:type="dxa"/>
            <w:tcBorders>
              <w:top w:val="nil"/>
              <w:left w:val="nil"/>
              <w:bottom w:val="single" w:sz="4" w:space="0" w:color="auto"/>
              <w:right w:val="single" w:sz="4" w:space="0" w:color="auto"/>
            </w:tcBorders>
            <w:shd w:val="clear" w:color="auto" w:fill="auto"/>
            <w:noWrap/>
            <w:vAlign w:val="bottom"/>
            <w:hideMark/>
          </w:tcPr>
          <w:p w14:paraId="1A7D2458"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r>
      <w:tr w:rsidR="006F3067" w:rsidRPr="008860BA" w14:paraId="39168D8E" w14:textId="77777777" w:rsidTr="006F3067">
        <w:trPr>
          <w:trHeight w:val="20"/>
        </w:trPr>
        <w:tc>
          <w:tcPr>
            <w:tcW w:w="3423" w:type="dxa"/>
            <w:tcBorders>
              <w:top w:val="nil"/>
              <w:left w:val="single" w:sz="4" w:space="0" w:color="auto"/>
              <w:bottom w:val="single" w:sz="4" w:space="0" w:color="auto"/>
              <w:right w:val="single" w:sz="4" w:space="0" w:color="auto"/>
            </w:tcBorders>
            <w:shd w:val="clear" w:color="auto" w:fill="auto"/>
            <w:noWrap/>
            <w:vAlign w:val="bottom"/>
            <w:hideMark/>
          </w:tcPr>
          <w:p w14:paraId="5987E581"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Taxa pentru drum</w:t>
            </w:r>
          </w:p>
        </w:tc>
        <w:tc>
          <w:tcPr>
            <w:tcW w:w="967" w:type="dxa"/>
            <w:tcBorders>
              <w:top w:val="nil"/>
              <w:left w:val="nil"/>
              <w:bottom w:val="single" w:sz="4" w:space="0" w:color="auto"/>
              <w:right w:val="single" w:sz="4" w:space="0" w:color="auto"/>
            </w:tcBorders>
            <w:shd w:val="clear" w:color="auto" w:fill="auto"/>
            <w:noWrap/>
            <w:vAlign w:val="bottom"/>
            <w:hideMark/>
          </w:tcPr>
          <w:p w14:paraId="4D7C6938"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99" w:type="dxa"/>
            <w:tcBorders>
              <w:top w:val="nil"/>
              <w:left w:val="nil"/>
              <w:bottom w:val="single" w:sz="4" w:space="0" w:color="auto"/>
              <w:right w:val="single" w:sz="4" w:space="0" w:color="auto"/>
            </w:tcBorders>
            <w:shd w:val="clear" w:color="auto" w:fill="auto"/>
            <w:noWrap/>
            <w:vAlign w:val="bottom"/>
            <w:hideMark/>
          </w:tcPr>
          <w:p w14:paraId="38DD5DA4"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26,31</w:t>
            </w:r>
          </w:p>
        </w:tc>
        <w:tc>
          <w:tcPr>
            <w:tcW w:w="1195" w:type="dxa"/>
            <w:tcBorders>
              <w:top w:val="nil"/>
              <w:left w:val="nil"/>
              <w:bottom w:val="single" w:sz="4" w:space="0" w:color="auto"/>
              <w:right w:val="single" w:sz="4" w:space="0" w:color="auto"/>
            </w:tcBorders>
            <w:shd w:val="clear" w:color="auto" w:fill="auto"/>
            <w:noWrap/>
            <w:vAlign w:val="bottom"/>
            <w:hideMark/>
          </w:tcPr>
          <w:p w14:paraId="1F5E1D52"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26,31</w:t>
            </w:r>
          </w:p>
        </w:tc>
        <w:tc>
          <w:tcPr>
            <w:tcW w:w="1092" w:type="dxa"/>
            <w:tcBorders>
              <w:top w:val="single" w:sz="4" w:space="0" w:color="auto"/>
              <w:left w:val="nil"/>
              <w:bottom w:val="single" w:sz="4" w:space="0" w:color="auto"/>
              <w:right w:val="single" w:sz="4" w:space="0" w:color="auto"/>
            </w:tcBorders>
            <w:shd w:val="clear" w:color="auto" w:fill="auto"/>
            <w:noWrap/>
            <w:vAlign w:val="bottom"/>
            <w:hideMark/>
          </w:tcPr>
          <w:p w14:paraId="789783DD"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224" w:type="dxa"/>
            <w:tcBorders>
              <w:top w:val="nil"/>
              <w:left w:val="nil"/>
              <w:bottom w:val="single" w:sz="4" w:space="0" w:color="auto"/>
              <w:right w:val="single" w:sz="4" w:space="0" w:color="auto"/>
            </w:tcBorders>
            <w:shd w:val="clear" w:color="auto" w:fill="auto"/>
            <w:noWrap/>
            <w:vAlign w:val="bottom"/>
            <w:hideMark/>
          </w:tcPr>
          <w:p w14:paraId="67AAB483"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259" w:type="dxa"/>
            <w:tcBorders>
              <w:top w:val="single" w:sz="4" w:space="0" w:color="auto"/>
              <w:left w:val="nil"/>
              <w:bottom w:val="single" w:sz="4" w:space="0" w:color="auto"/>
              <w:right w:val="single" w:sz="4" w:space="0" w:color="auto"/>
            </w:tcBorders>
            <w:shd w:val="clear" w:color="auto" w:fill="auto"/>
            <w:noWrap/>
            <w:vAlign w:val="bottom"/>
            <w:hideMark/>
          </w:tcPr>
          <w:p w14:paraId="1ADBEFEA"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67" w:type="dxa"/>
            <w:tcBorders>
              <w:top w:val="nil"/>
              <w:left w:val="nil"/>
              <w:bottom w:val="single" w:sz="4" w:space="0" w:color="auto"/>
              <w:right w:val="single" w:sz="4" w:space="0" w:color="auto"/>
            </w:tcBorders>
            <w:shd w:val="clear" w:color="auto" w:fill="auto"/>
            <w:noWrap/>
            <w:vAlign w:val="bottom"/>
            <w:hideMark/>
          </w:tcPr>
          <w:p w14:paraId="028FB42F"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22" w:type="dxa"/>
            <w:tcBorders>
              <w:top w:val="nil"/>
              <w:left w:val="nil"/>
              <w:bottom w:val="single" w:sz="4" w:space="0" w:color="auto"/>
              <w:right w:val="single" w:sz="4" w:space="0" w:color="auto"/>
            </w:tcBorders>
            <w:shd w:val="clear" w:color="auto" w:fill="auto"/>
            <w:noWrap/>
            <w:vAlign w:val="bottom"/>
            <w:hideMark/>
          </w:tcPr>
          <w:p w14:paraId="5E00302F"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22" w:type="dxa"/>
            <w:tcBorders>
              <w:top w:val="single" w:sz="4" w:space="0" w:color="auto"/>
              <w:left w:val="nil"/>
              <w:bottom w:val="nil"/>
              <w:right w:val="single" w:sz="4" w:space="0" w:color="auto"/>
            </w:tcBorders>
            <w:shd w:val="clear" w:color="auto" w:fill="auto"/>
            <w:hideMark/>
          </w:tcPr>
          <w:p w14:paraId="4845755C"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26,31</w:t>
            </w:r>
          </w:p>
        </w:tc>
        <w:tc>
          <w:tcPr>
            <w:tcW w:w="908" w:type="dxa"/>
            <w:tcBorders>
              <w:top w:val="nil"/>
              <w:left w:val="nil"/>
              <w:bottom w:val="single" w:sz="4" w:space="0" w:color="auto"/>
              <w:right w:val="single" w:sz="4" w:space="0" w:color="auto"/>
            </w:tcBorders>
            <w:shd w:val="clear" w:color="auto" w:fill="auto"/>
            <w:hideMark/>
          </w:tcPr>
          <w:p w14:paraId="2BB425B0" w14:textId="77777777" w:rsidR="006F3067" w:rsidRPr="008860BA" w:rsidRDefault="006F3067" w:rsidP="00332FF7">
            <w:pPr>
              <w:spacing w:after="0" w:line="240" w:lineRule="auto"/>
              <w:jc w:val="right"/>
              <w:rPr>
                <w:rFonts w:asciiTheme="majorHAnsi" w:eastAsia="Times New Roman" w:hAnsiTheme="majorHAnsi" w:cstheme="majorHAnsi"/>
                <w:sz w:val="18"/>
                <w:szCs w:val="18"/>
                <w:lang w:val="ro-MD"/>
              </w:rPr>
            </w:pPr>
            <w:r w:rsidRPr="008860BA">
              <w:rPr>
                <w:rFonts w:asciiTheme="majorHAnsi" w:eastAsia="Times New Roman" w:hAnsiTheme="majorHAnsi" w:cstheme="majorHAnsi"/>
                <w:sz w:val="18"/>
                <w:szCs w:val="18"/>
                <w:lang w:val="ro-MD"/>
              </w:rPr>
              <w:t> </w:t>
            </w:r>
          </w:p>
        </w:tc>
      </w:tr>
      <w:tr w:rsidR="006F3067" w:rsidRPr="008860BA" w14:paraId="74F5D77A" w14:textId="77777777" w:rsidTr="006F3067">
        <w:trPr>
          <w:trHeight w:val="20"/>
        </w:trPr>
        <w:tc>
          <w:tcPr>
            <w:tcW w:w="3423" w:type="dxa"/>
            <w:tcBorders>
              <w:top w:val="nil"/>
              <w:left w:val="single" w:sz="4" w:space="0" w:color="auto"/>
              <w:bottom w:val="single" w:sz="4" w:space="0" w:color="auto"/>
              <w:right w:val="single" w:sz="4" w:space="0" w:color="auto"/>
            </w:tcBorders>
            <w:shd w:val="clear" w:color="auto" w:fill="auto"/>
            <w:vAlign w:val="bottom"/>
            <w:hideMark/>
          </w:tcPr>
          <w:p w14:paraId="31415867" w14:textId="77777777" w:rsidR="006F3067" w:rsidRPr="008860BA" w:rsidRDefault="006F3067" w:rsidP="00332FF7">
            <w:pPr>
              <w:spacing w:after="0" w:line="240" w:lineRule="auto"/>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Alte cheltuieli</w:t>
            </w:r>
          </w:p>
        </w:tc>
        <w:tc>
          <w:tcPr>
            <w:tcW w:w="967" w:type="dxa"/>
            <w:tcBorders>
              <w:top w:val="nil"/>
              <w:left w:val="nil"/>
              <w:bottom w:val="single" w:sz="4" w:space="0" w:color="auto"/>
              <w:right w:val="single" w:sz="4" w:space="0" w:color="auto"/>
            </w:tcBorders>
            <w:shd w:val="clear" w:color="auto" w:fill="auto"/>
            <w:vAlign w:val="bottom"/>
            <w:hideMark/>
          </w:tcPr>
          <w:p w14:paraId="32E93CC3" w14:textId="77777777" w:rsidR="006F3067" w:rsidRPr="008860BA" w:rsidRDefault="006F3067" w:rsidP="00332FF7">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714</w:t>
            </w:r>
          </w:p>
        </w:tc>
        <w:tc>
          <w:tcPr>
            <w:tcW w:w="1099" w:type="dxa"/>
            <w:tcBorders>
              <w:top w:val="nil"/>
              <w:left w:val="nil"/>
              <w:bottom w:val="single" w:sz="4" w:space="0" w:color="auto"/>
              <w:right w:val="single" w:sz="4" w:space="0" w:color="auto"/>
            </w:tcBorders>
            <w:shd w:val="clear" w:color="auto" w:fill="auto"/>
            <w:vAlign w:val="bottom"/>
            <w:hideMark/>
          </w:tcPr>
          <w:p w14:paraId="38CCDA69" w14:textId="77777777" w:rsidR="006F3067" w:rsidRPr="008860BA" w:rsidRDefault="006F3067" w:rsidP="00332FF7">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91,17</w:t>
            </w:r>
          </w:p>
        </w:tc>
        <w:tc>
          <w:tcPr>
            <w:tcW w:w="1195" w:type="dxa"/>
            <w:tcBorders>
              <w:top w:val="nil"/>
              <w:left w:val="nil"/>
              <w:bottom w:val="single" w:sz="4" w:space="0" w:color="auto"/>
              <w:right w:val="single" w:sz="4" w:space="0" w:color="auto"/>
            </w:tcBorders>
            <w:shd w:val="clear" w:color="auto" w:fill="auto"/>
            <w:noWrap/>
            <w:vAlign w:val="bottom"/>
            <w:hideMark/>
          </w:tcPr>
          <w:p w14:paraId="25E3B242" w14:textId="77777777" w:rsidR="006F3067" w:rsidRPr="008860BA" w:rsidRDefault="006F3067" w:rsidP="00332FF7">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91,17</w:t>
            </w:r>
          </w:p>
        </w:tc>
        <w:tc>
          <w:tcPr>
            <w:tcW w:w="1092" w:type="dxa"/>
            <w:tcBorders>
              <w:top w:val="nil"/>
              <w:left w:val="nil"/>
              <w:bottom w:val="single" w:sz="4" w:space="0" w:color="auto"/>
              <w:right w:val="single" w:sz="4" w:space="0" w:color="auto"/>
            </w:tcBorders>
            <w:shd w:val="clear" w:color="auto" w:fill="auto"/>
            <w:noWrap/>
            <w:vAlign w:val="bottom"/>
            <w:hideMark/>
          </w:tcPr>
          <w:p w14:paraId="2B3A45BA" w14:textId="77777777" w:rsidR="006F3067" w:rsidRPr="008860BA" w:rsidRDefault="006F3067" w:rsidP="00332FF7">
            <w:pPr>
              <w:spacing w:after="0" w:line="240" w:lineRule="auto"/>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 </w:t>
            </w:r>
          </w:p>
        </w:tc>
        <w:tc>
          <w:tcPr>
            <w:tcW w:w="1224" w:type="dxa"/>
            <w:tcBorders>
              <w:top w:val="nil"/>
              <w:left w:val="nil"/>
              <w:bottom w:val="single" w:sz="4" w:space="0" w:color="auto"/>
              <w:right w:val="single" w:sz="4" w:space="0" w:color="auto"/>
            </w:tcBorders>
            <w:shd w:val="clear" w:color="auto" w:fill="auto"/>
            <w:noWrap/>
            <w:vAlign w:val="bottom"/>
            <w:hideMark/>
          </w:tcPr>
          <w:p w14:paraId="7591A970" w14:textId="77777777" w:rsidR="006F3067" w:rsidRPr="008860BA" w:rsidRDefault="006F3067" w:rsidP="00332FF7">
            <w:pPr>
              <w:spacing w:after="0" w:line="240" w:lineRule="auto"/>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 </w:t>
            </w:r>
          </w:p>
        </w:tc>
        <w:tc>
          <w:tcPr>
            <w:tcW w:w="1259" w:type="dxa"/>
            <w:tcBorders>
              <w:top w:val="nil"/>
              <w:left w:val="nil"/>
              <w:bottom w:val="single" w:sz="4" w:space="0" w:color="auto"/>
              <w:right w:val="single" w:sz="4" w:space="0" w:color="auto"/>
            </w:tcBorders>
            <w:shd w:val="clear" w:color="auto" w:fill="auto"/>
            <w:noWrap/>
            <w:vAlign w:val="bottom"/>
            <w:hideMark/>
          </w:tcPr>
          <w:p w14:paraId="701E28B8" w14:textId="77777777" w:rsidR="006F3067" w:rsidRPr="008860BA" w:rsidRDefault="006F3067" w:rsidP="00332FF7">
            <w:pPr>
              <w:spacing w:after="0" w:line="240" w:lineRule="auto"/>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 </w:t>
            </w:r>
          </w:p>
        </w:tc>
        <w:tc>
          <w:tcPr>
            <w:tcW w:w="1067" w:type="dxa"/>
            <w:tcBorders>
              <w:top w:val="nil"/>
              <w:left w:val="nil"/>
              <w:bottom w:val="single" w:sz="4" w:space="0" w:color="auto"/>
              <w:right w:val="single" w:sz="4" w:space="0" w:color="auto"/>
            </w:tcBorders>
            <w:shd w:val="clear" w:color="auto" w:fill="auto"/>
            <w:noWrap/>
            <w:vAlign w:val="bottom"/>
            <w:hideMark/>
          </w:tcPr>
          <w:p w14:paraId="500CFE93" w14:textId="77777777" w:rsidR="006F3067" w:rsidRPr="008860BA" w:rsidRDefault="006F3067" w:rsidP="00332FF7">
            <w:pPr>
              <w:spacing w:after="0" w:line="240" w:lineRule="auto"/>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 </w:t>
            </w:r>
          </w:p>
        </w:tc>
        <w:tc>
          <w:tcPr>
            <w:tcW w:w="822" w:type="dxa"/>
            <w:tcBorders>
              <w:top w:val="nil"/>
              <w:left w:val="nil"/>
              <w:bottom w:val="single" w:sz="4" w:space="0" w:color="auto"/>
              <w:right w:val="single" w:sz="4" w:space="0" w:color="auto"/>
            </w:tcBorders>
            <w:shd w:val="clear" w:color="auto" w:fill="auto"/>
            <w:noWrap/>
            <w:vAlign w:val="bottom"/>
            <w:hideMark/>
          </w:tcPr>
          <w:p w14:paraId="1D8F1E41" w14:textId="77777777" w:rsidR="006F3067" w:rsidRPr="008860BA" w:rsidRDefault="006F3067" w:rsidP="00332FF7">
            <w:pPr>
              <w:spacing w:after="0" w:line="240" w:lineRule="auto"/>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 </w:t>
            </w:r>
          </w:p>
        </w:tc>
        <w:tc>
          <w:tcPr>
            <w:tcW w:w="822" w:type="dxa"/>
            <w:tcBorders>
              <w:top w:val="single" w:sz="4" w:space="0" w:color="auto"/>
              <w:left w:val="nil"/>
              <w:bottom w:val="single" w:sz="4" w:space="0" w:color="auto"/>
              <w:right w:val="single" w:sz="4" w:space="0" w:color="auto"/>
            </w:tcBorders>
            <w:shd w:val="clear" w:color="auto" w:fill="auto"/>
            <w:noWrap/>
            <w:vAlign w:val="bottom"/>
            <w:hideMark/>
          </w:tcPr>
          <w:p w14:paraId="168856B8" w14:textId="77777777" w:rsidR="006F3067" w:rsidRPr="008860BA" w:rsidRDefault="006F3067" w:rsidP="00332FF7">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91,17</w:t>
            </w:r>
          </w:p>
        </w:tc>
        <w:tc>
          <w:tcPr>
            <w:tcW w:w="908" w:type="dxa"/>
            <w:tcBorders>
              <w:top w:val="nil"/>
              <w:left w:val="nil"/>
              <w:bottom w:val="single" w:sz="4" w:space="0" w:color="auto"/>
              <w:right w:val="single" w:sz="4" w:space="0" w:color="auto"/>
            </w:tcBorders>
            <w:shd w:val="clear" w:color="auto" w:fill="auto"/>
            <w:noWrap/>
            <w:vAlign w:val="bottom"/>
            <w:hideMark/>
          </w:tcPr>
          <w:p w14:paraId="07737FAD" w14:textId="77777777" w:rsidR="006F3067" w:rsidRPr="008860BA" w:rsidRDefault="006F3067" w:rsidP="00332FF7">
            <w:pPr>
              <w:spacing w:after="0" w:line="240" w:lineRule="auto"/>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 </w:t>
            </w:r>
          </w:p>
        </w:tc>
      </w:tr>
      <w:tr w:rsidR="006F3067" w:rsidRPr="008860BA" w14:paraId="0110A09E" w14:textId="77777777" w:rsidTr="006F3067">
        <w:trPr>
          <w:trHeight w:val="20"/>
        </w:trPr>
        <w:tc>
          <w:tcPr>
            <w:tcW w:w="3423" w:type="dxa"/>
            <w:tcBorders>
              <w:top w:val="nil"/>
              <w:left w:val="single" w:sz="4" w:space="0" w:color="auto"/>
              <w:bottom w:val="single" w:sz="4" w:space="0" w:color="auto"/>
              <w:right w:val="single" w:sz="4" w:space="0" w:color="auto"/>
            </w:tcBorders>
            <w:shd w:val="clear" w:color="auto" w:fill="auto"/>
            <w:noWrap/>
            <w:vAlign w:val="bottom"/>
            <w:hideMark/>
          </w:tcPr>
          <w:p w14:paraId="1658560A"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Alte cheltuieli</w:t>
            </w:r>
          </w:p>
        </w:tc>
        <w:tc>
          <w:tcPr>
            <w:tcW w:w="967" w:type="dxa"/>
            <w:tcBorders>
              <w:top w:val="nil"/>
              <w:left w:val="nil"/>
              <w:bottom w:val="single" w:sz="4" w:space="0" w:color="auto"/>
              <w:right w:val="single" w:sz="4" w:space="0" w:color="auto"/>
            </w:tcBorders>
            <w:shd w:val="clear" w:color="auto" w:fill="auto"/>
            <w:vAlign w:val="bottom"/>
            <w:hideMark/>
          </w:tcPr>
          <w:p w14:paraId="55E974B4" w14:textId="77777777" w:rsidR="006F3067" w:rsidRPr="008860BA" w:rsidRDefault="006F3067" w:rsidP="00332FF7">
            <w:pPr>
              <w:spacing w:after="0" w:line="240" w:lineRule="auto"/>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 </w:t>
            </w:r>
          </w:p>
        </w:tc>
        <w:tc>
          <w:tcPr>
            <w:tcW w:w="1099" w:type="dxa"/>
            <w:tcBorders>
              <w:top w:val="nil"/>
              <w:left w:val="nil"/>
              <w:bottom w:val="single" w:sz="4" w:space="0" w:color="auto"/>
              <w:right w:val="single" w:sz="4" w:space="0" w:color="auto"/>
            </w:tcBorders>
            <w:shd w:val="clear" w:color="auto" w:fill="auto"/>
            <w:vAlign w:val="bottom"/>
            <w:hideMark/>
          </w:tcPr>
          <w:p w14:paraId="782F0AA2"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95" w:type="dxa"/>
            <w:tcBorders>
              <w:top w:val="nil"/>
              <w:left w:val="nil"/>
              <w:bottom w:val="single" w:sz="4" w:space="0" w:color="auto"/>
              <w:right w:val="single" w:sz="4" w:space="0" w:color="auto"/>
            </w:tcBorders>
            <w:shd w:val="clear" w:color="auto" w:fill="auto"/>
            <w:noWrap/>
            <w:vAlign w:val="bottom"/>
            <w:hideMark/>
          </w:tcPr>
          <w:p w14:paraId="3FB7E29C"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92" w:type="dxa"/>
            <w:tcBorders>
              <w:top w:val="nil"/>
              <w:left w:val="nil"/>
              <w:bottom w:val="single" w:sz="4" w:space="0" w:color="auto"/>
              <w:right w:val="single" w:sz="4" w:space="0" w:color="auto"/>
            </w:tcBorders>
            <w:shd w:val="clear" w:color="auto" w:fill="auto"/>
            <w:vAlign w:val="bottom"/>
            <w:hideMark/>
          </w:tcPr>
          <w:p w14:paraId="0C7D5AF5" w14:textId="77777777" w:rsidR="006F3067" w:rsidRPr="008860BA" w:rsidRDefault="006F3067" w:rsidP="00332FF7">
            <w:pPr>
              <w:spacing w:after="0" w:line="240" w:lineRule="auto"/>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 </w:t>
            </w:r>
          </w:p>
        </w:tc>
        <w:tc>
          <w:tcPr>
            <w:tcW w:w="1224" w:type="dxa"/>
            <w:tcBorders>
              <w:top w:val="nil"/>
              <w:left w:val="nil"/>
              <w:bottom w:val="single" w:sz="4" w:space="0" w:color="auto"/>
              <w:right w:val="single" w:sz="4" w:space="0" w:color="auto"/>
            </w:tcBorders>
            <w:shd w:val="clear" w:color="auto" w:fill="auto"/>
            <w:vAlign w:val="bottom"/>
            <w:hideMark/>
          </w:tcPr>
          <w:p w14:paraId="40172C24" w14:textId="77777777" w:rsidR="006F3067" w:rsidRPr="008860BA" w:rsidRDefault="006F3067" w:rsidP="00332FF7">
            <w:pPr>
              <w:spacing w:after="0" w:line="240" w:lineRule="auto"/>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 </w:t>
            </w:r>
          </w:p>
        </w:tc>
        <w:tc>
          <w:tcPr>
            <w:tcW w:w="1259" w:type="dxa"/>
            <w:tcBorders>
              <w:top w:val="nil"/>
              <w:left w:val="nil"/>
              <w:bottom w:val="single" w:sz="4" w:space="0" w:color="auto"/>
              <w:right w:val="single" w:sz="4" w:space="0" w:color="auto"/>
            </w:tcBorders>
            <w:shd w:val="clear" w:color="auto" w:fill="auto"/>
            <w:vAlign w:val="bottom"/>
            <w:hideMark/>
          </w:tcPr>
          <w:p w14:paraId="54053153" w14:textId="77777777" w:rsidR="006F3067" w:rsidRPr="008860BA" w:rsidRDefault="006F3067" w:rsidP="00332FF7">
            <w:pPr>
              <w:spacing w:after="0" w:line="240" w:lineRule="auto"/>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 </w:t>
            </w:r>
          </w:p>
        </w:tc>
        <w:tc>
          <w:tcPr>
            <w:tcW w:w="1067" w:type="dxa"/>
            <w:tcBorders>
              <w:top w:val="nil"/>
              <w:left w:val="nil"/>
              <w:bottom w:val="single" w:sz="4" w:space="0" w:color="auto"/>
              <w:right w:val="single" w:sz="4" w:space="0" w:color="auto"/>
            </w:tcBorders>
            <w:shd w:val="clear" w:color="auto" w:fill="auto"/>
            <w:vAlign w:val="bottom"/>
            <w:hideMark/>
          </w:tcPr>
          <w:p w14:paraId="66422B98" w14:textId="77777777" w:rsidR="006F3067" w:rsidRPr="008860BA" w:rsidRDefault="006F3067" w:rsidP="00332FF7">
            <w:pPr>
              <w:spacing w:after="0" w:line="240" w:lineRule="auto"/>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 </w:t>
            </w:r>
          </w:p>
        </w:tc>
        <w:tc>
          <w:tcPr>
            <w:tcW w:w="822" w:type="dxa"/>
            <w:tcBorders>
              <w:top w:val="nil"/>
              <w:left w:val="nil"/>
              <w:bottom w:val="single" w:sz="4" w:space="0" w:color="auto"/>
              <w:right w:val="single" w:sz="4" w:space="0" w:color="auto"/>
            </w:tcBorders>
            <w:shd w:val="clear" w:color="auto" w:fill="auto"/>
            <w:vAlign w:val="bottom"/>
            <w:hideMark/>
          </w:tcPr>
          <w:p w14:paraId="138F5C62" w14:textId="77777777" w:rsidR="006F3067" w:rsidRPr="008860BA" w:rsidRDefault="006F3067" w:rsidP="00332FF7">
            <w:pPr>
              <w:spacing w:after="0" w:line="240" w:lineRule="auto"/>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 </w:t>
            </w:r>
          </w:p>
        </w:tc>
        <w:tc>
          <w:tcPr>
            <w:tcW w:w="822" w:type="dxa"/>
            <w:tcBorders>
              <w:top w:val="nil"/>
              <w:left w:val="nil"/>
              <w:bottom w:val="single" w:sz="4" w:space="0" w:color="auto"/>
              <w:right w:val="single" w:sz="4" w:space="0" w:color="auto"/>
            </w:tcBorders>
            <w:shd w:val="clear" w:color="auto" w:fill="auto"/>
            <w:noWrap/>
            <w:vAlign w:val="bottom"/>
            <w:hideMark/>
          </w:tcPr>
          <w:p w14:paraId="7DD7E03C"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908" w:type="dxa"/>
            <w:tcBorders>
              <w:top w:val="nil"/>
              <w:left w:val="nil"/>
              <w:bottom w:val="single" w:sz="4" w:space="0" w:color="auto"/>
              <w:right w:val="single" w:sz="4" w:space="0" w:color="auto"/>
            </w:tcBorders>
            <w:shd w:val="clear" w:color="auto" w:fill="auto"/>
            <w:vAlign w:val="bottom"/>
            <w:hideMark/>
          </w:tcPr>
          <w:p w14:paraId="5DC24652" w14:textId="77777777" w:rsidR="006F3067" w:rsidRPr="008860BA" w:rsidRDefault="006F3067" w:rsidP="00332FF7">
            <w:pPr>
              <w:spacing w:after="0" w:line="240" w:lineRule="auto"/>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 </w:t>
            </w:r>
          </w:p>
        </w:tc>
      </w:tr>
      <w:tr w:rsidR="006F3067" w:rsidRPr="008860BA" w14:paraId="60925901" w14:textId="77777777" w:rsidTr="006F3067">
        <w:trPr>
          <w:trHeight w:val="20"/>
        </w:trPr>
        <w:tc>
          <w:tcPr>
            <w:tcW w:w="3423" w:type="dxa"/>
            <w:tcBorders>
              <w:top w:val="nil"/>
              <w:left w:val="single" w:sz="4" w:space="0" w:color="auto"/>
              <w:bottom w:val="single" w:sz="4" w:space="0" w:color="auto"/>
              <w:right w:val="single" w:sz="4" w:space="0" w:color="auto"/>
            </w:tcBorders>
            <w:shd w:val="clear" w:color="auto" w:fill="auto"/>
            <w:noWrap/>
            <w:vAlign w:val="bottom"/>
            <w:hideMark/>
          </w:tcPr>
          <w:p w14:paraId="75EE854B"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cheltuieli de reprezentare</w:t>
            </w:r>
          </w:p>
        </w:tc>
        <w:tc>
          <w:tcPr>
            <w:tcW w:w="967" w:type="dxa"/>
            <w:tcBorders>
              <w:top w:val="nil"/>
              <w:left w:val="nil"/>
              <w:bottom w:val="single" w:sz="4" w:space="0" w:color="auto"/>
              <w:right w:val="single" w:sz="4" w:space="0" w:color="auto"/>
            </w:tcBorders>
            <w:shd w:val="clear" w:color="auto" w:fill="auto"/>
            <w:noWrap/>
            <w:vAlign w:val="bottom"/>
            <w:hideMark/>
          </w:tcPr>
          <w:p w14:paraId="5A7C7B6B"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99" w:type="dxa"/>
            <w:tcBorders>
              <w:top w:val="nil"/>
              <w:left w:val="nil"/>
              <w:bottom w:val="single" w:sz="4" w:space="0" w:color="auto"/>
              <w:right w:val="single" w:sz="4" w:space="0" w:color="auto"/>
            </w:tcBorders>
            <w:shd w:val="clear" w:color="auto" w:fill="auto"/>
            <w:vAlign w:val="bottom"/>
            <w:hideMark/>
          </w:tcPr>
          <w:p w14:paraId="74978FE9"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195" w:type="dxa"/>
            <w:tcBorders>
              <w:top w:val="nil"/>
              <w:left w:val="nil"/>
              <w:bottom w:val="single" w:sz="4" w:space="0" w:color="auto"/>
              <w:right w:val="single" w:sz="4" w:space="0" w:color="auto"/>
            </w:tcBorders>
            <w:shd w:val="clear" w:color="auto" w:fill="auto"/>
            <w:noWrap/>
            <w:vAlign w:val="bottom"/>
            <w:hideMark/>
          </w:tcPr>
          <w:p w14:paraId="7578C7E4"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92" w:type="dxa"/>
            <w:tcBorders>
              <w:top w:val="nil"/>
              <w:left w:val="nil"/>
              <w:bottom w:val="single" w:sz="4" w:space="0" w:color="auto"/>
              <w:right w:val="single" w:sz="4" w:space="0" w:color="auto"/>
            </w:tcBorders>
            <w:shd w:val="clear" w:color="auto" w:fill="auto"/>
            <w:noWrap/>
            <w:vAlign w:val="bottom"/>
            <w:hideMark/>
          </w:tcPr>
          <w:p w14:paraId="3599658C"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224" w:type="dxa"/>
            <w:tcBorders>
              <w:top w:val="nil"/>
              <w:left w:val="nil"/>
              <w:bottom w:val="single" w:sz="4" w:space="0" w:color="auto"/>
              <w:right w:val="single" w:sz="4" w:space="0" w:color="auto"/>
            </w:tcBorders>
            <w:shd w:val="clear" w:color="auto" w:fill="auto"/>
            <w:noWrap/>
            <w:vAlign w:val="bottom"/>
            <w:hideMark/>
          </w:tcPr>
          <w:p w14:paraId="58D97F1B"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259" w:type="dxa"/>
            <w:tcBorders>
              <w:top w:val="nil"/>
              <w:left w:val="nil"/>
              <w:bottom w:val="single" w:sz="4" w:space="0" w:color="auto"/>
              <w:right w:val="single" w:sz="4" w:space="0" w:color="auto"/>
            </w:tcBorders>
            <w:shd w:val="clear" w:color="auto" w:fill="auto"/>
            <w:noWrap/>
            <w:vAlign w:val="bottom"/>
            <w:hideMark/>
          </w:tcPr>
          <w:p w14:paraId="2AEE0115"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67" w:type="dxa"/>
            <w:tcBorders>
              <w:top w:val="nil"/>
              <w:left w:val="nil"/>
              <w:bottom w:val="single" w:sz="4" w:space="0" w:color="auto"/>
              <w:right w:val="single" w:sz="4" w:space="0" w:color="auto"/>
            </w:tcBorders>
            <w:shd w:val="clear" w:color="auto" w:fill="auto"/>
            <w:noWrap/>
            <w:vAlign w:val="bottom"/>
            <w:hideMark/>
          </w:tcPr>
          <w:p w14:paraId="07AC470B"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22" w:type="dxa"/>
            <w:tcBorders>
              <w:top w:val="nil"/>
              <w:left w:val="nil"/>
              <w:bottom w:val="single" w:sz="4" w:space="0" w:color="auto"/>
              <w:right w:val="single" w:sz="4" w:space="0" w:color="auto"/>
            </w:tcBorders>
            <w:shd w:val="clear" w:color="auto" w:fill="auto"/>
            <w:noWrap/>
            <w:vAlign w:val="bottom"/>
            <w:hideMark/>
          </w:tcPr>
          <w:p w14:paraId="772E1E40"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22" w:type="dxa"/>
            <w:tcBorders>
              <w:top w:val="nil"/>
              <w:left w:val="nil"/>
              <w:bottom w:val="single" w:sz="4" w:space="0" w:color="auto"/>
              <w:right w:val="single" w:sz="4" w:space="0" w:color="auto"/>
            </w:tcBorders>
            <w:shd w:val="clear" w:color="auto" w:fill="auto"/>
            <w:noWrap/>
            <w:vAlign w:val="bottom"/>
            <w:hideMark/>
          </w:tcPr>
          <w:p w14:paraId="3F4B725D"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908" w:type="dxa"/>
            <w:tcBorders>
              <w:top w:val="nil"/>
              <w:left w:val="nil"/>
              <w:bottom w:val="single" w:sz="4" w:space="0" w:color="auto"/>
              <w:right w:val="single" w:sz="4" w:space="0" w:color="auto"/>
            </w:tcBorders>
            <w:shd w:val="clear" w:color="auto" w:fill="auto"/>
            <w:noWrap/>
            <w:vAlign w:val="bottom"/>
            <w:hideMark/>
          </w:tcPr>
          <w:p w14:paraId="4C6F3007"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r>
      <w:tr w:rsidR="006F3067" w:rsidRPr="008860BA" w14:paraId="4D93615E" w14:textId="77777777" w:rsidTr="006F3067">
        <w:trPr>
          <w:trHeight w:val="20"/>
        </w:trPr>
        <w:tc>
          <w:tcPr>
            <w:tcW w:w="3423" w:type="dxa"/>
            <w:tcBorders>
              <w:top w:val="nil"/>
              <w:left w:val="single" w:sz="4" w:space="0" w:color="auto"/>
              <w:bottom w:val="single" w:sz="4" w:space="0" w:color="auto"/>
              <w:right w:val="single" w:sz="4" w:space="0" w:color="auto"/>
            </w:tcBorders>
            <w:shd w:val="clear" w:color="auto" w:fill="auto"/>
            <w:noWrap/>
            <w:vAlign w:val="bottom"/>
            <w:hideMark/>
          </w:tcPr>
          <w:p w14:paraId="696D5ABF" w14:textId="4F1EE88B" w:rsidR="006F3067" w:rsidRPr="008860BA" w:rsidRDefault="006F306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Deplas</w:t>
            </w:r>
            <w:r w:rsidR="00885EE0" w:rsidRPr="008860BA">
              <w:rPr>
                <w:rFonts w:asciiTheme="majorHAnsi" w:eastAsia="Times New Roman" w:hAnsiTheme="majorHAnsi" w:cstheme="majorHAnsi"/>
                <w:color w:val="000000"/>
                <w:sz w:val="18"/>
                <w:szCs w:val="18"/>
                <w:lang w:val="ro-MD"/>
              </w:rPr>
              <w:t>ă</w:t>
            </w:r>
            <w:r w:rsidRPr="008860BA">
              <w:rPr>
                <w:rFonts w:asciiTheme="majorHAnsi" w:eastAsia="Times New Roman" w:hAnsiTheme="majorHAnsi" w:cstheme="majorHAnsi"/>
                <w:color w:val="000000"/>
                <w:sz w:val="18"/>
                <w:szCs w:val="18"/>
                <w:lang w:val="ro-MD"/>
              </w:rPr>
              <w:t xml:space="preserve">ri </w:t>
            </w:r>
          </w:p>
        </w:tc>
        <w:tc>
          <w:tcPr>
            <w:tcW w:w="967" w:type="dxa"/>
            <w:tcBorders>
              <w:top w:val="nil"/>
              <w:left w:val="nil"/>
              <w:bottom w:val="single" w:sz="4" w:space="0" w:color="auto"/>
              <w:right w:val="single" w:sz="4" w:space="0" w:color="auto"/>
            </w:tcBorders>
            <w:shd w:val="clear" w:color="auto" w:fill="auto"/>
            <w:noWrap/>
            <w:vAlign w:val="bottom"/>
            <w:hideMark/>
          </w:tcPr>
          <w:p w14:paraId="233F33FF"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99" w:type="dxa"/>
            <w:tcBorders>
              <w:top w:val="nil"/>
              <w:left w:val="nil"/>
              <w:bottom w:val="single" w:sz="4" w:space="0" w:color="auto"/>
              <w:right w:val="single" w:sz="4" w:space="0" w:color="auto"/>
            </w:tcBorders>
            <w:shd w:val="clear" w:color="auto" w:fill="auto"/>
            <w:vAlign w:val="bottom"/>
            <w:hideMark/>
          </w:tcPr>
          <w:p w14:paraId="4ABA729C"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91,17</w:t>
            </w:r>
          </w:p>
        </w:tc>
        <w:tc>
          <w:tcPr>
            <w:tcW w:w="1195" w:type="dxa"/>
            <w:tcBorders>
              <w:top w:val="nil"/>
              <w:left w:val="nil"/>
              <w:bottom w:val="single" w:sz="4" w:space="0" w:color="auto"/>
              <w:right w:val="single" w:sz="4" w:space="0" w:color="auto"/>
            </w:tcBorders>
            <w:shd w:val="clear" w:color="auto" w:fill="auto"/>
            <w:noWrap/>
            <w:vAlign w:val="bottom"/>
            <w:hideMark/>
          </w:tcPr>
          <w:p w14:paraId="6DCBB49E"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91,17</w:t>
            </w:r>
          </w:p>
        </w:tc>
        <w:tc>
          <w:tcPr>
            <w:tcW w:w="1092" w:type="dxa"/>
            <w:tcBorders>
              <w:top w:val="nil"/>
              <w:left w:val="nil"/>
              <w:bottom w:val="single" w:sz="4" w:space="0" w:color="auto"/>
              <w:right w:val="single" w:sz="4" w:space="0" w:color="auto"/>
            </w:tcBorders>
            <w:shd w:val="clear" w:color="auto" w:fill="auto"/>
            <w:noWrap/>
            <w:vAlign w:val="bottom"/>
            <w:hideMark/>
          </w:tcPr>
          <w:p w14:paraId="3ADD0B75"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224" w:type="dxa"/>
            <w:tcBorders>
              <w:top w:val="nil"/>
              <w:left w:val="nil"/>
              <w:bottom w:val="single" w:sz="4" w:space="0" w:color="auto"/>
              <w:right w:val="single" w:sz="4" w:space="0" w:color="auto"/>
            </w:tcBorders>
            <w:shd w:val="clear" w:color="auto" w:fill="auto"/>
            <w:noWrap/>
            <w:vAlign w:val="bottom"/>
            <w:hideMark/>
          </w:tcPr>
          <w:p w14:paraId="4D0D5D4C"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259" w:type="dxa"/>
            <w:tcBorders>
              <w:top w:val="nil"/>
              <w:left w:val="nil"/>
              <w:bottom w:val="single" w:sz="4" w:space="0" w:color="auto"/>
              <w:right w:val="single" w:sz="4" w:space="0" w:color="auto"/>
            </w:tcBorders>
            <w:shd w:val="clear" w:color="auto" w:fill="auto"/>
            <w:noWrap/>
            <w:vAlign w:val="bottom"/>
            <w:hideMark/>
          </w:tcPr>
          <w:p w14:paraId="14C105A1"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67" w:type="dxa"/>
            <w:tcBorders>
              <w:top w:val="nil"/>
              <w:left w:val="nil"/>
              <w:bottom w:val="single" w:sz="4" w:space="0" w:color="auto"/>
              <w:right w:val="single" w:sz="4" w:space="0" w:color="auto"/>
            </w:tcBorders>
            <w:shd w:val="clear" w:color="auto" w:fill="auto"/>
            <w:noWrap/>
            <w:vAlign w:val="bottom"/>
            <w:hideMark/>
          </w:tcPr>
          <w:p w14:paraId="4C019CDF"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22" w:type="dxa"/>
            <w:tcBorders>
              <w:top w:val="nil"/>
              <w:left w:val="nil"/>
              <w:bottom w:val="single" w:sz="4" w:space="0" w:color="auto"/>
              <w:right w:val="single" w:sz="4" w:space="0" w:color="auto"/>
            </w:tcBorders>
            <w:shd w:val="clear" w:color="auto" w:fill="auto"/>
            <w:noWrap/>
            <w:vAlign w:val="bottom"/>
            <w:hideMark/>
          </w:tcPr>
          <w:p w14:paraId="74EBF75E"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22" w:type="dxa"/>
            <w:tcBorders>
              <w:top w:val="nil"/>
              <w:left w:val="nil"/>
              <w:bottom w:val="single" w:sz="4" w:space="0" w:color="auto"/>
              <w:right w:val="single" w:sz="4" w:space="0" w:color="auto"/>
            </w:tcBorders>
            <w:shd w:val="clear" w:color="auto" w:fill="auto"/>
            <w:noWrap/>
            <w:vAlign w:val="bottom"/>
            <w:hideMark/>
          </w:tcPr>
          <w:p w14:paraId="1B7DC19E" w14:textId="77777777" w:rsidR="006F3067" w:rsidRPr="008860BA" w:rsidRDefault="006F3067" w:rsidP="00332FF7">
            <w:pPr>
              <w:spacing w:after="0" w:line="240" w:lineRule="auto"/>
              <w:jc w:val="right"/>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91,17</w:t>
            </w:r>
          </w:p>
        </w:tc>
        <w:tc>
          <w:tcPr>
            <w:tcW w:w="908" w:type="dxa"/>
            <w:tcBorders>
              <w:top w:val="nil"/>
              <w:left w:val="nil"/>
              <w:bottom w:val="single" w:sz="4" w:space="0" w:color="auto"/>
              <w:right w:val="single" w:sz="4" w:space="0" w:color="auto"/>
            </w:tcBorders>
            <w:shd w:val="clear" w:color="auto" w:fill="auto"/>
            <w:noWrap/>
            <w:vAlign w:val="bottom"/>
            <w:hideMark/>
          </w:tcPr>
          <w:p w14:paraId="4279969A"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r>
      <w:tr w:rsidR="006F3067" w:rsidRPr="008860BA" w14:paraId="7A367C4B" w14:textId="77777777" w:rsidTr="006F3067">
        <w:trPr>
          <w:trHeight w:val="20"/>
        </w:trPr>
        <w:tc>
          <w:tcPr>
            <w:tcW w:w="3423" w:type="dxa"/>
            <w:tcBorders>
              <w:top w:val="nil"/>
              <w:left w:val="single" w:sz="4" w:space="0" w:color="auto"/>
              <w:bottom w:val="single" w:sz="4" w:space="0" w:color="auto"/>
              <w:right w:val="single" w:sz="4" w:space="0" w:color="auto"/>
            </w:tcBorders>
            <w:shd w:val="clear" w:color="auto" w:fill="auto"/>
            <w:noWrap/>
            <w:vAlign w:val="bottom"/>
            <w:hideMark/>
          </w:tcPr>
          <w:p w14:paraId="2A0B41AB" w14:textId="77777777" w:rsidR="006F3067" w:rsidRPr="008860BA" w:rsidRDefault="006F3067" w:rsidP="00332FF7">
            <w:pPr>
              <w:spacing w:after="0" w:line="240" w:lineRule="auto"/>
              <w:rPr>
                <w:rFonts w:asciiTheme="majorHAnsi" w:eastAsia="Times New Roman" w:hAnsiTheme="majorHAnsi" w:cstheme="majorHAnsi"/>
                <w:b/>
                <w:bCs/>
                <w:sz w:val="18"/>
                <w:szCs w:val="18"/>
                <w:lang w:val="ro-MD"/>
              </w:rPr>
            </w:pPr>
            <w:r w:rsidRPr="008860BA">
              <w:rPr>
                <w:rFonts w:asciiTheme="majorHAnsi" w:eastAsia="Times New Roman" w:hAnsiTheme="majorHAnsi" w:cstheme="majorHAnsi"/>
                <w:b/>
                <w:bCs/>
                <w:sz w:val="18"/>
                <w:szCs w:val="18"/>
                <w:lang w:val="ro-MD"/>
              </w:rPr>
              <w:t>Cheltuieli financiare</w:t>
            </w:r>
          </w:p>
        </w:tc>
        <w:tc>
          <w:tcPr>
            <w:tcW w:w="967" w:type="dxa"/>
            <w:tcBorders>
              <w:top w:val="nil"/>
              <w:left w:val="nil"/>
              <w:bottom w:val="single" w:sz="4" w:space="0" w:color="auto"/>
              <w:right w:val="single" w:sz="4" w:space="0" w:color="auto"/>
            </w:tcBorders>
            <w:shd w:val="clear" w:color="auto" w:fill="auto"/>
            <w:vAlign w:val="bottom"/>
            <w:hideMark/>
          </w:tcPr>
          <w:p w14:paraId="0CE313E4" w14:textId="77777777" w:rsidR="006F3067" w:rsidRPr="008860BA" w:rsidRDefault="006F3067" w:rsidP="00332FF7">
            <w:pPr>
              <w:spacing w:after="0" w:line="240" w:lineRule="auto"/>
              <w:jc w:val="right"/>
              <w:rPr>
                <w:rFonts w:asciiTheme="majorHAnsi" w:eastAsia="Times New Roman" w:hAnsiTheme="majorHAnsi" w:cstheme="majorHAnsi"/>
                <w:b/>
                <w:bCs/>
                <w:sz w:val="18"/>
                <w:szCs w:val="18"/>
                <w:lang w:val="ro-MD"/>
              </w:rPr>
            </w:pPr>
            <w:r w:rsidRPr="008860BA">
              <w:rPr>
                <w:rFonts w:asciiTheme="majorHAnsi" w:eastAsia="Times New Roman" w:hAnsiTheme="majorHAnsi" w:cstheme="majorHAnsi"/>
                <w:b/>
                <w:bCs/>
                <w:sz w:val="18"/>
                <w:szCs w:val="18"/>
                <w:lang w:val="ro-MD"/>
              </w:rPr>
              <w:t>722</w:t>
            </w:r>
          </w:p>
        </w:tc>
        <w:tc>
          <w:tcPr>
            <w:tcW w:w="1099" w:type="dxa"/>
            <w:tcBorders>
              <w:top w:val="nil"/>
              <w:left w:val="nil"/>
              <w:bottom w:val="single" w:sz="4" w:space="0" w:color="auto"/>
              <w:right w:val="single" w:sz="4" w:space="0" w:color="auto"/>
            </w:tcBorders>
            <w:shd w:val="clear" w:color="auto" w:fill="auto"/>
            <w:noWrap/>
            <w:vAlign w:val="bottom"/>
            <w:hideMark/>
          </w:tcPr>
          <w:p w14:paraId="7E7ED257" w14:textId="77777777" w:rsidR="006F3067" w:rsidRPr="008860BA" w:rsidRDefault="006F3067" w:rsidP="00332FF7">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297,67</w:t>
            </w:r>
          </w:p>
        </w:tc>
        <w:tc>
          <w:tcPr>
            <w:tcW w:w="1195" w:type="dxa"/>
            <w:tcBorders>
              <w:top w:val="nil"/>
              <w:left w:val="nil"/>
              <w:bottom w:val="single" w:sz="4" w:space="0" w:color="auto"/>
              <w:right w:val="single" w:sz="4" w:space="0" w:color="auto"/>
            </w:tcBorders>
            <w:shd w:val="clear" w:color="auto" w:fill="auto"/>
            <w:noWrap/>
            <w:vAlign w:val="bottom"/>
            <w:hideMark/>
          </w:tcPr>
          <w:p w14:paraId="62583C81" w14:textId="77777777" w:rsidR="006F3067" w:rsidRPr="008860BA" w:rsidRDefault="006F3067" w:rsidP="00332FF7">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297,67</w:t>
            </w:r>
          </w:p>
        </w:tc>
        <w:tc>
          <w:tcPr>
            <w:tcW w:w="1092" w:type="dxa"/>
            <w:tcBorders>
              <w:top w:val="nil"/>
              <w:left w:val="nil"/>
              <w:bottom w:val="single" w:sz="4" w:space="0" w:color="auto"/>
              <w:right w:val="single" w:sz="4" w:space="0" w:color="auto"/>
            </w:tcBorders>
            <w:shd w:val="clear" w:color="auto" w:fill="auto"/>
            <w:noWrap/>
            <w:vAlign w:val="bottom"/>
            <w:hideMark/>
          </w:tcPr>
          <w:p w14:paraId="6E160617"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224" w:type="dxa"/>
            <w:tcBorders>
              <w:top w:val="nil"/>
              <w:left w:val="nil"/>
              <w:bottom w:val="single" w:sz="4" w:space="0" w:color="auto"/>
              <w:right w:val="single" w:sz="4" w:space="0" w:color="auto"/>
            </w:tcBorders>
            <w:shd w:val="clear" w:color="auto" w:fill="auto"/>
            <w:noWrap/>
            <w:vAlign w:val="bottom"/>
            <w:hideMark/>
          </w:tcPr>
          <w:p w14:paraId="5DF48967"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259" w:type="dxa"/>
            <w:tcBorders>
              <w:top w:val="nil"/>
              <w:left w:val="nil"/>
              <w:bottom w:val="single" w:sz="4" w:space="0" w:color="auto"/>
              <w:right w:val="single" w:sz="4" w:space="0" w:color="auto"/>
            </w:tcBorders>
            <w:shd w:val="clear" w:color="auto" w:fill="auto"/>
            <w:noWrap/>
            <w:vAlign w:val="bottom"/>
            <w:hideMark/>
          </w:tcPr>
          <w:p w14:paraId="094827BC"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1067" w:type="dxa"/>
            <w:tcBorders>
              <w:top w:val="nil"/>
              <w:left w:val="nil"/>
              <w:bottom w:val="single" w:sz="4" w:space="0" w:color="auto"/>
              <w:right w:val="single" w:sz="4" w:space="0" w:color="auto"/>
            </w:tcBorders>
            <w:shd w:val="clear" w:color="auto" w:fill="auto"/>
            <w:noWrap/>
            <w:vAlign w:val="bottom"/>
            <w:hideMark/>
          </w:tcPr>
          <w:p w14:paraId="30291FAE"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22" w:type="dxa"/>
            <w:tcBorders>
              <w:top w:val="nil"/>
              <w:left w:val="nil"/>
              <w:bottom w:val="single" w:sz="4" w:space="0" w:color="auto"/>
              <w:right w:val="single" w:sz="4" w:space="0" w:color="auto"/>
            </w:tcBorders>
            <w:shd w:val="clear" w:color="auto" w:fill="auto"/>
            <w:noWrap/>
            <w:vAlign w:val="bottom"/>
            <w:hideMark/>
          </w:tcPr>
          <w:p w14:paraId="34B11B85"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822" w:type="dxa"/>
            <w:tcBorders>
              <w:top w:val="nil"/>
              <w:left w:val="nil"/>
              <w:bottom w:val="single" w:sz="4" w:space="0" w:color="auto"/>
              <w:right w:val="single" w:sz="4" w:space="0" w:color="auto"/>
            </w:tcBorders>
            <w:shd w:val="clear" w:color="auto" w:fill="auto"/>
            <w:noWrap/>
            <w:vAlign w:val="bottom"/>
            <w:hideMark/>
          </w:tcPr>
          <w:p w14:paraId="097997D5"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c>
          <w:tcPr>
            <w:tcW w:w="908" w:type="dxa"/>
            <w:tcBorders>
              <w:top w:val="nil"/>
              <w:left w:val="nil"/>
              <w:bottom w:val="single" w:sz="4" w:space="0" w:color="auto"/>
              <w:right w:val="single" w:sz="4" w:space="0" w:color="auto"/>
            </w:tcBorders>
            <w:shd w:val="clear" w:color="auto" w:fill="auto"/>
            <w:noWrap/>
            <w:vAlign w:val="bottom"/>
            <w:hideMark/>
          </w:tcPr>
          <w:p w14:paraId="18C28A0B" w14:textId="77777777" w:rsidR="006F3067" w:rsidRPr="008860BA" w:rsidRDefault="006F3067" w:rsidP="00332FF7">
            <w:pPr>
              <w:spacing w:after="0" w:line="240" w:lineRule="auto"/>
              <w:rPr>
                <w:rFonts w:asciiTheme="majorHAnsi" w:eastAsia="Times New Roman" w:hAnsiTheme="majorHAnsi" w:cstheme="majorHAnsi"/>
                <w:color w:val="000000"/>
                <w:sz w:val="18"/>
                <w:szCs w:val="18"/>
                <w:lang w:val="ro-MD"/>
              </w:rPr>
            </w:pPr>
            <w:r w:rsidRPr="008860BA">
              <w:rPr>
                <w:rFonts w:asciiTheme="majorHAnsi" w:eastAsia="Times New Roman" w:hAnsiTheme="majorHAnsi" w:cstheme="majorHAnsi"/>
                <w:color w:val="000000"/>
                <w:sz w:val="18"/>
                <w:szCs w:val="18"/>
                <w:lang w:val="ro-MD"/>
              </w:rPr>
              <w:t> </w:t>
            </w:r>
          </w:p>
        </w:tc>
      </w:tr>
      <w:tr w:rsidR="006F3067" w:rsidRPr="008860BA" w14:paraId="632DB214" w14:textId="77777777" w:rsidTr="006F3067">
        <w:trPr>
          <w:trHeight w:val="20"/>
        </w:trPr>
        <w:tc>
          <w:tcPr>
            <w:tcW w:w="3423" w:type="dxa"/>
            <w:tcBorders>
              <w:top w:val="nil"/>
              <w:left w:val="single" w:sz="4" w:space="0" w:color="auto"/>
              <w:bottom w:val="single" w:sz="4" w:space="0" w:color="auto"/>
              <w:right w:val="single" w:sz="4" w:space="0" w:color="auto"/>
            </w:tcBorders>
            <w:shd w:val="clear" w:color="auto" w:fill="auto"/>
            <w:noWrap/>
            <w:vAlign w:val="bottom"/>
            <w:hideMark/>
          </w:tcPr>
          <w:p w14:paraId="174B4136" w14:textId="77777777" w:rsidR="006F3067" w:rsidRPr="008860BA" w:rsidRDefault="006F3067" w:rsidP="00332FF7">
            <w:pPr>
              <w:spacing w:after="0" w:line="240" w:lineRule="auto"/>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Total Cheltuieli</w:t>
            </w:r>
          </w:p>
        </w:tc>
        <w:tc>
          <w:tcPr>
            <w:tcW w:w="967" w:type="dxa"/>
            <w:tcBorders>
              <w:top w:val="nil"/>
              <w:left w:val="nil"/>
              <w:bottom w:val="single" w:sz="4" w:space="0" w:color="auto"/>
              <w:right w:val="single" w:sz="4" w:space="0" w:color="auto"/>
            </w:tcBorders>
            <w:shd w:val="clear" w:color="auto" w:fill="auto"/>
            <w:noWrap/>
            <w:vAlign w:val="bottom"/>
            <w:hideMark/>
          </w:tcPr>
          <w:p w14:paraId="3D1160C0" w14:textId="77777777" w:rsidR="006F3067" w:rsidRPr="008860BA" w:rsidRDefault="006F3067" w:rsidP="00332FF7">
            <w:pPr>
              <w:spacing w:after="0" w:line="240" w:lineRule="auto"/>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 </w:t>
            </w:r>
          </w:p>
        </w:tc>
        <w:tc>
          <w:tcPr>
            <w:tcW w:w="1099" w:type="dxa"/>
            <w:tcBorders>
              <w:top w:val="nil"/>
              <w:left w:val="nil"/>
              <w:bottom w:val="single" w:sz="4" w:space="0" w:color="auto"/>
              <w:right w:val="single" w:sz="4" w:space="0" w:color="auto"/>
            </w:tcBorders>
            <w:shd w:val="clear" w:color="auto" w:fill="auto"/>
            <w:noWrap/>
            <w:vAlign w:val="bottom"/>
            <w:hideMark/>
          </w:tcPr>
          <w:p w14:paraId="5EB97F10" w14:textId="77777777" w:rsidR="006F3067" w:rsidRPr="008860BA" w:rsidRDefault="006F3067" w:rsidP="00332FF7">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84.819,60</w:t>
            </w:r>
          </w:p>
        </w:tc>
        <w:tc>
          <w:tcPr>
            <w:tcW w:w="1195" w:type="dxa"/>
            <w:tcBorders>
              <w:top w:val="nil"/>
              <w:left w:val="nil"/>
              <w:bottom w:val="single" w:sz="4" w:space="0" w:color="auto"/>
              <w:right w:val="single" w:sz="4" w:space="0" w:color="auto"/>
            </w:tcBorders>
            <w:shd w:val="clear" w:color="auto" w:fill="auto"/>
            <w:noWrap/>
            <w:vAlign w:val="bottom"/>
            <w:hideMark/>
          </w:tcPr>
          <w:p w14:paraId="0D4C7670" w14:textId="77777777" w:rsidR="006F3067" w:rsidRPr="008860BA" w:rsidRDefault="006F3067" w:rsidP="00332FF7">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84.819,60</w:t>
            </w:r>
          </w:p>
        </w:tc>
        <w:tc>
          <w:tcPr>
            <w:tcW w:w="1092" w:type="dxa"/>
            <w:tcBorders>
              <w:top w:val="nil"/>
              <w:left w:val="nil"/>
              <w:bottom w:val="single" w:sz="4" w:space="0" w:color="auto"/>
              <w:right w:val="single" w:sz="4" w:space="0" w:color="auto"/>
            </w:tcBorders>
            <w:shd w:val="clear" w:color="auto" w:fill="auto"/>
            <w:noWrap/>
            <w:vAlign w:val="bottom"/>
            <w:hideMark/>
          </w:tcPr>
          <w:p w14:paraId="49685033" w14:textId="77777777" w:rsidR="006F3067" w:rsidRPr="008860BA" w:rsidRDefault="006F3067" w:rsidP="00332FF7">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53.744,81</w:t>
            </w:r>
          </w:p>
        </w:tc>
        <w:tc>
          <w:tcPr>
            <w:tcW w:w="1224" w:type="dxa"/>
            <w:tcBorders>
              <w:top w:val="nil"/>
              <w:left w:val="nil"/>
              <w:bottom w:val="single" w:sz="4" w:space="0" w:color="auto"/>
              <w:right w:val="single" w:sz="4" w:space="0" w:color="auto"/>
            </w:tcBorders>
            <w:shd w:val="clear" w:color="auto" w:fill="auto"/>
            <w:noWrap/>
            <w:vAlign w:val="bottom"/>
            <w:hideMark/>
          </w:tcPr>
          <w:p w14:paraId="41D98021" w14:textId="77777777" w:rsidR="006F3067" w:rsidRPr="008860BA" w:rsidRDefault="006F3067" w:rsidP="00332FF7">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503,51</w:t>
            </w:r>
          </w:p>
        </w:tc>
        <w:tc>
          <w:tcPr>
            <w:tcW w:w="1259" w:type="dxa"/>
            <w:tcBorders>
              <w:top w:val="nil"/>
              <w:left w:val="nil"/>
              <w:bottom w:val="single" w:sz="4" w:space="0" w:color="auto"/>
              <w:right w:val="single" w:sz="4" w:space="0" w:color="auto"/>
            </w:tcBorders>
            <w:shd w:val="clear" w:color="auto" w:fill="auto"/>
            <w:noWrap/>
            <w:vAlign w:val="bottom"/>
            <w:hideMark/>
          </w:tcPr>
          <w:p w14:paraId="50155664" w14:textId="77777777" w:rsidR="006F3067" w:rsidRPr="008860BA" w:rsidRDefault="006F3067" w:rsidP="00332FF7">
            <w:pPr>
              <w:spacing w:after="0" w:line="240" w:lineRule="auto"/>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 </w:t>
            </w:r>
          </w:p>
        </w:tc>
        <w:tc>
          <w:tcPr>
            <w:tcW w:w="1067" w:type="dxa"/>
            <w:tcBorders>
              <w:top w:val="nil"/>
              <w:left w:val="nil"/>
              <w:bottom w:val="single" w:sz="4" w:space="0" w:color="auto"/>
              <w:right w:val="single" w:sz="4" w:space="0" w:color="auto"/>
            </w:tcBorders>
            <w:shd w:val="clear" w:color="auto" w:fill="auto"/>
            <w:noWrap/>
            <w:vAlign w:val="bottom"/>
            <w:hideMark/>
          </w:tcPr>
          <w:p w14:paraId="5DA02373" w14:textId="77777777" w:rsidR="006F3067" w:rsidRPr="008860BA" w:rsidRDefault="006F3067" w:rsidP="00332FF7">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9.346,74</w:t>
            </w:r>
          </w:p>
        </w:tc>
        <w:tc>
          <w:tcPr>
            <w:tcW w:w="822" w:type="dxa"/>
            <w:tcBorders>
              <w:top w:val="nil"/>
              <w:left w:val="nil"/>
              <w:bottom w:val="single" w:sz="4" w:space="0" w:color="auto"/>
              <w:right w:val="single" w:sz="4" w:space="0" w:color="auto"/>
            </w:tcBorders>
            <w:shd w:val="clear" w:color="auto" w:fill="auto"/>
            <w:noWrap/>
            <w:vAlign w:val="bottom"/>
            <w:hideMark/>
          </w:tcPr>
          <w:p w14:paraId="637CECE9" w14:textId="77777777" w:rsidR="006F3067" w:rsidRPr="008860BA" w:rsidRDefault="006F3067" w:rsidP="00332FF7">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1.160,94</w:t>
            </w:r>
          </w:p>
        </w:tc>
        <w:tc>
          <w:tcPr>
            <w:tcW w:w="822" w:type="dxa"/>
            <w:tcBorders>
              <w:top w:val="nil"/>
              <w:left w:val="nil"/>
              <w:bottom w:val="single" w:sz="4" w:space="0" w:color="auto"/>
              <w:right w:val="single" w:sz="4" w:space="0" w:color="auto"/>
            </w:tcBorders>
            <w:shd w:val="clear" w:color="auto" w:fill="auto"/>
            <w:noWrap/>
            <w:vAlign w:val="bottom"/>
            <w:hideMark/>
          </w:tcPr>
          <w:p w14:paraId="4A998355" w14:textId="77777777" w:rsidR="006F3067" w:rsidRPr="008860BA" w:rsidRDefault="006F3067" w:rsidP="00332FF7">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1.186,40</w:t>
            </w:r>
          </w:p>
        </w:tc>
        <w:tc>
          <w:tcPr>
            <w:tcW w:w="908" w:type="dxa"/>
            <w:tcBorders>
              <w:top w:val="nil"/>
              <w:left w:val="nil"/>
              <w:bottom w:val="single" w:sz="4" w:space="0" w:color="auto"/>
              <w:right w:val="single" w:sz="4" w:space="0" w:color="auto"/>
            </w:tcBorders>
            <w:shd w:val="clear" w:color="auto" w:fill="auto"/>
            <w:noWrap/>
            <w:vAlign w:val="bottom"/>
            <w:hideMark/>
          </w:tcPr>
          <w:p w14:paraId="7E5021CD" w14:textId="77777777" w:rsidR="006F3067" w:rsidRPr="008860BA" w:rsidRDefault="006F3067" w:rsidP="00332FF7">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18.579,54</w:t>
            </w:r>
          </w:p>
        </w:tc>
      </w:tr>
      <w:tr w:rsidR="006F3067" w:rsidRPr="008860BA" w14:paraId="0266F700" w14:textId="77777777" w:rsidTr="006F3067">
        <w:trPr>
          <w:trHeight w:val="20"/>
        </w:trPr>
        <w:tc>
          <w:tcPr>
            <w:tcW w:w="3423" w:type="dxa"/>
            <w:tcBorders>
              <w:top w:val="nil"/>
              <w:left w:val="single" w:sz="4" w:space="0" w:color="auto"/>
              <w:bottom w:val="single" w:sz="4" w:space="0" w:color="auto"/>
              <w:right w:val="single" w:sz="4" w:space="0" w:color="auto"/>
            </w:tcBorders>
            <w:shd w:val="clear" w:color="auto" w:fill="auto"/>
            <w:noWrap/>
            <w:vAlign w:val="bottom"/>
            <w:hideMark/>
          </w:tcPr>
          <w:p w14:paraId="6B1585CD" w14:textId="77777777" w:rsidR="006F3067" w:rsidRPr="008860BA" w:rsidRDefault="006F3067" w:rsidP="00332FF7">
            <w:pPr>
              <w:spacing w:after="0" w:line="240" w:lineRule="auto"/>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Rezultat financiar</w:t>
            </w:r>
          </w:p>
        </w:tc>
        <w:tc>
          <w:tcPr>
            <w:tcW w:w="967" w:type="dxa"/>
            <w:tcBorders>
              <w:top w:val="nil"/>
              <w:left w:val="nil"/>
              <w:bottom w:val="single" w:sz="4" w:space="0" w:color="auto"/>
              <w:right w:val="single" w:sz="4" w:space="0" w:color="auto"/>
            </w:tcBorders>
            <w:shd w:val="clear" w:color="auto" w:fill="auto"/>
            <w:noWrap/>
            <w:vAlign w:val="bottom"/>
            <w:hideMark/>
          </w:tcPr>
          <w:p w14:paraId="33BAEFD3" w14:textId="77777777" w:rsidR="006F3067" w:rsidRPr="008860BA" w:rsidRDefault="006F3067" w:rsidP="00332FF7">
            <w:pPr>
              <w:spacing w:after="0" w:line="240" w:lineRule="auto"/>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 </w:t>
            </w:r>
          </w:p>
        </w:tc>
        <w:tc>
          <w:tcPr>
            <w:tcW w:w="1099" w:type="dxa"/>
            <w:tcBorders>
              <w:top w:val="nil"/>
              <w:left w:val="nil"/>
              <w:bottom w:val="single" w:sz="4" w:space="0" w:color="auto"/>
              <w:right w:val="single" w:sz="4" w:space="0" w:color="auto"/>
            </w:tcBorders>
            <w:shd w:val="clear" w:color="auto" w:fill="auto"/>
            <w:noWrap/>
            <w:vAlign w:val="bottom"/>
            <w:hideMark/>
          </w:tcPr>
          <w:p w14:paraId="258F504A" w14:textId="77777777" w:rsidR="006F3067" w:rsidRPr="008860BA" w:rsidRDefault="006F3067" w:rsidP="00332FF7">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-43,94</w:t>
            </w:r>
          </w:p>
        </w:tc>
        <w:tc>
          <w:tcPr>
            <w:tcW w:w="1195" w:type="dxa"/>
            <w:tcBorders>
              <w:top w:val="nil"/>
              <w:left w:val="nil"/>
              <w:bottom w:val="single" w:sz="4" w:space="0" w:color="auto"/>
              <w:right w:val="single" w:sz="4" w:space="0" w:color="auto"/>
            </w:tcBorders>
            <w:shd w:val="clear" w:color="auto" w:fill="auto"/>
            <w:noWrap/>
            <w:vAlign w:val="bottom"/>
            <w:hideMark/>
          </w:tcPr>
          <w:p w14:paraId="0607EA2C" w14:textId="77777777" w:rsidR="006F3067" w:rsidRPr="008860BA" w:rsidRDefault="006F3067" w:rsidP="00332FF7">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-43,94</w:t>
            </w:r>
          </w:p>
        </w:tc>
        <w:tc>
          <w:tcPr>
            <w:tcW w:w="1092" w:type="dxa"/>
            <w:tcBorders>
              <w:top w:val="nil"/>
              <w:left w:val="nil"/>
              <w:bottom w:val="single" w:sz="4" w:space="0" w:color="auto"/>
              <w:right w:val="single" w:sz="4" w:space="0" w:color="auto"/>
            </w:tcBorders>
            <w:shd w:val="clear" w:color="auto" w:fill="auto"/>
            <w:noWrap/>
            <w:vAlign w:val="bottom"/>
            <w:hideMark/>
          </w:tcPr>
          <w:p w14:paraId="78AF51CE" w14:textId="77777777" w:rsidR="006F3067" w:rsidRPr="008860BA" w:rsidRDefault="006F3067" w:rsidP="00332FF7">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1.477,15</w:t>
            </w:r>
          </w:p>
        </w:tc>
        <w:tc>
          <w:tcPr>
            <w:tcW w:w="1224" w:type="dxa"/>
            <w:tcBorders>
              <w:top w:val="nil"/>
              <w:left w:val="nil"/>
              <w:bottom w:val="single" w:sz="4" w:space="0" w:color="auto"/>
              <w:right w:val="single" w:sz="4" w:space="0" w:color="auto"/>
            </w:tcBorders>
            <w:shd w:val="clear" w:color="auto" w:fill="auto"/>
            <w:noWrap/>
            <w:vAlign w:val="bottom"/>
            <w:hideMark/>
          </w:tcPr>
          <w:p w14:paraId="78E23209" w14:textId="77777777" w:rsidR="006F3067" w:rsidRPr="008860BA" w:rsidRDefault="006F3067" w:rsidP="00332FF7">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-139,48</w:t>
            </w:r>
          </w:p>
        </w:tc>
        <w:tc>
          <w:tcPr>
            <w:tcW w:w="1259" w:type="dxa"/>
            <w:tcBorders>
              <w:top w:val="nil"/>
              <w:left w:val="nil"/>
              <w:bottom w:val="single" w:sz="4" w:space="0" w:color="auto"/>
              <w:right w:val="single" w:sz="4" w:space="0" w:color="auto"/>
            </w:tcBorders>
            <w:shd w:val="clear" w:color="auto" w:fill="auto"/>
            <w:noWrap/>
            <w:vAlign w:val="bottom"/>
            <w:hideMark/>
          </w:tcPr>
          <w:p w14:paraId="18A67A2F" w14:textId="77777777" w:rsidR="006F3067" w:rsidRPr="008860BA" w:rsidRDefault="006F3067" w:rsidP="00332FF7">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540,74</w:t>
            </w:r>
          </w:p>
        </w:tc>
        <w:tc>
          <w:tcPr>
            <w:tcW w:w="1067" w:type="dxa"/>
            <w:tcBorders>
              <w:top w:val="nil"/>
              <w:left w:val="nil"/>
              <w:bottom w:val="single" w:sz="4" w:space="0" w:color="auto"/>
              <w:right w:val="single" w:sz="4" w:space="0" w:color="auto"/>
            </w:tcBorders>
            <w:shd w:val="clear" w:color="auto" w:fill="auto"/>
            <w:noWrap/>
            <w:vAlign w:val="bottom"/>
            <w:hideMark/>
          </w:tcPr>
          <w:p w14:paraId="45AA1ABD" w14:textId="77777777" w:rsidR="006F3067" w:rsidRPr="008860BA" w:rsidRDefault="006F3067" w:rsidP="00332FF7">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1.329,99</w:t>
            </w:r>
          </w:p>
        </w:tc>
        <w:tc>
          <w:tcPr>
            <w:tcW w:w="822" w:type="dxa"/>
            <w:tcBorders>
              <w:top w:val="nil"/>
              <w:left w:val="nil"/>
              <w:bottom w:val="single" w:sz="4" w:space="0" w:color="auto"/>
              <w:right w:val="single" w:sz="4" w:space="0" w:color="auto"/>
            </w:tcBorders>
            <w:shd w:val="clear" w:color="auto" w:fill="auto"/>
            <w:noWrap/>
            <w:vAlign w:val="bottom"/>
            <w:hideMark/>
          </w:tcPr>
          <w:p w14:paraId="29D0B14F" w14:textId="77777777" w:rsidR="006F3067" w:rsidRPr="008860BA" w:rsidRDefault="006F3067" w:rsidP="00332FF7">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-363,57</w:t>
            </w:r>
          </w:p>
        </w:tc>
        <w:tc>
          <w:tcPr>
            <w:tcW w:w="822" w:type="dxa"/>
            <w:tcBorders>
              <w:top w:val="nil"/>
              <w:left w:val="nil"/>
              <w:bottom w:val="single" w:sz="4" w:space="0" w:color="auto"/>
              <w:right w:val="single" w:sz="4" w:space="0" w:color="auto"/>
            </w:tcBorders>
            <w:shd w:val="clear" w:color="auto" w:fill="auto"/>
            <w:noWrap/>
            <w:vAlign w:val="bottom"/>
            <w:hideMark/>
          </w:tcPr>
          <w:p w14:paraId="462EE5B6" w14:textId="77777777" w:rsidR="006F3067" w:rsidRPr="008860BA" w:rsidRDefault="006F3067" w:rsidP="00332FF7">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-268,55</w:t>
            </w:r>
          </w:p>
        </w:tc>
        <w:tc>
          <w:tcPr>
            <w:tcW w:w="908" w:type="dxa"/>
            <w:tcBorders>
              <w:top w:val="nil"/>
              <w:left w:val="nil"/>
              <w:bottom w:val="single" w:sz="4" w:space="0" w:color="auto"/>
              <w:right w:val="single" w:sz="4" w:space="0" w:color="auto"/>
            </w:tcBorders>
            <w:shd w:val="clear" w:color="auto" w:fill="auto"/>
            <w:noWrap/>
            <w:vAlign w:val="bottom"/>
            <w:hideMark/>
          </w:tcPr>
          <w:p w14:paraId="102F51EF" w14:textId="77777777" w:rsidR="006F3067" w:rsidRPr="008860BA" w:rsidRDefault="006F3067" w:rsidP="00332FF7">
            <w:pPr>
              <w:spacing w:after="0" w:line="240" w:lineRule="auto"/>
              <w:jc w:val="right"/>
              <w:rPr>
                <w:rFonts w:asciiTheme="majorHAnsi" w:eastAsia="Times New Roman" w:hAnsiTheme="majorHAnsi" w:cstheme="majorHAnsi"/>
                <w:b/>
                <w:bCs/>
                <w:color w:val="000000"/>
                <w:sz w:val="18"/>
                <w:szCs w:val="18"/>
                <w:lang w:val="ro-MD"/>
              </w:rPr>
            </w:pPr>
            <w:r w:rsidRPr="008860BA">
              <w:rPr>
                <w:rFonts w:asciiTheme="majorHAnsi" w:eastAsia="Times New Roman" w:hAnsiTheme="majorHAnsi" w:cstheme="majorHAnsi"/>
                <w:b/>
                <w:bCs/>
                <w:color w:val="000000"/>
                <w:sz w:val="18"/>
                <w:szCs w:val="18"/>
                <w:lang w:val="ro-MD"/>
              </w:rPr>
              <w:t>-2.613,01</w:t>
            </w:r>
          </w:p>
        </w:tc>
      </w:tr>
    </w:tbl>
    <w:p w14:paraId="4D314ED5" w14:textId="7F89374E" w:rsidR="00332FF7" w:rsidRPr="008860BA" w:rsidRDefault="00FB483C" w:rsidP="006A0356">
      <w:pPr>
        <w:rPr>
          <w:rFonts w:asciiTheme="majorHAnsi" w:hAnsiTheme="majorHAnsi" w:cstheme="majorHAnsi"/>
          <w:lang w:val="ro-MD"/>
        </w:rPr>
        <w:sectPr w:rsidR="00332FF7" w:rsidRPr="008860BA" w:rsidSect="00332FF7">
          <w:pgSz w:w="15840" w:h="12240" w:orient="landscape"/>
          <w:pgMar w:top="1135" w:right="1134" w:bottom="760" w:left="1134" w:header="709" w:footer="709" w:gutter="0"/>
          <w:cols w:space="708"/>
          <w:docGrid w:linePitch="360"/>
        </w:sectPr>
      </w:pPr>
      <w:r w:rsidRPr="008860BA">
        <w:rPr>
          <w:rFonts w:asciiTheme="majorHAnsi" w:hAnsiTheme="majorHAnsi" w:cstheme="majorHAnsi"/>
          <w:lang w:val="ro-MD"/>
        </w:rPr>
        <w:t>Sursa: Eviden</w:t>
      </w:r>
      <w:r w:rsidR="00B13B9A" w:rsidRPr="008860BA">
        <w:rPr>
          <w:rFonts w:asciiTheme="majorHAnsi" w:hAnsiTheme="majorHAnsi" w:cstheme="majorHAnsi"/>
          <w:lang w:val="ro-MD"/>
        </w:rPr>
        <w:t>ț</w:t>
      </w:r>
      <w:r w:rsidRPr="008860BA">
        <w:rPr>
          <w:rFonts w:asciiTheme="majorHAnsi" w:hAnsiTheme="majorHAnsi" w:cstheme="majorHAnsi"/>
          <w:lang w:val="ro-MD"/>
        </w:rPr>
        <w:t>a contabilă a IMSP</w:t>
      </w:r>
      <w:r w:rsidR="00885EE0" w:rsidRPr="008860BA">
        <w:rPr>
          <w:rFonts w:asciiTheme="majorHAnsi" w:hAnsiTheme="majorHAnsi" w:cstheme="majorHAnsi"/>
          <w:lang w:val="ro-MD"/>
        </w:rPr>
        <w:t xml:space="preserve"> IFP </w:t>
      </w:r>
      <w:r w:rsidR="00885EE0" w:rsidRPr="008860BA">
        <w:rPr>
          <w:rFonts w:asciiTheme="majorHAnsi" w:hAnsiTheme="majorHAnsi" w:cstheme="majorHAnsi"/>
          <w:i/>
          <w:lang w:val="ro-MD"/>
        </w:rPr>
        <w:t>„Chiril Draganiuc”</w:t>
      </w:r>
      <w:r w:rsidR="00885EE0" w:rsidRPr="008860BA">
        <w:rPr>
          <w:rFonts w:asciiTheme="majorHAnsi" w:hAnsiTheme="majorHAnsi" w:cstheme="majorHAnsi"/>
          <w:lang w:val="ro-MD"/>
        </w:rPr>
        <w:t>.</w:t>
      </w:r>
    </w:p>
    <w:p w14:paraId="5E543C89" w14:textId="6FB715A1" w:rsidR="0023258A" w:rsidRPr="00B13B9A" w:rsidRDefault="0023258A" w:rsidP="00FB483C">
      <w:pPr>
        <w:pStyle w:val="3"/>
        <w:jc w:val="right"/>
        <w:rPr>
          <w:rFonts w:cstheme="majorHAnsi"/>
          <w:b/>
          <w:color w:val="auto"/>
        </w:rPr>
      </w:pPr>
      <w:bookmarkStart w:id="76" w:name="_Toc154562546"/>
      <w:r w:rsidRPr="00B13B9A">
        <w:rPr>
          <w:rFonts w:cstheme="majorHAnsi"/>
          <w:b/>
          <w:color w:val="auto"/>
        </w:rPr>
        <w:t>Anexa nr.23</w:t>
      </w:r>
      <w:bookmarkEnd w:id="76"/>
    </w:p>
    <w:p w14:paraId="06A69F6C" w14:textId="77777777" w:rsidR="0023258A" w:rsidRPr="00B13B9A" w:rsidRDefault="0023258A" w:rsidP="009371DC">
      <w:pPr>
        <w:rPr>
          <w:lang w:val="ro-MD"/>
        </w:rPr>
      </w:pPr>
    </w:p>
    <w:p w14:paraId="7F754AC8" w14:textId="0AEBF322" w:rsidR="00FD65B6" w:rsidRPr="00B13B9A" w:rsidRDefault="00FD65B6" w:rsidP="00FD65B6">
      <w:pPr>
        <w:pStyle w:val="af0"/>
        <w:tabs>
          <w:tab w:val="left" w:pos="9072"/>
        </w:tabs>
        <w:spacing w:line="276" w:lineRule="auto"/>
        <w:jc w:val="center"/>
        <w:rPr>
          <w:rFonts w:asciiTheme="majorHAnsi" w:hAnsiTheme="majorHAnsi" w:cstheme="majorHAnsi"/>
          <w:b/>
          <w:sz w:val="20"/>
          <w:szCs w:val="20"/>
          <w:lang w:val="ro-MD"/>
        </w:rPr>
      </w:pPr>
      <w:r w:rsidRPr="00B13B9A">
        <w:rPr>
          <w:rFonts w:asciiTheme="majorHAnsi" w:eastAsia="Times New Roman" w:hAnsiTheme="majorHAnsi" w:cstheme="majorHAnsi"/>
          <w:b/>
          <w:bCs/>
          <w:color w:val="000000" w:themeColor="text1"/>
          <w:sz w:val="20"/>
          <w:szCs w:val="20"/>
          <w:lang w:val="ro-MD"/>
        </w:rPr>
        <w:t>Ac</w:t>
      </w:r>
      <w:r w:rsidR="00B13B9A" w:rsidRPr="00B13B9A">
        <w:rPr>
          <w:rFonts w:asciiTheme="majorHAnsi" w:eastAsia="Times New Roman" w:hAnsiTheme="majorHAnsi" w:cstheme="majorHAnsi"/>
          <w:b/>
          <w:bCs/>
          <w:color w:val="000000" w:themeColor="text1"/>
          <w:sz w:val="20"/>
          <w:szCs w:val="20"/>
          <w:lang w:val="ro-MD"/>
        </w:rPr>
        <w:t>ț</w:t>
      </w:r>
      <w:r w:rsidRPr="00B13B9A">
        <w:rPr>
          <w:rFonts w:asciiTheme="majorHAnsi" w:eastAsia="Times New Roman" w:hAnsiTheme="majorHAnsi" w:cstheme="majorHAnsi"/>
          <w:b/>
          <w:bCs/>
          <w:color w:val="000000" w:themeColor="text1"/>
          <w:sz w:val="20"/>
          <w:szCs w:val="20"/>
          <w:lang w:val="ro-MD"/>
        </w:rPr>
        <w:t xml:space="preserve">iunile întreprinse de către entitate cu privire la evaluarea implementării recomandărilor înaintate prin HCC nr.5 din 30.01.2020 </w:t>
      </w:r>
      <w:r w:rsidR="00D80586" w:rsidRPr="00B13B9A">
        <w:rPr>
          <w:rFonts w:asciiTheme="majorHAnsi" w:eastAsia="Times New Roman" w:hAnsiTheme="majorHAnsi" w:cstheme="majorHAnsi"/>
          <w:b/>
          <w:bCs/>
          <w:color w:val="000000" w:themeColor="text1"/>
          <w:sz w:val="20"/>
          <w:szCs w:val="20"/>
          <w:lang w:val="ro-MD"/>
        </w:rPr>
        <w:t>„C</w:t>
      </w:r>
      <w:r w:rsidRPr="00B13B9A">
        <w:rPr>
          <w:rFonts w:asciiTheme="majorHAnsi" w:eastAsia="Times New Roman" w:hAnsiTheme="majorHAnsi" w:cstheme="majorHAnsi"/>
          <w:b/>
          <w:bCs/>
          <w:color w:val="000000" w:themeColor="text1"/>
          <w:sz w:val="20"/>
          <w:szCs w:val="20"/>
          <w:lang w:val="ro-MD"/>
        </w:rPr>
        <w:t xml:space="preserve">u privire la </w:t>
      </w:r>
      <w:r w:rsidRPr="00B13B9A">
        <w:rPr>
          <w:rFonts w:asciiTheme="majorHAnsi" w:eastAsia="Times New Roman" w:hAnsiTheme="majorHAnsi" w:cstheme="majorHAnsi"/>
          <w:b/>
          <w:color w:val="000000" w:themeColor="text1"/>
          <w:sz w:val="20"/>
          <w:szCs w:val="20"/>
          <w:lang w:val="ro-MD"/>
        </w:rPr>
        <w:t>Raportul auditului performan</w:t>
      </w:r>
      <w:r w:rsidR="00B13B9A" w:rsidRPr="00B13B9A">
        <w:rPr>
          <w:rFonts w:asciiTheme="majorHAnsi" w:eastAsia="Times New Roman" w:hAnsiTheme="majorHAnsi" w:cstheme="majorHAnsi"/>
          <w:b/>
          <w:color w:val="000000" w:themeColor="text1"/>
          <w:sz w:val="20"/>
          <w:szCs w:val="20"/>
          <w:lang w:val="ro-MD"/>
        </w:rPr>
        <w:t>ț</w:t>
      </w:r>
      <w:r w:rsidRPr="00B13B9A">
        <w:rPr>
          <w:rFonts w:asciiTheme="majorHAnsi" w:eastAsia="Times New Roman" w:hAnsiTheme="majorHAnsi" w:cstheme="majorHAnsi"/>
          <w:b/>
          <w:color w:val="000000" w:themeColor="text1"/>
          <w:sz w:val="20"/>
          <w:szCs w:val="20"/>
          <w:lang w:val="ro-MD"/>
        </w:rPr>
        <w:t>ei privind realizarea Programului na</w:t>
      </w:r>
      <w:r w:rsidR="00B13B9A" w:rsidRPr="00B13B9A">
        <w:rPr>
          <w:rFonts w:asciiTheme="majorHAnsi" w:eastAsia="Times New Roman" w:hAnsiTheme="majorHAnsi" w:cstheme="majorHAnsi"/>
          <w:b/>
          <w:color w:val="000000" w:themeColor="text1"/>
          <w:sz w:val="20"/>
          <w:szCs w:val="20"/>
          <w:lang w:val="ro-MD"/>
        </w:rPr>
        <w:t>ț</w:t>
      </w:r>
      <w:r w:rsidRPr="00B13B9A">
        <w:rPr>
          <w:rFonts w:asciiTheme="majorHAnsi" w:eastAsia="Times New Roman" w:hAnsiTheme="majorHAnsi" w:cstheme="majorHAnsi"/>
          <w:b/>
          <w:color w:val="000000" w:themeColor="text1"/>
          <w:sz w:val="20"/>
          <w:szCs w:val="20"/>
          <w:lang w:val="ro-MD"/>
        </w:rPr>
        <w:t>ional de reducere a poverii tuberculozei</w:t>
      </w:r>
      <w:r w:rsidR="00D80586" w:rsidRPr="00B13B9A">
        <w:rPr>
          <w:rFonts w:asciiTheme="majorHAnsi" w:eastAsia="Times New Roman" w:hAnsiTheme="majorHAnsi" w:cstheme="majorHAnsi"/>
          <w:b/>
          <w:color w:val="000000" w:themeColor="text1"/>
          <w:sz w:val="20"/>
          <w:szCs w:val="20"/>
          <w:lang w:val="ro-MD"/>
        </w:rPr>
        <w:t>”</w:t>
      </w:r>
    </w:p>
    <w:tbl>
      <w:tblPr>
        <w:tblStyle w:val="a3"/>
        <w:tblW w:w="14263" w:type="dxa"/>
        <w:tblInd w:w="-5" w:type="dxa"/>
        <w:tblLayout w:type="fixed"/>
        <w:tblLook w:val="04A0" w:firstRow="1" w:lastRow="0" w:firstColumn="1" w:lastColumn="0" w:noHBand="0" w:noVBand="1"/>
      </w:tblPr>
      <w:tblGrid>
        <w:gridCol w:w="576"/>
        <w:gridCol w:w="837"/>
        <w:gridCol w:w="2977"/>
        <w:gridCol w:w="5670"/>
        <w:gridCol w:w="2835"/>
        <w:gridCol w:w="1344"/>
        <w:gridCol w:w="24"/>
      </w:tblGrid>
      <w:tr w:rsidR="00FD65B6" w:rsidRPr="00B13B9A" w14:paraId="3D2E030B" w14:textId="77777777" w:rsidTr="00332FF7">
        <w:trPr>
          <w:gridAfter w:val="1"/>
          <w:wAfter w:w="24" w:type="dxa"/>
        </w:trPr>
        <w:tc>
          <w:tcPr>
            <w:tcW w:w="576" w:type="dxa"/>
            <w:tcBorders>
              <w:top w:val="single" w:sz="8" w:space="0" w:color="auto"/>
              <w:left w:val="single" w:sz="8" w:space="0" w:color="auto"/>
              <w:bottom w:val="single" w:sz="8" w:space="0" w:color="auto"/>
              <w:right w:val="single" w:sz="8" w:space="0" w:color="auto"/>
            </w:tcBorders>
            <w:shd w:val="clear" w:color="auto" w:fill="auto"/>
            <w:vAlign w:val="center"/>
          </w:tcPr>
          <w:p w14:paraId="51C2E6B2" w14:textId="77777777" w:rsidR="00FD65B6" w:rsidRPr="00B13B9A" w:rsidRDefault="00FD65B6" w:rsidP="00332FF7">
            <w:pPr>
              <w:jc w:val="center"/>
              <w:rPr>
                <w:rFonts w:asciiTheme="majorHAnsi" w:eastAsia="Times New Roman" w:hAnsiTheme="majorHAnsi" w:cstheme="majorHAnsi"/>
                <w:b/>
                <w:bCs/>
                <w:color w:val="000000" w:themeColor="text1"/>
                <w:sz w:val="20"/>
                <w:szCs w:val="20"/>
                <w:lang w:val="ro-MD"/>
              </w:rPr>
            </w:pPr>
            <w:r w:rsidRPr="00B13B9A">
              <w:rPr>
                <w:rFonts w:asciiTheme="majorHAnsi" w:eastAsia="Times New Roman" w:hAnsiTheme="majorHAnsi" w:cstheme="majorHAnsi"/>
                <w:b/>
                <w:bCs/>
                <w:color w:val="000000" w:themeColor="text1"/>
                <w:sz w:val="20"/>
                <w:szCs w:val="20"/>
                <w:lang w:val="ro-MD"/>
              </w:rPr>
              <w:t>Nr. ord</w:t>
            </w:r>
          </w:p>
        </w:tc>
        <w:tc>
          <w:tcPr>
            <w:tcW w:w="837" w:type="dxa"/>
            <w:tcBorders>
              <w:top w:val="single" w:sz="8" w:space="0" w:color="auto"/>
              <w:left w:val="single" w:sz="8" w:space="0" w:color="auto"/>
              <w:bottom w:val="single" w:sz="8" w:space="0" w:color="auto"/>
              <w:right w:val="single" w:sz="8" w:space="0" w:color="auto"/>
            </w:tcBorders>
            <w:shd w:val="clear" w:color="auto" w:fill="auto"/>
            <w:vAlign w:val="center"/>
          </w:tcPr>
          <w:p w14:paraId="3D19273C" w14:textId="77777777" w:rsidR="00FD65B6" w:rsidRPr="00B13B9A" w:rsidRDefault="00FD65B6" w:rsidP="00332FF7">
            <w:pPr>
              <w:jc w:val="center"/>
              <w:rPr>
                <w:rFonts w:asciiTheme="majorHAnsi" w:eastAsia="Times New Roman" w:hAnsiTheme="majorHAnsi" w:cstheme="majorHAnsi"/>
                <w:b/>
                <w:bCs/>
                <w:color w:val="000000" w:themeColor="text1"/>
                <w:sz w:val="20"/>
                <w:szCs w:val="20"/>
                <w:lang w:val="ro-MD"/>
              </w:rPr>
            </w:pPr>
            <w:r w:rsidRPr="00B13B9A">
              <w:rPr>
                <w:rFonts w:asciiTheme="majorHAnsi" w:eastAsia="Times New Roman" w:hAnsiTheme="majorHAnsi" w:cstheme="majorHAnsi"/>
                <w:b/>
                <w:bCs/>
                <w:color w:val="000000" w:themeColor="text1"/>
                <w:sz w:val="20"/>
                <w:szCs w:val="20"/>
                <w:lang w:val="ro-MD"/>
              </w:rPr>
              <w:t>Nr. recomandării</w:t>
            </w:r>
          </w:p>
        </w:tc>
        <w:tc>
          <w:tcPr>
            <w:tcW w:w="2977" w:type="dxa"/>
            <w:tcBorders>
              <w:top w:val="single" w:sz="8" w:space="0" w:color="auto"/>
              <w:left w:val="nil"/>
              <w:bottom w:val="single" w:sz="8" w:space="0" w:color="auto"/>
              <w:right w:val="single" w:sz="8" w:space="0" w:color="auto"/>
            </w:tcBorders>
            <w:shd w:val="clear" w:color="auto" w:fill="auto"/>
            <w:vAlign w:val="center"/>
          </w:tcPr>
          <w:p w14:paraId="09030A35" w14:textId="4CBFDF0D" w:rsidR="00FD65B6" w:rsidRPr="00B13B9A" w:rsidRDefault="00FD65B6" w:rsidP="00332FF7">
            <w:pPr>
              <w:jc w:val="center"/>
              <w:rPr>
                <w:rFonts w:asciiTheme="majorHAnsi" w:eastAsia="Times New Roman" w:hAnsiTheme="majorHAnsi" w:cstheme="majorHAnsi"/>
                <w:b/>
                <w:bCs/>
                <w:color w:val="000000" w:themeColor="text1"/>
                <w:sz w:val="20"/>
                <w:szCs w:val="20"/>
                <w:lang w:val="ro-MD"/>
              </w:rPr>
            </w:pPr>
            <w:r w:rsidRPr="00B13B9A">
              <w:rPr>
                <w:rFonts w:asciiTheme="majorHAnsi" w:eastAsia="Times New Roman" w:hAnsiTheme="majorHAnsi" w:cstheme="majorHAnsi"/>
                <w:b/>
                <w:bCs/>
                <w:color w:val="000000" w:themeColor="text1"/>
                <w:sz w:val="20"/>
                <w:szCs w:val="20"/>
                <w:lang w:val="ro-MD"/>
              </w:rPr>
              <w:t>Cerin</w:t>
            </w:r>
            <w:r w:rsidR="00B13B9A" w:rsidRPr="00B13B9A">
              <w:rPr>
                <w:rFonts w:asciiTheme="majorHAnsi" w:eastAsia="Times New Roman" w:hAnsiTheme="majorHAnsi" w:cstheme="majorHAnsi"/>
                <w:b/>
                <w:bCs/>
                <w:color w:val="000000" w:themeColor="text1"/>
                <w:sz w:val="20"/>
                <w:szCs w:val="20"/>
                <w:lang w:val="ro-MD"/>
              </w:rPr>
              <w:t>ț</w:t>
            </w:r>
            <w:r w:rsidRPr="00B13B9A">
              <w:rPr>
                <w:rFonts w:asciiTheme="majorHAnsi" w:eastAsia="Times New Roman" w:hAnsiTheme="majorHAnsi" w:cstheme="majorHAnsi"/>
                <w:b/>
                <w:bCs/>
                <w:color w:val="000000" w:themeColor="text1"/>
                <w:sz w:val="20"/>
                <w:szCs w:val="20"/>
                <w:lang w:val="ro-MD"/>
              </w:rPr>
              <w:t xml:space="preserve">ele </w:t>
            </w:r>
            <w:r w:rsidR="00B13B9A" w:rsidRPr="00B13B9A">
              <w:rPr>
                <w:rFonts w:asciiTheme="majorHAnsi" w:eastAsia="Times New Roman" w:hAnsiTheme="majorHAnsi" w:cstheme="majorHAnsi"/>
                <w:b/>
                <w:bCs/>
                <w:color w:val="000000" w:themeColor="text1"/>
                <w:sz w:val="20"/>
                <w:szCs w:val="20"/>
                <w:lang w:val="ro-MD"/>
              </w:rPr>
              <w:t>ș</w:t>
            </w:r>
            <w:r w:rsidRPr="00B13B9A">
              <w:rPr>
                <w:rFonts w:asciiTheme="majorHAnsi" w:eastAsia="Times New Roman" w:hAnsiTheme="majorHAnsi" w:cstheme="majorHAnsi"/>
                <w:b/>
                <w:bCs/>
                <w:color w:val="000000" w:themeColor="text1"/>
                <w:sz w:val="20"/>
                <w:szCs w:val="20"/>
                <w:lang w:val="ro-MD"/>
              </w:rPr>
              <w:t>i recomandările specificate în hotărârea anterioară a Cur</w:t>
            </w:r>
            <w:r w:rsidR="00B13B9A" w:rsidRPr="00B13B9A">
              <w:rPr>
                <w:rFonts w:asciiTheme="majorHAnsi" w:eastAsia="Times New Roman" w:hAnsiTheme="majorHAnsi" w:cstheme="majorHAnsi"/>
                <w:b/>
                <w:bCs/>
                <w:color w:val="000000" w:themeColor="text1"/>
                <w:sz w:val="20"/>
                <w:szCs w:val="20"/>
                <w:lang w:val="ro-MD"/>
              </w:rPr>
              <w:t>ț</w:t>
            </w:r>
            <w:r w:rsidRPr="00B13B9A">
              <w:rPr>
                <w:rFonts w:asciiTheme="majorHAnsi" w:eastAsia="Times New Roman" w:hAnsiTheme="majorHAnsi" w:cstheme="majorHAnsi"/>
                <w:b/>
                <w:bCs/>
                <w:color w:val="000000" w:themeColor="text1"/>
                <w:sz w:val="20"/>
                <w:szCs w:val="20"/>
                <w:lang w:val="ro-MD"/>
              </w:rPr>
              <w:t>ii de Conturi</w:t>
            </w:r>
          </w:p>
        </w:tc>
        <w:tc>
          <w:tcPr>
            <w:tcW w:w="5670" w:type="dxa"/>
            <w:tcBorders>
              <w:top w:val="single" w:sz="8" w:space="0" w:color="auto"/>
              <w:left w:val="nil"/>
              <w:bottom w:val="single" w:sz="8" w:space="0" w:color="auto"/>
              <w:right w:val="single" w:sz="8" w:space="0" w:color="auto"/>
            </w:tcBorders>
            <w:shd w:val="clear" w:color="auto" w:fill="auto"/>
            <w:vAlign w:val="center"/>
          </w:tcPr>
          <w:p w14:paraId="54AB4BD3" w14:textId="6B982A0E" w:rsidR="00FD65B6" w:rsidRPr="00B13B9A" w:rsidRDefault="00FD65B6" w:rsidP="00332FF7">
            <w:pPr>
              <w:jc w:val="center"/>
              <w:rPr>
                <w:rFonts w:asciiTheme="majorHAnsi" w:eastAsia="Times New Roman" w:hAnsiTheme="majorHAnsi" w:cstheme="majorHAnsi"/>
                <w:b/>
                <w:bCs/>
                <w:color w:val="000000" w:themeColor="text1"/>
                <w:sz w:val="20"/>
                <w:szCs w:val="20"/>
                <w:lang w:val="ro-MD"/>
              </w:rPr>
            </w:pPr>
            <w:r w:rsidRPr="00B13B9A">
              <w:rPr>
                <w:rFonts w:asciiTheme="majorHAnsi" w:eastAsia="Times New Roman" w:hAnsiTheme="majorHAnsi" w:cstheme="majorHAnsi"/>
                <w:b/>
                <w:bCs/>
                <w:color w:val="000000" w:themeColor="text1"/>
                <w:sz w:val="20"/>
                <w:szCs w:val="20"/>
                <w:lang w:val="ro-MD"/>
              </w:rPr>
              <w:t>Măsurile luate de entitate în conformitate cu scrisorile adresate Cur</w:t>
            </w:r>
            <w:r w:rsidR="00B13B9A" w:rsidRPr="00B13B9A">
              <w:rPr>
                <w:rFonts w:asciiTheme="majorHAnsi" w:eastAsia="Times New Roman" w:hAnsiTheme="majorHAnsi" w:cstheme="majorHAnsi"/>
                <w:b/>
                <w:bCs/>
                <w:color w:val="000000" w:themeColor="text1"/>
                <w:sz w:val="20"/>
                <w:szCs w:val="20"/>
                <w:lang w:val="ro-MD"/>
              </w:rPr>
              <w:t>ț</w:t>
            </w:r>
            <w:r w:rsidRPr="00B13B9A">
              <w:rPr>
                <w:rFonts w:asciiTheme="majorHAnsi" w:eastAsia="Times New Roman" w:hAnsiTheme="majorHAnsi" w:cstheme="majorHAnsi"/>
                <w:b/>
                <w:bCs/>
                <w:color w:val="000000" w:themeColor="text1"/>
                <w:sz w:val="20"/>
                <w:szCs w:val="20"/>
                <w:lang w:val="ro-MD"/>
              </w:rPr>
              <w:t>ii de Conturi</w:t>
            </w:r>
          </w:p>
        </w:tc>
        <w:tc>
          <w:tcPr>
            <w:tcW w:w="2835" w:type="dxa"/>
            <w:tcBorders>
              <w:top w:val="single" w:sz="8" w:space="0" w:color="auto"/>
              <w:left w:val="nil"/>
              <w:bottom w:val="single" w:sz="8" w:space="0" w:color="auto"/>
              <w:right w:val="single" w:sz="8" w:space="0" w:color="auto"/>
            </w:tcBorders>
            <w:shd w:val="clear" w:color="auto" w:fill="auto"/>
            <w:vAlign w:val="center"/>
          </w:tcPr>
          <w:p w14:paraId="4A88BCD0" w14:textId="77777777" w:rsidR="00FD65B6" w:rsidRPr="00B13B9A" w:rsidRDefault="00FD65B6" w:rsidP="00332FF7">
            <w:pPr>
              <w:jc w:val="center"/>
              <w:rPr>
                <w:rFonts w:asciiTheme="majorHAnsi" w:eastAsia="Times New Roman" w:hAnsiTheme="majorHAnsi" w:cstheme="majorHAnsi"/>
                <w:b/>
                <w:bCs/>
                <w:color w:val="000000" w:themeColor="text1"/>
                <w:sz w:val="20"/>
                <w:szCs w:val="20"/>
                <w:lang w:val="ro-MD"/>
              </w:rPr>
            </w:pPr>
            <w:r w:rsidRPr="00B13B9A">
              <w:rPr>
                <w:rFonts w:asciiTheme="majorHAnsi" w:eastAsia="Times New Roman" w:hAnsiTheme="majorHAnsi" w:cstheme="majorHAnsi"/>
                <w:b/>
                <w:bCs/>
                <w:color w:val="000000" w:themeColor="text1"/>
                <w:sz w:val="20"/>
                <w:szCs w:val="20"/>
                <w:lang w:val="ro-MD"/>
              </w:rPr>
              <w:t>Analiza de către auditor a faptului dacă recomandările au fost puse în aplicare</w:t>
            </w:r>
          </w:p>
        </w:tc>
        <w:tc>
          <w:tcPr>
            <w:tcW w:w="1344" w:type="dxa"/>
            <w:tcBorders>
              <w:top w:val="single" w:sz="8" w:space="0" w:color="auto"/>
              <w:left w:val="nil"/>
              <w:bottom w:val="single" w:sz="8" w:space="0" w:color="auto"/>
              <w:right w:val="single" w:sz="8" w:space="0" w:color="auto"/>
            </w:tcBorders>
            <w:shd w:val="clear" w:color="auto" w:fill="auto"/>
            <w:vAlign w:val="center"/>
          </w:tcPr>
          <w:p w14:paraId="7AC04543" w14:textId="77777777" w:rsidR="00FD65B6" w:rsidRPr="00B13B9A" w:rsidRDefault="00FD65B6" w:rsidP="00332FF7">
            <w:pPr>
              <w:jc w:val="center"/>
              <w:rPr>
                <w:rFonts w:asciiTheme="majorHAnsi" w:eastAsia="Times New Roman" w:hAnsiTheme="majorHAnsi" w:cstheme="majorHAnsi"/>
                <w:b/>
                <w:bCs/>
                <w:color w:val="000000" w:themeColor="text1"/>
                <w:sz w:val="20"/>
                <w:szCs w:val="20"/>
                <w:lang w:val="ro-MD"/>
              </w:rPr>
            </w:pPr>
            <w:r w:rsidRPr="00B13B9A">
              <w:rPr>
                <w:rFonts w:asciiTheme="majorHAnsi" w:eastAsia="Times New Roman" w:hAnsiTheme="majorHAnsi" w:cstheme="majorHAnsi"/>
                <w:b/>
                <w:bCs/>
                <w:color w:val="000000" w:themeColor="text1"/>
                <w:sz w:val="20"/>
                <w:szCs w:val="20"/>
                <w:lang w:val="ro-MD"/>
              </w:rPr>
              <w:t>Concluziile auditorului</w:t>
            </w:r>
          </w:p>
        </w:tc>
      </w:tr>
      <w:tr w:rsidR="00FD65B6" w:rsidRPr="00B13B9A" w14:paraId="40B272F4" w14:textId="77777777" w:rsidTr="00332FF7">
        <w:trPr>
          <w:gridAfter w:val="1"/>
          <w:wAfter w:w="24" w:type="dxa"/>
        </w:trPr>
        <w:tc>
          <w:tcPr>
            <w:tcW w:w="576" w:type="dxa"/>
            <w:tcBorders>
              <w:top w:val="nil"/>
              <w:left w:val="single" w:sz="8" w:space="0" w:color="auto"/>
              <w:bottom w:val="single" w:sz="8" w:space="0" w:color="auto"/>
              <w:right w:val="single" w:sz="8" w:space="0" w:color="auto"/>
            </w:tcBorders>
            <w:shd w:val="clear" w:color="auto" w:fill="auto"/>
          </w:tcPr>
          <w:p w14:paraId="29377F76" w14:textId="77777777" w:rsidR="00FD65B6" w:rsidRPr="00B13B9A" w:rsidRDefault="00FD65B6" w:rsidP="00332FF7">
            <w:pPr>
              <w:jc w:val="center"/>
              <w:rPr>
                <w:rFonts w:asciiTheme="majorHAnsi" w:eastAsia="Times New Roman" w:hAnsiTheme="majorHAnsi" w:cstheme="majorHAnsi"/>
                <w:b/>
                <w:bCs/>
                <w:color w:val="000000" w:themeColor="text1"/>
                <w:sz w:val="20"/>
                <w:szCs w:val="20"/>
                <w:lang w:val="ro-MD"/>
              </w:rPr>
            </w:pPr>
          </w:p>
        </w:tc>
        <w:tc>
          <w:tcPr>
            <w:tcW w:w="837" w:type="dxa"/>
            <w:tcBorders>
              <w:top w:val="nil"/>
              <w:left w:val="single" w:sz="8" w:space="0" w:color="auto"/>
              <w:bottom w:val="single" w:sz="8" w:space="0" w:color="auto"/>
              <w:right w:val="single" w:sz="8" w:space="0" w:color="auto"/>
            </w:tcBorders>
            <w:shd w:val="clear" w:color="auto" w:fill="auto"/>
            <w:vAlign w:val="center"/>
          </w:tcPr>
          <w:p w14:paraId="512189C3" w14:textId="77777777" w:rsidR="00FD65B6" w:rsidRPr="00B13B9A" w:rsidRDefault="00FD65B6" w:rsidP="00332FF7">
            <w:pPr>
              <w:jc w:val="center"/>
              <w:rPr>
                <w:rFonts w:asciiTheme="majorHAnsi" w:eastAsia="Times New Roman" w:hAnsiTheme="majorHAnsi" w:cstheme="majorHAnsi"/>
                <w:b/>
                <w:bCs/>
                <w:color w:val="000000" w:themeColor="text1"/>
                <w:sz w:val="20"/>
                <w:szCs w:val="20"/>
                <w:lang w:val="ro-MD"/>
              </w:rPr>
            </w:pPr>
            <w:r w:rsidRPr="00B13B9A">
              <w:rPr>
                <w:rFonts w:asciiTheme="majorHAnsi" w:eastAsia="Times New Roman" w:hAnsiTheme="majorHAnsi" w:cstheme="majorHAnsi"/>
                <w:b/>
                <w:bCs/>
                <w:color w:val="000000" w:themeColor="text1"/>
                <w:sz w:val="20"/>
                <w:szCs w:val="20"/>
                <w:lang w:val="ro-MD"/>
              </w:rPr>
              <w:t> </w:t>
            </w:r>
          </w:p>
        </w:tc>
        <w:tc>
          <w:tcPr>
            <w:tcW w:w="2977" w:type="dxa"/>
            <w:tcBorders>
              <w:top w:val="nil"/>
              <w:left w:val="nil"/>
              <w:bottom w:val="single" w:sz="8" w:space="0" w:color="auto"/>
              <w:right w:val="single" w:sz="8" w:space="0" w:color="auto"/>
            </w:tcBorders>
            <w:shd w:val="clear" w:color="auto" w:fill="auto"/>
          </w:tcPr>
          <w:p w14:paraId="0EAEEB04" w14:textId="77777777" w:rsidR="00FD65B6" w:rsidRPr="00B13B9A" w:rsidRDefault="00FD65B6" w:rsidP="00332FF7">
            <w:pPr>
              <w:rPr>
                <w:rFonts w:asciiTheme="majorHAnsi" w:eastAsia="Times New Roman" w:hAnsiTheme="majorHAnsi" w:cstheme="majorHAnsi"/>
                <w:b/>
                <w:bCs/>
                <w:i/>
                <w:iCs/>
                <w:color w:val="000000" w:themeColor="text1"/>
                <w:sz w:val="20"/>
                <w:szCs w:val="20"/>
                <w:lang w:val="ro-MD"/>
              </w:rPr>
            </w:pPr>
            <w:r w:rsidRPr="00B13B9A">
              <w:rPr>
                <w:rFonts w:asciiTheme="majorHAnsi" w:eastAsia="Times New Roman" w:hAnsiTheme="majorHAnsi" w:cstheme="majorHAnsi"/>
                <w:b/>
                <w:bCs/>
                <w:i/>
                <w:iCs/>
                <w:color w:val="000000" w:themeColor="text1"/>
                <w:sz w:val="20"/>
                <w:szCs w:val="20"/>
                <w:lang w:val="ro-MD"/>
              </w:rPr>
              <w:t>Hotărârea nr. 5 din 30 ianuarie 2020</w:t>
            </w:r>
          </w:p>
        </w:tc>
        <w:tc>
          <w:tcPr>
            <w:tcW w:w="5670" w:type="dxa"/>
            <w:tcBorders>
              <w:top w:val="nil"/>
              <w:left w:val="nil"/>
              <w:bottom w:val="single" w:sz="8" w:space="0" w:color="auto"/>
              <w:right w:val="single" w:sz="8" w:space="0" w:color="auto"/>
            </w:tcBorders>
            <w:shd w:val="clear" w:color="auto" w:fill="auto"/>
          </w:tcPr>
          <w:p w14:paraId="677A9E84" w14:textId="413A67F7" w:rsidR="00FD65B6" w:rsidRPr="00B13B9A" w:rsidRDefault="00FD65B6" w:rsidP="00332FF7">
            <w:pPr>
              <w:jc w:val="both"/>
              <w:rPr>
                <w:rFonts w:asciiTheme="majorHAnsi" w:eastAsia="Times New Roman" w:hAnsiTheme="majorHAnsi" w:cstheme="majorHAnsi"/>
                <w:b/>
                <w:color w:val="000000" w:themeColor="text1"/>
                <w:sz w:val="20"/>
                <w:szCs w:val="20"/>
                <w:lang w:val="ro-MD"/>
              </w:rPr>
            </w:pPr>
            <w:r w:rsidRPr="00B13B9A">
              <w:rPr>
                <w:rFonts w:asciiTheme="majorHAnsi" w:eastAsia="Times New Roman" w:hAnsiTheme="majorHAnsi" w:cstheme="majorHAnsi"/>
                <w:b/>
                <w:i/>
                <w:color w:val="000000" w:themeColor="text1"/>
                <w:sz w:val="20"/>
                <w:szCs w:val="20"/>
                <w:lang w:val="ro-MD"/>
              </w:rPr>
              <w:t>Raportul auditului performan</w:t>
            </w:r>
            <w:r w:rsidR="00B13B9A" w:rsidRPr="00B13B9A">
              <w:rPr>
                <w:rFonts w:asciiTheme="majorHAnsi" w:eastAsia="Times New Roman" w:hAnsiTheme="majorHAnsi" w:cstheme="majorHAnsi"/>
                <w:b/>
                <w:i/>
                <w:color w:val="000000" w:themeColor="text1"/>
                <w:sz w:val="20"/>
                <w:szCs w:val="20"/>
                <w:lang w:val="ro-MD"/>
              </w:rPr>
              <w:t>ț</w:t>
            </w:r>
            <w:r w:rsidRPr="00B13B9A">
              <w:rPr>
                <w:rFonts w:asciiTheme="majorHAnsi" w:eastAsia="Times New Roman" w:hAnsiTheme="majorHAnsi" w:cstheme="majorHAnsi"/>
                <w:b/>
                <w:i/>
                <w:color w:val="000000" w:themeColor="text1"/>
                <w:sz w:val="20"/>
                <w:szCs w:val="20"/>
                <w:lang w:val="ro-MD"/>
              </w:rPr>
              <w:t>ei privind realizarea Programului na</w:t>
            </w:r>
            <w:r w:rsidR="00B13B9A" w:rsidRPr="00B13B9A">
              <w:rPr>
                <w:rFonts w:asciiTheme="majorHAnsi" w:eastAsia="Times New Roman" w:hAnsiTheme="majorHAnsi" w:cstheme="majorHAnsi"/>
                <w:b/>
                <w:i/>
                <w:color w:val="000000" w:themeColor="text1"/>
                <w:sz w:val="20"/>
                <w:szCs w:val="20"/>
                <w:lang w:val="ro-MD"/>
              </w:rPr>
              <w:t>ț</w:t>
            </w:r>
            <w:r w:rsidRPr="00B13B9A">
              <w:rPr>
                <w:rFonts w:asciiTheme="majorHAnsi" w:eastAsia="Times New Roman" w:hAnsiTheme="majorHAnsi" w:cstheme="majorHAnsi"/>
                <w:b/>
                <w:i/>
                <w:color w:val="000000" w:themeColor="text1"/>
                <w:sz w:val="20"/>
                <w:szCs w:val="20"/>
                <w:lang w:val="ro-MD"/>
              </w:rPr>
              <w:t>ional de reducere a poverii tuberculozei</w:t>
            </w:r>
          </w:p>
        </w:tc>
        <w:tc>
          <w:tcPr>
            <w:tcW w:w="2835" w:type="dxa"/>
            <w:tcBorders>
              <w:top w:val="nil"/>
              <w:left w:val="nil"/>
              <w:bottom w:val="single" w:sz="8" w:space="0" w:color="auto"/>
              <w:right w:val="single" w:sz="8" w:space="0" w:color="auto"/>
            </w:tcBorders>
            <w:shd w:val="clear" w:color="auto" w:fill="auto"/>
          </w:tcPr>
          <w:p w14:paraId="66201248" w14:textId="77777777" w:rsidR="00FD65B6" w:rsidRPr="00B13B9A" w:rsidRDefault="00FD65B6" w:rsidP="00332FF7">
            <w:pPr>
              <w:rPr>
                <w:rFonts w:asciiTheme="majorHAnsi" w:eastAsia="Times New Roman" w:hAnsiTheme="majorHAnsi" w:cstheme="majorHAnsi"/>
                <w:b/>
                <w:bCs/>
                <w:color w:val="000000" w:themeColor="text1"/>
                <w:sz w:val="20"/>
                <w:szCs w:val="20"/>
                <w:lang w:val="ro-MD"/>
              </w:rPr>
            </w:pPr>
            <w:r w:rsidRPr="00B13B9A">
              <w:rPr>
                <w:rFonts w:asciiTheme="majorHAnsi" w:eastAsia="Times New Roman" w:hAnsiTheme="majorHAnsi" w:cstheme="majorHAnsi"/>
                <w:b/>
                <w:bCs/>
                <w:color w:val="000000" w:themeColor="text1"/>
                <w:sz w:val="20"/>
                <w:szCs w:val="20"/>
                <w:lang w:val="ro-MD"/>
              </w:rPr>
              <w:t> </w:t>
            </w:r>
          </w:p>
        </w:tc>
        <w:tc>
          <w:tcPr>
            <w:tcW w:w="1344" w:type="dxa"/>
            <w:tcBorders>
              <w:top w:val="nil"/>
              <w:left w:val="nil"/>
              <w:bottom w:val="single" w:sz="8" w:space="0" w:color="auto"/>
              <w:right w:val="single" w:sz="8" w:space="0" w:color="auto"/>
            </w:tcBorders>
            <w:shd w:val="clear" w:color="auto" w:fill="auto"/>
          </w:tcPr>
          <w:p w14:paraId="776A364F" w14:textId="77777777" w:rsidR="00FD65B6" w:rsidRPr="00B13B9A" w:rsidRDefault="00FD65B6" w:rsidP="00332FF7">
            <w:pPr>
              <w:rPr>
                <w:rFonts w:asciiTheme="majorHAnsi" w:eastAsia="Times New Roman" w:hAnsiTheme="majorHAnsi" w:cstheme="majorHAnsi"/>
                <w:b/>
                <w:bCs/>
                <w:color w:val="000000" w:themeColor="text1"/>
                <w:sz w:val="20"/>
                <w:szCs w:val="20"/>
                <w:lang w:val="ro-MD"/>
              </w:rPr>
            </w:pPr>
            <w:r w:rsidRPr="00B13B9A">
              <w:rPr>
                <w:rFonts w:asciiTheme="majorHAnsi" w:eastAsia="Times New Roman" w:hAnsiTheme="majorHAnsi" w:cstheme="majorHAnsi"/>
                <w:b/>
                <w:bCs/>
                <w:color w:val="000000" w:themeColor="text1"/>
                <w:sz w:val="20"/>
                <w:szCs w:val="20"/>
                <w:lang w:val="ro-MD"/>
              </w:rPr>
              <w:t> </w:t>
            </w:r>
          </w:p>
        </w:tc>
      </w:tr>
      <w:tr w:rsidR="00FD65B6" w:rsidRPr="00B13B9A" w14:paraId="6A75FFF5" w14:textId="77777777" w:rsidTr="00332FF7">
        <w:tc>
          <w:tcPr>
            <w:tcW w:w="14263" w:type="dxa"/>
            <w:gridSpan w:val="7"/>
            <w:shd w:val="clear" w:color="auto" w:fill="auto"/>
          </w:tcPr>
          <w:p w14:paraId="18F0D708" w14:textId="0E882971" w:rsidR="00FD65B6" w:rsidRPr="00B13B9A" w:rsidRDefault="00FD65B6" w:rsidP="00332FF7">
            <w:pPr>
              <w:jc w:val="center"/>
              <w:rPr>
                <w:rFonts w:asciiTheme="majorHAnsi" w:hAnsiTheme="majorHAnsi" w:cstheme="majorHAnsi"/>
                <w:b/>
                <w:i/>
                <w:color w:val="000000" w:themeColor="text1"/>
                <w:sz w:val="20"/>
                <w:szCs w:val="20"/>
                <w:lang w:val="ro-MD"/>
              </w:rPr>
            </w:pPr>
            <w:r w:rsidRPr="00B13B9A">
              <w:rPr>
                <w:rFonts w:asciiTheme="majorHAnsi" w:hAnsiTheme="majorHAnsi" w:cstheme="majorHAnsi"/>
                <w:b/>
                <w:i/>
                <w:color w:val="000000" w:themeColor="text1"/>
                <w:sz w:val="20"/>
                <w:szCs w:val="20"/>
                <w:lang w:val="ro-MD"/>
              </w:rPr>
              <w:t>Recomandare Ministerului Sănătă</w:t>
            </w:r>
            <w:r w:rsidR="00B13B9A" w:rsidRPr="00B13B9A">
              <w:rPr>
                <w:rFonts w:asciiTheme="majorHAnsi" w:hAnsiTheme="majorHAnsi" w:cstheme="majorHAnsi"/>
                <w:b/>
                <w:i/>
                <w:color w:val="000000" w:themeColor="text1"/>
                <w:sz w:val="20"/>
                <w:szCs w:val="20"/>
                <w:lang w:val="ro-MD"/>
              </w:rPr>
              <w:t>ț</w:t>
            </w:r>
            <w:r w:rsidRPr="00B13B9A">
              <w:rPr>
                <w:rFonts w:asciiTheme="majorHAnsi" w:hAnsiTheme="majorHAnsi" w:cstheme="majorHAnsi"/>
                <w:b/>
                <w:i/>
                <w:color w:val="000000" w:themeColor="text1"/>
                <w:sz w:val="20"/>
                <w:szCs w:val="20"/>
                <w:lang w:val="ro-MD"/>
              </w:rPr>
              <w:t xml:space="preserve">ii, Muncii </w:t>
            </w:r>
            <w:r w:rsidR="00B13B9A" w:rsidRPr="00B13B9A">
              <w:rPr>
                <w:rFonts w:asciiTheme="majorHAnsi" w:hAnsiTheme="majorHAnsi" w:cstheme="majorHAnsi"/>
                <w:b/>
                <w:i/>
                <w:color w:val="000000" w:themeColor="text1"/>
                <w:sz w:val="20"/>
                <w:szCs w:val="20"/>
                <w:lang w:val="ro-MD"/>
              </w:rPr>
              <w:t>ș</w:t>
            </w:r>
            <w:r w:rsidRPr="00B13B9A">
              <w:rPr>
                <w:rFonts w:asciiTheme="majorHAnsi" w:hAnsiTheme="majorHAnsi" w:cstheme="majorHAnsi"/>
                <w:b/>
                <w:i/>
                <w:color w:val="000000" w:themeColor="text1"/>
                <w:sz w:val="20"/>
                <w:szCs w:val="20"/>
                <w:lang w:val="ro-MD"/>
              </w:rPr>
              <w:t>i Protec</w:t>
            </w:r>
            <w:r w:rsidR="00B13B9A" w:rsidRPr="00B13B9A">
              <w:rPr>
                <w:rFonts w:asciiTheme="majorHAnsi" w:hAnsiTheme="majorHAnsi" w:cstheme="majorHAnsi"/>
                <w:b/>
                <w:i/>
                <w:color w:val="000000" w:themeColor="text1"/>
                <w:sz w:val="20"/>
                <w:szCs w:val="20"/>
                <w:lang w:val="ro-MD"/>
              </w:rPr>
              <w:t>ț</w:t>
            </w:r>
            <w:r w:rsidRPr="00B13B9A">
              <w:rPr>
                <w:rFonts w:asciiTheme="majorHAnsi" w:hAnsiTheme="majorHAnsi" w:cstheme="majorHAnsi"/>
                <w:b/>
                <w:i/>
                <w:color w:val="000000" w:themeColor="text1"/>
                <w:sz w:val="20"/>
                <w:szCs w:val="20"/>
                <w:lang w:val="ro-MD"/>
              </w:rPr>
              <w:t>iei Sociale</w:t>
            </w:r>
          </w:p>
        </w:tc>
      </w:tr>
      <w:tr w:rsidR="00FD65B6" w:rsidRPr="00B13B9A" w14:paraId="50E1B2E8" w14:textId="77777777" w:rsidTr="00332FF7">
        <w:trPr>
          <w:gridAfter w:val="1"/>
          <w:wAfter w:w="24" w:type="dxa"/>
        </w:trPr>
        <w:tc>
          <w:tcPr>
            <w:tcW w:w="576" w:type="dxa"/>
            <w:shd w:val="clear" w:color="auto" w:fill="auto"/>
          </w:tcPr>
          <w:p w14:paraId="4BE940BB" w14:textId="77777777" w:rsidR="00FD65B6" w:rsidRPr="00B13B9A" w:rsidRDefault="00FD65B6" w:rsidP="00332FF7">
            <w:pPr>
              <w:jc w:val="center"/>
              <w:rPr>
                <w:rFonts w:asciiTheme="majorHAnsi" w:hAnsiTheme="majorHAnsi" w:cstheme="majorHAnsi"/>
                <w:b/>
                <w:i/>
                <w:color w:val="000000" w:themeColor="text1"/>
                <w:sz w:val="20"/>
                <w:szCs w:val="20"/>
                <w:lang w:val="ro-MD"/>
              </w:rPr>
            </w:pPr>
            <w:r w:rsidRPr="00B13B9A">
              <w:rPr>
                <w:rFonts w:asciiTheme="majorHAnsi" w:hAnsiTheme="majorHAnsi" w:cstheme="majorHAnsi"/>
                <w:b/>
                <w:i/>
                <w:color w:val="000000" w:themeColor="text1"/>
                <w:sz w:val="20"/>
                <w:szCs w:val="20"/>
                <w:lang w:val="ro-MD"/>
              </w:rPr>
              <w:t>1</w:t>
            </w:r>
          </w:p>
        </w:tc>
        <w:tc>
          <w:tcPr>
            <w:tcW w:w="837" w:type="dxa"/>
            <w:shd w:val="clear" w:color="auto" w:fill="auto"/>
          </w:tcPr>
          <w:p w14:paraId="4E6520E5" w14:textId="77777777" w:rsidR="00FD65B6" w:rsidRPr="00B13B9A" w:rsidRDefault="00FD65B6" w:rsidP="00332FF7">
            <w:pPr>
              <w:jc w:val="center"/>
              <w:rPr>
                <w:rFonts w:asciiTheme="majorHAnsi" w:hAnsiTheme="majorHAnsi" w:cstheme="majorHAnsi"/>
                <w:b/>
                <w:i/>
                <w:color w:val="000000" w:themeColor="text1"/>
                <w:sz w:val="20"/>
                <w:szCs w:val="20"/>
                <w:lang w:val="ro-MD"/>
              </w:rPr>
            </w:pPr>
            <w:r w:rsidRPr="00B13B9A">
              <w:rPr>
                <w:rFonts w:asciiTheme="majorHAnsi" w:hAnsiTheme="majorHAnsi" w:cstheme="majorHAnsi"/>
                <w:b/>
                <w:i/>
                <w:color w:val="000000" w:themeColor="text1"/>
                <w:sz w:val="20"/>
                <w:szCs w:val="20"/>
                <w:lang w:val="ro-MD"/>
              </w:rPr>
              <w:t>2.1</w:t>
            </w:r>
          </w:p>
        </w:tc>
        <w:tc>
          <w:tcPr>
            <w:tcW w:w="2977" w:type="dxa"/>
            <w:shd w:val="clear" w:color="auto" w:fill="auto"/>
          </w:tcPr>
          <w:p w14:paraId="18ABDEAA" w14:textId="05EFE22B" w:rsidR="00FD65B6" w:rsidRPr="00B13B9A" w:rsidRDefault="00FD65B6" w:rsidP="00332FF7">
            <w:pPr>
              <w:jc w:val="both"/>
              <w:rPr>
                <w:rFonts w:asciiTheme="majorHAnsi" w:hAnsiTheme="majorHAnsi" w:cstheme="majorHAnsi"/>
                <w:i/>
                <w:color w:val="000000"/>
                <w:sz w:val="20"/>
                <w:szCs w:val="20"/>
                <w:lang w:val="ro-MD"/>
              </w:rPr>
            </w:pPr>
            <w:r w:rsidRPr="00B13B9A">
              <w:rPr>
                <w:rFonts w:asciiTheme="majorHAnsi" w:hAnsiTheme="majorHAnsi" w:cstheme="majorHAnsi"/>
                <w:i/>
                <w:color w:val="000000"/>
                <w:sz w:val="20"/>
                <w:szCs w:val="20"/>
                <w:lang w:val="ro-MD"/>
              </w:rPr>
              <w:t xml:space="preserve">Modalitatea de justificare a costurilor </w:t>
            </w:r>
            <w:r w:rsidR="00B13B9A" w:rsidRPr="00B13B9A">
              <w:rPr>
                <w:rFonts w:asciiTheme="majorHAnsi" w:hAnsiTheme="majorHAnsi" w:cstheme="majorHAnsi"/>
                <w:i/>
                <w:color w:val="000000"/>
                <w:sz w:val="20"/>
                <w:szCs w:val="20"/>
                <w:lang w:val="ro-MD"/>
              </w:rPr>
              <w:t>ș</w:t>
            </w:r>
            <w:r w:rsidRPr="00B13B9A">
              <w:rPr>
                <w:rFonts w:asciiTheme="majorHAnsi" w:hAnsiTheme="majorHAnsi" w:cstheme="majorHAnsi"/>
                <w:i/>
                <w:color w:val="000000"/>
                <w:sz w:val="20"/>
                <w:szCs w:val="20"/>
                <w:lang w:val="ro-MD"/>
              </w:rPr>
              <w:t>i planificarea necesarului de mijloace financiare prin delimitarea exhaustivă a resurselor de finan</w:t>
            </w:r>
            <w:r w:rsidR="00B13B9A" w:rsidRPr="00B13B9A">
              <w:rPr>
                <w:rFonts w:asciiTheme="majorHAnsi" w:hAnsiTheme="majorHAnsi" w:cstheme="majorHAnsi"/>
                <w:i/>
                <w:color w:val="000000"/>
                <w:sz w:val="20"/>
                <w:szCs w:val="20"/>
                <w:lang w:val="ro-MD"/>
              </w:rPr>
              <w:t>ț</w:t>
            </w:r>
            <w:r w:rsidRPr="00B13B9A">
              <w:rPr>
                <w:rFonts w:asciiTheme="majorHAnsi" w:hAnsiTheme="majorHAnsi" w:cstheme="majorHAnsi"/>
                <w:i/>
                <w:color w:val="000000"/>
                <w:sz w:val="20"/>
                <w:szCs w:val="20"/>
                <w:lang w:val="ro-MD"/>
              </w:rPr>
              <w:t>are pentru fiecare ac</w:t>
            </w:r>
            <w:r w:rsidR="00B13B9A" w:rsidRPr="00B13B9A">
              <w:rPr>
                <w:rFonts w:asciiTheme="majorHAnsi" w:hAnsiTheme="majorHAnsi" w:cstheme="majorHAnsi"/>
                <w:i/>
                <w:color w:val="000000"/>
                <w:sz w:val="20"/>
                <w:szCs w:val="20"/>
                <w:lang w:val="ro-MD"/>
              </w:rPr>
              <w:t>ț</w:t>
            </w:r>
            <w:r w:rsidRPr="00B13B9A">
              <w:rPr>
                <w:rFonts w:asciiTheme="majorHAnsi" w:hAnsiTheme="majorHAnsi" w:cstheme="majorHAnsi"/>
                <w:i/>
                <w:color w:val="000000"/>
                <w:sz w:val="20"/>
                <w:szCs w:val="20"/>
                <w:lang w:val="ro-MD"/>
              </w:rPr>
              <w:t>iune din Planul de ac</w:t>
            </w:r>
            <w:r w:rsidR="00B13B9A" w:rsidRPr="00B13B9A">
              <w:rPr>
                <w:rFonts w:asciiTheme="majorHAnsi" w:hAnsiTheme="majorHAnsi" w:cstheme="majorHAnsi"/>
                <w:i/>
                <w:color w:val="000000"/>
                <w:sz w:val="20"/>
                <w:szCs w:val="20"/>
                <w:lang w:val="ro-MD"/>
              </w:rPr>
              <w:t>ț</w:t>
            </w:r>
            <w:r w:rsidRPr="00B13B9A">
              <w:rPr>
                <w:rFonts w:asciiTheme="majorHAnsi" w:hAnsiTheme="majorHAnsi" w:cstheme="majorHAnsi"/>
                <w:i/>
                <w:color w:val="000000"/>
                <w:sz w:val="20"/>
                <w:szCs w:val="20"/>
                <w:lang w:val="ro-MD"/>
              </w:rPr>
              <w:t>iuni (pct.4.1.)</w:t>
            </w:r>
          </w:p>
        </w:tc>
        <w:tc>
          <w:tcPr>
            <w:tcW w:w="5670" w:type="dxa"/>
            <w:shd w:val="clear" w:color="auto" w:fill="auto"/>
          </w:tcPr>
          <w:p w14:paraId="1489E1B3" w14:textId="58480F17" w:rsidR="00FD65B6" w:rsidRPr="00B13B9A" w:rsidRDefault="00FD65B6" w:rsidP="00332FF7">
            <w:pPr>
              <w:jc w:val="both"/>
              <w:rPr>
                <w:rFonts w:asciiTheme="majorHAnsi" w:hAnsiTheme="majorHAnsi" w:cstheme="majorHAnsi"/>
                <w:color w:val="000000"/>
                <w:sz w:val="20"/>
                <w:szCs w:val="20"/>
                <w:lang w:val="ro-MD"/>
              </w:rPr>
            </w:pPr>
            <w:r w:rsidRPr="00B13B9A">
              <w:rPr>
                <w:rFonts w:asciiTheme="majorHAnsi" w:hAnsiTheme="majorHAnsi" w:cstheme="majorHAnsi"/>
                <w:b/>
                <w:i/>
                <w:color w:val="000000"/>
                <w:sz w:val="20"/>
                <w:szCs w:val="20"/>
                <w:u w:val="single"/>
                <w:lang w:val="ro-MD"/>
              </w:rPr>
              <w:t>Scrisoare</w:t>
            </w:r>
            <w:r w:rsidR="00D80586" w:rsidRPr="00B13B9A">
              <w:rPr>
                <w:rFonts w:asciiTheme="majorHAnsi" w:hAnsiTheme="majorHAnsi" w:cstheme="majorHAnsi"/>
                <w:b/>
                <w:i/>
                <w:color w:val="000000"/>
                <w:sz w:val="20"/>
                <w:szCs w:val="20"/>
                <w:u w:val="single"/>
                <w:lang w:val="ro-MD"/>
              </w:rPr>
              <w:t>a</w:t>
            </w:r>
            <w:r w:rsidRPr="00B13B9A">
              <w:rPr>
                <w:rFonts w:asciiTheme="majorHAnsi" w:hAnsiTheme="majorHAnsi" w:cstheme="majorHAnsi"/>
                <w:b/>
                <w:i/>
                <w:color w:val="000000"/>
                <w:sz w:val="20"/>
                <w:szCs w:val="20"/>
                <w:u w:val="single"/>
                <w:lang w:val="ro-MD"/>
              </w:rPr>
              <w:t xml:space="preserve"> MSMPS nr.04/3055 din 09.06.2020:</w:t>
            </w:r>
            <w:r w:rsidRPr="00B13B9A">
              <w:rPr>
                <w:rFonts w:asciiTheme="majorHAnsi" w:hAnsiTheme="majorHAnsi" w:cstheme="majorHAnsi"/>
                <w:b/>
                <w:i/>
                <w:color w:val="000000"/>
                <w:sz w:val="20"/>
                <w:szCs w:val="20"/>
                <w:lang w:val="ro-MD"/>
              </w:rPr>
              <w:t xml:space="preserve"> </w:t>
            </w:r>
            <w:r w:rsidRPr="00B13B9A">
              <w:rPr>
                <w:rFonts w:asciiTheme="majorHAnsi" w:hAnsiTheme="majorHAnsi" w:cstheme="majorHAnsi"/>
                <w:color w:val="000000"/>
                <w:sz w:val="20"/>
                <w:szCs w:val="20"/>
                <w:lang w:val="ro-MD"/>
              </w:rPr>
              <w:t xml:space="preserve">Costurile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i planificarea necesarului de mijloace financiare pentru fiecare ac</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iune din Planul de ac</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iuni a fost calculat în baza CATALOGULUI TARIFELOR UNICE pentru serviciile medico-sanitare prestate contra plată de către institu</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 xml:space="preserve">iile medico-sanitare publice, precum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i pentru serviciile acoperite din fondurile asigurării obligatorii de asisten</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ă medicală, prestate de institu</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 xml:space="preserve">iile medico-sanitare publice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i cele private</w:t>
            </w:r>
          </w:p>
        </w:tc>
        <w:tc>
          <w:tcPr>
            <w:tcW w:w="2835" w:type="dxa"/>
            <w:shd w:val="clear" w:color="auto" w:fill="auto"/>
          </w:tcPr>
          <w:p w14:paraId="08A43D83" w14:textId="520CA5C0" w:rsidR="00FD65B6" w:rsidRPr="00B13B9A" w:rsidRDefault="00FD65B6" w:rsidP="00332FF7">
            <w:pPr>
              <w:jc w:val="both"/>
              <w:rPr>
                <w:rFonts w:asciiTheme="majorHAnsi" w:hAnsiTheme="majorHAnsi" w:cstheme="majorHAnsi"/>
                <w:color w:val="000000"/>
                <w:sz w:val="20"/>
                <w:szCs w:val="20"/>
                <w:lang w:val="ro-MD"/>
              </w:rPr>
            </w:pPr>
            <w:r w:rsidRPr="00B13B9A">
              <w:rPr>
                <w:rFonts w:asciiTheme="majorHAnsi" w:hAnsiTheme="majorHAnsi" w:cstheme="majorHAnsi"/>
                <w:color w:val="000000"/>
                <w:sz w:val="20"/>
                <w:szCs w:val="20"/>
                <w:lang w:val="ro-MD"/>
              </w:rPr>
              <w:t>Propunerile de interven</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ii pentru îmbunătă</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irea controlului tuberculozei în RM cu revizuirea mecanismului de finan</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 xml:space="preserve">are a serviciului de ftiziopneumonie au fost înaintate de Departamentul de coordonare PNCT către MSMPS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i CNAM.</w:t>
            </w:r>
          </w:p>
        </w:tc>
        <w:tc>
          <w:tcPr>
            <w:tcW w:w="1344" w:type="dxa"/>
            <w:shd w:val="clear" w:color="auto" w:fill="auto"/>
          </w:tcPr>
          <w:p w14:paraId="1FD887E2" w14:textId="77777777" w:rsidR="00FD65B6" w:rsidRPr="00B13B9A" w:rsidRDefault="00FD65B6" w:rsidP="00332FF7">
            <w:pPr>
              <w:jc w:val="both"/>
              <w:rPr>
                <w:rFonts w:asciiTheme="majorHAnsi" w:hAnsiTheme="majorHAnsi" w:cstheme="majorHAnsi"/>
                <w:b/>
                <w:i/>
                <w:color w:val="000000" w:themeColor="text1"/>
                <w:sz w:val="20"/>
                <w:szCs w:val="20"/>
                <w:lang w:val="ro-MD"/>
              </w:rPr>
            </w:pPr>
            <w:r w:rsidRPr="00B13B9A">
              <w:rPr>
                <w:rFonts w:asciiTheme="majorHAnsi" w:hAnsiTheme="majorHAnsi" w:cstheme="majorHAnsi"/>
                <w:b/>
                <w:i/>
                <w:color w:val="000000" w:themeColor="text1"/>
                <w:sz w:val="20"/>
                <w:szCs w:val="20"/>
                <w:lang w:val="ro-MD"/>
              </w:rPr>
              <w:t>Recomandare implementată</w:t>
            </w:r>
          </w:p>
        </w:tc>
      </w:tr>
      <w:tr w:rsidR="00FD65B6" w:rsidRPr="00B13B9A" w14:paraId="07629C81" w14:textId="77777777" w:rsidTr="00332FF7">
        <w:trPr>
          <w:gridAfter w:val="1"/>
          <w:wAfter w:w="24" w:type="dxa"/>
        </w:trPr>
        <w:tc>
          <w:tcPr>
            <w:tcW w:w="576" w:type="dxa"/>
            <w:shd w:val="clear" w:color="auto" w:fill="auto"/>
          </w:tcPr>
          <w:p w14:paraId="7D9944E5" w14:textId="77777777" w:rsidR="00FD65B6" w:rsidRPr="00B13B9A" w:rsidRDefault="00FD65B6" w:rsidP="00332FF7">
            <w:pPr>
              <w:jc w:val="center"/>
              <w:rPr>
                <w:rFonts w:asciiTheme="majorHAnsi" w:hAnsiTheme="majorHAnsi" w:cstheme="majorHAnsi"/>
                <w:b/>
                <w:i/>
                <w:color w:val="000000" w:themeColor="text1"/>
                <w:sz w:val="20"/>
                <w:szCs w:val="20"/>
                <w:lang w:val="ro-MD"/>
              </w:rPr>
            </w:pPr>
          </w:p>
        </w:tc>
        <w:tc>
          <w:tcPr>
            <w:tcW w:w="837" w:type="dxa"/>
            <w:shd w:val="clear" w:color="auto" w:fill="auto"/>
          </w:tcPr>
          <w:p w14:paraId="7BF5047E" w14:textId="77777777" w:rsidR="00FD65B6" w:rsidRPr="00B13B9A" w:rsidRDefault="00FD65B6" w:rsidP="00332FF7">
            <w:pPr>
              <w:jc w:val="center"/>
              <w:rPr>
                <w:rFonts w:asciiTheme="majorHAnsi" w:hAnsiTheme="majorHAnsi" w:cstheme="majorHAnsi"/>
                <w:b/>
                <w:i/>
                <w:color w:val="000000" w:themeColor="text1"/>
                <w:sz w:val="20"/>
                <w:szCs w:val="20"/>
                <w:lang w:val="ro-MD"/>
              </w:rPr>
            </w:pPr>
            <w:r w:rsidRPr="00B13B9A">
              <w:rPr>
                <w:rFonts w:asciiTheme="majorHAnsi" w:hAnsiTheme="majorHAnsi" w:cstheme="majorHAnsi"/>
                <w:b/>
                <w:i/>
                <w:color w:val="000000" w:themeColor="text1"/>
                <w:sz w:val="20"/>
                <w:szCs w:val="20"/>
                <w:lang w:val="ro-MD"/>
              </w:rPr>
              <w:t>2.2</w:t>
            </w:r>
          </w:p>
        </w:tc>
        <w:tc>
          <w:tcPr>
            <w:tcW w:w="2977" w:type="dxa"/>
            <w:shd w:val="clear" w:color="auto" w:fill="auto"/>
          </w:tcPr>
          <w:p w14:paraId="01BA46FF" w14:textId="0B855910" w:rsidR="00FD65B6" w:rsidRPr="00B13B9A" w:rsidRDefault="00FD65B6" w:rsidP="00332FF7">
            <w:pPr>
              <w:jc w:val="both"/>
              <w:rPr>
                <w:rFonts w:asciiTheme="majorHAnsi" w:hAnsiTheme="majorHAnsi" w:cstheme="majorHAnsi"/>
                <w:i/>
                <w:color w:val="000000"/>
                <w:sz w:val="20"/>
                <w:szCs w:val="20"/>
                <w:lang w:val="ro-MD"/>
              </w:rPr>
            </w:pPr>
            <w:r w:rsidRPr="00B13B9A">
              <w:rPr>
                <w:rFonts w:asciiTheme="majorHAnsi" w:hAnsiTheme="majorHAnsi" w:cstheme="majorHAnsi"/>
                <w:i/>
                <w:color w:val="000000"/>
                <w:sz w:val="20"/>
                <w:szCs w:val="20"/>
                <w:lang w:val="ro-MD"/>
              </w:rPr>
              <w:t>Asigurarea planificării achizi</w:t>
            </w:r>
            <w:r w:rsidR="00B13B9A" w:rsidRPr="00B13B9A">
              <w:rPr>
                <w:rFonts w:asciiTheme="majorHAnsi" w:hAnsiTheme="majorHAnsi" w:cstheme="majorHAnsi"/>
                <w:i/>
                <w:color w:val="000000"/>
                <w:sz w:val="20"/>
                <w:szCs w:val="20"/>
                <w:lang w:val="ro-MD"/>
              </w:rPr>
              <w:t>ț</w:t>
            </w:r>
            <w:r w:rsidRPr="00B13B9A">
              <w:rPr>
                <w:rFonts w:asciiTheme="majorHAnsi" w:hAnsiTheme="majorHAnsi" w:cstheme="majorHAnsi"/>
                <w:i/>
                <w:color w:val="000000"/>
                <w:sz w:val="20"/>
                <w:szCs w:val="20"/>
                <w:lang w:val="ro-MD"/>
              </w:rPr>
              <w:t>iilor publice, cu evaluarea conformă a necesită</w:t>
            </w:r>
            <w:r w:rsidR="00B13B9A" w:rsidRPr="00B13B9A">
              <w:rPr>
                <w:rFonts w:asciiTheme="majorHAnsi" w:hAnsiTheme="majorHAnsi" w:cstheme="majorHAnsi"/>
                <w:i/>
                <w:color w:val="000000"/>
                <w:sz w:val="20"/>
                <w:szCs w:val="20"/>
                <w:lang w:val="ro-MD"/>
              </w:rPr>
              <w:t>ț</w:t>
            </w:r>
            <w:r w:rsidRPr="00B13B9A">
              <w:rPr>
                <w:rFonts w:asciiTheme="majorHAnsi" w:hAnsiTheme="majorHAnsi" w:cstheme="majorHAnsi"/>
                <w:i/>
                <w:color w:val="000000"/>
                <w:sz w:val="20"/>
                <w:szCs w:val="20"/>
                <w:lang w:val="ro-MD"/>
              </w:rPr>
              <w:t>ilor de medicamente, în scopul evitării riscului de reducere a cantită</w:t>
            </w:r>
            <w:r w:rsidR="00B13B9A" w:rsidRPr="00B13B9A">
              <w:rPr>
                <w:rFonts w:asciiTheme="majorHAnsi" w:hAnsiTheme="majorHAnsi" w:cstheme="majorHAnsi"/>
                <w:i/>
                <w:color w:val="000000"/>
                <w:sz w:val="20"/>
                <w:szCs w:val="20"/>
                <w:lang w:val="ro-MD"/>
              </w:rPr>
              <w:t>ț</w:t>
            </w:r>
            <w:r w:rsidRPr="00B13B9A">
              <w:rPr>
                <w:rFonts w:asciiTheme="majorHAnsi" w:hAnsiTheme="majorHAnsi" w:cstheme="majorHAnsi"/>
                <w:i/>
                <w:color w:val="000000"/>
                <w:sz w:val="20"/>
                <w:szCs w:val="20"/>
                <w:lang w:val="ro-MD"/>
              </w:rPr>
              <w:t xml:space="preserve">ilor estimate </w:t>
            </w:r>
            <w:r w:rsidR="00B13B9A" w:rsidRPr="00B13B9A">
              <w:rPr>
                <w:rFonts w:asciiTheme="majorHAnsi" w:hAnsiTheme="majorHAnsi" w:cstheme="majorHAnsi"/>
                <w:i/>
                <w:color w:val="000000"/>
                <w:sz w:val="20"/>
                <w:szCs w:val="20"/>
                <w:lang w:val="ro-MD"/>
              </w:rPr>
              <w:t>ș</w:t>
            </w:r>
            <w:r w:rsidRPr="00B13B9A">
              <w:rPr>
                <w:rFonts w:asciiTheme="majorHAnsi" w:hAnsiTheme="majorHAnsi" w:cstheme="majorHAnsi"/>
                <w:i/>
                <w:color w:val="000000"/>
                <w:sz w:val="20"/>
                <w:szCs w:val="20"/>
                <w:lang w:val="ro-MD"/>
              </w:rPr>
              <w:t>i de formare a deficitului de stocuri (pct.4.7.)</w:t>
            </w:r>
          </w:p>
        </w:tc>
        <w:tc>
          <w:tcPr>
            <w:tcW w:w="5670" w:type="dxa"/>
            <w:shd w:val="clear" w:color="auto" w:fill="auto"/>
          </w:tcPr>
          <w:p w14:paraId="6242436E" w14:textId="52501BE2" w:rsidR="00FD65B6" w:rsidRPr="00B13B9A" w:rsidRDefault="00FD65B6" w:rsidP="00332FF7">
            <w:pPr>
              <w:jc w:val="both"/>
              <w:rPr>
                <w:rFonts w:asciiTheme="majorHAnsi" w:hAnsiTheme="majorHAnsi" w:cstheme="majorHAnsi"/>
                <w:color w:val="000000"/>
                <w:sz w:val="20"/>
                <w:szCs w:val="20"/>
                <w:lang w:val="ro-MD"/>
              </w:rPr>
            </w:pPr>
            <w:r w:rsidRPr="00B13B9A">
              <w:rPr>
                <w:rFonts w:asciiTheme="majorHAnsi" w:hAnsiTheme="majorHAnsi" w:cstheme="majorHAnsi"/>
                <w:b/>
                <w:i/>
                <w:color w:val="000000"/>
                <w:sz w:val="20"/>
                <w:szCs w:val="20"/>
                <w:u w:val="single"/>
                <w:lang w:val="ro-MD"/>
              </w:rPr>
              <w:t>Scrisoare</w:t>
            </w:r>
            <w:r w:rsidR="00D80586" w:rsidRPr="00B13B9A">
              <w:rPr>
                <w:rFonts w:asciiTheme="majorHAnsi" w:hAnsiTheme="majorHAnsi" w:cstheme="majorHAnsi"/>
                <w:b/>
                <w:i/>
                <w:color w:val="000000"/>
                <w:sz w:val="20"/>
                <w:szCs w:val="20"/>
                <w:u w:val="single"/>
                <w:lang w:val="ro-MD"/>
              </w:rPr>
              <w:t>a</w:t>
            </w:r>
            <w:r w:rsidRPr="00B13B9A">
              <w:rPr>
                <w:rFonts w:asciiTheme="majorHAnsi" w:hAnsiTheme="majorHAnsi" w:cstheme="majorHAnsi"/>
                <w:b/>
                <w:i/>
                <w:color w:val="000000"/>
                <w:sz w:val="20"/>
                <w:szCs w:val="20"/>
                <w:u w:val="single"/>
                <w:lang w:val="ro-MD"/>
              </w:rPr>
              <w:t xml:space="preserve"> MSMPS nr.04/3055 din 09.06.2020:</w:t>
            </w:r>
            <w:r w:rsidRPr="00B13B9A">
              <w:rPr>
                <w:rFonts w:asciiTheme="majorHAnsi" w:hAnsiTheme="majorHAnsi" w:cstheme="majorHAnsi"/>
                <w:color w:val="000000"/>
                <w:sz w:val="20"/>
                <w:szCs w:val="20"/>
                <w:lang w:val="ro-MD"/>
              </w:rPr>
              <w:t xml:space="preserve"> ,,Asigurarea planificării achizi</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iilor publice, cu evaluarea conformă a necesită</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ilor de medicamente, în scopul evitării riscurilor de reducere a cantită</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 xml:space="preserve">ilor estimate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i de formare a deficitului de stocuri” - Estimarea necesită</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ilor de medicamente antituberculoase pentru asigurarea tratamentului tuturor pacien</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ilor prognoza</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i de a fi înrola</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i în tratament este efectuat în baza ordinului MSMPS nr. 783 din 11.10.2017, anexa 16 ,,Regulamentul cu privire la managementul medicamentelor antituberculoase", cu utilizarea instrumentului de calcul recomandat de OMS - Quan TB, versiunea 4.2.</w:t>
            </w:r>
          </w:p>
        </w:tc>
        <w:tc>
          <w:tcPr>
            <w:tcW w:w="2835" w:type="dxa"/>
            <w:shd w:val="clear" w:color="auto" w:fill="auto"/>
          </w:tcPr>
          <w:p w14:paraId="2321C5E8" w14:textId="134B53CE" w:rsidR="00FD65B6" w:rsidRPr="00B13B9A" w:rsidRDefault="00FD65B6" w:rsidP="00332FF7">
            <w:pPr>
              <w:jc w:val="both"/>
              <w:rPr>
                <w:rFonts w:asciiTheme="majorHAnsi" w:hAnsiTheme="majorHAnsi" w:cstheme="majorHAnsi"/>
                <w:color w:val="000000"/>
                <w:sz w:val="20"/>
                <w:szCs w:val="20"/>
                <w:lang w:val="ro-MD"/>
              </w:rPr>
            </w:pPr>
            <w:r w:rsidRPr="00B13B9A">
              <w:rPr>
                <w:rFonts w:asciiTheme="majorHAnsi" w:hAnsiTheme="majorHAnsi" w:cstheme="majorHAnsi"/>
                <w:color w:val="000000"/>
                <w:sz w:val="20"/>
                <w:szCs w:val="20"/>
                <w:lang w:val="ro-MD"/>
              </w:rPr>
              <w:t>Estimarea necesită</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ilor de medicamente antituberculoase pentru asigurarea tratamentului tuturor pacien</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ilor prognoza</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i de a fi înrola</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i în tratament este efectuat</w:t>
            </w:r>
            <w:r w:rsidR="00693658" w:rsidRPr="00B13B9A">
              <w:rPr>
                <w:rFonts w:asciiTheme="majorHAnsi" w:hAnsiTheme="majorHAnsi" w:cstheme="majorHAnsi"/>
                <w:color w:val="000000"/>
                <w:sz w:val="20"/>
                <w:szCs w:val="20"/>
                <w:lang w:val="ro-MD"/>
              </w:rPr>
              <w:t>ă</w:t>
            </w:r>
            <w:r w:rsidRPr="00B13B9A">
              <w:rPr>
                <w:rFonts w:asciiTheme="majorHAnsi" w:hAnsiTheme="majorHAnsi" w:cstheme="majorHAnsi"/>
                <w:color w:val="000000"/>
                <w:sz w:val="20"/>
                <w:szCs w:val="20"/>
                <w:lang w:val="ro-MD"/>
              </w:rPr>
              <w:t xml:space="preserve"> în baza ordinului MSMPS nr. 783 din 11.10.2017, anexa 16 </w:t>
            </w:r>
            <w:r w:rsidR="00D80586" w:rsidRPr="00B13B9A">
              <w:rPr>
                <w:rFonts w:asciiTheme="majorHAnsi" w:hAnsiTheme="majorHAnsi" w:cstheme="majorHAnsi"/>
                <w:color w:val="000000"/>
                <w:sz w:val="20"/>
                <w:szCs w:val="20"/>
                <w:lang w:val="ro-MD"/>
              </w:rPr>
              <w:t>„</w:t>
            </w:r>
            <w:r w:rsidRPr="00B13B9A">
              <w:rPr>
                <w:rFonts w:asciiTheme="majorHAnsi" w:hAnsiTheme="majorHAnsi" w:cstheme="majorHAnsi"/>
                <w:color w:val="000000"/>
                <w:sz w:val="20"/>
                <w:szCs w:val="20"/>
                <w:lang w:val="ro-MD"/>
              </w:rPr>
              <w:t>Regulamentul cu privire la managementul medicamentelor antituberculoase"</w:t>
            </w:r>
          </w:p>
        </w:tc>
        <w:tc>
          <w:tcPr>
            <w:tcW w:w="1344" w:type="dxa"/>
            <w:shd w:val="clear" w:color="auto" w:fill="auto"/>
          </w:tcPr>
          <w:p w14:paraId="61B211D2" w14:textId="77777777" w:rsidR="00FD65B6" w:rsidRPr="00B13B9A" w:rsidRDefault="00FD65B6" w:rsidP="00332FF7">
            <w:pPr>
              <w:jc w:val="both"/>
              <w:rPr>
                <w:rFonts w:asciiTheme="majorHAnsi" w:hAnsiTheme="majorHAnsi" w:cstheme="majorHAnsi"/>
                <w:b/>
                <w:i/>
                <w:color w:val="000000" w:themeColor="text1"/>
                <w:sz w:val="20"/>
                <w:szCs w:val="20"/>
                <w:lang w:val="ro-MD"/>
              </w:rPr>
            </w:pPr>
            <w:r w:rsidRPr="00B13B9A">
              <w:rPr>
                <w:rFonts w:asciiTheme="majorHAnsi" w:hAnsiTheme="majorHAnsi" w:cstheme="majorHAnsi"/>
                <w:b/>
                <w:i/>
                <w:color w:val="000000" w:themeColor="text1"/>
                <w:sz w:val="20"/>
                <w:szCs w:val="20"/>
                <w:lang w:val="ro-MD"/>
              </w:rPr>
              <w:t>Recomandare implementată</w:t>
            </w:r>
          </w:p>
        </w:tc>
      </w:tr>
      <w:tr w:rsidR="00FD65B6" w:rsidRPr="00B13B9A" w14:paraId="2A644B36" w14:textId="77777777" w:rsidTr="00332FF7">
        <w:trPr>
          <w:gridAfter w:val="1"/>
          <w:wAfter w:w="24" w:type="dxa"/>
        </w:trPr>
        <w:tc>
          <w:tcPr>
            <w:tcW w:w="576" w:type="dxa"/>
            <w:shd w:val="clear" w:color="auto" w:fill="auto"/>
          </w:tcPr>
          <w:p w14:paraId="6D1AB3F6" w14:textId="77777777" w:rsidR="00FD65B6" w:rsidRPr="00B13B9A" w:rsidRDefault="00FD65B6" w:rsidP="00332FF7">
            <w:pPr>
              <w:jc w:val="center"/>
              <w:rPr>
                <w:rFonts w:asciiTheme="majorHAnsi" w:hAnsiTheme="majorHAnsi" w:cstheme="majorHAnsi"/>
                <w:b/>
                <w:i/>
                <w:color w:val="000000" w:themeColor="text1"/>
                <w:sz w:val="20"/>
                <w:szCs w:val="20"/>
                <w:lang w:val="ro-MD"/>
              </w:rPr>
            </w:pPr>
          </w:p>
        </w:tc>
        <w:tc>
          <w:tcPr>
            <w:tcW w:w="837" w:type="dxa"/>
            <w:shd w:val="clear" w:color="auto" w:fill="auto"/>
          </w:tcPr>
          <w:p w14:paraId="3476DFED" w14:textId="77777777" w:rsidR="00FD65B6" w:rsidRPr="00B13B9A" w:rsidRDefault="00FD65B6" w:rsidP="00332FF7">
            <w:pPr>
              <w:jc w:val="center"/>
              <w:rPr>
                <w:rFonts w:asciiTheme="majorHAnsi" w:hAnsiTheme="majorHAnsi" w:cstheme="majorHAnsi"/>
                <w:b/>
                <w:i/>
                <w:color w:val="000000" w:themeColor="text1"/>
                <w:sz w:val="20"/>
                <w:szCs w:val="20"/>
                <w:lang w:val="ro-MD"/>
              </w:rPr>
            </w:pPr>
            <w:r w:rsidRPr="00B13B9A">
              <w:rPr>
                <w:rFonts w:asciiTheme="majorHAnsi" w:hAnsiTheme="majorHAnsi" w:cstheme="majorHAnsi"/>
                <w:b/>
                <w:i/>
                <w:color w:val="000000" w:themeColor="text1"/>
                <w:sz w:val="20"/>
                <w:szCs w:val="20"/>
                <w:lang w:val="ro-MD"/>
              </w:rPr>
              <w:t>2.3</w:t>
            </w:r>
          </w:p>
        </w:tc>
        <w:tc>
          <w:tcPr>
            <w:tcW w:w="2977" w:type="dxa"/>
            <w:shd w:val="clear" w:color="auto" w:fill="auto"/>
          </w:tcPr>
          <w:p w14:paraId="4F794ECE" w14:textId="73BC12B7" w:rsidR="00FD65B6" w:rsidRPr="00B13B9A" w:rsidRDefault="00FD65B6" w:rsidP="00332FF7">
            <w:pPr>
              <w:jc w:val="both"/>
              <w:rPr>
                <w:rFonts w:asciiTheme="majorHAnsi" w:hAnsiTheme="majorHAnsi" w:cstheme="majorHAnsi"/>
                <w:i/>
                <w:color w:val="000000"/>
                <w:sz w:val="20"/>
                <w:szCs w:val="20"/>
                <w:lang w:val="ro-MD"/>
              </w:rPr>
            </w:pPr>
            <w:r w:rsidRPr="00B13B9A">
              <w:rPr>
                <w:rFonts w:asciiTheme="majorHAnsi" w:hAnsiTheme="majorHAnsi" w:cstheme="majorHAnsi"/>
                <w:i/>
                <w:color w:val="000000"/>
                <w:sz w:val="20"/>
                <w:szCs w:val="20"/>
                <w:lang w:val="ro-MD"/>
              </w:rPr>
              <w:t xml:space="preserve">Comunicarea </w:t>
            </w:r>
            <w:r w:rsidR="00B13B9A" w:rsidRPr="00B13B9A">
              <w:rPr>
                <w:rFonts w:asciiTheme="majorHAnsi" w:hAnsiTheme="majorHAnsi" w:cstheme="majorHAnsi"/>
                <w:i/>
                <w:color w:val="000000"/>
                <w:sz w:val="20"/>
                <w:szCs w:val="20"/>
                <w:lang w:val="ro-MD"/>
              </w:rPr>
              <w:t>ș</w:t>
            </w:r>
            <w:r w:rsidRPr="00B13B9A">
              <w:rPr>
                <w:rFonts w:asciiTheme="majorHAnsi" w:hAnsiTheme="majorHAnsi" w:cstheme="majorHAnsi"/>
                <w:i/>
                <w:color w:val="000000"/>
                <w:sz w:val="20"/>
                <w:szCs w:val="20"/>
                <w:lang w:val="ro-MD"/>
              </w:rPr>
              <w:t>i conlucrarea asisten</w:t>
            </w:r>
            <w:r w:rsidR="00B13B9A" w:rsidRPr="00B13B9A">
              <w:rPr>
                <w:rFonts w:asciiTheme="majorHAnsi" w:hAnsiTheme="majorHAnsi" w:cstheme="majorHAnsi"/>
                <w:i/>
                <w:color w:val="000000"/>
                <w:sz w:val="20"/>
                <w:szCs w:val="20"/>
                <w:lang w:val="ro-MD"/>
              </w:rPr>
              <w:t>ț</w:t>
            </w:r>
            <w:r w:rsidRPr="00B13B9A">
              <w:rPr>
                <w:rFonts w:asciiTheme="majorHAnsi" w:hAnsiTheme="majorHAnsi" w:cstheme="majorHAnsi"/>
                <w:i/>
                <w:color w:val="000000"/>
                <w:sz w:val="20"/>
                <w:szCs w:val="20"/>
                <w:lang w:val="ro-MD"/>
              </w:rPr>
              <w:t xml:space="preserve">ei medicale primare </w:t>
            </w:r>
            <w:r w:rsidR="00B13B9A" w:rsidRPr="00B13B9A">
              <w:rPr>
                <w:rFonts w:asciiTheme="majorHAnsi" w:hAnsiTheme="majorHAnsi" w:cstheme="majorHAnsi"/>
                <w:i/>
                <w:color w:val="000000"/>
                <w:sz w:val="20"/>
                <w:szCs w:val="20"/>
                <w:lang w:val="ro-MD"/>
              </w:rPr>
              <w:t>ș</w:t>
            </w:r>
            <w:r w:rsidRPr="00B13B9A">
              <w:rPr>
                <w:rFonts w:asciiTheme="majorHAnsi" w:hAnsiTheme="majorHAnsi" w:cstheme="majorHAnsi"/>
                <w:i/>
                <w:color w:val="000000"/>
                <w:sz w:val="20"/>
                <w:szCs w:val="20"/>
                <w:lang w:val="ro-MD"/>
              </w:rPr>
              <w:t>i specializate de ambulatoriu, cu delimitarea concretă a responsabilită</w:t>
            </w:r>
            <w:r w:rsidR="00B13B9A" w:rsidRPr="00B13B9A">
              <w:rPr>
                <w:rFonts w:asciiTheme="majorHAnsi" w:hAnsiTheme="majorHAnsi" w:cstheme="majorHAnsi"/>
                <w:i/>
                <w:color w:val="000000"/>
                <w:sz w:val="20"/>
                <w:szCs w:val="20"/>
                <w:lang w:val="ro-MD"/>
              </w:rPr>
              <w:t>ț</w:t>
            </w:r>
            <w:r w:rsidRPr="00B13B9A">
              <w:rPr>
                <w:rFonts w:asciiTheme="majorHAnsi" w:hAnsiTheme="majorHAnsi" w:cstheme="majorHAnsi"/>
                <w:i/>
                <w:color w:val="000000"/>
                <w:sz w:val="20"/>
                <w:szCs w:val="20"/>
                <w:lang w:val="ro-MD"/>
              </w:rPr>
              <w:t xml:space="preserve">ilor </w:t>
            </w:r>
            <w:r w:rsidR="00B13B9A" w:rsidRPr="00B13B9A">
              <w:rPr>
                <w:rFonts w:asciiTheme="majorHAnsi" w:hAnsiTheme="majorHAnsi" w:cstheme="majorHAnsi"/>
                <w:i/>
                <w:color w:val="000000"/>
                <w:sz w:val="20"/>
                <w:szCs w:val="20"/>
                <w:lang w:val="ro-MD"/>
              </w:rPr>
              <w:t>ș</w:t>
            </w:r>
            <w:r w:rsidRPr="00B13B9A">
              <w:rPr>
                <w:rFonts w:asciiTheme="majorHAnsi" w:hAnsiTheme="majorHAnsi" w:cstheme="majorHAnsi"/>
                <w:i/>
                <w:color w:val="000000"/>
                <w:sz w:val="20"/>
                <w:szCs w:val="20"/>
                <w:lang w:val="ro-MD"/>
              </w:rPr>
              <w:t>i atribu</w:t>
            </w:r>
            <w:r w:rsidR="00B13B9A" w:rsidRPr="00B13B9A">
              <w:rPr>
                <w:rFonts w:asciiTheme="majorHAnsi" w:hAnsiTheme="majorHAnsi" w:cstheme="majorHAnsi"/>
                <w:i/>
                <w:color w:val="000000"/>
                <w:sz w:val="20"/>
                <w:szCs w:val="20"/>
                <w:lang w:val="ro-MD"/>
              </w:rPr>
              <w:t>ț</w:t>
            </w:r>
            <w:r w:rsidRPr="00B13B9A">
              <w:rPr>
                <w:rFonts w:asciiTheme="majorHAnsi" w:hAnsiTheme="majorHAnsi" w:cstheme="majorHAnsi"/>
                <w:i/>
                <w:color w:val="000000"/>
                <w:sz w:val="20"/>
                <w:szCs w:val="20"/>
                <w:lang w:val="ro-MD"/>
              </w:rPr>
              <w:t xml:space="preserve">iilor la etapa de profilaxie, depistare, diagnostic </w:t>
            </w:r>
            <w:r w:rsidR="00B13B9A" w:rsidRPr="00B13B9A">
              <w:rPr>
                <w:rFonts w:asciiTheme="majorHAnsi" w:hAnsiTheme="majorHAnsi" w:cstheme="majorHAnsi"/>
                <w:i/>
                <w:color w:val="000000"/>
                <w:sz w:val="20"/>
                <w:szCs w:val="20"/>
                <w:lang w:val="ro-MD"/>
              </w:rPr>
              <w:t>ș</w:t>
            </w:r>
            <w:r w:rsidRPr="00B13B9A">
              <w:rPr>
                <w:rFonts w:asciiTheme="majorHAnsi" w:hAnsiTheme="majorHAnsi" w:cstheme="majorHAnsi"/>
                <w:i/>
                <w:color w:val="000000"/>
                <w:sz w:val="20"/>
                <w:szCs w:val="20"/>
                <w:lang w:val="ro-MD"/>
              </w:rPr>
              <w:t>i tratament (pct.4.2.)</w:t>
            </w:r>
          </w:p>
        </w:tc>
        <w:tc>
          <w:tcPr>
            <w:tcW w:w="5670" w:type="dxa"/>
            <w:shd w:val="clear" w:color="auto" w:fill="auto"/>
          </w:tcPr>
          <w:p w14:paraId="7BD10827" w14:textId="4549C04B" w:rsidR="00FD65B6" w:rsidRPr="00B13B9A" w:rsidRDefault="00FD65B6" w:rsidP="00332FF7">
            <w:pPr>
              <w:jc w:val="both"/>
              <w:rPr>
                <w:rFonts w:asciiTheme="majorHAnsi" w:hAnsiTheme="majorHAnsi" w:cstheme="majorHAnsi"/>
                <w:color w:val="000000"/>
                <w:sz w:val="20"/>
                <w:szCs w:val="20"/>
                <w:lang w:val="ro-MD"/>
              </w:rPr>
            </w:pPr>
            <w:r w:rsidRPr="00B13B9A">
              <w:rPr>
                <w:rFonts w:asciiTheme="majorHAnsi" w:hAnsiTheme="majorHAnsi" w:cstheme="majorHAnsi"/>
                <w:b/>
                <w:i/>
                <w:color w:val="000000"/>
                <w:sz w:val="20"/>
                <w:szCs w:val="20"/>
                <w:u w:val="single"/>
                <w:lang w:val="ro-MD"/>
              </w:rPr>
              <w:t>Scrisoarea MSMPS nr.04/3055 din 09.06.2020:</w:t>
            </w:r>
            <w:r w:rsidRPr="00B13B9A">
              <w:rPr>
                <w:rFonts w:asciiTheme="majorHAnsi" w:hAnsiTheme="majorHAnsi" w:cstheme="majorHAnsi"/>
                <w:color w:val="000000"/>
                <w:sz w:val="20"/>
                <w:szCs w:val="20"/>
                <w:lang w:val="ro-MD"/>
              </w:rPr>
              <w:t xml:space="preserve"> ,,Comunicarea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i conlucrarea asisten</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 xml:space="preserve">ei medicale primare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i specializate de ambulatoriu, cu delimitarea concretă a responsabilită</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 xml:space="preserve">ilor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i atribu</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 xml:space="preserve">iilor la etapa de profilaxie, depistare, diagnostic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i tratament” - sunt efectuate în baza ordinului IMSMPS nr.783 din 11.10.2017, anexa 4 ,,Regulamentul privind controlul tuberculozei la nivelul asisten</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 xml:space="preserve">ei medicale primare”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i anexa 5 „Controlul tuberculozei la nivelul asisten</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ei medicale specializată de ambulatoriu”.</w:t>
            </w:r>
          </w:p>
        </w:tc>
        <w:tc>
          <w:tcPr>
            <w:tcW w:w="2835" w:type="dxa"/>
            <w:shd w:val="clear" w:color="auto" w:fill="auto"/>
          </w:tcPr>
          <w:p w14:paraId="1D32BFC6" w14:textId="15DDB015" w:rsidR="00FD65B6" w:rsidRPr="00B13B9A" w:rsidRDefault="00FD65B6" w:rsidP="00332FF7">
            <w:pPr>
              <w:jc w:val="both"/>
              <w:rPr>
                <w:rFonts w:asciiTheme="majorHAnsi" w:hAnsiTheme="majorHAnsi" w:cstheme="majorHAnsi"/>
                <w:color w:val="000000"/>
                <w:sz w:val="20"/>
                <w:szCs w:val="20"/>
                <w:lang w:val="ro-MD"/>
              </w:rPr>
            </w:pPr>
            <w:r w:rsidRPr="00B13B9A">
              <w:rPr>
                <w:rFonts w:asciiTheme="majorHAnsi" w:hAnsiTheme="majorHAnsi" w:cstheme="majorHAnsi"/>
                <w:color w:val="000000"/>
                <w:sz w:val="20"/>
                <w:szCs w:val="20"/>
                <w:lang w:val="ro-MD"/>
              </w:rPr>
              <w:t>Au fost efectuate în baza ordinului IMSMPS nr.783 din 11.10.2017, anexa 4 ,,Regulamentul privind controlul tuberculozei la nivelul asisten</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 xml:space="preserve">ei medicale primare”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i anexa 5 „Controlul tuberculozei la nivelul asisten</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ei medicale specializată de ambulatoriu”</w:t>
            </w:r>
          </w:p>
        </w:tc>
        <w:tc>
          <w:tcPr>
            <w:tcW w:w="1344" w:type="dxa"/>
            <w:shd w:val="clear" w:color="auto" w:fill="auto"/>
          </w:tcPr>
          <w:p w14:paraId="3EF3CF4B" w14:textId="77777777" w:rsidR="00FD65B6" w:rsidRPr="00B13B9A" w:rsidRDefault="00FD65B6" w:rsidP="00332FF7">
            <w:pPr>
              <w:jc w:val="both"/>
              <w:rPr>
                <w:rFonts w:asciiTheme="majorHAnsi" w:hAnsiTheme="majorHAnsi" w:cstheme="majorHAnsi"/>
                <w:b/>
                <w:i/>
                <w:color w:val="000000" w:themeColor="text1"/>
                <w:sz w:val="20"/>
                <w:szCs w:val="20"/>
                <w:lang w:val="ro-MD"/>
              </w:rPr>
            </w:pPr>
            <w:r w:rsidRPr="00B13B9A">
              <w:rPr>
                <w:rFonts w:asciiTheme="majorHAnsi" w:hAnsiTheme="majorHAnsi" w:cstheme="majorHAnsi"/>
                <w:b/>
                <w:i/>
                <w:color w:val="000000" w:themeColor="text1"/>
                <w:sz w:val="20"/>
                <w:szCs w:val="20"/>
                <w:lang w:val="ro-MD"/>
              </w:rPr>
              <w:t>Recomandare implementată</w:t>
            </w:r>
          </w:p>
        </w:tc>
      </w:tr>
      <w:tr w:rsidR="00FD65B6" w:rsidRPr="00B13B9A" w14:paraId="3DF22D0F" w14:textId="77777777" w:rsidTr="00332FF7">
        <w:trPr>
          <w:gridAfter w:val="1"/>
          <w:wAfter w:w="24" w:type="dxa"/>
        </w:trPr>
        <w:tc>
          <w:tcPr>
            <w:tcW w:w="576" w:type="dxa"/>
            <w:shd w:val="clear" w:color="auto" w:fill="auto"/>
          </w:tcPr>
          <w:p w14:paraId="64A61DB9" w14:textId="77777777" w:rsidR="00FD65B6" w:rsidRPr="00B13B9A" w:rsidRDefault="00FD65B6" w:rsidP="00332FF7">
            <w:pPr>
              <w:jc w:val="center"/>
              <w:rPr>
                <w:rFonts w:asciiTheme="majorHAnsi" w:hAnsiTheme="majorHAnsi" w:cstheme="majorHAnsi"/>
                <w:b/>
                <w:i/>
                <w:color w:val="000000" w:themeColor="text1"/>
                <w:sz w:val="20"/>
                <w:szCs w:val="20"/>
                <w:lang w:val="ro-MD"/>
              </w:rPr>
            </w:pPr>
          </w:p>
        </w:tc>
        <w:tc>
          <w:tcPr>
            <w:tcW w:w="837" w:type="dxa"/>
            <w:shd w:val="clear" w:color="auto" w:fill="auto"/>
          </w:tcPr>
          <w:p w14:paraId="53CF2A82" w14:textId="77777777" w:rsidR="00FD65B6" w:rsidRPr="00B13B9A" w:rsidRDefault="00FD65B6" w:rsidP="00332FF7">
            <w:pPr>
              <w:jc w:val="center"/>
              <w:rPr>
                <w:rFonts w:asciiTheme="majorHAnsi" w:hAnsiTheme="majorHAnsi" w:cstheme="majorHAnsi"/>
                <w:b/>
                <w:i/>
                <w:color w:val="000000" w:themeColor="text1"/>
                <w:sz w:val="20"/>
                <w:szCs w:val="20"/>
                <w:lang w:val="ro-MD"/>
              </w:rPr>
            </w:pPr>
            <w:r w:rsidRPr="00B13B9A">
              <w:rPr>
                <w:rFonts w:asciiTheme="majorHAnsi" w:hAnsiTheme="majorHAnsi" w:cstheme="majorHAnsi"/>
                <w:b/>
                <w:i/>
                <w:color w:val="000000" w:themeColor="text1"/>
                <w:sz w:val="20"/>
                <w:szCs w:val="20"/>
                <w:lang w:val="ro-MD"/>
              </w:rPr>
              <w:t>4</w:t>
            </w:r>
          </w:p>
        </w:tc>
        <w:tc>
          <w:tcPr>
            <w:tcW w:w="2977" w:type="dxa"/>
            <w:shd w:val="clear" w:color="auto" w:fill="auto"/>
          </w:tcPr>
          <w:p w14:paraId="4D9E9112" w14:textId="6EB8C6B1" w:rsidR="00FD65B6" w:rsidRPr="00B13B9A" w:rsidRDefault="00FD65B6" w:rsidP="00332FF7">
            <w:pPr>
              <w:jc w:val="both"/>
              <w:rPr>
                <w:rFonts w:asciiTheme="majorHAnsi" w:hAnsiTheme="majorHAnsi" w:cstheme="majorHAnsi"/>
                <w:i/>
                <w:color w:val="000000"/>
                <w:sz w:val="20"/>
                <w:szCs w:val="20"/>
                <w:lang w:val="ro-MD"/>
              </w:rPr>
            </w:pPr>
            <w:r w:rsidRPr="00B13B9A">
              <w:rPr>
                <w:rFonts w:asciiTheme="majorHAnsi" w:hAnsiTheme="majorHAnsi" w:cstheme="majorHAnsi"/>
                <w:i/>
                <w:color w:val="000000"/>
                <w:sz w:val="20"/>
                <w:szCs w:val="20"/>
                <w:lang w:val="ro-MD"/>
              </w:rPr>
              <w:t xml:space="preserve">Să asigure reglementarea procesului </w:t>
            </w:r>
            <w:r w:rsidR="00B13B9A" w:rsidRPr="00B13B9A">
              <w:rPr>
                <w:rFonts w:asciiTheme="majorHAnsi" w:hAnsiTheme="majorHAnsi" w:cstheme="majorHAnsi"/>
                <w:i/>
                <w:color w:val="000000"/>
                <w:sz w:val="20"/>
                <w:szCs w:val="20"/>
                <w:lang w:val="ro-MD"/>
              </w:rPr>
              <w:t>ș</w:t>
            </w:r>
            <w:r w:rsidRPr="00B13B9A">
              <w:rPr>
                <w:rFonts w:asciiTheme="majorHAnsi" w:hAnsiTheme="majorHAnsi" w:cstheme="majorHAnsi"/>
                <w:i/>
                <w:color w:val="000000"/>
                <w:sz w:val="20"/>
                <w:szCs w:val="20"/>
                <w:lang w:val="ro-MD"/>
              </w:rPr>
              <w:t>i a responsabilită</w:t>
            </w:r>
            <w:r w:rsidR="00B13B9A" w:rsidRPr="00B13B9A">
              <w:rPr>
                <w:rFonts w:asciiTheme="majorHAnsi" w:hAnsiTheme="majorHAnsi" w:cstheme="majorHAnsi"/>
                <w:i/>
                <w:color w:val="000000"/>
                <w:sz w:val="20"/>
                <w:szCs w:val="20"/>
                <w:lang w:val="ro-MD"/>
              </w:rPr>
              <w:t>ț</w:t>
            </w:r>
            <w:r w:rsidRPr="00B13B9A">
              <w:rPr>
                <w:rFonts w:asciiTheme="majorHAnsi" w:hAnsiTheme="majorHAnsi" w:cstheme="majorHAnsi"/>
                <w:i/>
                <w:color w:val="000000"/>
                <w:sz w:val="20"/>
                <w:szCs w:val="20"/>
                <w:lang w:val="ro-MD"/>
              </w:rPr>
              <w:t>ilor delegate privind eviden</w:t>
            </w:r>
            <w:r w:rsidR="00B13B9A" w:rsidRPr="00B13B9A">
              <w:rPr>
                <w:rFonts w:asciiTheme="majorHAnsi" w:hAnsiTheme="majorHAnsi" w:cstheme="majorHAnsi"/>
                <w:i/>
                <w:color w:val="000000"/>
                <w:sz w:val="20"/>
                <w:szCs w:val="20"/>
                <w:lang w:val="ro-MD"/>
              </w:rPr>
              <w:t>ț</w:t>
            </w:r>
            <w:r w:rsidRPr="00B13B9A">
              <w:rPr>
                <w:rFonts w:asciiTheme="majorHAnsi" w:hAnsiTheme="majorHAnsi" w:cstheme="majorHAnsi"/>
                <w:i/>
                <w:color w:val="000000"/>
                <w:sz w:val="20"/>
                <w:szCs w:val="20"/>
                <w:lang w:val="ro-MD"/>
              </w:rPr>
              <w:t xml:space="preserve">a </w:t>
            </w:r>
            <w:r w:rsidR="00B13B9A" w:rsidRPr="00B13B9A">
              <w:rPr>
                <w:rFonts w:asciiTheme="majorHAnsi" w:hAnsiTheme="majorHAnsi" w:cstheme="majorHAnsi"/>
                <w:i/>
                <w:color w:val="000000"/>
                <w:sz w:val="20"/>
                <w:szCs w:val="20"/>
                <w:lang w:val="ro-MD"/>
              </w:rPr>
              <w:t>ș</w:t>
            </w:r>
            <w:r w:rsidRPr="00B13B9A">
              <w:rPr>
                <w:rFonts w:asciiTheme="majorHAnsi" w:hAnsiTheme="majorHAnsi" w:cstheme="majorHAnsi"/>
                <w:i/>
                <w:color w:val="000000"/>
                <w:sz w:val="20"/>
                <w:szCs w:val="20"/>
                <w:lang w:val="ro-MD"/>
              </w:rPr>
              <w:t xml:space="preserve">i raportarea cheltuielilor pentru tichetele alimentare </w:t>
            </w:r>
            <w:r w:rsidR="00B13B9A" w:rsidRPr="00B13B9A">
              <w:rPr>
                <w:rFonts w:asciiTheme="majorHAnsi" w:hAnsiTheme="majorHAnsi" w:cstheme="majorHAnsi"/>
                <w:i/>
                <w:color w:val="000000"/>
                <w:sz w:val="20"/>
                <w:szCs w:val="20"/>
                <w:lang w:val="ro-MD"/>
              </w:rPr>
              <w:t>ș</w:t>
            </w:r>
            <w:r w:rsidRPr="00B13B9A">
              <w:rPr>
                <w:rFonts w:asciiTheme="majorHAnsi" w:hAnsiTheme="majorHAnsi" w:cstheme="majorHAnsi"/>
                <w:i/>
                <w:color w:val="000000"/>
                <w:sz w:val="20"/>
                <w:szCs w:val="20"/>
                <w:lang w:val="ro-MD"/>
              </w:rPr>
              <w:t>i compensarea cheltuielilor pentru transport (pct.4.10.)</w:t>
            </w:r>
          </w:p>
        </w:tc>
        <w:tc>
          <w:tcPr>
            <w:tcW w:w="5670" w:type="dxa"/>
            <w:shd w:val="clear" w:color="auto" w:fill="auto"/>
          </w:tcPr>
          <w:p w14:paraId="57304331" w14:textId="11065E62" w:rsidR="00FD65B6" w:rsidRPr="00B13B9A" w:rsidRDefault="00FD65B6" w:rsidP="00332FF7">
            <w:pPr>
              <w:jc w:val="both"/>
              <w:rPr>
                <w:rFonts w:asciiTheme="majorHAnsi" w:hAnsiTheme="majorHAnsi" w:cstheme="majorHAnsi"/>
                <w:color w:val="000000"/>
                <w:sz w:val="20"/>
                <w:szCs w:val="20"/>
                <w:lang w:val="ro-MD"/>
              </w:rPr>
            </w:pPr>
            <w:r w:rsidRPr="00B13B9A">
              <w:rPr>
                <w:rFonts w:asciiTheme="majorHAnsi" w:hAnsiTheme="majorHAnsi" w:cstheme="majorHAnsi"/>
                <w:b/>
                <w:i/>
                <w:color w:val="000000"/>
                <w:sz w:val="20"/>
                <w:szCs w:val="20"/>
                <w:u w:val="single"/>
                <w:lang w:val="ro-MD"/>
              </w:rPr>
              <w:t>Scrisoare MSMPS nr.04/3055 din 09.06.2020:</w:t>
            </w:r>
            <w:r w:rsidRPr="00B13B9A">
              <w:rPr>
                <w:rFonts w:asciiTheme="majorHAnsi" w:hAnsiTheme="majorHAnsi" w:cstheme="majorHAnsi"/>
                <w:color w:val="000000"/>
                <w:sz w:val="20"/>
                <w:szCs w:val="20"/>
                <w:lang w:val="ro-MD"/>
              </w:rPr>
              <w:t xml:space="preserve"> „Ministerul Sănătă</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 xml:space="preserve">ii, Muncii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i Protec</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iei Sociale, de comun cu Compania Na</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 xml:space="preserve">ională de Asigurări în Medicină, să asigure reglementarea procesului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i a responsabilită</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ilor delegate privind eviden</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 xml:space="preserve">a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 xml:space="preserve">i raportarea cheltuielilor pentru tichetele alimentare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i compensarea cheltuielilor pentru transport” - sunt asigurate în baza ordinului Ministerul Sănătă</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ii/Compania Na</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ională de Asigurări în Medicină nr. 99/52A din 15.02.2017 ,,Cu privire la unele interven</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ii de cre</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tere a aderen</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ei la tratamentul antituberculos în condi</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 xml:space="preserve">ii de ambalator”. În cadrul MSMPS la 03.06.2020 a avut loc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edin</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a comună a reprezentan</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 xml:space="preserve">ilor MSMPS, PNCT, CNAM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i OSC pentru revizuirea ordinului în cauză, privind mecanismul de motivare al aderen</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ei la tratamentul antituberculos în condi</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 xml:space="preserve">ii de ambulator (ordinul MS/CNAM nr. 99/52 din 15.02.2017). La această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edin</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ă a fost format un grup de lucru care examinează modalită</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ile de modificare a oferirii suportului motiva</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 xml:space="preserve">ional în formă de tichete de masă/alimentare electronice (card bancar) cât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 xml:space="preserve">i costul lunar al tichetului alimentar, inclusiv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i costul pentru drum tur/retur.</w:t>
            </w:r>
          </w:p>
        </w:tc>
        <w:tc>
          <w:tcPr>
            <w:tcW w:w="2835" w:type="dxa"/>
            <w:shd w:val="clear" w:color="auto" w:fill="auto"/>
          </w:tcPr>
          <w:p w14:paraId="718E9EF7" w14:textId="68F90A3D" w:rsidR="00FD65B6" w:rsidRPr="00B13B9A" w:rsidRDefault="00FD65B6" w:rsidP="00332FF7">
            <w:pPr>
              <w:jc w:val="both"/>
              <w:rPr>
                <w:rFonts w:asciiTheme="majorHAnsi" w:hAnsiTheme="majorHAnsi" w:cstheme="majorHAnsi"/>
                <w:color w:val="000000"/>
                <w:sz w:val="20"/>
                <w:szCs w:val="20"/>
                <w:lang w:val="ro-MD"/>
              </w:rPr>
            </w:pPr>
            <w:r w:rsidRPr="00B13B9A">
              <w:rPr>
                <w:rFonts w:asciiTheme="majorHAnsi" w:hAnsiTheme="majorHAnsi" w:cstheme="majorHAnsi"/>
                <w:color w:val="000000"/>
                <w:sz w:val="20"/>
                <w:szCs w:val="20"/>
                <w:lang w:val="ro-MD"/>
              </w:rPr>
              <w:t xml:space="preserve">În cadrul MSMPS la 03.06.2020 a avut loc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edin</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a comună a reprezentan</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 xml:space="preserve">ilor MSMPS, PNCT, CNAM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i OSC pentru revizuirea ordinului în cauză, privind mecanismul de motivare a aderen</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ei la tratamentul antituberculos în condi</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 xml:space="preserve">ii de ambulator (ordinul MS/CNAM nr. 99/52 din 15.02.2017). La această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edin</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ă a fost format un grup de lucru care examinează modalită</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ile de modificare a oferirii suportului motiva</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ional în formă de tichete de masă/alimentare electronice (card bancar)</w:t>
            </w:r>
            <w:r w:rsidR="00693658" w:rsidRPr="00B13B9A">
              <w:rPr>
                <w:rFonts w:asciiTheme="majorHAnsi" w:hAnsiTheme="majorHAnsi" w:cstheme="majorHAnsi"/>
                <w:color w:val="000000"/>
                <w:sz w:val="20"/>
                <w:szCs w:val="20"/>
                <w:lang w:val="ro-MD"/>
              </w:rPr>
              <w:t>,</w:t>
            </w:r>
            <w:r w:rsidRPr="00B13B9A">
              <w:rPr>
                <w:rFonts w:asciiTheme="majorHAnsi" w:hAnsiTheme="majorHAnsi" w:cstheme="majorHAnsi"/>
                <w:color w:val="000000"/>
                <w:sz w:val="20"/>
                <w:szCs w:val="20"/>
                <w:lang w:val="ro-MD"/>
              </w:rPr>
              <w:t xml:space="preserve"> cât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i costul lunar al tichetului alimentar, inclusiv costul pentru drum tur/retur</w:t>
            </w:r>
          </w:p>
        </w:tc>
        <w:tc>
          <w:tcPr>
            <w:tcW w:w="1344" w:type="dxa"/>
            <w:shd w:val="clear" w:color="auto" w:fill="auto"/>
          </w:tcPr>
          <w:p w14:paraId="077566B7" w14:textId="77777777" w:rsidR="00FD65B6" w:rsidRPr="00B13B9A" w:rsidRDefault="00FD65B6" w:rsidP="00332FF7">
            <w:pPr>
              <w:jc w:val="both"/>
              <w:rPr>
                <w:rFonts w:asciiTheme="majorHAnsi" w:hAnsiTheme="majorHAnsi" w:cstheme="majorHAnsi"/>
                <w:b/>
                <w:i/>
                <w:color w:val="000000" w:themeColor="text1"/>
                <w:sz w:val="20"/>
                <w:szCs w:val="20"/>
                <w:lang w:val="ro-MD"/>
              </w:rPr>
            </w:pPr>
            <w:r w:rsidRPr="00B13B9A">
              <w:rPr>
                <w:rFonts w:asciiTheme="majorHAnsi" w:hAnsiTheme="majorHAnsi" w:cstheme="majorHAnsi"/>
                <w:b/>
                <w:i/>
                <w:color w:val="000000" w:themeColor="text1"/>
                <w:sz w:val="20"/>
                <w:szCs w:val="20"/>
                <w:lang w:val="ro-MD"/>
              </w:rPr>
              <w:t>Recomandare implementată</w:t>
            </w:r>
          </w:p>
        </w:tc>
      </w:tr>
      <w:tr w:rsidR="00FD65B6" w:rsidRPr="00B13B9A" w14:paraId="4C06DC51" w14:textId="77777777" w:rsidTr="00332FF7">
        <w:trPr>
          <w:gridAfter w:val="1"/>
          <w:wAfter w:w="24" w:type="dxa"/>
        </w:trPr>
        <w:tc>
          <w:tcPr>
            <w:tcW w:w="576" w:type="dxa"/>
            <w:shd w:val="clear" w:color="auto" w:fill="auto"/>
          </w:tcPr>
          <w:p w14:paraId="0EB7633B" w14:textId="77777777" w:rsidR="00FD65B6" w:rsidRPr="00B13B9A" w:rsidRDefault="00FD65B6" w:rsidP="00332FF7">
            <w:pPr>
              <w:jc w:val="center"/>
              <w:rPr>
                <w:rFonts w:asciiTheme="majorHAnsi" w:hAnsiTheme="majorHAnsi" w:cstheme="majorHAnsi"/>
                <w:b/>
                <w:i/>
                <w:color w:val="000000" w:themeColor="text1"/>
                <w:sz w:val="20"/>
                <w:szCs w:val="20"/>
                <w:lang w:val="ro-MD"/>
              </w:rPr>
            </w:pPr>
          </w:p>
        </w:tc>
        <w:tc>
          <w:tcPr>
            <w:tcW w:w="837" w:type="dxa"/>
            <w:shd w:val="clear" w:color="auto" w:fill="auto"/>
          </w:tcPr>
          <w:p w14:paraId="2C668C8D" w14:textId="77777777" w:rsidR="00FD65B6" w:rsidRPr="00B13B9A" w:rsidRDefault="00FD65B6" w:rsidP="00332FF7">
            <w:pPr>
              <w:jc w:val="center"/>
              <w:rPr>
                <w:rFonts w:asciiTheme="majorHAnsi" w:hAnsiTheme="majorHAnsi" w:cstheme="majorHAnsi"/>
                <w:b/>
                <w:i/>
                <w:color w:val="000000" w:themeColor="text1"/>
                <w:sz w:val="20"/>
                <w:szCs w:val="20"/>
                <w:lang w:val="ro-MD"/>
              </w:rPr>
            </w:pPr>
            <w:r w:rsidRPr="00B13B9A">
              <w:rPr>
                <w:rFonts w:asciiTheme="majorHAnsi" w:hAnsiTheme="majorHAnsi" w:cstheme="majorHAnsi"/>
                <w:b/>
                <w:i/>
                <w:color w:val="000000" w:themeColor="text1"/>
                <w:sz w:val="20"/>
                <w:szCs w:val="20"/>
                <w:lang w:val="ro-MD"/>
              </w:rPr>
              <w:t>6.1</w:t>
            </w:r>
          </w:p>
        </w:tc>
        <w:tc>
          <w:tcPr>
            <w:tcW w:w="2977" w:type="dxa"/>
            <w:shd w:val="clear" w:color="auto" w:fill="auto"/>
          </w:tcPr>
          <w:p w14:paraId="752AC6F3" w14:textId="2646A0E7" w:rsidR="00FD65B6" w:rsidRPr="00B13B9A" w:rsidRDefault="00FD65B6" w:rsidP="00332FF7">
            <w:pPr>
              <w:jc w:val="both"/>
              <w:rPr>
                <w:rFonts w:asciiTheme="majorHAnsi" w:hAnsiTheme="majorHAnsi" w:cstheme="majorHAnsi"/>
                <w:i/>
                <w:color w:val="000000"/>
                <w:sz w:val="20"/>
                <w:szCs w:val="20"/>
                <w:lang w:val="ro-MD"/>
              </w:rPr>
            </w:pPr>
            <w:r w:rsidRPr="00B13B9A">
              <w:rPr>
                <w:rFonts w:asciiTheme="majorHAnsi" w:hAnsiTheme="majorHAnsi" w:cstheme="majorHAnsi"/>
                <w:i/>
                <w:color w:val="000000"/>
                <w:sz w:val="20"/>
                <w:szCs w:val="20"/>
                <w:lang w:val="ro-MD"/>
              </w:rPr>
              <w:t>Documentarea deplină în fi</w:t>
            </w:r>
            <w:r w:rsidR="00B13B9A" w:rsidRPr="00B13B9A">
              <w:rPr>
                <w:rFonts w:asciiTheme="majorHAnsi" w:hAnsiTheme="majorHAnsi" w:cstheme="majorHAnsi"/>
                <w:i/>
                <w:color w:val="000000"/>
                <w:sz w:val="20"/>
                <w:szCs w:val="20"/>
                <w:lang w:val="ro-MD"/>
              </w:rPr>
              <w:t>ș</w:t>
            </w:r>
            <w:r w:rsidRPr="00B13B9A">
              <w:rPr>
                <w:rFonts w:asciiTheme="majorHAnsi" w:hAnsiTheme="majorHAnsi" w:cstheme="majorHAnsi"/>
                <w:i/>
                <w:color w:val="000000"/>
                <w:sz w:val="20"/>
                <w:szCs w:val="20"/>
                <w:lang w:val="ro-MD"/>
              </w:rPr>
              <w:t>ele medicale a investiga</w:t>
            </w:r>
            <w:r w:rsidR="00B13B9A" w:rsidRPr="00B13B9A">
              <w:rPr>
                <w:rFonts w:asciiTheme="majorHAnsi" w:hAnsiTheme="majorHAnsi" w:cstheme="majorHAnsi"/>
                <w:i/>
                <w:color w:val="000000"/>
                <w:sz w:val="20"/>
                <w:szCs w:val="20"/>
                <w:lang w:val="ro-MD"/>
              </w:rPr>
              <w:t>ț</w:t>
            </w:r>
            <w:r w:rsidRPr="00B13B9A">
              <w:rPr>
                <w:rFonts w:asciiTheme="majorHAnsi" w:hAnsiTheme="majorHAnsi" w:cstheme="majorHAnsi"/>
                <w:i/>
                <w:color w:val="000000"/>
                <w:sz w:val="20"/>
                <w:szCs w:val="20"/>
                <w:lang w:val="ro-MD"/>
              </w:rPr>
              <w:t>iilor, diagnosticului, tratamentului pacien</w:t>
            </w:r>
            <w:r w:rsidR="00B13B9A" w:rsidRPr="00B13B9A">
              <w:rPr>
                <w:rFonts w:asciiTheme="majorHAnsi" w:hAnsiTheme="majorHAnsi" w:cstheme="majorHAnsi"/>
                <w:i/>
                <w:color w:val="000000"/>
                <w:sz w:val="20"/>
                <w:szCs w:val="20"/>
                <w:lang w:val="ro-MD"/>
              </w:rPr>
              <w:t>ț</w:t>
            </w:r>
            <w:r w:rsidRPr="00B13B9A">
              <w:rPr>
                <w:rFonts w:asciiTheme="majorHAnsi" w:hAnsiTheme="majorHAnsi" w:cstheme="majorHAnsi"/>
                <w:i/>
                <w:color w:val="000000"/>
                <w:sz w:val="20"/>
                <w:szCs w:val="20"/>
                <w:lang w:val="ro-MD"/>
              </w:rPr>
              <w:t>ilor cu tuberculoză din eviden</w:t>
            </w:r>
            <w:r w:rsidR="00B13B9A" w:rsidRPr="00B13B9A">
              <w:rPr>
                <w:rFonts w:asciiTheme="majorHAnsi" w:hAnsiTheme="majorHAnsi" w:cstheme="majorHAnsi"/>
                <w:i/>
                <w:color w:val="000000"/>
                <w:sz w:val="20"/>
                <w:szCs w:val="20"/>
                <w:lang w:val="ro-MD"/>
              </w:rPr>
              <w:t>ț</w:t>
            </w:r>
            <w:r w:rsidRPr="00B13B9A">
              <w:rPr>
                <w:rFonts w:asciiTheme="majorHAnsi" w:hAnsiTheme="majorHAnsi" w:cstheme="majorHAnsi"/>
                <w:i/>
                <w:color w:val="000000"/>
                <w:sz w:val="20"/>
                <w:szCs w:val="20"/>
                <w:lang w:val="ro-MD"/>
              </w:rPr>
              <w:t>a medicilor speciali</w:t>
            </w:r>
            <w:r w:rsidR="00B13B9A" w:rsidRPr="00B13B9A">
              <w:rPr>
                <w:rFonts w:asciiTheme="majorHAnsi" w:hAnsiTheme="majorHAnsi" w:cstheme="majorHAnsi"/>
                <w:i/>
                <w:color w:val="000000"/>
                <w:sz w:val="20"/>
                <w:szCs w:val="20"/>
                <w:lang w:val="ro-MD"/>
              </w:rPr>
              <w:t>ș</w:t>
            </w:r>
            <w:r w:rsidRPr="00B13B9A">
              <w:rPr>
                <w:rFonts w:asciiTheme="majorHAnsi" w:hAnsiTheme="majorHAnsi" w:cstheme="majorHAnsi"/>
                <w:i/>
                <w:color w:val="000000"/>
                <w:sz w:val="20"/>
                <w:szCs w:val="20"/>
                <w:lang w:val="ro-MD"/>
              </w:rPr>
              <w:t>ti (pct.4.3-4.4)</w:t>
            </w:r>
          </w:p>
        </w:tc>
        <w:tc>
          <w:tcPr>
            <w:tcW w:w="5670" w:type="dxa"/>
            <w:shd w:val="clear" w:color="auto" w:fill="auto"/>
          </w:tcPr>
          <w:p w14:paraId="051F4E4B" w14:textId="3BE2F44B" w:rsidR="00FD65B6" w:rsidRPr="00B13B9A" w:rsidRDefault="00FD65B6" w:rsidP="00332FF7">
            <w:pPr>
              <w:jc w:val="both"/>
              <w:rPr>
                <w:rFonts w:asciiTheme="majorHAnsi" w:hAnsiTheme="majorHAnsi" w:cstheme="majorHAnsi"/>
                <w:color w:val="000000"/>
                <w:sz w:val="20"/>
                <w:szCs w:val="20"/>
                <w:lang w:val="ro-MD"/>
              </w:rPr>
            </w:pPr>
            <w:r w:rsidRPr="00B13B9A">
              <w:rPr>
                <w:rFonts w:asciiTheme="majorHAnsi" w:hAnsiTheme="majorHAnsi" w:cstheme="majorHAnsi"/>
                <w:b/>
                <w:i/>
                <w:color w:val="000000"/>
                <w:sz w:val="20"/>
                <w:szCs w:val="20"/>
                <w:u w:val="single"/>
                <w:lang w:val="ro-MD"/>
              </w:rPr>
              <w:t>Scrisoare MSMPS nr.04/3055 din 09.06.2020:</w:t>
            </w:r>
            <w:r w:rsidRPr="00B13B9A">
              <w:rPr>
                <w:rFonts w:asciiTheme="majorHAnsi" w:hAnsiTheme="majorHAnsi" w:cstheme="majorHAnsi"/>
                <w:color w:val="000000"/>
                <w:sz w:val="20"/>
                <w:szCs w:val="20"/>
                <w:lang w:val="ro-MD"/>
              </w:rPr>
              <w:t xml:space="preserve"> "Documentarea deplină în fi</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ele medicale a investiga</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iilor, diagnosticului, tratamentului pacien</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ilor cu tuberculoză din eviden</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a medicilor speciali</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ti,, - Este efectuată în cadrul vizitelor de monitorizare descrise în ordinul MSMPS nr. 783 din 11.10.2017, anexa 15 „Regulamentul Unită</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 xml:space="preserve">ii de coordonare a PNCT, (cu statut de departament), cu coordonarea teritorială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 xml:space="preserve">i monitorizarea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i evaluarea”.</w:t>
            </w:r>
          </w:p>
        </w:tc>
        <w:tc>
          <w:tcPr>
            <w:tcW w:w="2835" w:type="dxa"/>
            <w:shd w:val="clear" w:color="auto" w:fill="auto"/>
          </w:tcPr>
          <w:p w14:paraId="1D0B4A05" w14:textId="2276B05C" w:rsidR="00FD65B6" w:rsidRPr="00B13B9A" w:rsidRDefault="00FD65B6" w:rsidP="00332FF7">
            <w:pPr>
              <w:jc w:val="both"/>
              <w:rPr>
                <w:rFonts w:asciiTheme="majorHAnsi" w:hAnsiTheme="majorHAnsi" w:cstheme="majorHAnsi"/>
                <w:color w:val="000000"/>
                <w:sz w:val="20"/>
                <w:szCs w:val="20"/>
                <w:lang w:val="ro-MD"/>
              </w:rPr>
            </w:pPr>
            <w:r w:rsidRPr="00B13B9A">
              <w:rPr>
                <w:rFonts w:asciiTheme="majorHAnsi" w:hAnsiTheme="majorHAnsi" w:cstheme="majorHAnsi"/>
                <w:color w:val="000000"/>
                <w:sz w:val="20"/>
                <w:szCs w:val="20"/>
                <w:lang w:val="ro-MD"/>
              </w:rPr>
              <w:t>Este efectuată în cadrul vizitelor de monitorizare descrise în ordinul MSMPS nr. 783 din 11.10.2017, anexa 15 „Regulamentul Unită</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ii de coordonare a PNCT (cu statut de departament), coordonarea teritorială</w:t>
            </w:r>
            <w:r w:rsidR="00693658" w:rsidRPr="00B13B9A">
              <w:rPr>
                <w:rFonts w:asciiTheme="majorHAnsi" w:hAnsiTheme="majorHAnsi" w:cstheme="majorHAnsi"/>
                <w:color w:val="000000"/>
                <w:sz w:val="20"/>
                <w:szCs w:val="20"/>
                <w:lang w:val="ro-MD"/>
              </w:rPr>
              <w:t>,</w:t>
            </w:r>
            <w:r w:rsidRPr="00B13B9A">
              <w:rPr>
                <w:rFonts w:asciiTheme="majorHAnsi" w:hAnsiTheme="majorHAnsi" w:cstheme="majorHAnsi"/>
                <w:color w:val="000000"/>
                <w:sz w:val="20"/>
                <w:szCs w:val="20"/>
                <w:lang w:val="ro-MD"/>
              </w:rPr>
              <w:t xml:space="preserve"> monitorizarea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i evaluarea”</w:t>
            </w:r>
          </w:p>
        </w:tc>
        <w:tc>
          <w:tcPr>
            <w:tcW w:w="1344" w:type="dxa"/>
            <w:shd w:val="clear" w:color="auto" w:fill="auto"/>
          </w:tcPr>
          <w:p w14:paraId="55237330" w14:textId="77777777" w:rsidR="00FD65B6" w:rsidRPr="00B13B9A" w:rsidRDefault="00FD65B6" w:rsidP="00332FF7">
            <w:pPr>
              <w:jc w:val="both"/>
              <w:rPr>
                <w:rFonts w:asciiTheme="majorHAnsi" w:hAnsiTheme="majorHAnsi" w:cstheme="majorHAnsi"/>
                <w:b/>
                <w:i/>
                <w:color w:val="000000" w:themeColor="text1"/>
                <w:sz w:val="20"/>
                <w:szCs w:val="20"/>
                <w:lang w:val="ro-MD"/>
              </w:rPr>
            </w:pPr>
            <w:r w:rsidRPr="00B13B9A">
              <w:rPr>
                <w:rFonts w:asciiTheme="majorHAnsi" w:hAnsiTheme="majorHAnsi" w:cstheme="majorHAnsi"/>
                <w:b/>
                <w:i/>
                <w:color w:val="000000" w:themeColor="text1"/>
                <w:sz w:val="20"/>
                <w:szCs w:val="20"/>
                <w:lang w:val="ro-MD"/>
              </w:rPr>
              <w:t>Recomandare implementată</w:t>
            </w:r>
          </w:p>
        </w:tc>
      </w:tr>
      <w:tr w:rsidR="00FD65B6" w:rsidRPr="00B13B9A" w14:paraId="7E17D9EC" w14:textId="77777777" w:rsidTr="00332FF7">
        <w:trPr>
          <w:gridAfter w:val="1"/>
          <w:wAfter w:w="24" w:type="dxa"/>
        </w:trPr>
        <w:tc>
          <w:tcPr>
            <w:tcW w:w="576" w:type="dxa"/>
            <w:shd w:val="clear" w:color="auto" w:fill="auto"/>
          </w:tcPr>
          <w:p w14:paraId="3E3EEE23" w14:textId="77777777" w:rsidR="00FD65B6" w:rsidRPr="00B13B9A" w:rsidRDefault="00FD65B6" w:rsidP="00332FF7">
            <w:pPr>
              <w:jc w:val="center"/>
              <w:rPr>
                <w:rFonts w:asciiTheme="majorHAnsi" w:hAnsiTheme="majorHAnsi" w:cstheme="majorHAnsi"/>
                <w:b/>
                <w:i/>
                <w:color w:val="000000" w:themeColor="text1"/>
                <w:sz w:val="20"/>
                <w:szCs w:val="20"/>
                <w:lang w:val="ro-MD"/>
              </w:rPr>
            </w:pPr>
          </w:p>
        </w:tc>
        <w:tc>
          <w:tcPr>
            <w:tcW w:w="837" w:type="dxa"/>
            <w:shd w:val="clear" w:color="auto" w:fill="auto"/>
          </w:tcPr>
          <w:p w14:paraId="0F427EF9" w14:textId="77777777" w:rsidR="00FD65B6" w:rsidRPr="00B13B9A" w:rsidRDefault="00FD65B6" w:rsidP="00332FF7">
            <w:pPr>
              <w:jc w:val="center"/>
              <w:rPr>
                <w:rFonts w:asciiTheme="majorHAnsi" w:hAnsiTheme="majorHAnsi" w:cstheme="majorHAnsi"/>
                <w:b/>
                <w:i/>
                <w:color w:val="000000" w:themeColor="text1"/>
                <w:sz w:val="20"/>
                <w:szCs w:val="20"/>
                <w:lang w:val="ro-MD"/>
              </w:rPr>
            </w:pPr>
            <w:r w:rsidRPr="00B13B9A">
              <w:rPr>
                <w:rFonts w:asciiTheme="majorHAnsi" w:hAnsiTheme="majorHAnsi" w:cstheme="majorHAnsi"/>
                <w:b/>
                <w:i/>
                <w:color w:val="000000" w:themeColor="text1"/>
                <w:sz w:val="20"/>
                <w:szCs w:val="20"/>
                <w:lang w:val="ro-MD"/>
              </w:rPr>
              <w:t>6.2</w:t>
            </w:r>
          </w:p>
        </w:tc>
        <w:tc>
          <w:tcPr>
            <w:tcW w:w="2977" w:type="dxa"/>
            <w:shd w:val="clear" w:color="auto" w:fill="auto"/>
          </w:tcPr>
          <w:p w14:paraId="050DCA29" w14:textId="21BEE170" w:rsidR="00FD65B6" w:rsidRPr="00B13B9A" w:rsidRDefault="00FD65B6" w:rsidP="00332FF7">
            <w:pPr>
              <w:jc w:val="both"/>
              <w:rPr>
                <w:rFonts w:asciiTheme="majorHAnsi" w:hAnsiTheme="majorHAnsi" w:cstheme="majorHAnsi"/>
                <w:i/>
                <w:color w:val="000000"/>
                <w:sz w:val="20"/>
                <w:szCs w:val="20"/>
                <w:lang w:val="ro-MD"/>
              </w:rPr>
            </w:pPr>
            <w:r w:rsidRPr="00B13B9A">
              <w:rPr>
                <w:rFonts w:asciiTheme="majorHAnsi" w:hAnsiTheme="majorHAnsi" w:cstheme="majorHAnsi"/>
                <w:i/>
                <w:color w:val="000000"/>
                <w:sz w:val="20"/>
                <w:szCs w:val="20"/>
                <w:lang w:val="ro-MD"/>
              </w:rPr>
              <w:t xml:space="preserve">Asigurarea investigării persoanelor din grupul de risc </w:t>
            </w:r>
            <w:r w:rsidR="00B13B9A" w:rsidRPr="00B13B9A">
              <w:rPr>
                <w:rFonts w:asciiTheme="majorHAnsi" w:hAnsiTheme="majorHAnsi" w:cstheme="majorHAnsi"/>
                <w:i/>
                <w:color w:val="000000"/>
                <w:sz w:val="20"/>
                <w:szCs w:val="20"/>
                <w:lang w:val="ro-MD"/>
              </w:rPr>
              <w:t>ș</w:t>
            </w:r>
            <w:r w:rsidRPr="00B13B9A">
              <w:rPr>
                <w:rFonts w:asciiTheme="majorHAnsi" w:hAnsiTheme="majorHAnsi" w:cstheme="majorHAnsi"/>
                <w:i/>
                <w:color w:val="000000"/>
                <w:sz w:val="20"/>
                <w:szCs w:val="20"/>
                <w:lang w:val="ro-MD"/>
              </w:rPr>
              <w:t>i vigilen</w:t>
            </w:r>
            <w:r w:rsidR="00B13B9A" w:rsidRPr="00B13B9A">
              <w:rPr>
                <w:rFonts w:asciiTheme="majorHAnsi" w:hAnsiTheme="majorHAnsi" w:cstheme="majorHAnsi"/>
                <w:i/>
                <w:color w:val="000000"/>
                <w:sz w:val="20"/>
                <w:szCs w:val="20"/>
                <w:lang w:val="ro-MD"/>
              </w:rPr>
              <w:t>ț</w:t>
            </w:r>
            <w:r w:rsidRPr="00B13B9A">
              <w:rPr>
                <w:rFonts w:asciiTheme="majorHAnsi" w:hAnsiTheme="majorHAnsi" w:cstheme="majorHAnsi"/>
                <w:i/>
                <w:color w:val="000000"/>
                <w:sz w:val="20"/>
                <w:szCs w:val="20"/>
                <w:lang w:val="ro-MD"/>
              </w:rPr>
              <w:t>ă sporită potrivit cerin</w:t>
            </w:r>
            <w:r w:rsidR="00B13B9A" w:rsidRPr="00B13B9A">
              <w:rPr>
                <w:rFonts w:asciiTheme="majorHAnsi" w:hAnsiTheme="majorHAnsi" w:cstheme="majorHAnsi"/>
                <w:i/>
                <w:color w:val="000000"/>
                <w:sz w:val="20"/>
                <w:szCs w:val="20"/>
                <w:lang w:val="ro-MD"/>
              </w:rPr>
              <w:t>ț</w:t>
            </w:r>
            <w:r w:rsidRPr="00B13B9A">
              <w:rPr>
                <w:rFonts w:asciiTheme="majorHAnsi" w:hAnsiTheme="majorHAnsi" w:cstheme="majorHAnsi"/>
                <w:i/>
                <w:color w:val="000000"/>
                <w:sz w:val="20"/>
                <w:szCs w:val="20"/>
                <w:lang w:val="ro-MD"/>
              </w:rPr>
              <w:t>elor Protocoalelor Clinice Na</w:t>
            </w:r>
            <w:r w:rsidR="00B13B9A" w:rsidRPr="00B13B9A">
              <w:rPr>
                <w:rFonts w:asciiTheme="majorHAnsi" w:hAnsiTheme="majorHAnsi" w:cstheme="majorHAnsi"/>
                <w:i/>
                <w:color w:val="000000"/>
                <w:sz w:val="20"/>
                <w:szCs w:val="20"/>
                <w:lang w:val="ro-MD"/>
              </w:rPr>
              <w:t>ț</w:t>
            </w:r>
            <w:r w:rsidRPr="00B13B9A">
              <w:rPr>
                <w:rFonts w:asciiTheme="majorHAnsi" w:hAnsiTheme="majorHAnsi" w:cstheme="majorHAnsi"/>
                <w:i/>
                <w:color w:val="000000"/>
                <w:sz w:val="20"/>
                <w:szCs w:val="20"/>
                <w:lang w:val="ro-MD"/>
              </w:rPr>
              <w:t>ionale (pct.4.3)</w:t>
            </w:r>
          </w:p>
        </w:tc>
        <w:tc>
          <w:tcPr>
            <w:tcW w:w="5670" w:type="dxa"/>
            <w:shd w:val="clear" w:color="auto" w:fill="auto"/>
          </w:tcPr>
          <w:p w14:paraId="7D11471B" w14:textId="430B18EB" w:rsidR="00FD65B6" w:rsidRPr="00B13B9A" w:rsidRDefault="00FD65B6" w:rsidP="00332FF7">
            <w:pPr>
              <w:jc w:val="both"/>
              <w:rPr>
                <w:rFonts w:asciiTheme="majorHAnsi" w:hAnsiTheme="majorHAnsi" w:cstheme="majorHAnsi"/>
                <w:color w:val="000000"/>
                <w:sz w:val="20"/>
                <w:szCs w:val="20"/>
                <w:lang w:val="ro-MD"/>
              </w:rPr>
            </w:pPr>
            <w:r w:rsidRPr="00B13B9A">
              <w:rPr>
                <w:rFonts w:asciiTheme="majorHAnsi" w:hAnsiTheme="majorHAnsi" w:cstheme="majorHAnsi"/>
                <w:b/>
                <w:i/>
                <w:color w:val="000000"/>
                <w:sz w:val="20"/>
                <w:szCs w:val="20"/>
                <w:u w:val="single"/>
                <w:lang w:val="ro-MD"/>
              </w:rPr>
              <w:t>Scrisoare MSMPS nr.04/3055 din 09.06.2020:</w:t>
            </w:r>
            <w:r w:rsidRPr="00B13B9A">
              <w:rPr>
                <w:rFonts w:asciiTheme="majorHAnsi" w:hAnsiTheme="majorHAnsi" w:cstheme="majorHAnsi"/>
                <w:color w:val="000000"/>
                <w:sz w:val="20"/>
                <w:szCs w:val="20"/>
                <w:lang w:val="ro-MD"/>
              </w:rPr>
              <w:t xml:space="preserve"> ,,Asigurarea investigării persoanelor din grupul de risc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i vigilen</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a sporită potrivit cerin</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elor Protocoalelor clinice Na</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ionale” - Aceste investiga</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 xml:space="preserve">ii sunt descrise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i sunt efectuate în baza Protocolului clinic Na</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 xml:space="preserve">ional pentru adult, aprobat prin ordinul MSMPS nr. 441 din 05.05.2020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i Protocolului clinic Na</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ional pentru copil, aprobat prin ordinul MSMPS nr.440 din 05.05.2020.</w:t>
            </w:r>
          </w:p>
        </w:tc>
        <w:tc>
          <w:tcPr>
            <w:tcW w:w="2835" w:type="dxa"/>
            <w:shd w:val="clear" w:color="auto" w:fill="auto"/>
          </w:tcPr>
          <w:p w14:paraId="1AE1CA33" w14:textId="78EA5818" w:rsidR="00FD65B6" w:rsidRPr="00B13B9A" w:rsidRDefault="00FD65B6" w:rsidP="00332FF7">
            <w:pPr>
              <w:jc w:val="both"/>
              <w:rPr>
                <w:rFonts w:asciiTheme="majorHAnsi" w:hAnsiTheme="majorHAnsi" w:cstheme="majorHAnsi"/>
                <w:color w:val="000000"/>
                <w:sz w:val="20"/>
                <w:szCs w:val="20"/>
                <w:lang w:val="ro-MD"/>
              </w:rPr>
            </w:pPr>
            <w:r w:rsidRPr="00B13B9A">
              <w:rPr>
                <w:rFonts w:asciiTheme="majorHAnsi" w:hAnsiTheme="majorHAnsi" w:cstheme="majorHAnsi"/>
                <w:color w:val="000000"/>
                <w:sz w:val="20"/>
                <w:szCs w:val="20"/>
                <w:lang w:val="ro-MD"/>
              </w:rPr>
              <w:t>Investiga</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 xml:space="preserve">iile sunt descrise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i sunt efectuate în baza Protocolului clinic Na</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 xml:space="preserve">ional pentru adult, aprobat prin ordinul MSMPS nr. 441 din 05.05.2020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i Protocolului clinic Na</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ional pentru copil, aprobat prin ordinul MSMPS nr.440 din 05.05.2020</w:t>
            </w:r>
          </w:p>
        </w:tc>
        <w:tc>
          <w:tcPr>
            <w:tcW w:w="1344" w:type="dxa"/>
            <w:shd w:val="clear" w:color="auto" w:fill="auto"/>
          </w:tcPr>
          <w:p w14:paraId="6316D5E0" w14:textId="77777777" w:rsidR="00FD65B6" w:rsidRPr="00B13B9A" w:rsidRDefault="00FD65B6" w:rsidP="00332FF7">
            <w:pPr>
              <w:jc w:val="both"/>
              <w:rPr>
                <w:rFonts w:asciiTheme="majorHAnsi" w:hAnsiTheme="majorHAnsi" w:cstheme="majorHAnsi"/>
                <w:b/>
                <w:i/>
                <w:color w:val="000000" w:themeColor="text1"/>
                <w:sz w:val="20"/>
                <w:szCs w:val="20"/>
                <w:lang w:val="ro-MD"/>
              </w:rPr>
            </w:pPr>
            <w:r w:rsidRPr="00B13B9A">
              <w:rPr>
                <w:rFonts w:asciiTheme="majorHAnsi" w:hAnsiTheme="majorHAnsi" w:cstheme="majorHAnsi"/>
                <w:b/>
                <w:i/>
                <w:color w:val="000000" w:themeColor="text1"/>
                <w:sz w:val="20"/>
                <w:szCs w:val="20"/>
                <w:lang w:val="ro-MD"/>
              </w:rPr>
              <w:t>Recomandare implementată</w:t>
            </w:r>
          </w:p>
        </w:tc>
      </w:tr>
      <w:tr w:rsidR="00FD65B6" w:rsidRPr="00B13B9A" w14:paraId="6BA49E1E" w14:textId="77777777" w:rsidTr="00332FF7">
        <w:trPr>
          <w:gridAfter w:val="1"/>
          <w:wAfter w:w="24" w:type="dxa"/>
        </w:trPr>
        <w:tc>
          <w:tcPr>
            <w:tcW w:w="576" w:type="dxa"/>
            <w:shd w:val="clear" w:color="auto" w:fill="auto"/>
          </w:tcPr>
          <w:p w14:paraId="741033FC" w14:textId="77777777" w:rsidR="00FD65B6" w:rsidRPr="00B13B9A" w:rsidRDefault="00FD65B6" w:rsidP="00332FF7">
            <w:pPr>
              <w:jc w:val="center"/>
              <w:rPr>
                <w:rFonts w:asciiTheme="majorHAnsi" w:hAnsiTheme="majorHAnsi" w:cstheme="majorHAnsi"/>
                <w:b/>
                <w:i/>
                <w:color w:val="000000" w:themeColor="text1"/>
                <w:sz w:val="20"/>
                <w:szCs w:val="20"/>
                <w:lang w:val="ro-MD"/>
              </w:rPr>
            </w:pPr>
          </w:p>
        </w:tc>
        <w:tc>
          <w:tcPr>
            <w:tcW w:w="837" w:type="dxa"/>
            <w:shd w:val="clear" w:color="auto" w:fill="auto"/>
          </w:tcPr>
          <w:p w14:paraId="2CA73120" w14:textId="77777777" w:rsidR="00FD65B6" w:rsidRPr="00B13B9A" w:rsidRDefault="00FD65B6" w:rsidP="00332FF7">
            <w:pPr>
              <w:jc w:val="center"/>
              <w:rPr>
                <w:rFonts w:asciiTheme="majorHAnsi" w:hAnsiTheme="majorHAnsi" w:cstheme="majorHAnsi"/>
                <w:b/>
                <w:i/>
                <w:color w:val="000000" w:themeColor="text1"/>
                <w:sz w:val="20"/>
                <w:szCs w:val="20"/>
                <w:lang w:val="ro-MD"/>
              </w:rPr>
            </w:pPr>
            <w:r w:rsidRPr="00B13B9A">
              <w:rPr>
                <w:rFonts w:asciiTheme="majorHAnsi" w:hAnsiTheme="majorHAnsi" w:cstheme="majorHAnsi"/>
                <w:b/>
                <w:i/>
                <w:color w:val="000000" w:themeColor="text1"/>
                <w:sz w:val="20"/>
                <w:szCs w:val="20"/>
                <w:lang w:val="ro-MD"/>
              </w:rPr>
              <w:t>6.3</w:t>
            </w:r>
          </w:p>
        </w:tc>
        <w:tc>
          <w:tcPr>
            <w:tcW w:w="2977" w:type="dxa"/>
            <w:shd w:val="clear" w:color="auto" w:fill="auto"/>
          </w:tcPr>
          <w:p w14:paraId="251465BA" w14:textId="43098C32" w:rsidR="00FD65B6" w:rsidRPr="00B13B9A" w:rsidRDefault="00FD65B6" w:rsidP="00332FF7">
            <w:pPr>
              <w:jc w:val="both"/>
              <w:rPr>
                <w:rFonts w:asciiTheme="majorHAnsi" w:hAnsiTheme="majorHAnsi" w:cstheme="majorHAnsi"/>
                <w:i/>
                <w:color w:val="000000"/>
                <w:sz w:val="20"/>
                <w:szCs w:val="20"/>
                <w:lang w:val="ro-MD"/>
              </w:rPr>
            </w:pPr>
            <w:r w:rsidRPr="00B13B9A">
              <w:rPr>
                <w:rFonts w:asciiTheme="majorHAnsi" w:hAnsiTheme="majorHAnsi" w:cstheme="majorHAnsi"/>
                <w:i/>
                <w:color w:val="000000"/>
                <w:sz w:val="20"/>
                <w:szCs w:val="20"/>
                <w:lang w:val="ro-MD"/>
              </w:rPr>
              <w:t>Elaborarea unui plan de ac</w:t>
            </w:r>
            <w:r w:rsidR="00B13B9A" w:rsidRPr="00B13B9A">
              <w:rPr>
                <w:rFonts w:asciiTheme="majorHAnsi" w:hAnsiTheme="majorHAnsi" w:cstheme="majorHAnsi"/>
                <w:i/>
                <w:color w:val="000000"/>
                <w:sz w:val="20"/>
                <w:szCs w:val="20"/>
                <w:lang w:val="ro-MD"/>
              </w:rPr>
              <w:t>ț</w:t>
            </w:r>
            <w:r w:rsidRPr="00B13B9A">
              <w:rPr>
                <w:rFonts w:asciiTheme="majorHAnsi" w:hAnsiTheme="majorHAnsi" w:cstheme="majorHAnsi"/>
                <w:i/>
                <w:color w:val="000000"/>
                <w:sz w:val="20"/>
                <w:szCs w:val="20"/>
                <w:lang w:val="ro-MD"/>
              </w:rPr>
              <w:t>iuni aferent procesului de achizi</w:t>
            </w:r>
            <w:r w:rsidR="00B13B9A" w:rsidRPr="00B13B9A">
              <w:rPr>
                <w:rFonts w:asciiTheme="majorHAnsi" w:hAnsiTheme="majorHAnsi" w:cstheme="majorHAnsi"/>
                <w:i/>
                <w:color w:val="000000"/>
                <w:sz w:val="20"/>
                <w:szCs w:val="20"/>
                <w:lang w:val="ro-MD"/>
              </w:rPr>
              <w:t>ț</w:t>
            </w:r>
            <w:r w:rsidRPr="00B13B9A">
              <w:rPr>
                <w:rFonts w:asciiTheme="majorHAnsi" w:hAnsiTheme="majorHAnsi" w:cstheme="majorHAnsi"/>
                <w:i/>
                <w:color w:val="000000"/>
                <w:sz w:val="20"/>
                <w:szCs w:val="20"/>
                <w:lang w:val="ro-MD"/>
              </w:rPr>
              <w:t>ii publice a produselor alimentare la etapele de planificare, organizare/desfă</w:t>
            </w:r>
            <w:r w:rsidR="00B13B9A" w:rsidRPr="00B13B9A">
              <w:rPr>
                <w:rFonts w:asciiTheme="majorHAnsi" w:hAnsiTheme="majorHAnsi" w:cstheme="majorHAnsi"/>
                <w:i/>
                <w:color w:val="000000"/>
                <w:sz w:val="20"/>
                <w:szCs w:val="20"/>
                <w:lang w:val="ro-MD"/>
              </w:rPr>
              <w:t>ș</w:t>
            </w:r>
            <w:r w:rsidRPr="00B13B9A">
              <w:rPr>
                <w:rFonts w:asciiTheme="majorHAnsi" w:hAnsiTheme="majorHAnsi" w:cstheme="majorHAnsi"/>
                <w:i/>
                <w:color w:val="000000"/>
                <w:sz w:val="20"/>
                <w:szCs w:val="20"/>
                <w:lang w:val="ro-MD"/>
              </w:rPr>
              <w:t xml:space="preserve">urare </w:t>
            </w:r>
            <w:r w:rsidR="00B13B9A" w:rsidRPr="00B13B9A">
              <w:rPr>
                <w:rFonts w:asciiTheme="majorHAnsi" w:hAnsiTheme="majorHAnsi" w:cstheme="majorHAnsi"/>
                <w:i/>
                <w:color w:val="000000"/>
                <w:sz w:val="20"/>
                <w:szCs w:val="20"/>
                <w:lang w:val="ro-MD"/>
              </w:rPr>
              <w:t>ș</w:t>
            </w:r>
            <w:r w:rsidRPr="00B13B9A">
              <w:rPr>
                <w:rFonts w:asciiTheme="majorHAnsi" w:hAnsiTheme="majorHAnsi" w:cstheme="majorHAnsi"/>
                <w:i/>
                <w:color w:val="000000"/>
                <w:sz w:val="20"/>
                <w:szCs w:val="20"/>
                <w:lang w:val="ro-MD"/>
              </w:rPr>
              <w:t>i executare, cu desemnarea persoanelor responsabile de evaluarea proceselor (pct.4.8)</w:t>
            </w:r>
          </w:p>
        </w:tc>
        <w:tc>
          <w:tcPr>
            <w:tcW w:w="5670" w:type="dxa"/>
            <w:shd w:val="clear" w:color="auto" w:fill="auto"/>
          </w:tcPr>
          <w:p w14:paraId="1A8F66E4" w14:textId="0772F229" w:rsidR="00FD65B6" w:rsidRPr="00B13B9A" w:rsidRDefault="00FD65B6" w:rsidP="00332FF7">
            <w:pPr>
              <w:pStyle w:val="Bodytext20"/>
              <w:shd w:val="clear" w:color="auto" w:fill="auto"/>
              <w:spacing w:before="0" w:after="0" w:line="240" w:lineRule="auto"/>
              <w:jc w:val="both"/>
              <w:rPr>
                <w:rFonts w:asciiTheme="majorHAnsi" w:hAnsiTheme="majorHAnsi" w:cstheme="majorHAnsi"/>
                <w:sz w:val="20"/>
                <w:szCs w:val="20"/>
                <w:lang w:val="ro-MD"/>
              </w:rPr>
            </w:pPr>
            <w:r w:rsidRPr="00B13B9A">
              <w:rPr>
                <w:rFonts w:asciiTheme="majorHAnsi" w:hAnsiTheme="majorHAnsi" w:cstheme="majorHAnsi"/>
                <w:b/>
                <w:i/>
                <w:color w:val="000000"/>
                <w:sz w:val="20"/>
                <w:szCs w:val="20"/>
                <w:u w:val="single"/>
                <w:lang w:val="ro-MD"/>
              </w:rPr>
              <w:t xml:space="preserve">Scrisoare MS nr.09/7989 din 05.12.2023: </w:t>
            </w:r>
            <w:r w:rsidRPr="00B13B9A">
              <w:rPr>
                <w:rFonts w:asciiTheme="majorHAnsi" w:hAnsiTheme="majorHAnsi" w:cstheme="majorHAnsi"/>
                <w:sz w:val="20"/>
                <w:szCs w:val="20"/>
                <w:lang w:val="ro-MD"/>
              </w:rPr>
              <w:t>Procesul de achizi</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 xml:space="preserve">ii publice la moment se realizează în baza: Ordinului comun al MS </w:t>
            </w:r>
            <w:r w:rsidR="00B13B9A" w:rsidRPr="00B13B9A">
              <w:rPr>
                <w:rFonts w:asciiTheme="majorHAnsi" w:hAnsiTheme="majorHAnsi" w:cstheme="majorHAnsi"/>
                <w:sz w:val="20"/>
                <w:szCs w:val="20"/>
                <w:lang w:val="ro-MD"/>
              </w:rPr>
              <w:t>ș</w:t>
            </w:r>
            <w:r w:rsidRPr="00B13B9A">
              <w:rPr>
                <w:rFonts w:asciiTheme="majorHAnsi" w:hAnsiTheme="majorHAnsi" w:cstheme="majorHAnsi"/>
                <w:sz w:val="20"/>
                <w:szCs w:val="20"/>
                <w:lang w:val="ro-MD"/>
              </w:rPr>
              <w:t>i CNAM nr. 914/215-A din 03.10.2022 cu privire la modificarea Ordinului nr. 99/52-A din 15.02.2017 cu privire la unele interven</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ii de cre</w:t>
            </w:r>
            <w:r w:rsidR="00B13B9A" w:rsidRPr="00B13B9A">
              <w:rPr>
                <w:rFonts w:asciiTheme="majorHAnsi" w:hAnsiTheme="majorHAnsi" w:cstheme="majorHAnsi"/>
                <w:sz w:val="20"/>
                <w:szCs w:val="20"/>
                <w:lang w:val="ro-MD"/>
              </w:rPr>
              <w:t>ș</w:t>
            </w:r>
            <w:r w:rsidRPr="00B13B9A">
              <w:rPr>
                <w:rFonts w:asciiTheme="majorHAnsi" w:hAnsiTheme="majorHAnsi" w:cstheme="majorHAnsi"/>
                <w:sz w:val="20"/>
                <w:szCs w:val="20"/>
                <w:lang w:val="ro-MD"/>
              </w:rPr>
              <w:t>tere a aderen</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ei la tratamentul antituberculos în condi</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 xml:space="preserve">ii de ambulator, în capitolul III Principii de procurare </w:t>
            </w:r>
            <w:r w:rsidR="00B13B9A" w:rsidRPr="00B13B9A">
              <w:rPr>
                <w:rFonts w:asciiTheme="majorHAnsi" w:hAnsiTheme="majorHAnsi" w:cstheme="majorHAnsi"/>
                <w:sz w:val="20"/>
                <w:szCs w:val="20"/>
                <w:lang w:val="ro-MD"/>
              </w:rPr>
              <w:t>ș</w:t>
            </w:r>
            <w:r w:rsidRPr="00B13B9A">
              <w:rPr>
                <w:rFonts w:asciiTheme="majorHAnsi" w:hAnsiTheme="majorHAnsi" w:cstheme="majorHAnsi"/>
                <w:sz w:val="20"/>
                <w:szCs w:val="20"/>
                <w:lang w:val="ro-MD"/>
              </w:rPr>
              <w:t xml:space="preserve">i distribuire a tichetelor alimentare </w:t>
            </w:r>
            <w:r w:rsidR="00B13B9A" w:rsidRPr="00B13B9A">
              <w:rPr>
                <w:rFonts w:asciiTheme="majorHAnsi" w:hAnsiTheme="majorHAnsi" w:cstheme="majorHAnsi"/>
                <w:sz w:val="20"/>
                <w:szCs w:val="20"/>
                <w:lang w:val="ro-MD"/>
              </w:rPr>
              <w:t>ș</w:t>
            </w:r>
            <w:r w:rsidRPr="00B13B9A">
              <w:rPr>
                <w:rFonts w:asciiTheme="majorHAnsi" w:hAnsiTheme="majorHAnsi" w:cstheme="majorHAnsi"/>
                <w:sz w:val="20"/>
                <w:szCs w:val="20"/>
                <w:lang w:val="ro-MD"/>
              </w:rPr>
              <w:t>i rambursarea cheltuielilor de transport pacien</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ilor care urmează tratament antituberculos în condi</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ii de ambulator, la punctul 22 sunt descrise procedurile de procurare a tichetelor alimentare care se admit în limita mijloacelor financiare contractate, în conformitate cu prevederile Legii privind achizi</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 xml:space="preserve">iile publice </w:t>
            </w:r>
            <w:r w:rsidR="00B13B9A" w:rsidRPr="00B13B9A">
              <w:rPr>
                <w:rFonts w:asciiTheme="majorHAnsi" w:hAnsiTheme="majorHAnsi" w:cstheme="majorHAnsi"/>
                <w:sz w:val="20"/>
                <w:szCs w:val="20"/>
                <w:lang w:val="ro-MD"/>
              </w:rPr>
              <w:t>ș</w:t>
            </w:r>
            <w:r w:rsidRPr="00B13B9A">
              <w:rPr>
                <w:rFonts w:asciiTheme="majorHAnsi" w:hAnsiTheme="majorHAnsi" w:cstheme="majorHAnsi"/>
                <w:sz w:val="20"/>
                <w:szCs w:val="20"/>
                <w:lang w:val="ro-MD"/>
              </w:rPr>
              <w:t>i se efectuează de către Prestator, iar prin punctul 23 prestatorii sunt cei care asigură procurarea tichetelor alimentare pentru to</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i pacien</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ii inclu</w:t>
            </w:r>
            <w:r w:rsidR="00B13B9A" w:rsidRPr="00B13B9A">
              <w:rPr>
                <w:rFonts w:asciiTheme="majorHAnsi" w:hAnsiTheme="majorHAnsi" w:cstheme="majorHAnsi"/>
                <w:sz w:val="20"/>
                <w:szCs w:val="20"/>
                <w:lang w:val="ro-MD"/>
              </w:rPr>
              <w:t>ș</w:t>
            </w:r>
            <w:r w:rsidRPr="00B13B9A">
              <w:rPr>
                <w:rFonts w:asciiTheme="majorHAnsi" w:hAnsiTheme="majorHAnsi" w:cstheme="majorHAnsi"/>
                <w:sz w:val="20"/>
                <w:szCs w:val="20"/>
                <w:lang w:val="ro-MD"/>
              </w:rPr>
              <w:t>i în Liste de către medicul ftiziopneumolog, afla</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i în tratament în condi</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ii de ambulator, cu anexarea documentelor confirmative privind tratamentul supravegheat.</w:t>
            </w:r>
          </w:p>
        </w:tc>
        <w:tc>
          <w:tcPr>
            <w:tcW w:w="2835" w:type="dxa"/>
            <w:shd w:val="clear" w:color="auto" w:fill="auto"/>
          </w:tcPr>
          <w:p w14:paraId="0A6AF5E6" w14:textId="7ED4E3E9" w:rsidR="00FD65B6" w:rsidRPr="00B13B9A" w:rsidRDefault="00FD65B6" w:rsidP="00332FF7">
            <w:pPr>
              <w:jc w:val="both"/>
              <w:rPr>
                <w:rFonts w:asciiTheme="majorHAnsi" w:hAnsiTheme="majorHAnsi" w:cstheme="majorHAnsi"/>
                <w:color w:val="000000"/>
                <w:sz w:val="20"/>
                <w:szCs w:val="20"/>
                <w:lang w:val="ro-MD"/>
              </w:rPr>
            </w:pPr>
            <w:r w:rsidRPr="00B13B9A">
              <w:rPr>
                <w:rFonts w:asciiTheme="majorHAnsi" w:hAnsiTheme="majorHAnsi" w:cstheme="majorHAnsi"/>
                <w:color w:val="000000"/>
                <w:sz w:val="20"/>
                <w:szCs w:val="20"/>
                <w:lang w:val="ro-MD"/>
              </w:rPr>
              <w:t>MS</w:t>
            </w:r>
            <w:r w:rsidR="00693658" w:rsidRPr="00B13B9A">
              <w:rPr>
                <w:rFonts w:asciiTheme="majorHAnsi" w:hAnsiTheme="majorHAnsi" w:cstheme="majorHAnsi"/>
                <w:color w:val="000000"/>
                <w:sz w:val="20"/>
                <w:szCs w:val="20"/>
                <w:lang w:val="ro-MD"/>
              </w:rPr>
              <w:t>,</w:t>
            </w:r>
            <w:r w:rsidRPr="00B13B9A">
              <w:rPr>
                <w:rFonts w:asciiTheme="majorHAnsi" w:hAnsiTheme="majorHAnsi" w:cstheme="majorHAnsi"/>
                <w:color w:val="000000"/>
                <w:sz w:val="20"/>
                <w:szCs w:val="20"/>
                <w:lang w:val="ro-MD"/>
              </w:rPr>
              <w:t xml:space="preserve"> la 5 decembrie curent</w:t>
            </w:r>
            <w:r w:rsidR="00693658" w:rsidRPr="00B13B9A">
              <w:rPr>
                <w:rFonts w:asciiTheme="majorHAnsi" w:hAnsiTheme="majorHAnsi" w:cstheme="majorHAnsi"/>
                <w:color w:val="000000"/>
                <w:sz w:val="20"/>
                <w:szCs w:val="20"/>
                <w:lang w:val="ro-MD"/>
              </w:rPr>
              <w:t>,</w:t>
            </w:r>
            <w:r w:rsidRPr="00B13B9A">
              <w:rPr>
                <w:rFonts w:asciiTheme="majorHAnsi" w:hAnsiTheme="majorHAnsi" w:cstheme="majorHAnsi"/>
                <w:color w:val="000000"/>
                <w:sz w:val="20"/>
                <w:szCs w:val="20"/>
                <w:lang w:val="ro-MD"/>
              </w:rPr>
              <w:t xml:space="preserve"> a informat că, prin </w:t>
            </w:r>
            <w:r w:rsidRPr="00B13B9A">
              <w:rPr>
                <w:rFonts w:asciiTheme="majorHAnsi" w:hAnsiTheme="majorHAnsi" w:cstheme="majorHAnsi"/>
                <w:sz w:val="20"/>
                <w:szCs w:val="20"/>
                <w:lang w:val="ro-MD"/>
              </w:rPr>
              <w:t xml:space="preserve">Ordinul comun al MS </w:t>
            </w:r>
            <w:r w:rsidR="00B13B9A" w:rsidRPr="00B13B9A">
              <w:rPr>
                <w:rFonts w:asciiTheme="majorHAnsi" w:hAnsiTheme="majorHAnsi" w:cstheme="majorHAnsi"/>
                <w:sz w:val="20"/>
                <w:szCs w:val="20"/>
                <w:lang w:val="ro-MD"/>
              </w:rPr>
              <w:t>ș</w:t>
            </w:r>
            <w:r w:rsidRPr="00B13B9A">
              <w:rPr>
                <w:rFonts w:asciiTheme="majorHAnsi" w:hAnsiTheme="majorHAnsi" w:cstheme="majorHAnsi"/>
                <w:sz w:val="20"/>
                <w:szCs w:val="20"/>
                <w:lang w:val="ro-MD"/>
              </w:rPr>
              <w:t xml:space="preserve">i CNAM nr. 914/215-A din 03.10.2022 cu privire la modificarea Ordinului nr. 99/52-A din 15.02.2017, a ajustat </w:t>
            </w:r>
            <w:r w:rsidR="00B13B9A" w:rsidRPr="00B13B9A">
              <w:rPr>
                <w:rFonts w:asciiTheme="majorHAnsi" w:hAnsiTheme="majorHAnsi" w:cstheme="majorHAnsi"/>
                <w:sz w:val="20"/>
                <w:szCs w:val="20"/>
                <w:lang w:val="ro-MD"/>
              </w:rPr>
              <w:t>ș</w:t>
            </w:r>
            <w:r w:rsidRPr="00B13B9A">
              <w:rPr>
                <w:rFonts w:asciiTheme="majorHAnsi" w:hAnsiTheme="majorHAnsi" w:cstheme="majorHAnsi"/>
                <w:sz w:val="20"/>
                <w:szCs w:val="20"/>
                <w:lang w:val="ro-MD"/>
              </w:rPr>
              <w:t>i stabilit procedurile de procurare a tichetelor alimentare</w:t>
            </w:r>
          </w:p>
        </w:tc>
        <w:tc>
          <w:tcPr>
            <w:tcW w:w="1344" w:type="dxa"/>
            <w:shd w:val="clear" w:color="auto" w:fill="auto"/>
          </w:tcPr>
          <w:p w14:paraId="44682D74" w14:textId="77777777" w:rsidR="00FD65B6" w:rsidRPr="00B13B9A" w:rsidRDefault="00FD65B6" w:rsidP="00332FF7">
            <w:pPr>
              <w:jc w:val="both"/>
              <w:rPr>
                <w:rFonts w:asciiTheme="majorHAnsi" w:hAnsiTheme="majorHAnsi" w:cstheme="majorHAnsi"/>
                <w:b/>
                <w:i/>
                <w:color w:val="000000" w:themeColor="text1"/>
                <w:sz w:val="20"/>
                <w:szCs w:val="20"/>
                <w:lang w:val="ro-MD"/>
              </w:rPr>
            </w:pPr>
            <w:r w:rsidRPr="00B13B9A">
              <w:rPr>
                <w:rFonts w:asciiTheme="majorHAnsi" w:hAnsiTheme="majorHAnsi" w:cstheme="majorHAnsi"/>
                <w:b/>
                <w:i/>
                <w:color w:val="000000" w:themeColor="text1"/>
                <w:sz w:val="20"/>
                <w:szCs w:val="20"/>
                <w:lang w:val="ro-MD"/>
              </w:rPr>
              <w:t>Recomandare implementată</w:t>
            </w:r>
          </w:p>
        </w:tc>
      </w:tr>
      <w:tr w:rsidR="00FD65B6" w:rsidRPr="00B13B9A" w14:paraId="74FAE404" w14:textId="77777777" w:rsidTr="00332FF7">
        <w:trPr>
          <w:gridAfter w:val="1"/>
          <w:wAfter w:w="24" w:type="dxa"/>
          <w:trHeight w:val="3160"/>
        </w:trPr>
        <w:tc>
          <w:tcPr>
            <w:tcW w:w="576" w:type="dxa"/>
            <w:shd w:val="clear" w:color="auto" w:fill="auto"/>
          </w:tcPr>
          <w:p w14:paraId="2552E314" w14:textId="77777777" w:rsidR="00FD65B6" w:rsidRPr="00B13B9A" w:rsidRDefault="00FD65B6" w:rsidP="00332FF7">
            <w:pPr>
              <w:jc w:val="center"/>
              <w:rPr>
                <w:rFonts w:asciiTheme="majorHAnsi" w:hAnsiTheme="majorHAnsi" w:cstheme="majorHAnsi"/>
                <w:b/>
                <w:i/>
                <w:color w:val="000000" w:themeColor="text1"/>
                <w:sz w:val="20"/>
                <w:szCs w:val="20"/>
                <w:lang w:val="ro-MD"/>
              </w:rPr>
            </w:pPr>
          </w:p>
        </w:tc>
        <w:tc>
          <w:tcPr>
            <w:tcW w:w="837" w:type="dxa"/>
            <w:shd w:val="clear" w:color="auto" w:fill="auto"/>
          </w:tcPr>
          <w:p w14:paraId="77DE4B9B" w14:textId="77777777" w:rsidR="00FD65B6" w:rsidRPr="00B13B9A" w:rsidRDefault="00FD65B6" w:rsidP="00332FF7">
            <w:pPr>
              <w:jc w:val="center"/>
              <w:rPr>
                <w:rFonts w:asciiTheme="majorHAnsi" w:hAnsiTheme="majorHAnsi" w:cstheme="majorHAnsi"/>
                <w:b/>
                <w:i/>
                <w:color w:val="000000" w:themeColor="text1"/>
                <w:sz w:val="20"/>
                <w:szCs w:val="20"/>
                <w:lang w:val="ro-MD"/>
              </w:rPr>
            </w:pPr>
            <w:r w:rsidRPr="00B13B9A">
              <w:rPr>
                <w:rFonts w:asciiTheme="majorHAnsi" w:hAnsiTheme="majorHAnsi" w:cstheme="majorHAnsi"/>
                <w:b/>
                <w:i/>
                <w:color w:val="000000" w:themeColor="text1"/>
                <w:sz w:val="20"/>
                <w:szCs w:val="20"/>
                <w:lang w:val="ro-MD"/>
              </w:rPr>
              <w:t>6.4</w:t>
            </w:r>
          </w:p>
        </w:tc>
        <w:tc>
          <w:tcPr>
            <w:tcW w:w="2977" w:type="dxa"/>
            <w:shd w:val="clear" w:color="auto" w:fill="auto"/>
          </w:tcPr>
          <w:p w14:paraId="2607753E" w14:textId="32B31A2C" w:rsidR="00FD65B6" w:rsidRPr="00B13B9A" w:rsidRDefault="00FD65B6" w:rsidP="00332FF7">
            <w:pPr>
              <w:jc w:val="both"/>
              <w:rPr>
                <w:rFonts w:asciiTheme="majorHAnsi" w:hAnsiTheme="majorHAnsi" w:cstheme="majorHAnsi"/>
                <w:i/>
                <w:color w:val="000000"/>
                <w:sz w:val="20"/>
                <w:szCs w:val="20"/>
                <w:lang w:val="ro-MD"/>
              </w:rPr>
            </w:pPr>
            <w:r w:rsidRPr="00B13B9A">
              <w:rPr>
                <w:rFonts w:asciiTheme="majorHAnsi" w:hAnsiTheme="majorHAnsi" w:cstheme="majorHAnsi"/>
                <w:i/>
                <w:color w:val="000000"/>
                <w:sz w:val="20"/>
                <w:szCs w:val="20"/>
                <w:lang w:val="ro-MD"/>
              </w:rPr>
              <w:t xml:space="preserve">Acordarea tichetelor alimentare </w:t>
            </w:r>
            <w:r w:rsidR="00B13B9A" w:rsidRPr="00B13B9A">
              <w:rPr>
                <w:rFonts w:asciiTheme="majorHAnsi" w:hAnsiTheme="majorHAnsi" w:cstheme="majorHAnsi"/>
                <w:i/>
                <w:color w:val="000000"/>
                <w:sz w:val="20"/>
                <w:szCs w:val="20"/>
                <w:lang w:val="ro-MD"/>
              </w:rPr>
              <w:t>ș</w:t>
            </w:r>
            <w:r w:rsidRPr="00B13B9A">
              <w:rPr>
                <w:rFonts w:asciiTheme="majorHAnsi" w:hAnsiTheme="majorHAnsi" w:cstheme="majorHAnsi"/>
                <w:i/>
                <w:color w:val="000000"/>
                <w:sz w:val="20"/>
                <w:szCs w:val="20"/>
                <w:lang w:val="ro-MD"/>
              </w:rPr>
              <w:t>i rambursarea cheltuielilor pentru transport conform prevederilor normative (pct.4.9)</w:t>
            </w:r>
          </w:p>
        </w:tc>
        <w:tc>
          <w:tcPr>
            <w:tcW w:w="5670" w:type="dxa"/>
            <w:shd w:val="clear" w:color="auto" w:fill="auto"/>
          </w:tcPr>
          <w:p w14:paraId="07298FC9" w14:textId="01AEC80B" w:rsidR="00FD65B6" w:rsidRPr="00B13B9A" w:rsidRDefault="00FD65B6" w:rsidP="00332FF7">
            <w:pPr>
              <w:pStyle w:val="Bodytext20"/>
              <w:shd w:val="clear" w:color="auto" w:fill="auto"/>
              <w:spacing w:before="0" w:after="0" w:line="240" w:lineRule="auto"/>
              <w:jc w:val="both"/>
              <w:rPr>
                <w:rFonts w:asciiTheme="majorHAnsi" w:hAnsiTheme="majorHAnsi" w:cstheme="majorHAnsi"/>
                <w:sz w:val="20"/>
                <w:szCs w:val="20"/>
                <w:lang w:val="ro-MD"/>
              </w:rPr>
            </w:pPr>
            <w:r w:rsidRPr="00B13B9A">
              <w:rPr>
                <w:rFonts w:asciiTheme="majorHAnsi" w:hAnsiTheme="majorHAnsi" w:cstheme="majorHAnsi"/>
                <w:b/>
                <w:i/>
                <w:color w:val="000000"/>
                <w:sz w:val="20"/>
                <w:szCs w:val="20"/>
                <w:u w:val="single"/>
                <w:lang w:val="ro-MD"/>
              </w:rPr>
              <w:t xml:space="preserve">Scrisoare MS nr.09/7989 din 05.12.2023: </w:t>
            </w:r>
            <w:r w:rsidRPr="00B13B9A">
              <w:rPr>
                <w:rFonts w:asciiTheme="majorHAnsi" w:hAnsiTheme="majorHAnsi" w:cstheme="majorHAnsi"/>
                <w:sz w:val="20"/>
                <w:szCs w:val="20"/>
                <w:lang w:val="ro-MD"/>
              </w:rPr>
              <w:t>Procedura se desfă</w:t>
            </w:r>
            <w:r w:rsidR="00B13B9A" w:rsidRPr="00B13B9A">
              <w:rPr>
                <w:rFonts w:asciiTheme="majorHAnsi" w:hAnsiTheme="majorHAnsi" w:cstheme="majorHAnsi"/>
                <w:sz w:val="20"/>
                <w:szCs w:val="20"/>
                <w:lang w:val="ro-MD"/>
              </w:rPr>
              <w:t>ș</w:t>
            </w:r>
            <w:r w:rsidRPr="00B13B9A">
              <w:rPr>
                <w:rFonts w:asciiTheme="majorHAnsi" w:hAnsiTheme="majorHAnsi" w:cstheme="majorHAnsi"/>
                <w:sz w:val="20"/>
                <w:szCs w:val="20"/>
                <w:lang w:val="ro-MD"/>
              </w:rPr>
              <w:t xml:space="preserve">oară în baza Ordinul comun al NS </w:t>
            </w:r>
            <w:r w:rsidR="00B13B9A" w:rsidRPr="00B13B9A">
              <w:rPr>
                <w:rFonts w:asciiTheme="majorHAnsi" w:hAnsiTheme="majorHAnsi" w:cstheme="majorHAnsi"/>
                <w:sz w:val="20"/>
                <w:szCs w:val="20"/>
                <w:lang w:val="ro-MD"/>
              </w:rPr>
              <w:t>ș</w:t>
            </w:r>
            <w:r w:rsidRPr="00B13B9A">
              <w:rPr>
                <w:rFonts w:asciiTheme="majorHAnsi" w:hAnsiTheme="majorHAnsi" w:cstheme="majorHAnsi"/>
                <w:sz w:val="20"/>
                <w:szCs w:val="20"/>
                <w:lang w:val="ro-MD"/>
              </w:rPr>
              <w:t>i CNAM nr. 914/215-A din 03.10.2022 cu privire la modificarea Ordinului nr. 99/52-A din 15.02.2017 cu privire la unele interven</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ii de cre</w:t>
            </w:r>
            <w:r w:rsidR="00B13B9A" w:rsidRPr="00B13B9A">
              <w:rPr>
                <w:rFonts w:asciiTheme="majorHAnsi" w:hAnsiTheme="majorHAnsi" w:cstheme="majorHAnsi"/>
                <w:sz w:val="20"/>
                <w:szCs w:val="20"/>
                <w:lang w:val="ro-MD"/>
              </w:rPr>
              <w:t>ș</w:t>
            </w:r>
            <w:r w:rsidRPr="00B13B9A">
              <w:rPr>
                <w:rFonts w:asciiTheme="majorHAnsi" w:hAnsiTheme="majorHAnsi" w:cstheme="majorHAnsi"/>
                <w:sz w:val="20"/>
                <w:szCs w:val="20"/>
                <w:lang w:val="ro-MD"/>
              </w:rPr>
              <w:t>tere a aderen</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ei la tratamentul antituberculos în condi</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 xml:space="preserve">ii de ambulator. Conform capitolul III Principii de procurare si distribuire a tichetelor alimentare </w:t>
            </w:r>
            <w:r w:rsidR="00B13B9A" w:rsidRPr="00B13B9A">
              <w:rPr>
                <w:rFonts w:asciiTheme="majorHAnsi" w:hAnsiTheme="majorHAnsi" w:cstheme="majorHAnsi"/>
                <w:sz w:val="20"/>
                <w:szCs w:val="20"/>
                <w:lang w:val="ro-MD"/>
              </w:rPr>
              <w:t>ș</w:t>
            </w:r>
            <w:r w:rsidRPr="00B13B9A">
              <w:rPr>
                <w:rFonts w:asciiTheme="majorHAnsi" w:hAnsiTheme="majorHAnsi" w:cstheme="majorHAnsi"/>
                <w:sz w:val="20"/>
                <w:szCs w:val="20"/>
                <w:lang w:val="ro-MD"/>
              </w:rPr>
              <w:t>i rambursarea cheltuielilor de transport pacien</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ilor care urmează tratament antituberculos în condi</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ii de ambulator, la punctul 20 a Ordinului sus men</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ionat, institu</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iile medico-sanitare men</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 xml:space="preserve">ionate în punctul 3 al prezentului Regulament asigură procurarea tichetelor alimentare </w:t>
            </w:r>
            <w:r w:rsidR="00B13B9A" w:rsidRPr="00B13B9A">
              <w:rPr>
                <w:rFonts w:asciiTheme="majorHAnsi" w:hAnsiTheme="majorHAnsi" w:cstheme="majorHAnsi"/>
                <w:sz w:val="20"/>
                <w:szCs w:val="20"/>
                <w:lang w:val="ro-MD"/>
              </w:rPr>
              <w:t>ș</w:t>
            </w:r>
            <w:r w:rsidRPr="00B13B9A">
              <w:rPr>
                <w:rFonts w:asciiTheme="majorHAnsi" w:hAnsiTheme="majorHAnsi" w:cstheme="majorHAnsi"/>
                <w:sz w:val="20"/>
                <w:szCs w:val="20"/>
                <w:lang w:val="ro-MD"/>
              </w:rPr>
              <w:t>i rambursarea cheltuielilor de transport public (tur-retur) pentru pacien</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i, în limita surselor financiare destinate în acest scop, contractate de către CNAM.</w:t>
            </w:r>
          </w:p>
        </w:tc>
        <w:tc>
          <w:tcPr>
            <w:tcW w:w="2835" w:type="dxa"/>
            <w:shd w:val="clear" w:color="auto" w:fill="auto"/>
          </w:tcPr>
          <w:p w14:paraId="607DD7B4" w14:textId="73E402F0" w:rsidR="00FD65B6" w:rsidRPr="00B13B9A" w:rsidRDefault="00FD65B6" w:rsidP="00332FF7">
            <w:pPr>
              <w:jc w:val="both"/>
              <w:rPr>
                <w:rFonts w:asciiTheme="majorHAnsi" w:hAnsiTheme="majorHAnsi" w:cstheme="majorHAnsi"/>
                <w:color w:val="000000"/>
                <w:sz w:val="20"/>
                <w:szCs w:val="20"/>
                <w:lang w:val="ro-MD"/>
              </w:rPr>
            </w:pPr>
            <w:r w:rsidRPr="00B13B9A">
              <w:rPr>
                <w:rFonts w:asciiTheme="majorHAnsi" w:hAnsiTheme="majorHAnsi" w:cstheme="majorHAnsi"/>
                <w:color w:val="000000"/>
                <w:sz w:val="20"/>
                <w:szCs w:val="20"/>
                <w:lang w:val="ro-MD"/>
              </w:rPr>
              <w:t>MS</w:t>
            </w:r>
            <w:r w:rsidR="00693658" w:rsidRPr="00B13B9A">
              <w:rPr>
                <w:rFonts w:asciiTheme="majorHAnsi" w:hAnsiTheme="majorHAnsi" w:cstheme="majorHAnsi"/>
                <w:color w:val="000000"/>
                <w:sz w:val="20"/>
                <w:szCs w:val="20"/>
                <w:lang w:val="ro-MD"/>
              </w:rPr>
              <w:t>,</w:t>
            </w:r>
            <w:r w:rsidRPr="00B13B9A">
              <w:rPr>
                <w:rFonts w:asciiTheme="majorHAnsi" w:hAnsiTheme="majorHAnsi" w:cstheme="majorHAnsi"/>
                <w:color w:val="000000"/>
                <w:sz w:val="20"/>
                <w:szCs w:val="20"/>
                <w:lang w:val="ro-MD"/>
              </w:rPr>
              <w:t xml:space="preserve"> la 5 decembrie curent</w:t>
            </w:r>
            <w:r w:rsidR="00693658" w:rsidRPr="00B13B9A">
              <w:rPr>
                <w:rFonts w:asciiTheme="majorHAnsi" w:hAnsiTheme="majorHAnsi" w:cstheme="majorHAnsi"/>
                <w:color w:val="000000"/>
                <w:sz w:val="20"/>
                <w:szCs w:val="20"/>
                <w:lang w:val="ro-MD"/>
              </w:rPr>
              <w:t>,</w:t>
            </w:r>
            <w:r w:rsidRPr="00B13B9A">
              <w:rPr>
                <w:rFonts w:asciiTheme="majorHAnsi" w:hAnsiTheme="majorHAnsi" w:cstheme="majorHAnsi"/>
                <w:color w:val="000000"/>
                <w:sz w:val="20"/>
                <w:szCs w:val="20"/>
                <w:lang w:val="ro-MD"/>
              </w:rPr>
              <w:t xml:space="preserve"> a informat că, prin </w:t>
            </w:r>
            <w:r w:rsidRPr="00B13B9A">
              <w:rPr>
                <w:rFonts w:asciiTheme="majorHAnsi" w:hAnsiTheme="majorHAnsi" w:cstheme="majorHAnsi"/>
                <w:sz w:val="20"/>
                <w:szCs w:val="20"/>
                <w:lang w:val="ro-MD"/>
              </w:rPr>
              <w:t xml:space="preserve">Ordinul comun al MS </w:t>
            </w:r>
            <w:r w:rsidR="00B13B9A" w:rsidRPr="00B13B9A">
              <w:rPr>
                <w:rFonts w:asciiTheme="majorHAnsi" w:hAnsiTheme="majorHAnsi" w:cstheme="majorHAnsi"/>
                <w:sz w:val="20"/>
                <w:szCs w:val="20"/>
                <w:lang w:val="ro-MD"/>
              </w:rPr>
              <w:t>ș</w:t>
            </w:r>
            <w:r w:rsidRPr="00B13B9A">
              <w:rPr>
                <w:rFonts w:asciiTheme="majorHAnsi" w:hAnsiTheme="majorHAnsi" w:cstheme="majorHAnsi"/>
                <w:sz w:val="20"/>
                <w:szCs w:val="20"/>
                <w:lang w:val="ro-MD"/>
              </w:rPr>
              <w:t xml:space="preserve">i CNAM nr. 914/215-A din 03.10.2022 cu privire la modificarea Ordinului nr. 99/52-A din 15.02.2017, a ajustat </w:t>
            </w:r>
            <w:r w:rsidR="00B13B9A" w:rsidRPr="00B13B9A">
              <w:rPr>
                <w:rFonts w:asciiTheme="majorHAnsi" w:hAnsiTheme="majorHAnsi" w:cstheme="majorHAnsi"/>
                <w:sz w:val="20"/>
                <w:szCs w:val="20"/>
                <w:lang w:val="ro-MD"/>
              </w:rPr>
              <w:t>ș</w:t>
            </w:r>
            <w:r w:rsidRPr="00B13B9A">
              <w:rPr>
                <w:rFonts w:asciiTheme="majorHAnsi" w:hAnsiTheme="majorHAnsi" w:cstheme="majorHAnsi"/>
                <w:sz w:val="20"/>
                <w:szCs w:val="20"/>
                <w:lang w:val="ro-MD"/>
              </w:rPr>
              <w:t xml:space="preserve">i stabilit principiile de distribuire a tichetelor alimentare </w:t>
            </w:r>
            <w:r w:rsidR="00B13B9A" w:rsidRPr="00B13B9A">
              <w:rPr>
                <w:rFonts w:asciiTheme="majorHAnsi" w:hAnsiTheme="majorHAnsi" w:cstheme="majorHAnsi"/>
                <w:sz w:val="20"/>
                <w:szCs w:val="20"/>
                <w:lang w:val="ro-MD"/>
              </w:rPr>
              <w:t>ș</w:t>
            </w:r>
            <w:r w:rsidRPr="00B13B9A">
              <w:rPr>
                <w:rFonts w:asciiTheme="majorHAnsi" w:hAnsiTheme="majorHAnsi" w:cstheme="majorHAnsi"/>
                <w:sz w:val="20"/>
                <w:szCs w:val="20"/>
                <w:lang w:val="ro-MD"/>
              </w:rPr>
              <w:t>i rambursarea cheltuielilor de transport</w:t>
            </w:r>
          </w:p>
        </w:tc>
        <w:tc>
          <w:tcPr>
            <w:tcW w:w="1344" w:type="dxa"/>
            <w:shd w:val="clear" w:color="auto" w:fill="auto"/>
          </w:tcPr>
          <w:p w14:paraId="56C8EB62" w14:textId="77777777" w:rsidR="00FD65B6" w:rsidRPr="00B13B9A" w:rsidRDefault="00FD65B6" w:rsidP="00332FF7">
            <w:pPr>
              <w:jc w:val="both"/>
              <w:rPr>
                <w:rFonts w:asciiTheme="majorHAnsi" w:hAnsiTheme="majorHAnsi" w:cstheme="majorHAnsi"/>
                <w:b/>
                <w:i/>
                <w:color w:val="000000" w:themeColor="text1"/>
                <w:sz w:val="20"/>
                <w:szCs w:val="20"/>
                <w:lang w:val="ro-MD"/>
              </w:rPr>
            </w:pPr>
            <w:r w:rsidRPr="00B13B9A">
              <w:rPr>
                <w:rFonts w:asciiTheme="majorHAnsi" w:hAnsiTheme="majorHAnsi" w:cstheme="majorHAnsi"/>
                <w:b/>
                <w:i/>
                <w:color w:val="000000" w:themeColor="text1"/>
                <w:sz w:val="20"/>
                <w:szCs w:val="20"/>
                <w:lang w:val="ro-MD"/>
              </w:rPr>
              <w:t>Recomandare implementată</w:t>
            </w:r>
          </w:p>
        </w:tc>
      </w:tr>
      <w:tr w:rsidR="00FD65B6" w:rsidRPr="00B13B9A" w14:paraId="2D898632" w14:textId="77777777" w:rsidTr="00332FF7">
        <w:trPr>
          <w:gridAfter w:val="1"/>
          <w:wAfter w:w="24" w:type="dxa"/>
        </w:trPr>
        <w:tc>
          <w:tcPr>
            <w:tcW w:w="576" w:type="dxa"/>
            <w:shd w:val="clear" w:color="auto" w:fill="auto"/>
          </w:tcPr>
          <w:p w14:paraId="580A705A" w14:textId="77777777" w:rsidR="00FD65B6" w:rsidRPr="00B13B9A" w:rsidRDefault="00FD65B6" w:rsidP="00332FF7">
            <w:pPr>
              <w:jc w:val="center"/>
              <w:rPr>
                <w:rFonts w:asciiTheme="majorHAnsi" w:hAnsiTheme="majorHAnsi" w:cstheme="majorHAnsi"/>
                <w:b/>
                <w:i/>
                <w:color w:val="000000" w:themeColor="text1"/>
                <w:sz w:val="20"/>
                <w:szCs w:val="20"/>
                <w:lang w:val="ro-MD"/>
              </w:rPr>
            </w:pPr>
          </w:p>
        </w:tc>
        <w:tc>
          <w:tcPr>
            <w:tcW w:w="837" w:type="dxa"/>
            <w:shd w:val="clear" w:color="auto" w:fill="auto"/>
          </w:tcPr>
          <w:p w14:paraId="23851320" w14:textId="77777777" w:rsidR="00FD65B6" w:rsidRPr="00B13B9A" w:rsidRDefault="00FD65B6" w:rsidP="00332FF7">
            <w:pPr>
              <w:jc w:val="center"/>
              <w:rPr>
                <w:rFonts w:asciiTheme="majorHAnsi" w:hAnsiTheme="majorHAnsi" w:cstheme="majorHAnsi"/>
                <w:b/>
                <w:i/>
                <w:color w:val="000000" w:themeColor="text1"/>
                <w:sz w:val="20"/>
                <w:szCs w:val="20"/>
                <w:lang w:val="ro-MD"/>
              </w:rPr>
            </w:pPr>
            <w:r w:rsidRPr="00B13B9A">
              <w:rPr>
                <w:rFonts w:asciiTheme="majorHAnsi" w:hAnsiTheme="majorHAnsi" w:cstheme="majorHAnsi"/>
                <w:b/>
                <w:i/>
                <w:color w:val="000000" w:themeColor="text1"/>
                <w:sz w:val="20"/>
                <w:szCs w:val="20"/>
                <w:lang w:val="ro-MD"/>
              </w:rPr>
              <w:t>6.5</w:t>
            </w:r>
          </w:p>
        </w:tc>
        <w:tc>
          <w:tcPr>
            <w:tcW w:w="2977" w:type="dxa"/>
            <w:shd w:val="clear" w:color="auto" w:fill="auto"/>
          </w:tcPr>
          <w:p w14:paraId="433B71B7" w14:textId="73691149" w:rsidR="00FD65B6" w:rsidRPr="00B13B9A" w:rsidRDefault="00FD65B6" w:rsidP="00332FF7">
            <w:pPr>
              <w:jc w:val="both"/>
              <w:rPr>
                <w:rFonts w:asciiTheme="majorHAnsi" w:hAnsiTheme="majorHAnsi" w:cstheme="majorHAnsi"/>
                <w:i/>
                <w:color w:val="000000"/>
                <w:sz w:val="20"/>
                <w:szCs w:val="20"/>
                <w:lang w:val="ro-MD"/>
              </w:rPr>
            </w:pPr>
            <w:r w:rsidRPr="00B13B9A">
              <w:rPr>
                <w:rFonts w:asciiTheme="majorHAnsi" w:hAnsiTheme="majorHAnsi" w:cstheme="majorHAnsi"/>
                <w:i/>
                <w:color w:val="000000"/>
                <w:sz w:val="20"/>
                <w:szCs w:val="20"/>
                <w:lang w:val="ro-MD"/>
              </w:rPr>
              <w:t>Eviden</w:t>
            </w:r>
            <w:r w:rsidR="00B13B9A" w:rsidRPr="00B13B9A">
              <w:rPr>
                <w:rFonts w:asciiTheme="majorHAnsi" w:hAnsiTheme="majorHAnsi" w:cstheme="majorHAnsi"/>
                <w:i/>
                <w:color w:val="000000"/>
                <w:sz w:val="20"/>
                <w:szCs w:val="20"/>
                <w:lang w:val="ro-MD"/>
              </w:rPr>
              <w:t>ț</w:t>
            </w:r>
            <w:r w:rsidRPr="00B13B9A">
              <w:rPr>
                <w:rFonts w:asciiTheme="majorHAnsi" w:hAnsiTheme="majorHAnsi" w:cstheme="majorHAnsi"/>
                <w:i/>
                <w:color w:val="000000"/>
                <w:sz w:val="20"/>
                <w:szCs w:val="20"/>
                <w:lang w:val="ro-MD"/>
              </w:rPr>
              <w:t xml:space="preserve">a </w:t>
            </w:r>
            <w:r w:rsidR="00B13B9A" w:rsidRPr="00B13B9A">
              <w:rPr>
                <w:rFonts w:asciiTheme="majorHAnsi" w:hAnsiTheme="majorHAnsi" w:cstheme="majorHAnsi"/>
                <w:i/>
                <w:color w:val="000000"/>
                <w:sz w:val="20"/>
                <w:szCs w:val="20"/>
                <w:lang w:val="ro-MD"/>
              </w:rPr>
              <w:t>ș</w:t>
            </w:r>
            <w:r w:rsidRPr="00B13B9A">
              <w:rPr>
                <w:rFonts w:asciiTheme="majorHAnsi" w:hAnsiTheme="majorHAnsi" w:cstheme="majorHAnsi"/>
                <w:i/>
                <w:color w:val="000000"/>
                <w:sz w:val="20"/>
                <w:szCs w:val="20"/>
                <w:lang w:val="ro-MD"/>
              </w:rPr>
              <w:t>i raportarea veridică a cheltuielilor pentru alimenta</w:t>
            </w:r>
            <w:r w:rsidR="00B13B9A" w:rsidRPr="00B13B9A">
              <w:rPr>
                <w:rFonts w:asciiTheme="majorHAnsi" w:hAnsiTheme="majorHAnsi" w:cstheme="majorHAnsi"/>
                <w:i/>
                <w:color w:val="000000"/>
                <w:sz w:val="20"/>
                <w:szCs w:val="20"/>
                <w:lang w:val="ro-MD"/>
              </w:rPr>
              <w:t>ț</w:t>
            </w:r>
            <w:r w:rsidRPr="00B13B9A">
              <w:rPr>
                <w:rFonts w:asciiTheme="majorHAnsi" w:hAnsiTheme="majorHAnsi" w:cstheme="majorHAnsi"/>
                <w:i/>
                <w:color w:val="000000"/>
                <w:sz w:val="20"/>
                <w:szCs w:val="20"/>
                <w:lang w:val="ro-MD"/>
              </w:rPr>
              <w:t xml:space="preserve">ie </w:t>
            </w:r>
            <w:r w:rsidR="00B13B9A" w:rsidRPr="00B13B9A">
              <w:rPr>
                <w:rFonts w:asciiTheme="majorHAnsi" w:hAnsiTheme="majorHAnsi" w:cstheme="majorHAnsi"/>
                <w:i/>
                <w:color w:val="000000"/>
                <w:sz w:val="20"/>
                <w:szCs w:val="20"/>
                <w:lang w:val="ro-MD"/>
              </w:rPr>
              <w:t>ș</w:t>
            </w:r>
            <w:r w:rsidRPr="00B13B9A">
              <w:rPr>
                <w:rFonts w:asciiTheme="majorHAnsi" w:hAnsiTheme="majorHAnsi" w:cstheme="majorHAnsi"/>
                <w:i/>
                <w:color w:val="000000"/>
                <w:sz w:val="20"/>
                <w:szCs w:val="20"/>
                <w:lang w:val="ro-MD"/>
              </w:rPr>
              <w:t>i transport public de la/la domiciliu pentru tratamentul în condi</w:t>
            </w:r>
            <w:r w:rsidR="00B13B9A" w:rsidRPr="00B13B9A">
              <w:rPr>
                <w:rFonts w:asciiTheme="majorHAnsi" w:hAnsiTheme="majorHAnsi" w:cstheme="majorHAnsi"/>
                <w:i/>
                <w:color w:val="000000"/>
                <w:sz w:val="20"/>
                <w:szCs w:val="20"/>
                <w:lang w:val="ro-MD"/>
              </w:rPr>
              <w:t>ț</w:t>
            </w:r>
            <w:r w:rsidRPr="00B13B9A">
              <w:rPr>
                <w:rFonts w:asciiTheme="majorHAnsi" w:hAnsiTheme="majorHAnsi" w:cstheme="majorHAnsi"/>
                <w:i/>
                <w:color w:val="000000"/>
                <w:sz w:val="20"/>
                <w:szCs w:val="20"/>
                <w:lang w:val="ro-MD"/>
              </w:rPr>
              <w:t>ii de ambulatoriu al persoanelor bolnave cu tuberculoză (pct.4.11)</w:t>
            </w:r>
          </w:p>
        </w:tc>
        <w:tc>
          <w:tcPr>
            <w:tcW w:w="5670" w:type="dxa"/>
            <w:shd w:val="clear" w:color="auto" w:fill="auto"/>
          </w:tcPr>
          <w:p w14:paraId="5A865112" w14:textId="66F1C131" w:rsidR="00FD65B6" w:rsidRPr="00B13B9A" w:rsidRDefault="00FD65B6" w:rsidP="00332FF7">
            <w:pPr>
              <w:jc w:val="both"/>
              <w:rPr>
                <w:rFonts w:asciiTheme="majorHAnsi" w:hAnsiTheme="majorHAnsi" w:cstheme="majorHAnsi"/>
                <w:color w:val="000000"/>
                <w:sz w:val="20"/>
                <w:szCs w:val="20"/>
                <w:lang w:val="ro-MD"/>
              </w:rPr>
            </w:pPr>
            <w:r w:rsidRPr="00B13B9A">
              <w:rPr>
                <w:rFonts w:asciiTheme="majorHAnsi" w:hAnsiTheme="majorHAnsi" w:cstheme="majorHAnsi"/>
                <w:b/>
                <w:i/>
                <w:color w:val="000000"/>
                <w:sz w:val="20"/>
                <w:szCs w:val="20"/>
                <w:u w:val="single"/>
                <w:lang w:val="ro-MD"/>
              </w:rPr>
              <w:t xml:space="preserve">Scrisoare MS nr.09/7989 din 05.12.2023: </w:t>
            </w:r>
            <w:r w:rsidRPr="00B13B9A">
              <w:rPr>
                <w:rFonts w:asciiTheme="majorHAnsi" w:hAnsiTheme="majorHAnsi" w:cstheme="majorHAnsi"/>
                <w:sz w:val="20"/>
                <w:szCs w:val="20"/>
                <w:lang w:val="ro-MD"/>
              </w:rPr>
              <w:t>Procedura respectiva se desfă</w:t>
            </w:r>
            <w:r w:rsidR="00B13B9A" w:rsidRPr="00B13B9A">
              <w:rPr>
                <w:rFonts w:asciiTheme="majorHAnsi" w:hAnsiTheme="majorHAnsi" w:cstheme="majorHAnsi"/>
                <w:sz w:val="20"/>
                <w:szCs w:val="20"/>
                <w:lang w:val="ro-MD"/>
              </w:rPr>
              <w:t>ș</w:t>
            </w:r>
            <w:r w:rsidRPr="00B13B9A">
              <w:rPr>
                <w:rFonts w:asciiTheme="majorHAnsi" w:hAnsiTheme="majorHAnsi" w:cstheme="majorHAnsi"/>
                <w:sz w:val="20"/>
                <w:szCs w:val="20"/>
                <w:lang w:val="ro-MD"/>
              </w:rPr>
              <w:t xml:space="preserve">oară în baza Ordinul comun al MS </w:t>
            </w:r>
            <w:r w:rsidR="00B13B9A" w:rsidRPr="00B13B9A">
              <w:rPr>
                <w:rFonts w:asciiTheme="majorHAnsi" w:hAnsiTheme="majorHAnsi" w:cstheme="majorHAnsi"/>
                <w:sz w:val="20"/>
                <w:szCs w:val="20"/>
                <w:lang w:val="ro-MD"/>
              </w:rPr>
              <w:t>ș</w:t>
            </w:r>
            <w:r w:rsidRPr="00B13B9A">
              <w:rPr>
                <w:rFonts w:asciiTheme="majorHAnsi" w:hAnsiTheme="majorHAnsi" w:cstheme="majorHAnsi"/>
                <w:sz w:val="20"/>
                <w:szCs w:val="20"/>
                <w:lang w:val="ro-MD"/>
              </w:rPr>
              <w:t>i CNAM nr. 914/215-A din 03/10/2022 cu privire la modificarea Ordinului nr. 99/52-A din 15.02.2017 cu privire la unele interven</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ii de cre</w:t>
            </w:r>
            <w:r w:rsidR="00B13B9A" w:rsidRPr="00B13B9A">
              <w:rPr>
                <w:rFonts w:asciiTheme="majorHAnsi" w:hAnsiTheme="majorHAnsi" w:cstheme="majorHAnsi"/>
                <w:sz w:val="20"/>
                <w:szCs w:val="20"/>
                <w:lang w:val="ro-MD"/>
              </w:rPr>
              <w:t>ș</w:t>
            </w:r>
            <w:r w:rsidRPr="00B13B9A">
              <w:rPr>
                <w:rFonts w:asciiTheme="majorHAnsi" w:hAnsiTheme="majorHAnsi" w:cstheme="majorHAnsi"/>
                <w:sz w:val="20"/>
                <w:szCs w:val="20"/>
                <w:lang w:val="ro-MD"/>
              </w:rPr>
              <w:t>tere a aderen</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ei la tratamentul antituberculos în condi</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ii de ambulator, în capitolul IV Dispozi</w:t>
            </w:r>
            <w:r w:rsidR="00B13B9A" w:rsidRPr="00B13B9A">
              <w:rPr>
                <w:rFonts w:asciiTheme="majorHAnsi" w:hAnsiTheme="majorHAnsi" w:cstheme="majorHAnsi"/>
                <w:sz w:val="20"/>
                <w:szCs w:val="20"/>
                <w:lang w:val="ro-MD"/>
              </w:rPr>
              <w:t>ț</w:t>
            </w:r>
            <w:r w:rsidRPr="00B13B9A">
              <w:rPr>
                <w:rFonts w:asciiTheme="majorHAnsi" w:hAnsiTheme="majorHAnsi" w:cstheme="majorHAnsi"/>
                <w:sz w:val="20"/>
                <w:szCs w:val="20"/>
                <w:lang w:val="ro-MD"/>
              </w:rPr>
              <w:t xml:space="preserve">ii finale, în punctul 40 este descris controlul corectitudinii eliberării tichetelor alimentare </w:t>
            </w:r>
            <w:r w:rsidR="00B13B9A" w:rsidRPr="00B13B9A">
              <w:rPr>
                <w:rFonts w:asciiTheme="majorHAnsi" w:hAnsiTheme="majorHAnsi" w:cstheme="majorHAnsi"/>
                <w:sz w:val="20"/>
                <w:szCs w:val="20"/>
                <w:lang w:val="ro-MD"/>
              </w:rPr>
              <w:t>ș</w:t>
            </w:r>
            <w:r w:rsidRPr="00B13B9A">
              <w:rPr>
                <w:rFonts w:asciiTheme="majorHAnsi" w:hAnsiTheme="majorHAnsi" w:cstheme="majorHAnsi"/>
                <w:sz w:val="20"/>
                <w:szCs w:val="20"/>
                <w:lang w:val="ro-MD"/>
              </w:rPr>
              <w:t>i sumelor rambursate pentru cheltuielile de transport conform prezentului Regulament care se efectuează de către CNAM.</w:t>
            </w:r>
          </w:p>
        </w:tc>
        <w:tc>
          <w:tcPr>
            <w:tcW w:w="2835" w:type="dxa"/>
            <w:shd w:val="clear" w:color="auto" w:fill="auto"/>
          </w:tcPr>
          <w:p w14:paraId="6DE10657" w14:textId="53E9FE23" w:rsidR="00FD65B6" w:rsidRPr="00B13B9A" w:rsidRDefault="00FD65B6" w:rsidP="00332FF7">
            <w:pPr>
              <w:jc w:val="both"/>
              <w:rPr>
                <w:rFonts w:asciiTheme="majorHAnsi" w:hAnsiTheme="majorHAnsi" w:cstheme="majorHAnsi"/>
                <w:color w:val="000000"/>
                <w:sz w:val="20"/>
                <w:szCs w:val="20"/>
                <w:lang w:val="ro-MD"/>
              </w:rPr>
            </w:pPr>
            <w:r w:rsidRPr="00B13B9A">
              <w:rPr>
                <w:rFonts w:asciiTheme="majorHAnsi" w:hAnsiTheme="majorHAnsi" w:cstheme="majorHAnsi"/>
                <w:color w:val="000000"/>
                <w:sz w:val="20"/>
                <w:szCs w:val="20"/>
                <w:lang w:val="ro-MD"/>
              </w:rPr>
              <w:t>MS</w:t>
            </w:r>
            <w:r w:rsidR="00693658" w:rsidRPr="00B13B9A">
              <w:rPr>
                <w:rFonts w:asciiTheme="majorHAnsi" w:hAnsiTheme="majorHAnsi" w:cstheme="majorHAnsi"/>
                <w:color w:val="000000"/>
                <w:sz w:val="20"/>
                <w:szCs w:val="20"/>
                <w:lang w:val="ro-MD"/>
              </w:rPr>
              <w:t>,</w:t>
            </w:r>
            <w:r w:rsidRPr="00B13B9A">
              <w:rPr>
                <w:rFonts w:asciiTheme="majorHAnsi" w:hAnsiTheme="majorHAnsi" w:cstheme="majorHAnsi"/>
                <w:color w:val="000000"/>
                <w:sz w:val="20"/>
                <w:szCs w:val="20"/>
                <w:lang w:val="ro-MD"/>
              </w:rPr>
              <w:t xml:space="preserve"> la 5 decembrie curent</w:t>
            </w:r>
            <w:r w:rsidR="00693658" w:rsidRPr="00B13B9A">
              <w:rPr>
                <w:rFonts w:asciiTheme="majorHAnsi" w:hAnsiTheme="majorHAnsi" w:cstheme="majorHAnsi"/>
                <w:color w:val="000000"/>
                <w:sz w:val="20"/>
                <w:szCs w:val="20"/>
                <w:lang w:val="ro-MD"/>
              </w:rPr>
              <w:t>,</w:t>
            </w:r>
            <w:r w:rsidRPr="00B13B9A">
              <w:rPr>
                <w:rFonts w:asciiTheme="majorHAnsi" w:hAnsiTheme="majorHAnsi" w:cstheme="majorHAnsi"/>
                <w:color w:val="000000"/>
                <w:sz w:val="20"/>
                <w:szCs w:val="20"/>
                <w:lang w:val="ro-MD"/>
              </w:rPr>
              <w:t xml:space="preserve"> a informat că, prin </w:t>
            </w:r>
            <w:r w:rsidRPr="00B13B9A">
              <w:rPr>
                <w:rFonts w:asciiTheme="majorHAnsi" w:hAnsiTheme="majorHAnsi" w:cstheme="majorHAnsi"/>
                <w:sz w:val="20"/>
                <w:szCs w:val="20"/>
                <w:lang w:val="ro-MD"/>
              </w:rPr>
              <w:t xml:space="preserve">Ordinul comun al MS </w:t>
            </w:r>
            <w:r w:rsidR="00B13B9A" w:rsidRPr="00B13B9A">
              <w:rPr>
                <w:rFonts w:asciiTheme="majorHAnsi" w:hAnsiTheme="majorHAnsi" w:cstheme="majorHAnsi"/>
                <w:sz w:val="20"/>
                <w:szCs w:val="20"/>
                <w:lang w:val="ro-MD"/>
              </w:rPr>
              <w:t>ș</w:t>
            </w:r>
            <w:r w:rsidRPr="00B13B9A">
              <w:rPr>
                <w:rFonts w:asciiTheme="majorHAnsi" w:hAnsiTheme="majorHAnsi" w:cstheme="majorHAnsi"/>
                <w:sz w:val="20"/>
                <w:szCs w:val="20"/>
                <w:lang w:val="ro-MD"/>
              </w:rPr>
              <w:t xml:space="preserve">i CNAM nr. 914/215-A din 03.10.2022 cu privire la modificarea Ordinului nr. 99/52-A din 15.02.2017, a ajustat </w:t>
            </w:r>
            <w:r w:rsidR="00B13B9A" w:rsidRPr="00B13B9A">
              <w:rPr>
                <w:rFonts w:asciiTheme="majorHAnsi" w:hAnsiTheme="majorHAnsi" w:cstheme="majorHAnsi"/>
                <w:sz w:val="20"/>
                <w:szCs w:val="20"/>
                <w:lang w:val="ro-MD"/>
              </w:rPr>
              <w:t>ș</w:t>
            </w:r>
            <w:r w:rsidRPr="00B13B9A">
              <w:rPr>
                <w:rFonts w:asciiTheme="majorHAnsi" w:hAnsiTheme="majorHAnsi" w:cstheme="majorHAnsi"/>
                <w:sz w:val="20"/>
                <w:szCs w:val="20"/>
                <w:lang w:val="ro-MD"/>
              </w:rPr>
              <w:t xml:space="preserve">i stabilit controlul corectitudinii eliberării tichetelor alimentare </w:t>
            </w:r>
            <w:r w:rsidR="00B13B9A" w:rsidRPr="00B13B9A">
              <w:rPr>
                <w:rFonts w:asciiTheme="majorHAnsi" w:hAnsiTheme="majorHAnsi" w:cstheme="majorHAnsi"/>
                <w:sz w:val="20"/>
                <w:szCs w:val="20"/>
                <w:lang w:val="ro-MD"/>
              </w:rPr>
              <w:t>ș</w:t>
            </w:r>
            <w:r w:rsidRPr="00B13B9A">
              <w:rPr>
                <w:rFonts w:asciiTheme="majorHAnsi" w:hAnsiTheme="majorHAnsi" w:cstheme="majorHAnsi"/>
                <w:sz w:val="20"/>
                <w:szCs w:val="20"/>
                <w:lang w:val="ro-MD"/>
              </w:rPr>
              <w:t>i sumelor rambursate pentru cheltuielile de transport</w:t>
            </w:r>
          </w:p>
        </w:tc>
        <w:tc>
          <w:tcPr>
            <w:tcW w:w="1344" w:type="dxa"/>
            <w:shd w:val="clear" w:color="auto" w:fill="auto"/>
          </w:tcPr>
          <w:p w14:paraId="6CBD1989" w14:textId="77777777" w:rsidR="00FD65B6" w:rsidRPr="00B13B9A" w:rsidRDefault="00FD65B6" w:rsidP="00332FF7">
            <w:pPr>
              <w:jc w:val="both"/>
              <w:rPr>
                <w:rFonts w:asciiTheme="majorHAnsi" w:hAnsiTheme="majorHAnsi" w:cstheme="majorHAnsi"/>
                <w:b/>
                <w:i/>
                <w:color w:val="000000" w:themeColor="text1"/>
                <w:sz w:val="20"/>
                <w:szCs w:val="20"/>
                <w:lang w:val="ro-MD"/>
              </w:rPr>
            </w:pPr>
            <w:r w:rsidRPr="00B13B9A">
              <w:rPr>
                <w:rFonts w:asciiTheme="majorHAnsi" w:hAnsiTheme="majorHAnsi" w:cstheme="majorHAnsi"/>
                <w:b/>
                <w:i/>
                <w:color w:val="000000" w:themeColor="text1"/>
                <w:sz w:val="20"/>
                <w:szCs w:val="20"/>
                <w:lang w:val="ro-MD"/>
              </w:rPr>
              <w:t>Recomandare implementată</w:t>
            </w:r>
          </w:p>
        </w:tc>
      </w:tr>
      <w:tr w:rsidR="00FD65B6" w:rsidRPr="00B13B9A" w14:paraId="36F0C27D" w14:textId="77777777" w:rsidTr="00332FF7">
        <w:tc>
          <w:tcPr>
            <w:tcW w:w="14263" w:type="dxa"/>
            <w:gridSpan w:val="7"/>
            <w:shd w:val="clear" w:color="auto" w:fill="auto"/>
          </w:tcPr>
          <w:p w14:paraId="0FEDF586" w14:textId="42254326" w:rsidR="00FD65B6" w:rsidRPr="00B13B9A" w:rsidRDefault="00FD65B6" w:rsidP="00332FF7">
            <w:pPr>
              <w:jc w:val="center"/>
              <w:rPr>
                <w:rFonts w:asciiTheme="majorHAnsi" w:hAnsiTheme="majorHAnsi" w:cstheme="majorHAnsi"/>
                <w:b/>
                <w:i/>
                <w:color w:val="000000" w:themeColor="text1"/>
                <w:sz w:val="20"/>
                <w:szCs w:val="20"/>
                <w:lang w:val="ro-MD"/>
              </w:rPr>
            </w:pPr>
            <w:r w:rsidRPr="00B13B9A">
              <w:rPr>
                <w:rFonts w:asciiTheme="majorHAnsi" w:hAnsiTheme="majorHAnsi" w:cstheme="majorHAnsi"/>
                <w:b/>
                <w:i/>
                <w:color w:val="000000" w:themeColor="text1"/>
                <w:sz w:val="20"/>
                <w:szCs w:val="20"/>
                <w:lang w:val="ro-MD"/>
              </w:rPr>
              <w:t>Recomandare Ministerului Justi</w:t>
            </w:r>
            <w:r w:rsidR="00B13B9A" w:rsidRPr="00B13B9A">
              <w:rPr>
                <w:rFonts w:asciiTheme="majorHAnsi" w:hAnsiTheme="majorHAnsi" w:cstheme="majorHAnsi"/>
                <w:b/>
                <w:i/>
                <w:color w:val="000000" w:themeColor="text1"/>
                <w:sz w:val="20"/>
                <w:szCs w:val="20"/>
                <w:lang w:val="ro-MD"/>
              </w:rPr>
              <w:t>ț</w:t>
            </w:r>
            <w:r w:rsidRPr="00B13B9A">
              <w:rPr>
                <w:rFonts w:asciiTheme="majorHAnsi" w:hAnsiTheme="majorHAnsi" w:cstheme="majorHAnsi"/>
                <w:b/>
                <w:i/>
                <w:color w:val="000000" w:themeColor="text1"/>
                <w:sz w:val="20"/>
                <w:szCs w:val="20"/>
                <w:lang w:val="ro-MD"/>
              </w:rPr>
              <w:t>iei</w:t>
            </w:r>
          </w:p>
        </w:tc>
      </w:tr>
      <w:tr w:rsidR="00FD65B6" w:rsidRPr="00B13B9A" w14:paraId="476EB8D7" w14:textId="77777777" w:rsidTr="00332FF7">
        <w:trPr>
          <w:gridAfter w:val="1"/>
          <w:wAfter w:w="24" w:type="dxa"/>
        </w:trPr>
        <w:tc>
          <w:tcPr>
            <w:tcW w:w="576" w:type="dxa"/>
            <w:shd w:val="clear" w:color="auto" w:fill="auto"/>
          </w:tcPr>
          <w:p w14:paraId="4D6200B6" w14:textId="77777777" w:rsidR="00FD65B6" w:rsidRPr="00B13B9A" w:rsidRDefault="00FD65B6" w:rsidP="00332FF7">
            <w:pPr>
              <w:jc w:val="center"/>
              <w:rPr>
                <w:rFonts w:asciiTheme="majorHAnsi" w:hAnsiTheme="majorHAnsi" w:cstheme="majorHAnsi"/>
                <w:b/>
                <w:i/>
                <w:color w:val="000000" w:themeColor="text1"/>
                <w:sz w:val="20"/>
                <w:szCs w:val="20"/>
                <w:lang w:val="ro-MD"/>
              </w:rPr>
            </w:pPr>
            <w:r w:rsidRPr="00B13B9A">
              <w:rPr>
                <w:rFonts w:asciiTheme="majorHAnsi" w:hAnsiTheme="majorHAnsi" w:cstheme="majorHAnsi"/>
                <w:b/>
                <w:i/>
                <w:color w:val="000000" w:themeColor="text1"/>
                <w:sz w:val="20"/>
                <w:szCs w:val="20"/>
                <w:lang w:val="ro-MD"/>
              </w:rPr>
              <w:t>2</w:t>
            </w:r>
          </w:p>
        </w:tc>
        <w:tc>
          <w:tcPr>
            <w:tcW w:w="837" w:type="dxa"/>
            <w:shd w:val="clear" w:color="auto" w:fill="auto"/>
          </w:tcPr>
          <w:p w14:paraId="43C23503" w14:textId="77777777" w:rsidR="00FD65B6" w:rsidRPr="00B13B9A" w:rsidRDefault="00FD65B6" w:rsidP="00332FF7">
            <w:pPr>
              <w:jc w:val="center"/>
              <w:rPr>
                <w:rFonts w:asciiTheme="majorHAnsi" w:hAnsiTheme="majorHAnsi" w:cstheme="majorHAnsi"/>
                <w:b/>
                <w:i/>
                <w:color w:val="000000" w:themeColor="text1"/>
                <w:sz w:val="20"/>
                <w:szCs w:val="20"/>
                <w:lang w:val="ro-MD"/>
              </w:rPr>
            </w:pPr>
            <w:r w:rsidRPr="00B13B9A">
              <w:rPr>
                <w:rFonts w:asciiTheme="majorHAnsi" w:hAnsiTheme="majorHAnsi" w:cstheme="majorHAnsi"/>
                <w:b/>
                <w:i/>
                <w:color w:val="000000" w:themeColor="text1"/>
                <w:sz w:val="20"/>
                <w:szCs w:val="20"/>
                <w:lang w:val="ro-MD"/>
              </w:rPr>
              <w:t>2.2</w:t>
            </w:r>
          </w:p>
        </w:tc>
        <w:tc>
          <w:tcPr>
            <w:tcW w:w="2977" w:type="dxa"/>
            <w:shd w:val="clear" w:color="auto" w:fill="auto"/>
          </w:tcPr>
          <w:p w14:paraId="0C788757" w14:textId="2060C990" w:rsidR="00FD65B6" w:rsidRPr="00B13B9A" w:rsidRDefault="00FD65B6" w:rsidP="00332FF7">
            <w:pPr>
              <w:jc w:val="both"/>
              <w:rPr>
                <w:rFonts w:asciiTheme="majorHAnsi" w:hAnsiTheme="majorHAnsi" w:cstheme="majorHAnsi"/>
                <w:i/>
                <w:color w:val="000000"/>
                <w:sz w:val="20"/>
                <w:szCs w:val="20"/>
                <w:lang w:val="ro-MD"/>
              </w:rPr>
            </w:pPr>
            <w:r w:rsidRPr="00B13B9A">
              <w:rPr>
                <w:rFonts w:asciiTheme="majorHAnsi" w:hAnsiTheme="majorHAnsi" w:cstheme="majorHAnsi"/>
                <w:i/>
                <w:color w:val="000000"/>
                <w:sz w:val="20"/>
                <w:szCs w:val="20"/>
                <w:lang w:val="ro-MD"/>
              </w:rPr>
              <w:t>pentru implementarea recomandărilor cuprinse în Raportul de audit, cu determinarea ac</w:t>
            </w:r>
            <w:r w:rsidR="00B13B9A" w:rsidRPr="00B13B9A">
              <w:rPr>
                <w:rFonts w:asciiTheme="majorHAnsi" w:hAnsiTheme="majorHAnsi" w:cstheme="majorHAnsi"/>
                <w:i/>
                <w:color w:val="000000"/>
                <w:sz w:val="20"/>
                <w:szCs w:val="20"/>
                <w:lang w:val="ro-MD"/>
              </w:rPr>
              <w:t>ț</w:t>
            </w:r>
            <w:r w:rsidRPr="00B13B9A">
              <w:rPr>
                <w:rFonts w:asciiTheme="majorHAnsi" w:hAnsiTheme="majorHAnsi" w:cstheme="majorHAnsi"/>
                <w:i/>
                <w:color w:val="000000"/>
                <w:sz w:val="20"/>
                <w:szCs w:val="20"/>
                <w:lang w:val="ro-MD"/>
              </w:rPr>
              <w:t>iunilor concrete în vederea înlăturării caren</w:t>
            </w:r>
            <w:r w:rsidR="00B13B9A" w:rsidRPr="00B13B9A">
              <w:rPr>
                <w:rFonts w:asciiTheme="majorHAnsi" w:hAnsiTheme="majorHAnsi" w:cstheme="majorHAnsi"/>
                <w:i/>
                <w:color w:val="000000"/>
                <w:sz w:val="20"/>
                <w:szCs w:val="20"/>
                <w:lang w:val="ro-MD"/>
              </w:rPr>
              <w:t>ț</w:t>
            </w:r>
            <w:r w:rsidRPr="00B13B9A">
              <w:rPr>
                <w:rFonts w:asciiTheme="majorHAnsi" w:hAnsiTheme="majorHAnsi" w:cstheme="majorHAnsi"/>
                <w:i/>
                <w:color w:val="000000"/>
                <w:sz w:val="20"/>
                <w:szCs w:val="20"/>
                <w:lang w:val="ro-MD"/>
              </w:rPr>
              <w:t xml:space="preserve">elor </w:t>
            </w:r>
            <w:r w:rsidR="00B13B9A" w:rsidRPr="00B13B9A">
              <w:rPr>
                <w:rFonts w:asciiTheme="majorHAnsi" w:hAnsiTheme="majorHAnsi" w:cstheme="majorHAnsi"/>
                <w:i/>
                <w:color w:val="000000"/>
                <w:sz w:val="20"/>
                <w:szCs w:val="20"/>
                <w:lang w:val="ro-MD"/>
              </w:rPr>
              <w:t>ș</w:t>
            </w:r>
            <w:r w:rsidRPr="00B13B9A">
              <w:rPr>
                <w:rFonts w:asciiTheme="majorHAnsi" w:hAnsiTheme="majorHAnsi" w:cstheme="majorHAnsi"/>
                <w:i/>
                <w:color w:val="000000"/>
                <w:sz w:val="20"/>
                <w:szCs w:val="20"/>
                <w:lang w:val="ro-MD"/>
              </w:rPr>
              <w:t xml:space="preserve">i neregulilor constatate, precum </w:t>
            </w:r>
            <w:r w:rsidR="00B13B9A" w:rsidRPr="00B13B9A">
              <w:rPr>
                <w:rFonts w:asciiTheme="majorHAnsi" w:hAnsiTheme="majorHAnsi" w:cstheme="majorHAnsi"/>
                <w:i/>
                <w:color w:val="000000"/>
                <w:sz w:val="20"/>
                <w:szCs w:val="20"/>
                <w:lang w:val="ro-MD"/>
              </w:rPr>
              <w:t>ș</w:t>
            </w:r>
            <w:r w:rsidRPr="00B13B9A">
              <w:rPr>
                <w:rFonts w:asciiTheme="majorHAnsi" w:hAnsiTheme="majorHAnsi" w:cstheme="majorHAnsi"/>
                <w:i/>
                <w:color w:val="000000"/>
                <w:sz w:val="20"/>
                <w:szCs w:val="20"/>
                <w:lang w:val="ro-MD"/>
              </w:rPr>
              <w:t xml:space="preserve">i pentru stabilirea termenelor </w:t>
            </w:r>
            <w:r w:rsidR="00B13B9A" w:rsidRPr="00B13B9A">
              <w:rPr>
                <w:rFonts w:asciiTheme="majorHAnsi" w:hAnsiTheme="majorHAnsi" w:cstheme="majorHAnsi"/>
                <w:i/>
                <w:color w:val="000000"/>
                <w:sz w:val="20"/>
                <w:szCs w:val="20"/>
                <w:lang w:val="ro-MD"/>
              </w:rPr>
              <w:t>ș</w:t>
            </w:r>
            <w:r w:rsidRPr="00B13B9A">
              <w:rPr>
                <w:rFonts w:asciiTheme="majorHAnsi" w:hAnsiTheme="majorHAnsi" w:cstheme="majorHAnsi"/>
                <w:i/>
                <w:color w:val="000000"/>
                <w:sz w:val="20"/>
                <w:szCs w:val="20"/>
                <w:lang w:val="ro-MD"/>
              </w:rPr>
              <w:t>i persoanelor responsabile de îndeplinirea acestora</w:t>
            </w:r>
          </w:p>
        </w:tc>
        <w:tc>
          <w:tcPr>
            <w:tcW w:w="5670" w:type="dxa"/>
            <w:shd w:val="clear" w:color="auto" w:fill="auto"/>
          </w:tcPr>
          <w:p w14:paraId="06ECC084" w14:textId="257D1890" w:rsidR="00FD65B6" w:rsidRPr="00B13B9A" w:rsidRDefault="00FD65B6" w:rsidP="00332FF7">
            <w:pPr>
              <w:jc w:val="both"/>
              <w:rPr>
                <w:rFonts w:asciiTheme="majorHAnsi" w:hAnsiTheme="majorHAnsi" w:cstheme="majorHAnsi"/>
                <w:color w:val="000000" w:themeColor="text1"/>
                <w:sz w:val="20"/>
                <w:szCs w:val="20"/>
                <w:lang w:val="ro-MD"/>
              </w:rPr>
            </w:pPr>
            <w:r w:rsidRPr="00B13B9A">
              <w:rPr>
                <w:rFonts w:asciiTheme="majorHAnsi" w:hAnsiTheme="majorHAnsi" w:cstheme="majorHAnsi"/>
                <w:b/>
                <w:i/>
                <w:color w:val="000000" w:themeColor="text1"/>
                <w:sz w:val="20"/>
                <w:szCs w:val="20"/>
                <w:u w:val="single"/>
                <w:lang w:val="ro-MD"/>
              </w:rPr>
              <w:t>Scrisoare MJ din 01.5/5633 din 31.07.2020:</w:t>
            </w:r>
            <w:r w:rsidRPr="00B13B9A">
              <w:rPr>
                <w:rFonts w:asciiTheme="majorHAnsi" w:hAnsiTheme="majorHAnsi" w:cstheme="majorHAnsi"/>
                <w:color w:val="000000" w:themeColor="text1"/>
                <w:sz w:val="20"/>
                <w:szCs w:val="20"/>
                <w:lang w:val="ro-MD"/>
              </w:rPr>
              <w:t xml:space="preserve"> A fost elaborat proiectul de regulament cu privire la acordarea asisten</w:t>
            </w:r>
            <w:r w:rsidR="00B13B9A" w:rsidRPr="00B13B9A">
              <w:rPr>
                <w:rFonts w:asciiTheme="majorHAnsi" w:hAnsiTheme="majorHAnsi" w:cstheme="majorHAnsi"/>
                <w:color w:val="000000" w:themeColor="text1"/>
                <w:sz w:val="20"/>
                <w:szCs w:val="20"/>
                <w:lang w:val="ro-MD"/>
              </w:rPr>
              <w:t>ț</w:t>
            </w:r>
            <w:r w:rsidRPr="00B13B9A">
              <w:rPr>
                <w:rFonts w:asciiTheme="majorHAnsi" w:hAnsiTheme="majorHAnsi" w:cstheme="majorHAnsi"/>
                <w:color w:val="000000" w:themeColor="text1"/>
                <w:sz w:val="20"/>
                <w:szCs w:val="20"/>
                <w:lang w:val="ro-MD"/>
              </w:rPr>
              <w:t>ei medicale persoanelor aflate în deten</w:t>
            </w:r>
            <w:r w:rsidR="00B13B9A" w:rsidRPr="00B13B9A">
              <w:rPr>
                <w:rFonts w:asciiTheme="majorHAnsi" w:hAnsiTheme="majorHAnsi" w:cstheme="majorHAnsi"/>
                <w:color w:val="000000" w:themeColor="text1"/>
                <w:sz w:val="20"/>
                <w:szCs w:val="20"/>
                <w:lang w:val="ro-MD"/>
              </w:rPr>
              <w:t>ț</w:t>
            </w:r>
            <w:r w:rsidRPr="00B13B9A">
              <w:rPr>
                <w:rFonts w:asciiTheme="majorHAnsi" w:hAnsiTheme="majorHAnsi" w:cstheme="majorHAnsi"/>
                <w:color w:val="000000" w:themeColor="text1"/>
                <w:sz w:val="20"/>
                <w:szCs w:val="20"/>
                <w:lang w:val="ro-MD"/>
              </w:rPr>
              <w:t xml:space="preserve">ie. </w:t>
            </w:r>
          </w:p>
          <w:p w14:paraId="43A24C5D" w14:textId="409428FC" w:rsidR="00FD65B6" w:rsidRPr="00B13B9A" w:rsidRDefault="00FD65B6" w:rsidP="00332FF7">
            <w:pPr>
              <w:jc w:val="both"/>
              <w:rPr>
                <w:rFonts w:asciiTheme="majorHAnsi" w:hAnsiTheme="majorHAnsi" w:cstheme="majorHAnsi"/>
                <w:color w:val="000000" w:themeColor="text1"/>
                <w:sz w:val="20"/>
                <w:szCs w:val="20"/>
                <w:lang w:val="ro-MD"/>
              </w:rPr>
            </w:pPr>
            <w:r w:rsidRPr="00B13B9A">
              <w:rPr>
                <w:rFonts w:asciiTheme="majorHAnsi" w:hAnsiTheme="majorHAnsi" w:cstheme="majorHAnsi"/>
                <w:color w:val="000000" w:themeColor="text1"/>
                <w:sz w:val="20"/>
                <w:szCs w:val="20"/>
                <w:lang w:val="ro-MD"/>
              </w:rPr>
              <w:t xml:space="preserve">Actualmente, acesta se află la etapa de avizare </w:t>
            </w:r>
            <w:r w:rsidR="00B13B9A" w:rsidRPr="00B13B9A">
              <w:rPr>
                <w:rFonts w:asciiTheme="majorHAnsi" w:hAnsiTheme="majorHAnsi" w:cstheme="majorHAnsi"/>
                <w:color w:val="000000" w:themeColor="text1"/>
                <w:sz w:val="20"/>
                <w:szCs w:val="20"/>
                <w:lang w:val="ro-MD"/>
              </w:rPr>
              <w:t>ș</w:t>
            </w:r>
            <w:r w:rsidRPr="00B13B9A">
              <w:rPr>
                <w:rFonts w:asciiTheme="majorHAnsi" w:hAnsiTheme="majorHAnsi" w:cstheme="majorHAnsi"/>
                <w:color w:val="000000" w:themeColor="text1"/>
                <w:sz w:val="20"/>
                <w:szCs w:val="20"/>
                <w:lang w:val="ro-MD"/>
              </w:rPr>
              <w:t>i aporbare la Ministerul Justi</w:t>
            </w:r>
            <w:r w:rsidR="00B13B9A" w:rsidRPr="00B13B9A">
              <w:rPr>
                <w:rFonts w:asciiTheme="majorHAnsi" w:hAnsiTheme="majorHAnsi" w:cstheme="majorHAnsi"/>
                <w:color w:val="000000" w:themeColor="text1"/>
                <w:sz w:val="20"/>
                <w:szCs w:val="20"/>
                <w:lang w:val="ro-MD"/>
              </w:rPr>
              <w:t>ț</w:t>
            </w:r>
            <w:r w:rsidRPr="00B13B9A">
              <w:rPr>
                <w:rFonts w:asciiTheme="majorHAnsi" w:hAnsiTheme="majorHAnsi" w:cstheme="majorHAnsi"/>
                <w:color w:val="000000" w:themeColor="text1"/>
                <w:sz w:val="20"/>
                <w:szCs w:val="20"/>
                <w:lang w:val="ro-MD"/>
              </w:rPr>
              <w:t>iei.</w:t>
            </w:r>
          </w:p>
          <w:p w14:paraId="44585F68" w14:textId="11B67070" w:rsidR="00FD65B6" w:rsidRPr="00B13B9A" w:rsidRDefault="00FD65B6" w:rsidP="00332FF7">
            <w:pPr>
              <w:jc w:val="both"/>
              <w:rPr>
                <w:rFonts w:asciiTheme="majorHAnsi" w:hAnsiTheme="majorHAnsi" w:cstheme="majorHAnsi"/>
                <w:color w:val="000000" w:themeColor="text1"/>
                <w:sz w:val="20"/>
                <w:szCs w:val="20"/>
                <w:lang w:val="ro-MD"/>
              </w:rPr>
            </w:pPr>
            <w:r w:rsidRPr="00B13B9A">
              <w:rPr>
                <w:rFonts w:asciiTheme="majorHAnsi" w:hAnsiTheme="majorHAnsi" w:cstheme="majorHAnsi"/>
                <w:color w:val="000000" w:themeColor="text1"/>
                <w:sz w:val="20"/>
                <w:szCs w:val="20"/>
                <w:lang w:val="ro-MD"/>
              </w:rPr>
              <w:t>Totodată, conform Planului de ac</w:t>
            </w:r>
            <w:r w:rsidR="00B13B9A" w:rsidRPr="00B13B9A">
              <w:rPr>
                <w:rFonts w:asciiTheme="majorHAnsi" w:hAnsiTheme="majorHAnsi" w:cstheme="majorHAnsi"/>
                <w:color w:val="000000" w:themeColor="text1"/>
                <w:sz w:val="20"/>
                <w:szCs w:val="20"/>
                <w:lang w:val="ro-MD"/>
              </w:rPr>
              <w:t>ț</w:t>
            </w:r>
            <w:r w:rsidRPr="00B13B9A">
              <w:rPr>
                <w:rFonts w:asciiTheme="majorHAnsi" w:hAnsiTheme="majorHAnsi" w:cstheme="majorHAnsi"/>
                <w:color w:val="000000" w:themeColor="text1"/>
                <w:sz w:val="20"/>
                <w:szCs w:val="20"/>
                <w:lang w:val="ro-MD"/>
              </w:rPr>
              <w:t>iuni privind implementarea Programului de control al tuberculozei în sistemul penitenciar pentru anii 2016-2020, aprobat prin ordinul Administra</w:t>
            </w:r>
            <w:r w:rsidR="00B13B9A" w:rsidRPr="00B13B9A">
              <w:rPr>
                <w:rFonts w:asciiTheme="majorHAnsi" w:hAnsiTheme="majorHAnsi" w:cstheme="majorHAnsi"/>
                <w:color w:val="000000" w:themeColor="text1"/>
                <w:sz w:val="20"/>
                <w:szCs w:val="20"/>
                <w:lang w:val="ro-MD"/>
              </w:rPr>
              <w:t>ț</w:t>
            </w:r>
            <w:r w:rsidRPr="00B13B9A">
              <w:rPr>
                <w:rFonts w:asciiTheme="majorHAnsi" w:hAnsiTheme="majorHAnsi" w:cstheme="majorHAnsi"/>
                <w:color w:val="000000" w:themeColor="text1"/>
                <w:sz w:val="20"/>
                <w:szCs w:val="20"/>
                <w:lang w:val="ro-MD"/>
              </w:rPr>
              <w:t>iei Na</w:t>
            </w:r>
            <w:r w:rsidR="00B13B9A" w:rsidRPr="00B13B9A">
              <w:rPr>
                <w:rFonts w:asciiTheme="majorHAnsi" w:hAnsiTheme="majorHAnsi" w:cstheme="majorHAnsi"/>
                <w:color w:val="000000" w:themeColor="text1"/>
                <w:sz w:val="20"/>
                <w:szCs w:val="20"/>
                <w:lang w:val="ro-MD"/>
              </w:rPr>
              <w:t>ț</w:t>
            </w:r>
            <w:r w:rsidRPr="00B13B9A">
              <w:rPr>
                <w:rFonts w:asciiTheme="majorHAnsi" w:hAnsiTheme="majorHAnsi" w:cstheme="majorHAnsi"/>
                <w:color w:val="000000" w:themeColor="text1"/>
                <w:sz w:val="20"/>
                <w:szCs w:val="20"/>
                <w:lang w:val="ro-MD"/>
              </w:rPr>
              <w:t>ionale a Penitenciarelor nr.168 din 06.09.2018, în anii 2019-2020 s-au înlăturat mai multe obiec</w:t>
            </w:r>
            <w:r w:rsidR="00B13B9A" w:rsidRPr="00B13B9A">
              <w:rPr>
                <w:rFonts w:asciiTheme="majorHAnsi" w:hAnsiTheme="majorHAnsi" w:cstheme="majorHAnsi"/>
                <w:color w:val="000000" w:themeColor="text1"/>
                <w:sz w:val="20"/>
                <w:szCs w:val="20"/>
                <w:lang w:val="ro-MD"/>
              </w:rPr>
              <w:t>ț</w:t>
            </w:r>
            <w:r w:rsidRPr="00B13B9A">
              <w:rPr>
                <w:rFonts w:asciiTheme="majorHAnsi" w:hAnsiTheme="majorHAnsi" w:cstheme="majorHAnsi"/>
                <w:color w:val="000000" w:themeColor="text1"/>
                <w:sz w:val="20"/>
                <w:szCs w:val="20"/>
                <w:lang w:val="ro-MD"/>
              </w:rPr>
              <w:t>ii constatate de către Curtea de Conturi.</w:t>
            </w:r>
          </w:p>
          <w:p w14:paraId="0D50E789" w14:textId="5DAD1923" w:rsidR="00FD65B6" w:rsidRPr="00B13B9A" w:rsidRDefault="00FD65B6" w:rsidP="00332FF7">
            <w:pPr>
              <w:jc w:val="both"/>
              <w:rPr>
                <w:rFonts w:asciiTheme="majorHAnsi" w:hAnsiTheme="majorHAnsi" w:cstheme="majorHAnsi"/>
                <w:color w:val="000000" w:themeColor="text1"/>
                <w:sz w:val="20"/>
                <w:szCs w:val="20"/>
                <w:lang w:val="ro-MD"/>
              </w:rPr>
            </w:pPr>
            <w:r w:rsidRPr="00B13B9A">
              <w:rPr>
                <w:rFonts w:asciiTheme="majorHAnsi" w:hAnsiTheme="majorHAnsi" w:cstheme="majorHAnsi"/>
                <w:color w:val="000000" w:themeColor="text1"/>
                <w:sz w:val="20"/>
                <w:szCs w:val="20"/>
                <w:lang w:val="ro-MD"/>
              </w:rPr>
              <w:t>De asemenea în baza Programului na</w:t>
            </w:r>
            <w:r w:rsidR="00B13B9A" w:rsidRPr="00B13B9A">
              <w:rPr>
                <w:rFonts w:asciiTheme="majorHAnsi" w:hAnsiTheme="majorHAnsi" w:cstheme="majorHAnsi"/>
                <w:color w:val="000000" w:themeColor="text1"/>
                <w:sz w:val="20"/>
                <w:szCs w:val="20"/>
                <w:lang w:val="ro-MD"/>
              </w:rPr>
              <w:t>ț</w:t>
            </w:r>
            <w:r w:rsidRPr="00B13B9A">
              <w:rPr>
                <w:rFonts w:asciiTheme="majorHAnsi" w:hAnsiTheme="majorHAnsi" w:cstheme="majorHAnsi"/>
                <w:color w:val="000000" w:themeColor="text1"/>
                <w:sz w:val="20"/>
                <w:szCs w:val="20"/>
                <w:lang w:val="ro-MD"/>
              </w:rPr>
              <w:t xml:space="preserve">ional de control a tuberculozei pentru anii 2022-2025 aprobat prin HG nr.107 din 23.02.2022 este anexa nr.8 la prezentul regulament cu stabilirea tematicelor </w:t>
            </w:r>
            <w:r w:rsidR="00B13B9A" w:rsidRPr="00B13B9A">
              <w:rPr>
                <w:rFonts w:asciiTheme="majorHAnsi" w:hAnsiTheme="majorHAnsi" w:cstheme="majorHAnsi"/>
                <w:color w:val="000000" w:themeColor="text1"/>
                <w:sz w:val="20"/>
                <w:szCs w:val="20"/>
                <w:lang w:val="ro-MD"/>
              </w:rPr>
              <w:t>ș</w:t>
            </w:r>
            <w:r w:rsidRPr="00B13B9A">
              <w:rPr>
                <w:rFonts w:asciiTheme="majorHAnsi" w:hAnsiTheme="majorHAnsi" w:cstheme="majorHAnsi"/>
                <w:color w:val="000000" w:themeColor="text1"/>
                <w:sz w:val="20"/>
                <w:szCs w:val="20"/>
                <w:lang w:val="ro-MD"/>
              </w:rPr>
              <w:t>i persoanelor responsabile la răspunsul tuberculozei în institu</w:t>
            </w:r>
            <w:r w:rsidR="00B13B9A" w:rsidRPr="00B13B9A">
              <w:rPr>
                <w:rFonts w:asciiTheme="majorHAnsi" w:hAnsiTheme="majorHAnsi" w:cstheme="majorHAnsi"/>
                <w:color w:val="000000" w:themeColor="text1"/>
                <w:sz w:val="20"/>
                <w:szCs w:val="20"/>
                <w:lang w:val="ro-MD"/>
              </w:rPr>
              <w:t>ț</w:t>
            </w:r>
            <w:r w:rsidRPr="00B13B9A">
              <w:rPr>
                <w:rFonts w:asciiTheme="majorHAnsi" w:hAnsiTheme="majorHAnsi" w:cstheme="majorHAnsi"/>
                <w:color w:val="000000" w:themeColor="text1"/>
                <w:sz w:val="20"/>
                <w:szCs w:val="20"/>
                <w:lang w:val="ro-MD"/>
              </w:rPr>
              <w:t>iile penitenciare.</w:t>
            </w:r>
          </w:p>
        </w:tc>
        <w:tc>
          <w:tcPr>
            <w:tcW w:w="2835" w:type="dxa"/>
            <w:shd w:val="clear" w:color="auto" w:fill="auto"/>
          </w:tcPr>
          <w:p w14:paraId="73CF2292" w14:textId="06069513" w:rsidR="00FD65B6" w:rsidRPr="00B13B9A" w:rsidRDefault="00FD65B6" w:rsidP="00332FF7">
            <w:pPr>
              <w:ind w:right="38"/>
              <w:jc w:val="both"/>
              <w:rPr>
                <w:rFonts w:asciiTheme="majorHAnsi" w:hAnsiTheme="majorHAnsi" w:cstheme="majorHAnsi"/>
                <w:color w:val="000000" w:themeColor="text1"/>
                <w:sz w:val="20"/>
                <w:szCs w:val="20"/>
                <w:lang w:val="ro-MD"/>
              </w:rPr>
            </w:pPr>
            <w:r w:rsidRPr="00B13B9A">
              <w:rPr>
                <w:rFonts w:asciiTheme="majorHAnsi" w:hAnsiTheme="majorHAnsi" w:cstheme="majorHAnsi"/>
                <w:color w:val="000000" w:themeColor="text1"/>
                <w:sz w:val="20"/>
                <w:szCs w:val="20"/>
                <w:lang w:val="ro-MD"/>
              </w:rPr>
              <w:t>Anexa nr.8 la ordinul Ministerului Sănătă</w:t>
            </w:r>
            <w:r w:rsidR="00B13B9A" w:rsidRPr="00B13B9A">
              <w:rPr>
                <w:rFonts w:asciiTheme="majorHAnsi" w:hAnsiTheme="majorHAnsi" w:cstheme="majorHAnsi"/>
                <w:color w:val="000000" w:themeColor="text1"/>
                <w:sz w:val="20"/>
                <w:szCs w:val="20"/>
                <w:lang w:val="ro-MD"/>
              </w:rPr>
              <w:t>ț</w:t>
            </w:r>
            <w:r w:rsidRPr="00B13B9A">
              <w:rPr>
                <w:rFonts w:asciiTheme="majorHAnsi" w:hAnsiTheme="majorHAnsi" w:cstheme="majorHAnsi"/>
                <w:color w:val="000000" w:themeColor="text1"/>
                <w:sz w:val="20"/>
                <w:szCs w:val="20"/>
                <w:lang w:val="ro-MD"/>
              </w:rPr>
              <w:t>ii nr.432 din 11.05.2022 Răspunsul la TB în institu</w:t>
            </w:r>
            <w:r w:rsidR="00B13B9A" w:rsidRPr="00B13B9A">
              <w:rPr>
                <w:rFonts w:asciiTheme="majorHAnsi" w:hAnsiTheme="majorHAnsi" w:cstheme="majorHAnsi"/>
                <w:color w:val="000000" w:themeColor="text1"/>
                <w:sz w:val="20"/>
                <w:szCs w:val="20"/>
                <w:lang w:val="ro-MD"/>
              </w:rPr>
              <w:t>ț</w:t>
            </w:r>
            <w:r w:rsidRPr="00B13B9A">
              <w:rPr>
                <w:rFonts w:asciiTheme="majorHAnsi" w:hAnsiTheme="majorHAnsi" w:cstheme="majorHAnsi"/>
                <w:color w:val="000000" w:themeColor="text1"/>
                <w:sz w:val="20"/>
                <w:szCs w:val="20"/>
                <w:lang w:val="ro-MD"/>
              </w:rPr>
              <w:t>iile penitenciare.</w:t>
            </w:r>
          </w:p>
          <w:p w14:paraId="6C6E36E5" w14:textId="348202D4" w:rsidR="00FD65B6" w:rsidRPr="00B13B9A" w:rsidRDefault="00FD65B6" w:rsidP="00332FF7">
            <w:pPr>
              <w:ind w:right="38"/>
              <w:jc w:val="both"/>
              <w:rPr>
                <w:rFonts w:asciiTheme="majorHAnsi" w:hAnsiTheme="majorHAnsi" w:cstheme="majorHAnsi"/>
                <w:color w:val="000000" w:themeColor="text1"/>
                <w:sz w:val="20"/>
                <w:szCs w:val="20"/>
                <w:lang w:val="ro-MD"/>
              </w:rPr>
            </w:pPr>
            <w:r w:rsidRPr="00B13B9A">
              <w:rPr>
                <w:rFonts w:asciiTheme="majorHAnsi" w:hAnsiTheme="majorHAnsi" w:cstheme="majorHAnsi"/>
                <w:color w:val="000000" w:themeColor="text1"/>
                <w:sz w:val="20"/>
                <w:szCs w:val="20"/>
                <w:lang w:val="ro-MD"/>
              </w:rPr>
              <w:t>De asemenea</w:t>
            </w:r>
            <w:r w:rsidR="00693658" w:rsidRPr="00B13B9A">
              <w:rPr>
                <w:rFonts w:asciiTheme="majorHAnsi" w:hAnsiTheme="majorHAnsi" w:cstheme="majorHAnsi"/>
                <w:color w:val="000000" w:themeColor="text1"/>
                <w:sz w:val="20"/>
                <w:szCs w:val="20"/>
                <w:lang w:val="ro-MD"/>
              </w:rPr>
              <w:t>,</w:t>
            </w:r>
            <w:r w:rsidRPr="00B13B9A">
              <w:rPr>
                <w:rFonts w:asciiTheme="majorHAnsi" w:hAnsiTheme="majorHAnsi" w:cstheme="majorHAnsi"/>
                <w:color w:val="000000" w:themeColor="text1"/>
                <w:sz w:val="20"/>
                <w:szCs w:val="20"/>
                <w:lang w:val="ro-MD"/>
              </w:rPr>
              <w:t xml:space="preserve"> în baza Programului na</w:t>
            </w:r>
            <w:r w:rsidR="00B13B9A" w:rsidRPr="00B13B9A">
              <w:rPr>
                <w:rFonts w:asciiTheme="majorHAnsi" w:hAnsiTheme="majorHAnsi" w:cstheme="majorHAnsi"/>
                <w:color w:val="000000" w:themeColor="text1"/>
                <w:sz w:val="20"/>
                <w:szCs w:val="20"/>
                <w:lang w:val="ro-MD"/>
              </w:rPr>
              <w:t>ț</w:t>
            </w:r>
            <w:r w:rsidRPr="00B13B9A">
              <w:rPr>
                <w:rFonts w:asciiTheme="majorHAnsi" w:hAnsiTheme="majorHAnsi" w:cstheme="majorHAnsi"/>
                <w:color w:val="000000" w:themeColor="text1"/>
                <w:sz w:val="20"/>
                <w:szCs w:val="20"/>
                <w:lang w:val="ro-MD"/>
              </w:rPr>
              <w:t>ional de control a</w:t>
            </w:r>
            <w:r w:rsidR="00693658" w:rsidRPr="00B13B9A">
              <w:rPr>
                <w:rFonts w:asciiTheme="majorHAnsi" w:hAnsiTheme="majorHAnsi" w:cstheme="majorHAnsi"/>
                <w:color w:val="000000" w:themeColor="text1"/>
                <w:sz w:val="20"/>
                <w:szCs w:val="20"/>
                <w:lang w:val="ro-MD"/>
              </w:rPr>
              <w:t>l</w:t>
            </w:r>
            <w:r w:rsidRPr="00B13B9A">
              <w:rPr>
                <w:rFonts w:asciiTheme="majorHAnsi" w:hAnsiTheme="majorHAnsi" w:cstheme="majorHAnsi"/>
                <w:color w:val="000000" w:themeColor="text1"/>
                <w:sz w:val="20"/>
                <w:szCs w:val="20"/>
                <w:lang w:val="ro-MD"/>
              </w:rPr>
              <w:t xml:space="preserve"> tuberculozei pentru anii 2022-2025</w:t>
            </w:r>
            <w:r w:rsidR="00693658" w:rsidRPr="00B13B9A">
              <w:rPr>
                <w:rFonts w:asciiTheme="majorHAnsi" w:hAnsiTheme="majorHAnsi" w:cstheme="majorHAnsi"/>
                <w:color w:val="000000" w:themeColor="text1"/>
                <w:sz w:val="20"/>
                <w:szCs w:val="20"/>
                <w:lang w:val="ro-MD"/>
              </w:rPr>
              <w:t>,</w:t>
            </w:r>
            <w:r w:rsidRPr="00B13B9A">
              <w:rPr>
                <w:rFonts w:asciiTheme="majorHAnsi" w:hAnsiTheme="majorHAnsi" w:cstheme="majorHAnsi"/>
                <w:color w:val="000000" w:themeColor="text1"/>
                <w:sz w:val="20"/>
                <w:szCs w:val="20"/>
                <w:lang w:val="ro-MD"/>
              </w:rPr>
              <w:t xml:space="preserve"> aprobat prin HG nr.107 din 23.02.2022 este anexa nr.8 la prezentul regulament cu stabilirea tematicelor </w:t>
            </w:r>
            <w:r w:rsidR="00B13B9A" w:rsidRPr="00B13B9A">
              <w:rPr>
                <w:rFonts w:asciiTheme="majorHAnsi" w:hAnsiTheme="majorHAnsi" w:cstheme="majorHAnsi"/>
                <w:color w:val="000000" w:themeColor="text1"/>
                <w:sz w:val="20"/>
                <w:szCs w:val="20"/>
                <w:lang w:val="ro-MD"/>
              </w:rPr>
              <w:t>ș</w:t>
            </w:r>
            <w:r w:rsidRPr="00B13B9A">
              <w:rPr>
                <w:rFonts w:asciiTheme="majorHAnsi" w:hAnsiTheme="majorHAnsi" w:cstheme="majorHAnsi"/>
                <w:color w:val="000000" w:themeColor="text1"/>
                <w:sz w:val="20"/>
                <w:szCs w:val="20"/>
                <w:lang w:val="ro-MD"/>
              </w:rPr>
              <w:t>i persoanelor responsabile la răspunsul tuberculozei în institu</w:t>
            </w:r>
            <w:r w:rsidR="00B13B9A" w:rsidRPr="00B13B9A">
              <w:rPr>
                <w:rFonts w:asciiTheme="majorHAnsi" w:hAnsiTheme="majorHAnsi" w:cstheme="majorHAnsi"/>
                <w:color w:val="000000" w:themeColor="text1"/>
                <w:sz w:val="20"/>
                <w:szCs w:val="20"/>
                <w:lang w:val="ro-MD"/>
              </w:rPr>
              <w:t>ț</w:t>
            </w:r>
            <w:r w:rsidRPr="00B13B9A">
              <w:rPr>
                <w:rFonts w:asciiTheme="majorHAnsi" w:hAnsiTheme="majorHAnsi" w:cstheme="majorHAnsi"/>
                <w:color w:val="000000" w:themeColor="text1"/>
                <w:sz w:val="20"/>
                <w:szCs w:val="20"/>
                <w:lang w:val="ro-MD"/>
              </w:rPr>
              <w:t>iile penitenciare</w:t>
            </w:r>
          </w:p>
        </w:tc>
        <w:tc>
          <w:tcPr>
            <w:tcW w:w="1344" w:type="dxa"/>
            <w:shd w:val="clear" w:color="auto" w:fill="auto"/>
          </w:tcPr>
          <w:p w14:paraId="5B3CD2C5" w14:textId="77777777" w:rsidR="00FD65B6" w:rsidRPr="00B13B9A" w:rsidRDefault="00FD65B6" w:rsidP="00332FF7">
            <w:pPr>
              <w:jc w:val="both"/>
              <w:rPr>
                <w:rFonts w:asciiTheme="majorHAnsi" w:hAnsiTheme="majorHAnsi" w:cstheme="majorHAnsi"/>
                <w:color w:val="000000" w:themeColor="text1"/>
                <w:sz w:val="20"/>
                <w:szCs w:val="20"/>
                <w:lang w:val="ro-MD"/>
              </w:rPr>
            </w:pPr>
            <w:r w:rsidRPr="00B13B9A">
              <w:rPr>
                <w:rFonts w:asciiTheme="majorHAnsi" w:hAnsiTheme="majorHAnsi" w:cstheme="majorHAnsi"/>
                <w:b/>
                <w:i/>
                <w:color w:val="000000" w:themeColor="text1"/>
                <w:sz w:val="20"/>
                <w:szCs w:val="20"/>
                <w:lang w:val="ro-MD"/>
              </w:rPr>
              <w:t>Recomandare implementată</w:t>
            </w:r>
          </w:p>
        </w:tc>
      </w:tr>
      <w:tr w:rsidR="00FD65B6" w:rsidRPr="00B13B9A" w14:paraId="1C2D8EC8" w14:textId="77777777" w:rsidTr="00332FF7">
        <w:trPr>
          <w:gridAfter w:val="1"/>
          <w:wAfter w:w="24" w:type="dxa"/>
        </w:trPr>
        <w:tc>
          <w:tcPr>
            <w:tcW w:w="576" w:type="dxa"/>
            <w:shd w:val="clear" w:color="auto" w:fill="auto"/>
          </w:tcPr>
          <w:p w14:paraId="7DB5F1CF" w14:textId="77777777" w:rsidR="00FD65B6" w:rsidRPr="00B13B9A" w:rsidRDefault="00FD65B6" w:rsidP="00332FF7">
            <w:pPr>
              <w:jc w:val="center"/>
              <w:rPr>
                <w:rFonts w:asciiTheme="majorHAnsi" w:hAnsiTheme="majorHAnsi" w:cstheme="majorHAnsi"/>
                <w:b/>
                <w:i/>
                <w:color w:val="000000" w:themeColor="text1"/>
                <w:sz w:val="20"/>
                <w:szCs w:val="20"/>
                <w:lang w:val="ro-MD"/>
              </w:rPr>
            </w:pPr>
          </w:p>
        </w:tc>
        <w:tc>
          <w:tcPr>
            <w:tcW w:w="837" w:type="dxa"/>
            <w:shd w:val="clear" w:color="auto" w:fill="auto"/>
          </w:tcPr>
          <w:p w14:paraId="480A8D02" w14:textId="77777777" w:rsidR="00FD65B6" w:rsidRPr="00B13B9A" w:rsidRDefault="00FD65B6" w:rsidP="00332FF7">
            <w:pPr>
              <w:jc w:val="center"/>
              <w:rPr>
                <w:rFonts w:asciiTheme="majorHAnsi" w:hAnsiTheme="majorHAnsi" w:cstheme="majorHAnsi"/>
                <w:b/>
                <w:i/>
                <w:color w:val="000000" w:themeColor="text1"/>
                <w:sz w:val="20"/>
                <w:szCs w:val="20"/>
                <w:lang w:val="ro-MD"/>
              </w:rPr>
            </w:pPr>
            <w:r w:rsidRPr="00B13B9A">
              <w:rPr>
                <w:rFonts w:asciiTheme="majorHAnsi" w:hAnsiTheme="majorHAnsi" w:cstheme="majorHAnsi"/>
                <w:b/>
                <w:i/>
                <w:color w:val="000000" w:themeColor="text1"/>
                <w:sz w:val="20"/>
                <w:szCs w:val="20"/>
                <w:lang w:val="ro-MD"/>
              </w:rPr>
              <w:t>1.1</w:t>
            </w:r>
          </w:p>
        </w:tc>
        <w:tc>
          <w:tcPr>
            <w:tcW w:w="2977" w:type="dxa"/>
            <w:shd w:val="clear" w:color="auto" w:fill="auto"/>
          </w:tcPr>
          <w:p w14:paraId="57D0547A" w14:textId="4F45DFC4" w:rsidR="00FD65B6" w:rsidRPr="00B13B9A" w:rsidRDefault="00FD65B6" w:rsidP="00332FF7">
            <w:pPr>
              <w:jc w:val="both"/>
              <w:rPr>
                <w:rFonts w:asciiTheme="majorHAnsi" w:hAnsiTheme="majorHAnsi" w:cstheme="majorHAnsi"/>
                <w:i/>
                <w:color w:val="000000" w:themeColor="text1"/>
                <w:sz w:val="20"/>
                <w:szCs w:val="20"/>
                <w:lang w:val="ro-MD"/>
              </w:rPr>
            </w:pPr>
            <w:r w:rsidRPr="00B13B9A">
              <w:rPr>
                <w:rFonts w:asciiTheme="majorHAnsi" w:hAnsiTheme="majorHAnsi" w:cstheme="majorHAnsi"/>
                <w:i/>
                <w:color w:val="000000" w:themeColor="text1"/>
                <w:sz w:val="20"/>
                <w:szCs w:val="20"/>
                <w:lang w:val="ro-MD"/>
              </w:rPr>
              <w:t>Examinării de</w:t>
            </w:r>
            <w:r w:rsidR="00B13B9A" w:rsidRPr="00B13B9A">
              <w:rPr>
                <w:rFonts w:asciiTheme="majorHAnsi" w:hAnsiTheme="majorHAnsi" w:cstheme="majorHAnsi"/>
                <w:i/>
                <w:color w:val="000000" w:themeColor="text1"/>
                <w:sz w:val="20"/>
                <w:szCs w:val="20"/>
                <w:lang w:val="ro-MD"/>
              </w:rPr>
              <w:t>ț</w:t>
            </w:r>
            <w:r w:rsidRPr="00B13B9A">
              <w:rPr>
                <w:rFonts w:asciiTheme="majorHAnsi" w:hAnsiTheme="majorHAnsi" w:cstheme="majorHAnsi"/>
                <w:i/>
                <w:color w:val="000000" w:themeColor="text1"/>
                <w:sz w:val="20"/>
                <w:szCs w:val="20"/>
                <w:lang w:val="ro-MD"/>
              </w:rPr>
              <w:t>inu</w:t>
            </w:r>
            <w:r w:rsidR="00B13B9A" w:rsidRPr="00B13B9A">
              <w:rPr>
                <w:rFonts w:asciiTheme="majorHAnsi" w:hAnsiTheme="majorHAnsi" w:cstheme="majorHAnsi"/>
                <w:i/>
                <w:color w:val="000000" w:themeColor="text1"/>
                <w:sz w:val="20"/>
                <w:szCs w:val="20"/>
                <w:lang w:val="ro-MD"/>
              </w:rPr>
              <w:t>ț</w:t>
            </w:r>
            <w:r w:rsidRPr="00B13B9A">
              <w:rPr>
                <w:rFonts w:asciiTheme="majorHAnsi" w:hAnsiTheme="majorHAnsi" w:cstheme="majorHAnsi"/>
                <w:i/>
                <w:color w:val="000000" w:themeColor="text1"/>
                <w:sz w:val="20"/>
                <w:szCs w:val="20"/>
                <w:lang w:val="ro-MD"/>
              </w:rPr>
              <w:t>ilor prin realizarea screening-ului radiografic de două ori pe an (pct.4.15.1.)</w:t>
            </w:r>
          </w:p>
        </w:tc>
        <w:tc>
          <w:tcPr>
            <w:tcW w:w="5670" w:type="dxa"/>
            <w:shd w:val="clear" w:color="auto" w:fill="auto"/>
          </w:tcPr>
          <w:p w14:paraId="6E45A27C" w14:textId="2B395F80" w:rsidR="00FD65B6" w:rsidRPr="00B13B9A" w:rsidRDefault="00FD65B6" w:rsidP="00332FF7">
            <w:pPr>
              <w:jc w:val="both"/>
              <w:rPr>
                <w:rFonts w:asciiTheme="majorHAnsi" w:hAnsiTheme="majorHAnsi" w:cstheme="majorHAnsi"/>
                <w:color w:val="000000"/>
                <w:sz w:val="20"/>
                <w:szCs w:val="20"/>
                <w:lang w:val="ro-MD"/>
              </w:rPr>
            </w:pPr>
            <w:r w:rsidRPr="00B13B9A">
              <w:rPr>
                <w:rFonts w:asciiTheme="majorHAnsi" w:hAnsiTheme="majorHAnsi" w:cstheme="majorHAnsi"/>
                <w:b/>
                <w:i/>
                <w:color w:val="000000"/>
                <w:sz w:val="20"/>
                <w:szCs w:val="20"/>
                <w:u w:val="single"/>
                <w:lang w:val="ro-MD"/>
              </w:rPr>
              <w:t>Scrisoare MJ din 01.5/5633 din 31.07.2020:</w:t>
            </w:r>
            <w:r w:rsidRPr="00B13B9A">
              <w:rPr>
                <w:rFonts w:asciiTheme="majorHAnsi" w:hAnsiTheme="majorHAnsi" w:cstheme="majorHAnsi"/>
                <w:color w:val="000000"/>
                <w:sz w:val="20"/>
                <w:szCs w:val="20"/>
                <w:lang w:val="ro-MD"/>
              </w:rPr>
              <w:t xml:space="preserve"> Prin intermediul Centrul de achizi</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ii publice în sănătate s-a solicitat achizi</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ia de mentenan</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ă a utilajului medical, astfel aceasta va fi realizată de către speciali</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ti califica</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i în domeniu pe baza de contractare servicii.</w:t>
            </w:r>
          </w:p>
          <w:p w14:paraId="00776AE8" w14:textId="235D2EA0" w:rsidR="00FD65B6" w:rsidRPr="00B13B9A" w:rsidRDefault="00FD65B6" w:rsidP="00332FF7">
            <w:pPr>
              <w:jc w:val="both"/>
              <w:rPr>
                <w:rFonts w:asciiTheme="majorHAnsi" w:hAnsiTheme="majorHAnsi" w:cstheme="majorHAnsi"/>
                <w:color w:val="000000"/>
                <w:sz w:val="20"/>
                <w:szCs w:val="20"/>
                <w:lang w:val="ro-MD"/>
              </w:rPr>
            </w:pPr>
            <w:r w:rsidRPr="00B13B9A">
              <w:rPr>
                <w:rFonts w:asciiTheme="majorHAnsi" w:hAnsiTheme="majorHAnsi" w:cstheme="majorHAnsi"/>
                <w:color w:val="000000"/>
                <w:sz w:val="20"/>
                <w:szCs w:val="20"/>
                <w:lang w:val="ro-MD"/>
              </w:rPr>
              <w:t>În anul 2020 screening-ul radiologic nu a fost posibil de efectuat din cauza situa</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 xml:space="preserve">iei epidemiologice cu COVID-19 la nivel de </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ară.</w:t>
            </w:r>
          </w:p>
          <w:p w14:paraId="004D0380" w14:textId="38966212" w:rsidR="00FD65B6" w:rsidRPr="00B13B9A" w:rsidRDefault="00FD65B6" w:rsidP="00332FF7">
            <w:pPr>
              <w:jc w:val="both"/>
              <w:rPr>
                <w:rFonts w:asciiTheme="majorHAnsi" w:hAnsiTheme="majorHAnsi" w:cstheme="majorHAnsi"/>
                <w:color w:val="000000"/>
                <w:sz w:val="20"/>
                <w:szCs w:val="20"/>
                <w:lang w:val="ro-MD"/>
              </w:rPr>
            </w:pPr>
            <w:r w:rsidRPr="00B13B9A">
              <w:rPr>
                <w:rFonts w:asciiTheme="majorHAnsi" w:hAnsiTheme="majorHAnsi" w:cstheme="majorHAnsi"/>
                <w:color w:val="000000"/>
                <w:sz w:val="20"/>
                <w:szCs w:val="20"/>
                <w:lang w:val="ro-MD"/>
              </w:rPr>
              <w:t>Odată cu relaxarea restric</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 xml:space="preserve">iilor epidemiologice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i posibilitatea realizării screening-ul radiologic în institu</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iile penitenciare, acest proces va fi reluat.</w:t>
            </w:r>
          </w:p>
        </w:tc>
        <w:tc>
          <w:tcPr>
            <w:tcW w:w="2835" w:type="dxa"/>
            <w:shd w:val="clear" w:color="auto" w:fill="auto"/>
          </w:tcPr>
          <w:p w14:paraId="258C0857" w14:textId="01FDF956" w:rsidR="00FD65B6" w:rsidRPr="00B13B9A" w:rsidRDefault="00FD65B6" w:rsidP="00332FF7">
            <w:pPr>
              <w:jc w:val="both"/>
              <w:rPr>
                <w:rFonts w:asciiTheme="majorHAnsi" w:hAnsiTheme="majorHAnsi" w:cstheme="majorHAnsi"/>
                <w:color w:val="000000" w:themeColor="text1"/>
                <w:sz w:val="20"/>
                <w:szCs w:val="20"/>
                <w:lang w:val="ro-MD"/>
              </w:rPr>
            </w:pPr>
            <w:r w:rsidRPr="00B13B9A">
              <w:rPr>
                <w:rFonts w:asciiTheme="majorHAnsi" w:hAnsiTheme="majorHAnsi" w:cstheme="majorHAnsi"/>
                <w:color w:val="000000" w:themeColor="text1"/>
                <w:sz w:val="20"/>
                <w:szCs w:val="20"/>
                <w:lang w:val="ro-MD"/>
              </w:rPr>
              <w:t>Potrivit informa</w:t>
            </w:r>
            <w:r w:rsidR="00B13B9A" w:rsidRPr="00B13B9A">
              <w:rPr>
                <w:rFonts w:asciiTheme="majorHAnsi" w:hAnsiTheme="majorHAnsi" w:cstheme="majorHAnsi"/>
                <w:color w:val="000000" w:themeColor="text1"/>
                <w:sz w:val="20"/>
                <w:szCs w:val="20"/>
                <w:lang w:val="ro-MD"/>
              </w:rPr>
              <w:t>ț</w:t>
            </w:r>
            <w:r w:rsidRPr="00B13B9A">
              <w:rPr>
                <w:rFonts w:asciiTheme="majorHAnsi" w:hAnsiTheme="majorHAnsi" w:cstheme="majorHAnsi"/>
                <w:color w:val="000000" w:themeColor="text1"/>
                <w:sz w:val="20"/>
                <w:szCs w:val="20"/>
                <w:lang w:val="ro-MD"/>
              </w:rPr>
              <w:t>iei prezentate de către Ministerul Justi</w:t>
            </w:r>
            <w:r w:rsidR="00B13B9A" w:rsidRPr="00B13B9A">
              <w:rPr>
                <w:rFonts w:asciiTheme="majorHAnsi" w:hAnsiTheme="majorHAnsi" w:cstheme="majorHAnsi"/>
                <w:color w:val="000000" w:themeColor="text1"/>
                <w:sz w:val="20"/>
                <w:szCs w:val="20"/>
                <w:lang w:val="ro-MD"/>
              </w:rPr>
              <w:t>ț</w:t>
            </w:r>
            <w:r w:rsidRPr="00B13B9A">
              <w:rPr>
                <w:rFonts w:asciiTheme="majorHAnsi" w:hAnsiTheme="majorHAnsi" w:cstheme="majorHAnsi"/>
                <w:color w:val="000000" w:themeColor="text1"/>
                <w:sz w:val="20"/>
                <w:szCs w:val="20"/>
                <w:lang w:val="ro-MD"/>
              </w:rPr>
              <w:t>iei, procesul de screening radiologic este reluat îndată cu stoparea restric</w:t>
            </w:r>
            <w:r w:rsidR="00B13B9A" w:rsidRPr="00B13B9A">
              <w:rPr>
                <w:rFonts w:asciiTheme="majorHAnsi" w:hAnsiTheme="majorHAnsi" w:cstheme="majorHAnsi"/>
                <w:color w:val="000000" w:themeColor="text1"/>
                <w:sz w:val="20"/>
                <w:szCs w:val="20"/>
                <w:lang w:val="ro-MD"/>
              </w:rPr>
              <w:t>ț</w:t>
            </w:r>
            <w:r w:rsidRPr="00B13B9A">
              <w:rPr>
                <w:rFonts w:asciiTheme="majorHAnsi" w:hAnsiTheme="majorHAnsi" w:cstheme="majorHAnsi"/>
                <w:color w:val="000000" w:themeColor="text1"/>
                <w:sz w:val="20"/>
                <w:szCs w:val="20"/>
                <w:lang w:val="ro-MD"/>
              </w:rPr>
              <w:t>iilor COVID-19</w:t>
            </w:r>
          </w:p>
        </w:tc>
        <w:tc>
          <w:tcPr>
            <w:tcW w:w="1344" w:type="dxa"/>
            <w:shd w:val="clear" w:color="auto" w:fill="auto"/>
          </w:tcPr>
          <w:p w14:paraId="0828B17C" w14:textId="77777777" w:rsidR="00FD65B6" w:rsidRPr="00B13B9A" w:rsidRDefault="00FD65B6" w:rsidP="00332FF7">
            <w:pPr>
              <w:jc w:val="both"/>
              <w:rPr>
                <w:rFonts w:asciiTheme="majorHAnsi" w:hAnsiTheme="majorHAnsi" w:cstheme="majorHAnsi"/>
                <w:b/>
                <w:i/>
                <w:color w:val="000000" w:themeColor="text1"/>
                <w:sz w:val="20"/>
                <w:szCs w:val="20"/>
                <w:lang w:val="ro-MD"/>
              </w:rPr>
            </w:pPr>
            <w:r w:rsidRPr="00B13B9A">
              <w:rPr>
                <w:rFonts w:asciiTheme="majorHAnsi" w:hAnsiTheme="majorHAnsi" w:cstheme="majorHAnsi"/>
                <w:b/>
                <w:i/>
                <w:color w:val="000000" w:themeColor="text1"/>
                <w:sz w:val="20"/>
                <w:szCs w:val="20"/>
                <w:lang w:val="ro-MD"/>
              </w:rPr>
              <w:t>Recomandare implementată</w:t>
            </w:r>
          </w:p>
        </w:tc>
      </w:tr>
      <w:tr w:rsidR="00FD65B6" w:rsidRPr="00B13B9A" w14:paraId="104F0052" w14:textId="77777777" w:rsidTr="00332FF7">
        <w:trPr>
          <w:gridAfter w:val="1"/>
          <w:wAfter w:w="24" w:type="dxa"/>
        </w:trPr>
        <w:tc>
          <w:tcPr>
            <w:tcW w:w="576" w:type="dxa"/>
            <w:shd w:val="clear" w:color="auto" w:fill="auto"/>
          </w:tcPr>
          <w:p w14:paraId="1ACB52FE" w14:textId="77777777" w:rsidR="00FD65B6" w:rsidRPr="00B13B9A" w:rsidRDefault="00FD65B6" w:rsidP="00332FF7">
            <w:pPr>
              <w:jc w:val="center"/>
              <w:rPr>
                <w:rFonts w:asciiTheme="majorHAnsi" w:hAnsiTheme="majorHAnsi" w:cstheme="majorHAnsi"/>
                <w:b/>
                <w:i/>
                <w:color w:val="000000" w:themeColor="text1"/>
                <w:sz w:val="20"/>
                <w:szCs w:val="20"/>
                <w:lang w:val="ro-MD"/>
              </w:rPr>
            </w:pPr>
          </w:p>
        </w:tc>
        <w:tc>
          <w:tcPr>
            <w:tcW w:w="837" w:type="dxa"/>
            <w:shd w:val="clear" w:color="auto" w:fill="auto"/>
          </w:tcPr>
          <w:p w14:paraId="053BA6EE" w14:textId="77777777" w:rsidR="00FD65B6" w:rsidRPr="00B13B9A" w:rsidRDefault="00FD65B6" w:rsidP="00332FF7">
            <w:pPr>
              <w:jc w:val="center"/>
              <w:rPr>
                <w:rFonts w:asciiTheme="majorHAnsi" w:hAnsiTheme="majorHAnsi" w:cstheme="majorHAnsi"/>
                <w:b/>
                <w:i/>
                <w:color w:val="000000" w:themeColor="text1"/>
                <w:sz w:val="20"/>
                <w:szCs w:val="20"/>
                <w:lang w:val="ro-MD"/>
              </w:rPr>
            </w:pPr>
            <w:r w:rsidRPr="00B13B9A">
              <w:rPr>
                <w:rFonts w:asciiTheme="majorHAnsi" w:hAnsiTheme="majorHAnsi" w:cstheme="majorHAnsi"/>
                <w:b/>
                <w:i/>
                <w:color w:val="000000" w:themeColor="text1"/>
                <w:sz w:val="20"/>
                <w:szCs w:val="20"/>
                <w:lang w:val="ro-MD"/>
              </w:rPr>
              <w:t>1.2</w:t>
            </w:r>
          </w:p>
        </w:tc>
        <w:tc>
          <w:tcPr>
            <w:tcW w:w="2977" w:type="dxa"/>
            <w:shd w:val="clear" w:color="auto" w:fill="auto"/>
          </w:tcPr>
          <w:p w14:paraId="5C7FA4F8" w14:textId="77777777" w:rsidR="00FD65B6" w:rsidRPr="00B13B9A" w:rsidRDefault="00FD65B6" w:rsidP="00332FF7">
            <w:pPr>
              <w:jc w:val="both"/>
              <w:rPr>
                <w:rFonts w:asciiTheme="majorHAnsi" w:hAnsiTheme="majorHAnsi" w:cstheme="majorHAnsi"/>
                <w:i/>
                <w:color w:val="000000" w:themeColor="text1"/>
                <w:sz w:val="20"/>
                <w:szCs w:val="20"/>
                <w:lang w:val="ro-MD"/>
              </w:rPr>
            </w:pPr>
            <w:r w:rsidRPr="00B13B9A">
              <w:rPr>
                <w:rFonts w:asciiTheme="majorHAnsi" w:hAnsiTheme="majorHAnsi" w:cstheme="majorHAnsi"/>
                <w:i/>
                <w:color w:val="000000" w:themeColor="text1"/>
                <w:sz w:val="20"/>
                <w:szCs w:val="20"/>
                <w:lang w:val="ro-MD"/>
              </w:rPr>
              <w:t>Examinării radiografice a persoanelor la intrarea în sistemul penitenciar (pct.4.15.2.)</w:t>
            </w:r>
          </w:p>
        </w:tc>
        <w:tc>
          <w:tcPr>
            <w:tcW w:w="5670" w:type="dxa"/>
            <w:shd w:val="clear" w:color="auto" w:fill="auto"/>
          </w:tcPr>
          <w:p w14:paraId="27E893E3" w14:textId="152C8398" w:rsidR="00FD65B6" w:rsidRPr="00B13B9A" w:rsidRDefault="00FD65B6" w:rsidP="00332FF7">
            <w:pPr>
              <w:jc w:val="both"/>
              <w:rPr>
                <w:rFonts w:asciiTheme="majorHAnsi" w:hAnsiTheme="majorHAnsi" w:cstheme="majorHAnsi"/>
                <w:color w:val="000000"/>
                <w:sz w:val="20"/>
                <w:szCs w:val="20"/>
                <w:lang w:val="ro-MD"/>
              </w:rPr>
            </w:pPr>
            <w:r w:rsidRPr="00B13B9A">
              <w:rPr>
                <w:rFonts w:asciiTheme="majorHAnsi" w:hAnsiTheme="majorHAnsi" w:cstheme="majorHAnsi"/>
                <w:b/>
                <w:i/>
                <w:color w:val="000000"/>
                <w:sz w:val="20"/>
                <w:szCs w:val="20"/>
                <w:u w:val="single"/>
                <w:lang w:val="ro-MD"/>
              </w:rPr>
              <w:t>Scrisoare MJ din 01.5/5633 din 31.07.2020:</w:t>
            </w:r>
            <w:r w:rsidRPr="00B13B9A">
              <w:rPr>
                <w:rFonts w:asciiTheme="majorHAnsi" w:hAnsiTheme="majorHAnsi" w:cstheme="majorHAnsi"/>
                <w:color w:val="000000"/>
                <w:sz w:val="20"/>
                <w:szCs w:val="20"/>
                <w:lang w:val="ro-MD"/>
              </w:rPr>
              <w:t xml:space="preserve"> La moment impedimentul care a servit drept cauză a nerespectării a fost înlăturat, utilajul radiologic din Penitenciarul nr.13 - Chi</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inău este func</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ional.</w:t>
            </w:r>
          </w:p>
        </w:tc>
        <w:tc>
          <w:tcPr>
            <w:tcW w:w="2835" w:type="dxa"/>
            <w:shd w:val="clear" w:color="auto" w:fill="auto"/>
          </w:tcPr>
          <w:p w14:paraId="207E447B" w14:textId="79F1CD4D" w:rsidR="00FD65B6" w:rsidRPr="00B13B9A" w:rsidRDefault="00FD65B6" w:rsidP="00332FF7">
            <w:pPr>
              <w:jc w:val="both"/>
              <w:rPr>
                <w:rFonts w:asciiTheme="majorHAnsi" w:hAnsiTheme="majorHAnsi" w:cstheme="majorHAnsi"/>
                <w:color w:val="000000" w:themeColor="text1"/>
                <w:sz w:val="20"/>
                <w:szCs w:val="20"/>
                <w:lang w:val="ro-MD"/>
              </w:rPr>
            </w:pPr>
            <w:r w:rsidRPr="00B13B9A">
              <w:rPr>
                <w:rFonts w:asciiTheme="majorHAnsi" w:hAnsiTheme="majorHAnsi" w:cstheme="majorHAnsi"/>
                <w:color w:val="000000" w:themeColor="text1"/>
                <w:sz w:val="20"/>
                <w:szCs w:val="20"/>
                <w:lang w:val="ro-MD"/>
              </w:rPr>
              <w:t>Potrivit informa</w:t>
            </w:r>
            <w:r w:rsidR="00B13B9A" w:rsidRPr="00B13B9A">
              <w:rPr>
                <w:rFonts w:asciiTheme="majorHAnsi" w:hAnsiTheme="majorHAnsi" w:cstheme="majorHAnsi"/>
                <w:color w:val="000000" w:themeColor="text1"/>
                <w:sz w:val="20"/>
                <w:szCs w:val="20"/>
                <w:lang w:val="ro-MD"/>
              </w:rPr>
              <w:t>ț</w:t>
            </w:r>
            <w:r w:rsidRPr="00B13B9A">
              <w:rPr>
                <w:rFonts w:asciiTheme="majorHAnsi" w:hAnsiTheme="majorHAnsi" w:cstheme="majorHAnsi"/>
                <w:color w:val="000000" w:themeColor="text1"/>
                <w:sz w:val="20"/>
                <w:szCs w:val="20"/>
                <w:lang w:val="ro-MD"/>
              </w:rPr>
              <w:t>iei prezentate de către Ministerul Justi</w:t>
            </w:r>
            <w:r w:rsidR="00B13B9A" w:rsidRPr="00B13B9A">
              <w:rPr>
                <w:rFonts w:asciiTheme="majorHAnsi" w:hAnsiTheme="majorHAnsi" w:cstheme="majorHAnsi"/>
                <w:color w:val="000000" w:themeColor="text1"/>
                <w:sz w:val="20"/>
                <w:szCs w:val="20"/>
                <w:lang w:val="ro-MD"/>
              </w:rPr>
              <w:t>ț</w:t>
            </w:r>
            <w:r w:rsidRPr="00B13B9A">
              <w:rPr>
                <w:rFonts w:asciiTheme="majorHAnsi" w:hAnsiTheme="majorHAnsi" w:cstheme="majorHAnsi"/>
                <w:color w:val="000000" w:themeColor="text1"/>
                <w:sz w:val="20"/>
                <w:szCs w:val="20"/>
                <w:lang w:val="ro-MD"/>
              </w:rPr>
              <w:t>iei, utilajul radiologic din Penitenciarul nr.13 – Chi</w:t>
            </w:r>
            <w:r w:rsidR="00B13B9A" w:rsidRPr="00B13B9A">
              <w:rPr>
                <w:rFonts w:asciiTheme="majorHAnsi" w:hAnsiTheme="majorHAnsi" w:cstheme="majorHAnsi"/>
                <w:color w:val="000000" w:themeColor="text1"/>
                <w:sz w:val="20"/>
                <w:szCs w:val="20"/>
                <w:lang w:val="ro-MD"/>
              </w:rPr>
              <w:t>ș</w:t>
            </w:r>
            <w:r w:rsidRPr="00B13B9A">
              <w:rPr>
                <w:rFonts w:asciiTheme="majorHAnsi" w:hAnsiTheme="majorHAnsi" w:cstheme="majorHAnsi"/>
                <w:color w:val="000000" w:themeColor="text1"/>
                <w:sz w:val="20"/>
                <w:szCs w:val="20"/>
                <w:lang w:val="ro-MD"/>
              </w:rPr>
              <w:t>inău func</w:t>
            </w:r>
            <w:r w:rsidR="00B13B9A" w:rsidRPr="00B13B9A">
              <w:rPr>
                <w:rFonts w:asciiTheme="majorHAnsi" w:hAnsiTheme="majorHAnsi" w:cstheme="majorHAnsi"/>
                <w:color w:val="000000" w:themeColor="text1"/>
                <w:sz w:val="20"/>
                <w:szCs w:val="20"/>
                <w:lang w:val="ro-MD"/>
              </w:rPr>
              <w:t>ț</w:t>
            </w:r>
            <w:r w:rsidRPr="00B13B9A">
              <w:rPr>
                <w:rFonts w:asciiTheme="majorHAnsi" w:hAnsiTheme="majorHAnsi" w:cstheme="majorHAnsi"/>
                <w:color w:val="000000" w:themeColor="text1"/>
                <w:sz w:val="20"/>
                <w:szCs w:val="20"/>
                <w:lang w:val="ro-MD"/>
              </w:rPr>
              <w:t>ionează</w:t>
            </w:r>
          </w:p>
        </w:tc>
        <w:tc>
          <w:tcPr>
            <w:tcW w:w="1344" w:type="dxa"/>
            <w:shd w:val="clear" w:color="auto" w:fill="auto"/>
          </w:tcPr>
          <w:p w14:paraId="2715F46F" w14:textId="77777777" w:rsidR="00FD65B6" w:rsidRPr="00B13B9A" w:rsidRDefault="00FD65B6" w:rsidP="00332FF7">
            <w:pPr>
              <w:jc w:val="both"/>
              <w:rPr>
                <w:rFonts w:asciiTheme="majorHAnsi" w:hAnsiTheme="majorHAnsi" w:cstheme="majorHAnsi"/>
                <w:b/>
                <w:i/>
                <w:color w:val="000000" w:themeColor="text1"/>
                <w:sz w:val="20"/>
                <w:szCs w:val="20"/>
                <w:lang w:val="ro-MD"/>
              </w:rPr>
            </w:pPr>
            <w:r w:rsidRPr="00B13B9A">
              <w:rPr>
                <w:rFonts w:asciiTheme="majorHAnsi" w:hAnsiTheme="majorHAnsi" w:cstheme="majorHAnsi"/>
                <w:b/>
                <w:i/>
                <w:color w:val="000000" w:themeColor="text1"/>
                <w:sz w:val="20"/>
                <w:szCs w:val="20"/>
                <w:lang w:val="ro-MD"/>
              </w:rPr>
              <w:t>Recomandare implementată</w:t>
            </w:r>
          </w:p>
        </w:tc>
      </w:tr>
      <w:tr w:rsidR="00FD65B6" w:rsidRPr="00B13B9A" w14:paraId="008331E0" w14:textId="77777777" w:rsidTr="00332FF7">
        <w:trPr>
          <w:gridAfter w:val="1"/>
          <w:wAfter w:w="24" w:type="dxa"/>
        </w:trPr>
        <w:tc>
          <w:tcPr>
            <w:tcW w:w="576" w:type="dxa"/>
            <w:shd w:val="clear" w:color="auto" w:fill="auto"/>
          </w:tcPr>
          <w:p w14:paraId="41CC13E5" w14:textId="77777777" w:rsidR="00FD65B6" w:rsidRPr="00B13B9A" w:rsidRDefault="00FD65B6" w:rsidP="00332FF7">
            <w:pPr>
              <w:jc w:val="center"/>
              <w:rPr>
                <w:rFonts w:asciiTheme="majorHAnsi" w:hAnsiTheme="majorHAnsi" w:cstheme="majorHAnsi"/>
                <w:b/>
                <w:i/>
                <w:color w:val="000000" w:themeColor="text1"/>
                <w:sz w:val="20"/>
                <w:szCs w:val="20"/>
                <w:lang w:val="ro-MD"/>
              </w:rPr>
            </w:pPr>
          </w:p>
        </w:tc>
        <w:tc>
          <w:tcPr>
            <w:tcW w:w="837" w:type="dxa"/>
            <w:shd w:val="clear" w:color="auto" w:fill="auto"/>
          </w:tcPr>
          <w:p w14:paraId="4D240451" w14:textId="77777777" w:rsidR="00FD65B6" w:rsidRPr="00B13B9A" w:rsidRDefault="00FD65B6" w:rsidP="00332FF7">
            <w:pPr>
              <w:jc w:val="center"/>
              <w:rPr>
                <w:rFonts w:asciiTheme="majorHAnsi" w:hAnsiTheme="majorHAnsi" w:cstheme="majorHAnsi"/>
                <w:b/>
                <w:i/>
                <w:color w:val="000000" w:themeColor="text1"/>
                <w:sz w:val="20"/>
                <w:szCs w:val="20"/>
                <w:lang w:val="ro-MD"/>
              </w:rPr>
            </w:pPr>
            <w:r w:rsidRPr="00B13B9A">
              <w:rPr>
                <w:rFonts w:asciiTheme="majorHAnsi" w:hAnsiTheme="majorHAnsi" w:cstheme="majorHAnsi"/>
                <w:b/>
                <w:i/>
                <w:color w:val="000000" w:themeColor="text1"/>
                <w:sz w:val="20"/>
                <w:szCs w:val="20"/>
                <w:lang w:val="ro-MD"/>
              </w:rPr>
              <w:t>1.3</w:t>
            </w:r>
          </w:p>
        </w:tc>
        <w:tc>
          <w:tcPr>
            <w:tcW w:w="2977" w:type="dxa"/>
            <w:shd w:val="clear" w:color="auto" w:fill="auto"/>
          </w:tcPr>
          <w:p w14:paraId="79C6863E" w14:textId="4C342F0A" w:rsidR="00FD65B6" w:rsidRPr="00B13B9A" w:rsidRDefault="00FD65B6" w:rsidP="00332FF7">
            <w:pPr>
              <w:jc w:val="both"/>
              <w:rPr>
                <w:rFonts w:asciiTheme="majorHAnsi" w:hAnsiTheme="majorHAnsi" w:cstheme="majorHAnsi"/>
                <w:i/>
                <w:color w:val="000000" w:themeColor="text1"/>
                <w:sz w:val="20"/>
                <w:szCs w:val="20"/>
                <w:lang w:val="ro-MD"/>
              </w:rPr>
            </w:pPr>
            <w:r w:rsidRPr="00B13B9A">
              <w:rPr>
                <w:rFonts w:asciiTheme="majorHAnsi" w:hAnsiTheme="majorHAnsi" w:cstheme="majorHAnsi"/>
                <w:i/>
                <w:color w:val="000000" w:themeColor="text1"/>
                <w:sz w:val="20"/>
                <w:szCs w:val="20"/>
                <w:lang w:val="ro-MD"/>
              </w:rPr>
              <w:t>Suficien</w:t>
            </w:r>
            <w:r w:rsidR="00B13B9A" w:rsidRPr="00B13B9A">
              <w:rPr>
                <w:rFonts w:asciiTheme="majorHAnsi" w:hAnsiTheme="majorHAnsi" w:cstheme="majorHAnsi"/>
                <w:i/>
                <w:color w:val="000000" w:themeColor="text1"/>
                <w:sz w:val="20"/>
                <w:szCs w:val="20"/>
                <w:lang w:val="ro-MD"/>
              </w:rPr>
              <w:t>ț</w:t>
            </w:r>
            <w:r w:rsidRPr="00B13B9A">
              <w:rPr>
                <w:rFonts w:asciiTheme="majorHAnsi" w:hAnsiTheme="majorHAnsi" w:cstheme="majorHAnsi"/>
                <w:i/>
                <w:color w:val="000000" w:themeColor="text1"/>
                <w:sz w:val="20"/>
                <w:szCs w:val="20"/>
                <w:lang w:val="ro-MD"/>
              </w:rPr>
              <w:t>ei stocurilor de medicamente necesare în administrarea tratamentului antituberculos, inclusiv prin desfă</w:t>
            </w:r>
            <w:r w:rsidR="00B13B9A" w:rsidRPr="00B13B9A">
              <w:rPr>
                <w:rFonts w:asciiTheme="majorHAnsi" w:hAnsiTheme="majorHAnsi" w:cstheme="majorHAnsi"/>
                <w:i/>
                <w:color w:val="000000" w:themeColor="text1"/>
                <w:sz w:val="20"/>
                <w:szCs w:val="20"/>
                <w:lang w:val="ro-MD"/>
              </w:rPr>
              <w:t>ș</w:t>
            </w:r>
            <w:r w:rsidRPr="00B13B9A">
              <w:rPr>
                <w:rFonts w:asciiTheme="majorHAnsi" w:hAnsiTheme="majorHAnsi" w:cstheme="majorHAnsi"/>
                <w:i/>
                <w:color w:val="000000" w:themeColor="text1"/>
                <w:sz w:val="20"/>
                <w:szCs w:val="20"/>
                <w:lang w:val="ro-MD"/>
              </w:rPr>
              <w:t>urarea regulamentară a procedurilor de inventariere (pct.4.15.4.)</w:t>
            </w:r>
          </w:p>
        </w:tc>
        <w:tc>
          <w:tcPr>
            <w:tcW w:w="5670" w:type="dxa"/>
            <w:shd w:val="clear" w:color="auto" w:fill="auto"/>
          </w:tcPr>
          <w:p w14:paraId="5018EB2A" w14:textId="181305BF" w:rsidR="00FD65B6" w:rsidRPr="00B13B9A" w:rsidRDefault="00FD65B6" w:rsidP="00332FF7">
            <w:pPr>
              <w:jc w:val="both"/>
              <w:rPr>
                <w:rFonts w:asciiTheme="majorHAnsi" w:hAnsiTheme="majorHAnsi" w:cstheme="majorHAnsi"/>
                <w:color w:val="000000"/>
                <w:sz w:val="20"/>
                <w:szCs w:val="20"/>
                <w:lang w:val="ro-MD"/>
              </w:rPr>
            </w:pPr>
            <w:r w:rsidRPr="00B13B9A">
              <w:rPr>
                <w:rFonts w:asciiTheme="majorHAnsi" w:hAnsiTheme="majorHAnsi" w:cstheme="majorHAnsi"/>
                <w:b/>
                <w:i/>
                <w:color w:val="000000"/>
                <w:sz w:val="20"/>
                <w:szCs w:val="20"/>
                <w:u w:val="single"/>
                <w:lang w:val="ro-MD"/>
              </w:rPr>
              <w:t>Scrisoare MJ din 01.5/5633 din 31.07.2020:</w:t>
            </w:r>
            <w:r w:rsidRPr="00B13B9A">
              <w:rPr>
                <w:rFonts w:asciiTheme="majorHAnsi" w:hAnsiTheme="majorHAnsi" w:cstheme="majorHAnsi"/>
                <w:color w:val="000000"/>
                <w:sz w:val="20"/>
                <w:szCs w:val="20"/>
                <w:lang w:val="ro-MD"/>
              </w:rPr>
              <w:t xml:space="preserve"> Procedura de inventariere se efectuează începând cu 1 noiembrie a fiecărui an, însă procedura de nimicire a medicamentelor este foarte anevoioasă. Direc</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ia medicală a Administra</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iei Na</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 xml:space="preserve">ionale a Penitenciarelor va întreprinde toate măsurile în vederea planificării, consumului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 xml:space="preserve">i controlului medicamentelor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 xml:space="preserve">i neadmiterea nimicirii lor. </w:t>
            </w:r>
          </w:p>
          <w:p w14:paraId="670280CC" w14:textId="67F6C606" w:rsidR="00FD65B6" w:rsidRPr="00B13B9A" w:rsidRDefault="00FD65B6" w:rsidP="00332FF7">
            <w:pPr>
              <w:jc w:val="both"/>
              <w:rPr>
                <w:rFonts w:asciiTheme="majorHAnsi" w:hAnsiTheme="majorHAnsi" w:cstheme="majorHAnsi"/>
                <w:color w:val="000000"/>
                <w:sz w:val="20"/>
                <w:szCs w:val="20"/>
                <w:lang w:val="ro-MD"/>
              </w:rPr>
            </w:pPr>
            <w:r w:rsidRPr="00B13B9A">
              <w:rPr>
                <w:rFonts w:asciiTheme="majorHAnsi" w:hAnsiTheme="majorHAnsi" w:cstheme="majorHAnsi"/>
                <w:color w:val="000000"/>
                <w:sz w:val="20"/>
                <w:szCs w:val="20"/>
                <w:lang w:val="ro-MD"/>
              </w:rPr>
              <w:t>Direc</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ia medicală a Administra</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iei Na</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ionale a Penitenciarelor a estimat necesarul de medicamente antituberculoase de linia I de comun cu speciali</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tii Institu</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 xml:space="preserve">iei medico-sanitare publice, Institutului de ftiziopneumologie ,,Chiril Draganiuc"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i remisă către Centrul de achizi</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ii publice în sănătate.</w:t>
            </w:r>
          </w:p>
        </w:tc>
        <w:tc>
          <w:tcPr>
            <w:tcW w:w="2835" w:type="dxa"/>
            <w:shd w:val="clear" w:color="auto" w:fill="auto"/>
          </w:tcPr>
          <w:p w14:paraId="66140A71" w14:textId="49944354" w:rsidR="00FD65B6" w:rsidRPr="00B13B9A" w:rsidRDefault="00FD65B6" w:rsidP="00332FF7">
            <w:pPr>
              <w:jc w:val="both"/>
              <w:rPr>
                <w:rFonts w:asciiTheme="majorHAnsi" w:hAnsiTheme="majorHAnsi" w:cstheme="majorHAnsi"/>
                <w:color w:val="000000"/>
                <w:sz w:val="20"/>
                <w:szCs w:val="20"/>
                <w:lang w:val="ro-MD"/>
              </w:rPr>
            </w:pPr>
            <w:r w:rsidRPr="00B13B9A">
              <w:rPr>
                <w:rFonts w:asciiTheme="majorHAnsi" w:hAnsiTheme="majorHAnsi" w:cstheme="majorHAnsi"/>
                <w:color w:val="000000"/>
                <w:sz w:val="20"/>
                <w:szCs w:val="20"/>
                <w:lang w:val="ro-MD"/>
              </w:rPr>
              <w:t>Direc</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ia medicală a Administra</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iei Na</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 xml:space="preserve">ionale a Penitenciarelor întreprinde toate măsurile în vederea planificării, consumului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 xml:space="preserve">i controlului medicamentelor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 xml:space="preserve">i neadmiterea nimicirii lor. </w:t>
            </w:r>
          </w:p>
          <w:p w14:paraId="29E18651" w14:textId="7823E19F" w:rsidR="00FD65B6" w:rsidRPr="00B13B9A" w:rsidRDefault="00FD65B6" w:rsidP="00332FF7">
            <w:pPr>
              <w:jc w:val="both"/>
              <w:rPr>
                <w:rFonts w:asciiTheme="majorHAnsi" w:hAnsiTheme="majorHAnsi" w:cstheme="majorHAnsi"/>
                <w:color w:val="000000" w:themeColor="text1"/>
                <w:sz w:val="20"/>
                <w:szCs w:val="20"/>
                <w:lang w:val="ro-MD"/>
              </w:rPr>
            </w:pPr>
            <w:r w:rsidRPr="00B13B9A">
              <w:rPr>
                <w:rFonts w:asciiTheme="majorHAnsi" w:hAnsiTheme="majorHAnsi" w:cstheme="majorHAnsi"/>
                <w:color w:val="000000"/>
                <w:sz w:val="20"/>
                <w:szCs w:val="20"/>
                <w:lang w:val="ro-MD"/>
              </w:rPr>
              <w:t>Direc</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ia medicală a Administra</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iei Na</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ionale a Penitenciarelor a estimat necesarul de medicamente antituberculoase de linia I de comun cu speciali</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tii Institu</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 xml:space="preserve">iei medico-sanitare publice, Institutul de ftiziopneumologie </w:t>
            </w:r>
            <w:r w:rsidR="00E92ECC" w:rsidRPr="00B13B9A">
              <w:rPr>
                <w:rFonts w:asciiTheme="majorHAnsi" w:hAnsiTheme="majorHAnsi" w:cstheme="majorHAnsi"/>
                <w:color w:val="000000"/>
                <w:sz w:val="20"/>
                <w:szCs w:val="20"/>
                <w:lang w:val="ro-MD"/>
              </w:rPr>
              <w:t>„</w:t>
            </w:r>
            <w:r w:rsidRPr="00B13B9A">
              <w:rPr>
                <w:rFonts w:asciiTheme="majorHAnsi" w:hAnsiTheme="majorHAnsi" w:cstheme="majorHAnsi"/>
                <w:color w:val="000000"/>
                <w:sz w:val="20"/>
                <w:szCs w:val="20"/>
                <w:lang w:val="ro-MD"/>
              </w:rPr>
              <w:t xml:space="preserve">Chiril Draganiuc"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i remisă către Centrul de achizi</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ii publice în sănătate</w:t>
            </w:r>
          </w:p>
        </w:tc>
        <w:tc>
          <w:tcPr>
            <w:tcW w:w="1344" w:type="dxa"/>
            <w:shd w:val="clear" w:color="auto" w:fill="auto"/>
          </w:tcPr>
          <w:p w14:paraId="4BEA8F2B" w14:textId="77777777" w:rsidR="00FD65B6" w:rsidRPr="00B13B9A" w:rsidRDefault="00FD65B6" w:rsidP="00332FF7">
            <w:pPr>
              <w:jc w:val="both"/>
              <w:rPr>
                <w:rFonts w:asciiTheme="majorHAnsi" w:hAnsiTheme="majorHAnsi" w:cstheme="majorHAnsi"/>
                <w:b/>
                <w:i/>
                <w:color w:val="000000" w:themeColor="text1"/>
                <w:sz w:val="20"/>
                <w:szCs w:val="20"/>
                <w:lang w:val="ro-MD"/>
              </w:rPr>
            </w:pPr>
            <w:r w:rsidRPr="00B13B9A">
              <w:rPr>
                <w:rFonts w:asciiTheme="majorHAnsi" w:hAnsiTheme="majorHAnsi" w:cstheme="majorHAnsi"/>
                <w:b/>
                <w:i/>
                <w:color w:val="000000" w:themeColor="text1"/>
                <w:sz w:val="20"/>
                <w:szCs w:val="20"/>
                <w:lang w:val="ro-MD"/>
              </w:rPr>
              <w:t>Recomandare implementată</w:t>
            </w:r>
          </w:p>
        </w:tc>
      </w:tr>
      <w:tr w:rsidR="00FD65B6" w:rsidRPr="00B13B9A" w14:paraId="397DDB70" w14:textId="77777777" w:rsidTr="00332FF7">
        <w:trPr>
          <w:gridAfter w:val="1"/>
          <w:wAfter w:w="24" w:type="dxa"/>
        </w:trPr>
        <w:tc>
          <w:tcPr>
            <w:tcW w:w="576" w:type="dxa"/>
            <w:shd w:val="clear" w:color="auto" w:fill="auto"/>
          </w:tcPr>
          <w:p w14:paraId="441D1C44" w14:textId="77777777" w:rsidR="00FD65B6" w:rsidRPr="00B13B9A" w:rsidRDefault="00FD65B6" w:rsidP="00332FF7">
            <w:pPr>
              <w:jc w:val="center"/>
              <w:rPr>
                <w:rFonts w:asciiTheme="majorHAnsi" w:hAnsiTheme="majorHAnsi" w:cstheme="majorHAnsi"/>
                <w:b/>
                <w:i/>
                <w:color w:val="000000" w:themeColor="text1"/>
                <w:sz w:val="20"/>
                <w:szCs w:val="20"/>
                <w:lang w:val="ro-MD"/>
              </w:rPr>
            </w:pPr>
          </w:p>
        </w:tc>
        <w:tc>
          <w:tcPr>
            <w:tcW w:w="837" w:type="dxa"/>
            <w:shd w:val="clear" w:color="auto" w:fill="auto"/>
          </w:tcPr>
          <w:p w14:paraId="2BD237E5" w14:textId="77777777" w:rsidR="00FD65B6" w:rsidRPr="00B13B9A" w:rsidRDefault="00FD65B6" w:rsidP="00332FF7">
            <w:pPr>
              <w:jc w:val="center"/>
              <w:rPr>
                <w:rFonts w:asciiTheme="majorHAnsi" w:hAnsiTheme="majorHAnsi" w:cstheme="majorHAnsi"/>
                <w:b/>
                <w:i/>
                <w:color w:val="000000" w:themeColor="text1"/>
                <w:sz w:val="20"/>
                <w:szCs w:val="20"/>
                <w:lang w:val="ro-MD"/>
              </w:rPr>
            </w:pPr>
            <w:r w:rsidRPr="00B13B9A">
              <w:rPr>
                <w:rFonts w:asciiTheme="majorHAnsi" w:hAnsiTheme="majorHAnsi" w:cstheme="majorHAnsi"/>
                <w:b/>
                <w:i/>
                <w:color w:val="000000" w:themeColor="text1"/>
                <w:sz w:val="20"/>
                <w:szCs w:val="20"/>
                <w:lang w:val="ro-MD"/>
              </w:rPr>
              <w:t>1.4</w:t>
            </w:r>
          </w:p>
        </w:tc>
        <w:tc>
          <w:tcPr>
            <w:tcW w:w="2977" w:type="dxa"/>
            <w:shd w:val="clear" w:color="auto" w:fill="auto"/>
          </w:tcPr>
          <w:p w14:paraId="3AB70D4E" w14:textId="072933A3" w:rsidR="00FD65B6" w:rsidRPr="00B13B9A" w:rsidRDefault="00FD65B6" w:rsidP="00332FF7">
            <w:pPr>
              <w:jc w:val="both"/>
              <w:rPr>
                <w:rFonts w:asciiTheme="majorHAnsi" w:hAnsiTheme="majorHAnsi" w:cstheme="majorHAnsi"/>
                <w:i/>
                <w:color w:val="000000" w:themeColor="text1"/>
                <w:sz w:val="20"/>
                <w:szCs w:val="20"/>
                <w:lang w:val="ro-MD"/>
              </w:rPr>
            </w:pPr>
            <w:r w:rsidRPr="00B13B9A">
              <w:rPr>
                <w:rFonts w:asciiTheme="majorHAnsi" w:hAnsiTheme="majorHAnsi" w:cstheme="majorHAnsi"/>
                <w:i/>
                <w:color w:val="000000" w:themeColor="text1"/>
                <w:sz w:val="20"/>
                <w:szCs w:val="20"/>
                <w:lang w:val="ro-MD"/>
              </w:rPr>
              <w:t>Condi</w:t>
            </w:r>
            <w:r w:rsidR="00B13B9A" w:rsidRPr="00B13B9A">
              <w:rPr>
                <w:rFonts w:asciiTheme="majorHAnsi" w:hAnsiTheme="majorHAnsi" w:cstheme="majorHAnsi"/>
                <w:i/>
                <w:color w:val="000000" w:themeColor="text1"/>
                <w:sz w:val="20"/>
                <w:szCs w:val="20"/>
                <w:lang w:val="ro-MD"/>
              </w:rPr>
              <w:t>ț</w:t>
            </w:r>
            <w:r w:rsidRPr="00B13B9A">
              <w:rPr>
                <w:rFonts w:asciiTheme="majorHAnsi" w:hAnsiTheme="majorHAnsi" w:cstheme="majorHAnsi"/>
                <w:i/>
                <w:color w:val="000000" w:themeColor="text1"/>
                <w:sz w:val="20"/>
                <w:szCs w:val="20"/>
                <w:lang w:val="ro-MD"/>
              </w:rPr>
              <w:t>iilor necesare în locurile de deten</w:t>
            </w:r>
            <w:r w:rsidR="00B13B9A" w:rsidRPr="00B13B9A">
              <w:rPr>
                <w:rFonts w:asciiTheme="majorHAnsi" w:hAnsiTheme="majorHAnsi" w:cstheme="majorHAnsi"/>
                <w:i/>
                <w:color w:val="000000" w:themeColor="text1"/>
                <w:sz w:val="20"/>
                <w:szCs w:val="20"/>
                <w:lang w:val="ro-MD"/>
              </w:rPr>
              <w:t>ț</w:t>
            </w:r>
            <w:r w:rsidRPr="00B13B9A">
              <w:rPr>
                <w:rFonts w:asciiTheme="majorHAnsi" w:hAnsiTheme="majorHAnsi" w:cstheme="majorHAnsi"/>
                <w:i/>
                <w:color w:val="000000" w:themeColor="text1"/>
                <w:sz w:val="20"/>
                <w:szCs w:val="20"/>
                <w:lang w:val="ro-MD"/>
              </w:rPr>
              <w:t>ie prin instalarea ventila</w:t>
            </w:r>
            <w:r w:rsidR="00B13B9A" w:rsidRPr="00B13B9A">
              <w:rPr>
                <w:rFonts w:asciiTheme="majorHAnsi" w:hAnsiTheme="majorHAnsi" w:cstheme="majorHAnsi"/>
                <w:i/>
                <w:color w:val="000000" w:themeColor="text1"/>
                <w:sz w:val="20"/>
                <w:szCs w:val="20"/>
                <w:lang w:val="ro-MD"/>
              </w:rPr>
              <w:t>ț</w:t>
            </w:r>
            <w:r w:rsidRPr="00B13B9A">
              <w:rPr>
                <w:rFonts w:asciiTheme="majorHAnsi" w:hAnsiTheme="majorHAnsi" w:cstheme="majorHAnsi"/>
                <w:i/>
                <w:color w:val="000000" w:themeColor="text1"/>
                <w:sz w:val="20"/>
                <w:szCs w:val="20"/>
                <w:lang w:val="ro-MD"/>
              </w:rPr>
              <w:t xml:space="preserve">iei mecanice </w:t>
            </w:r>
            <w:r w:rsidR="00B13B9A" w:rsidRPr="00B13B9A">
              <w:rPr>
                <w:rFonts w:asciiTheme="majorHAnsi" w:hAnsiTheme="majorHAnsi" w:cstheme="majorHAnsi"/>
                <w:i/>
                <w:color w:val="000000" w:themeColor="text1"/>
                <w:sz w:val="20"/>
                <w:szCs w:val="20"/>
                <w:lang w:val="ro-MD"/>
              </w:rPr>
              <w:t>ș</w:t>
            </w:r>
            <w:r w:rsidRPr="00B13B9A">
              <w:rPr>
                <w:rFonts w:asciiTheme="majorHAnsi" w:hAnsiTheme="majorHAnsi" w:cstheme="majorHAnsi"/>
                <w:i/>
                <w:color w:val="000000" w:themeColor="text1"/>
                <w:sz w:val="20"/>
                <w:szCs w:val="20"/>
                <w:lang w:val="ro-MD"/>
              </w:rPr>
              <w:t>i iradierea încăperilor cu raze ultraviolete germicide (pct.4.15.5.)</w:t>
            </w:r>
          </w:p>
        </w:tc>
        <w:tc>
          <w:tcPr>
            <w:tcW w:w="5670" w:type="dxa"/>
            <w:shd w:val="clear" w:color="auto" w:fill="auto"/>
          </w:tcPr>
          <w:p w14:paraId="1B863D42" w14:textId="771B06F5" w:rsidR="00FD65B6" w:rsidRPr="00B13B9A" w:rsidRDefault="00FD65B6" w:rsidP="00332FF7">
            <w:pPr>
              <w:jc w:val="both"/>
              <w:rPr>
                <w:rFonts w:asciiTheme="majorHAnsi" w:hAnsiTheme="majorHAnsi" w:cstheme="majorHAnsi"/>
                <w:color w:val="000000"/>
                <w:sz w:val="20"/>
                <w:szCs w:val="20"/>
                <w:lang w:val="ro-MD"/>
              </w:rPr>
            </w:pPr>
            <w:r w:rsidRPr="00B13B9A">
              <w:rPr>
                <w:rFonts w:asciiTheme="majorHAnsi" w:hAnsiTheme="majorHAnsi" w:cstheme="majorHAnsi"/>
                <w:b/>
                <w:i/>
                <w:color w:val="000000"/>
                <w:sz w:val="20"/>
                <w:szCs w:val="20"/>
                <w:u w:val="single"/>
                <w:lang w:val="ro-MD"/>
              </w:rPr>
              <w:t>Scrisoare MJ din 01.5/5633 din 31.07.2020</w:t>
            </w:r>
            <w:r w:rsidRPr="00B13B9A">
              <w:rPr>
                <w:rFonts w:asciiTheme="majorHAnsi" w:hAnsiTheme="majorHAnsi" w:cstheme="majorHAnsi"/>
                <w:color w:val="000000"/>
                <w:sz w:val="20"/>
                <w:szCs w:val="20"/>
                <w:u w:val="single"/>
                <w:lang w:val="ro-MD"/>
              </w:rPr>
              <w:t>:</w:t>
            </w:r>
            <w:r w:rsidRPr="00B13B9A">
              <w:rPr>
                <w:rFonts w:asciiTheme="majorHAnsi" w:hAnsiTheme="majorHAnsi" w:cstheme="majorHAnsi"/>
                <w:color w:val="000000"/>
                <w:sz w:val="20"/>
                <w:szCs w:val="20"/>
                <w:lang w:val="ro-MD"/>
              </w:rPr>
              <w:t xml:space="preserve"> În anul 2019 s-a achizi</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ionat lămpile germicide sta</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ionarei portative, cu înlăturarea tuturor neajunsurilor în sec</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 xml:space="preserve">iile ftiziologie nr.1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i nr.2 ale Penitenciarului nr.16-Pruncul.</w:t>
            </w:r>
          </w:p>
          <w:p w14:paraId="07E8D13D" w14:textId="4EF9B3BE" w:rsidR="00FD65B6" w:rsidRPr="00B13B9A" w:rsidRDefault="00FD65B6" w:rsidP="00332FF7">
            <w:pPr>
              <w:jc w:val="both"/>
              <w:rPr>
                <w:rFonts w:asciiTheme="majorHAnsi" w:hAnsiTheme="majorHAnsi" w:cstheme="majorHAnsi"/>
                <w:color w:val="000000"/>
                <w:sz w:val="20"/>
                <w:szCs w:val="20"/>
                <w:lang w:val="ro-MD"/>
              </w:rPr>
            </w:pPr>
            <w:r w:rsidRPr="00B13B9A">
              <w:rPr>
                <w:rFonts w:asciiTheme="majorHAnsi" w:hAnsiTheme="majorHAnsi" w:cstheme="majorHAnsi"/>
                <w:color w:val="000000"/>
                <w:sz w:val="20"/>
                <w:szCs w:val="20"/>
                <w:lang w:val="ro-MD"/>
              </w:rPr>
              <w:t xml:space="preserve">Penitenciarului nr.16-Pruncul este în proces de identificare a unui agent economic pentru proiectarea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i instalarea sistemului de ventilare în cadrul sec</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iilor ftiziologie.</w:t>
            </w:r>
          </w:p>
          <w:p w14:paraId="09AFD6D9" w14:textId="53E47041" w:rsidR="00FD65B6" w:rsidRPr="00B13B9A" w:rsidRDefault="00FD65B6" w:rsidP="00332FF7">
            <w:pPr>
              <w:jc w:val="both"/>
              <w:rPr>
                <w:rFonts w:asciiTheme="majorHAnsi" w:hAnsiTheme="majorHAnsi" w:cstheme="majorHAnsi"/>
                <w:color w:val="000000"/>
                <w:sz w:val="20"/>
                <w:szCs w:val="20"/>
                <w:lang w:val="ro-MD"/>
              </w:rPr>
            </w:pPr>
            <w:r w:rsidRPr="00B13B9A">
              <w:rPr>
                <w:rFonts w:asciiTheme="majorHAnsi" w:hAnsiTheme="majorHAnsi" w:cstheme="majorHAnsi"/>
                <w:color w:val="000000"/>
                <w:sz w:val="20"/>
                <w:szCs w:val="20"/>
                <w:lang w:val="ro-MD"/>
              </w:rPr>
              <w:t>Situa</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 xml:space="preserve">ia este supravegheată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i pe măsura necesită</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ilor lămpile germicide vor fi suplinite.</w:t>
            </w:r>
          </w:p>
        </w:tc>
        <w:tc>
          <w:tcPr>
            <w:tcW w:w="2835" w:type="dxa"/>
            <w:shd w:val="clear" w:color="auto" w:fill="auto"/>
          </w:tcPr>
          <w:p w14:paraId="39D1F376" w14:textId="368CEB69" w:rsidR="00FD65B6" w:rsidRPr="00B13B9A" w:rsidRDefault="00FD65B6" w:rsidP="00332FF7">
            <w:pPr>
              <w:jc w:val="both"/>
              <w:rPr>
                <w:rFonts w:asciiTheme="majorHAnsi" w:hAnsiTheme="majorHAnsi" w:cstheme="majorHAnsi"/>
                <w:color w:val="000000"/>
                <w:sz w:val="20"/>
                <w:szCs w:val="20"/>
                <w:lang w:val="ro-MD"/>
              </w:rPr>
            </w:pPr>
            <w:r w:rsidRPr="00B13B9A">
              <w:rPr>
                <w:rFonts w:asciiTheme="majorHAnsi" w:hAnsiTheme="majorHAnsi" w:cstheme="majorHAnsi"/>
                <w:color w:val="000000"/>
                <w:sz w:val="20"/>
                <w:szCs w:val="20"/>
                <w:lang w:val="ro-MD"/>
              </w:rPr>
              <w:t>Au fost achizi</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ionate lămpi germicide sta</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ionare portative. Penitenciarul nr.16-Pruncul a instalat sistemul de ventilare în cadrul sec</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iilor ftiziologie.</w:t>
            </w:r>
          </w:p>
          <w:p w14:paraId="4675CB49" w14:textId="41EDDD34" w:rsidR="00FD65B6" w:rsidRPr="00B13B9A" w:rsidRDefault="00FD65B6" w:rsidP="00332FF7">
            <w:pPr>
              <w:jc w:val="both"/>
              <w:rPr>
                <w:rFonts w:asciiTheme="majorHAnsi" w:hAnsiTheme="majorHAnsi" w:cstheme="majorHAnsi"/>
                <w:color w:val="000000" w:themeColor="text1"/>
                <w:sz w:val="20"/>
                <w:szCs w:val="20"/>
                <w:lang w:val="ro-MD"/>
              </w:rPr>
            </w:pPr>
            <w:r w:rsidRPr="00B13B9A">
              <w:rPr>
                <w:rFonts w:asciiTheme="majorHAnsi" w:hAnsiTheme="majorHAnsi" w:cstheme="majorHAnsi"/>
                <w:color w:val="000000"/>
                <w:sz w:val="20"/>
                <w:szCs w:val="20"/>
                <w:lang w:val="ro-MD"/>
              </w:rPr>
              <w:t>Situa</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 xml:space="preserve">ia este supravegheată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i pe măsura necesită</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ilor lămpile germicide vor fi suplinite</w:t>
            </w:r>
          </w:p>
        </w:tc>
        <w:tc>
          <w:tcPr>
            <w:tcW w:w="1344" w:type="dxa"/>
            <w:shd w:val="clear" w:color="auto" w:fill="auto"/>
          </w:tcPr>
          <w:p w14:paraId="30048C0F" w14:textId="77777777" w:rsidR="00FD65B6" w:rsidRPr="00B13B9A" w:rsidRDefault="00FD65B6" w:rsidP="00332FF7">
            <w:pPr>
              <w:jc w:val="both"/>
              <w:rPr>
                <w:rFonts w:asciiTheme="majorHAnsi" w:hAnsiTheme="majorHAnsi" w:cstheme="majorHAnsi"/>
                <w:b/>
                <w:i/>
                <w:color w:val="000000" w:themeColor="text1"/>
                <w:sz w:val="20"/>
                <w:szCs w:val="20"/>
                <w:lang w:val="ro-MD"/>
              </w:rPr>
            </w:pPr>
            <w:r w:rsidRPr="00B13B9A">
              <w:rPr>
                <w:rFonts w:asciiTheme="majorHAnsi" w:hAnsiTheme="majorHAnsi" w:cstheme="majorHAnsi"/>
                <w:b/>
                <w:i/>
                <w:color w:val="000000" w:themeColor="text1"/>
                <w:sz w:val="20"/>
                <w:szCs w:val="20"/>
                <w:lang w:val="ro-MD"/>
              </w:rPr>
              <w:t>Recomandare implementată</w:t>
            </w:r>
          </w:p>
        </w:tc>
      </w:tr>
      <w:tr w:rsidR="00FD65B6" w:rsidRPr="00B13B9A" w14:paraId="4F2311B2" w14:textId="77777777" w:rsidTr="00332FF7">
        <w:tc>
          <w:tcPr>
            <w:tcW w:w="14263" w:type="dxa"/>
            <w:gridSpan w:val="7"/>
            <w:shd w:val="clear" w:color="auto" w:fill="auto"/>
          </w:tcPr>
          <w:p w14:paraId="2C58362C" w14:textId="4602C410" w:rsidR="00FD65B6" w:rsidRPr="00B13B9A" w:rsidRDefault="00FD65B6" w:rsidP="00332FF7">
            <w:pPr>
              <w:jc w:val="center"/>
              <w:rPr>
                <w:rFonts w:asciiTheme="majorHAnsi" w:hAnsiTheme="majorHAnsi" w:cstheme="majorHAnsi"/>
                <w:b/>
                <w:i/>
                <w:color w:val="000000" w:themeColor="text1"/>
                <w:sz w:val="20"/>
                <w:szCs w:val="20"/>
                <w:lang w:val="ro-MD"/>
              </w:rPr>
            </w:pPr>
            <w:r w:rsidRPr="00B13B9A">
              <w:rPr>
                <w:rFonts w:asciiTheme="majorHAnsi" w:hAnsiTheme="majorHAnsi" w:cstheme="majorHAnsi"/>
                <w:b/>
                <w:bCs/>
                <w:i/>
                <w:iCs/>
                <w:sz w:val="20"/>
                <w:szCs w:val="20"/>
                <w:lang w:val="ro-MD"/>
              </w:rPr>
              <w:t>Recomandare Companiei Na</w:t>
            </w:r>
            <w:r w:rsidR="00B13B9A" w:rsidRPr="00B13B9A">
              <w:rPr>
                <w:rFonts w:asciiTheme="majorHAnsi" w:hAnsiTheme="majorHAnsi" w:cstheme="majorHAnsi"/>
                <w:b/>
                <w:bCs/>
                <w:i/>
                <w:iCs/>
                <w:sz w:val="20"/>
                <w:szCs w:val="20"/>
                <w:lang w:val="ro-MD"/>
              </w:rPr>
              <w:t>ț</w:t>
            </w:r>
            <w:r w:rsidRPr="00B13B9A">
              <w:rPr>
                <w:rFonts w:asciiTheme="majorHAnsi" w:hAnsiTheme="majorHAnsi" w:cstheme="majorHAnsi"/>
                <w:b/>
                <w:bCs/>
                <w:i/>
                <w:iCs/>
                <w:sz w:val="20"/>
                <w:szCs w:val="20"/>
                <w:lang w:val="ro-MD"/>
              </w:rPr>
              <w:t>ionale de Asigurări în Medicină</w:t>
            </w:r>
          </w:p>
        </w:tc>
      </w:tr>
      <w:tr w:rsidR="00FD65B6" w:rsidRPr="00B13B9A" w14:paraId="13B623B0" w14:textId="77777777" w:rsidTr="00332FF7">
        <w:trPr>
          <w:gridAfter w:val="1"/>
          <w:wAfter w:w="24" w:type="dxa"/>
        </w:trPr>
        <w:tc>
          <w:tcPr>
            <w:tcW w:w="576" w:type="dxa"/>
            <w:shd w:val="clear" w:color="auto" w:fill="auto"/>
          </w:tcPr>
          <w:p w14:paraId="0F6AC018" w14:textId="77777777" w:rsidR="00FD65B6" w:rsidRPr="00B13B9A" w:rsidRDefault="00FD65B6" w:rsidP="00332FF7">
            <w:pPr>
              <w:jc w:val="center"/>
              <w:rPr>
                <w:rFonts w:asciiTheme="majorHAnsi" w:hAnsiTheme="majorHAnsi" w:cstheme="majorHAnsi"/>
                <w:b/>
                <w:i/>
                <w:color w:val="000000" w:themeColor="text1"/>
                <w:sz w:val="20"/>
                <w:szCs w:val="20"/>
                <w:lang w:val="ro-MD"/>
              </w:rPr>
            </w:pPr>
            <w:r w:rsidRPr="00B13B9A">
              <w:rPr>
                <w:rFonts w:asciiTheme="majorHAnsi" w:hAnsiTheme="majorHAnsi" w:cstheme="majorHAnsi"/>
                <w:b/>
                <w:i/>
                <w:color w:val="000000" w:themeColor="text1"/>
                <w:sz w:val="20"/>
                <w:szCs w:val="20"/>
                <w:lang w:val="ro-MD"/>
              </w:rPr>
              <w:t>3</w:t>
            </w:r>
          </w:p>
        </w:tc>
        <w:tc>
          <w:tcPr>
            <w:tcW w:w="837" w:type="dxa"/>
            <w:shd w:val="clear" w:color="auto" w:fill="auto"/>
          </w:tcPr>
          <w:p w14:paraId="0D5817D0" w14:textId="77777777" w:rsidR="00FD65B6" w:rsidRPr="00B13B9A" w:rsidRDefault="00FD65B6" w:rsidP="00332FF7">
            <w:pPr>
              <w:jc w:val="center"/>
              <w:rPr>
                <w:rFonts w:asciiTheme="majorHAnsi" w:hAnsiTheme="majorHAnsi" w:cstheme="majorHAnsi"/>
                <w:b/>
                <w:i/>
                <w:color w:val="000000" w:themeColor="text1"/>
                <w:sz w:val="20"/>
                <w:szCs w:val="20"/>
                <w:lang w:val="ro-MD"/>
              </w:rPr>
            </w:pPr>
            <w:r w:rsidRPr="00B13B9A">
              <w:rPr>
                <w:rFonts w:asciiTheme="majorHAnsi" w:hAnsiTheme="majorHAnsi" w:cstheme="majorHAnsi"/>
                <w:b/>
                <w:i/>
                <w:color w:val="000000" w:themeColor="text1"/>
                <w:sz w:val="20"/>
                <w:szCs w:val="20"/>
                <w:lang w:val="ro-MD"/>
              </w:rPr>
              <w:t>3</w:t>
            </w:r>
          </w:p>
        </w:tc>
        <w:tc>
          <w:tcPr>
            <w:tcW w:w="2977" w:type="dxa"/>
            <w:shd w:val="clear" w:color="auto" w:fill="auto"/>
          </w:tcPr>
          <w:p w14:paraId="079637CB" w14:textId="73879E83" w:rsidR="00FD65B6" w:rsidRPr="00B13B9A" w:rsidRDefault="00FD65B6" w:rsidP="00332FF7">
            <w:pPr>
              <w:jc w:val="both"/>
              <w:rPr>
                <w:rFonts w:asciiTheme="majorHAnsi" w:hAnsiTheme="majorHAnsi" w:cstheme="majorHAnsi"/>
                <w:color w:val="000000" w:themeColor="text1"/>
                <w:sz w:val="20"/>
                <w:szCs w:val="20"/>
                <w:lang w:val="ro-MD"/>
              </w:rPr>
            </w:pPr>
            <w:r w:rsidRPr="00B13B9A">
              <w:rPr>
                <w:rFonts w:asciiTheme="majorHAnsi" w:hAnsiTheme="majorHAnsi" w:cstheme="majorHAnsi"/>
                <w:color w:val="000000" w:themeColor="text1"/>
                <w:sz w:val="20"/>
                <w:szCs w:val="20"/>
                <w:lang w:val="ro-MD"/>
              </w:rPr>
              <w:t xml:space="preserve">Să evalueze corectitudinea calculării, eliberării </w:t>
            </w:r>
            <w:r w:rsidR="00B13B9A" w:rsidRPr="00B13B9A">
              <w:rPr>
                <w:rFonts w:asciiTheme="majorHAnsi" w:hAnsiTheme="majorHAnsi" w:cstheme="majorHAnsi"/>
                <w:color w:val="000000" w:themeColor="text1"/>
                <w:sz w:val="20"/>
                <w:szCs w:val="20"/>
                <w:lang w:val="ro-MD"/>
              </w:rPr>
              <w:t>ș</w:t>
            </w:r>
            <w:r w:rsidRPr="00B13B9A">
              <w:rPr>
                <w:rFonts w:asciiTheme="majorHAnsi" w:hAnsiTheme="majorHAnsi" w:cstheme="majorHAnsi"/>
                <w:color w:val="000000" w:themeColor="text1"/>
                <w:sz w:val="20"/>
                <w:szCs w:val="20"/>
                <w:lang w:val="ro-MD"/>
              </w:rPr>
              <w:t xml:space="preserve">i raportării cheltuielilor pentru suportul alimentar </w:t>
            </w:r>
            <w:r w:rsidR="00B13B9A" w:rsidRPr="00B13B9A">
              <w:rPr>
                <w:rFonts w:asciiTheme="majorHAnsi" w:hAnsiTheme="majorHAnsi" w:cstheme="majorHAnsi"/>
                <w:color w:val="000000" w:themeColor="text1"/>
                <w:sz w:val="20"/>
                <w:szCs w:val="20"/>
                <w:lang w:val="ro-MD"/>
              </w:rPr>
              <w:t>ș</w:t>
            </w:r>
            <w:r w:rsidRPr="00B13B9A">
              <w:rPr>
                <w:rFonts w:asciiTheme="majorHAnsi" w:hAnsiTheme="majorHAnsi" w:cstheme="majorHAnsi"/>
                <w:color w:val="000000" w:themeColor="text1"/>
                <w:sz w:val="20"/>
                <w:szCs w:val="20"/>
                <w:lang w:val="ro-MD"/>
              </w:rPr>
              <w:t>i de transport (pct. 4.9., pct. 4.11.)</w:t>
            </w:r>
          </w:p>
        </w:tc>
        <w:tc>
          <w:tcPr>
            <w:tcW w:w="5670" w:type="dxa"/>
            <w:shd w:val="clear" w:color="auto" w:fill="auto"/>
          </w:tcPr>
          <w:p w14:paraId="46D71801" w14:textId="579CCB99" w:rsidR="00FD65B6" w:rsidRPr="00B13B9A" w:rsidRDefault="00FD65B6" w:rsidP="00332FF7">
            <w:pPr>
              <w:jc w:val="both"/>
              <w:rPr>
                <w:rFonts w:asciiTheme="majorHAnsi" w:hAnsiTheme="majorHAnsi" w:cstheme="majorHAnsi"/>
                <w:color w:val="000000"/>
                <w:sz w:val="20"/>
                <w:szCs w:val="20"/>
                <w:lang w:val="ro-MD"/>
              </w:rPr>
            </w:pPr>
            <w:r w:rsidRPr="00B13B9A">
              <w:rPr>
                <w:rFonts w:asciiTheme="majorHAnsi" w:hAnsiTheme="majorHAnsi" w:cstheme="majorHAnsi"/>
                <w:b/>
                <w:i/>
                <w:color w:val="000000"/>
                <w:sz w:val="20"/>
                <w:szCs w:val="20"/>
                <w:u w:val="single"/>
                <w:lang w:val="ro-MD"/>
              </w:rPr>
              <w:t>Scrisoare CNAM nr.01-08/1383 din 31.07.2020:</w:t>
            </w:r>
            <w:r w:rsidRPr="00B13B9A">
              <w:rPr>
                <w:rFonts w:asciiTheme="majorHAnsi" w:hAnsiTheme="majorHAnsi" w:cstheme="majorHAnsi"/>
                <w:color w:val="000000"/>
                <w:sz w:val="20"/>
                <w:szCs w:val="20"/>
                <w:lang w:val="ro-MD"/>
              </w:rPr>
              <w:t xml:space="preserve"> Conform Regulamentului cu privire la unele interven</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ii de cre</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tere a aderen</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ei la tratamentul antituberculos în condi</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 xml:space="preserve">ii de ambulator, aprobat prin Ordinul comun al MSMPS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i CNAM nr.99/52A din 15 februarie 2020 ,,Cu privire la unele interven</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ii de cre</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tere a aderen</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ei la tratamentul antituberculos în condi</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 xml:space="preserve">ii de ambulatoriu", CNAM este obligată să asigure cheltuielile legate de tichetele alimentare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i rambursarea cheltuielilor de transport public (tur-retur) pentru pacien</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i, suportate de către institu</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iile medico-sanitare contractate pentru prestarea asisten</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 xml:space="preserve">ei medicale specializate de ambulator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i asisten</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ei medicale primare în cadrul AOAM, în limita surselor financiare destinate în acest scop.</w:t>
            </w:r>
            <w:r w:rsidR="00332FF7">
              <w:rPr>
                <w:rFonts w:asciiTheme="majorHAnsi" w:hAnsiTheme="majorHAnsi" w:cstheme="majorHAnsi"/>
                <w:color w:val="000000"/>
                <w:sz w:val="20"/>
                <w:szCs w:val="20"/>
                <w:lang w:val="ro-MD"/>
              </w:rPr>
              <w:t xml:space="preserve"> </w:t>
            </w:r>
            <w:r w:rsidRPr="00B13B9A">
              <w:rPr>
                <w:rFonts w:asciiTheme="majorHAnsi" w:hAnsiTheme="majorHAnsi" w:cstheme="majorHAnsi"/>
                <w:color w:val="000000"/>
                <w:sz w:val="20"/>
                <w:szCs w:val="20"/>
                <w:lang w:val="ro-MD"/>
              </w:rPr>
              <w:t xml:space="preserve">Totodată, CNAM este responsabilă de controlul corectitudinii eliberării tichetelor alimentare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i sumelor rambursate pentru cheltuielile de transport în conformitate cu Regulamentul prenotat.</w:t>
            </w:r>
          </w:p>
          <w:p w14:paraId="44C0C7B6" w14:textId="2EB7BAE0" w:rsidR="00FD65B6" w:rsidRPr="00B13B9A" w:rsidRDefault="00FD65B6" w:rsidP="00332FF7">
            <w:pPr>
              <w:jc w:val="both"/>
              <w:rPr>
                <w:rFonts w:asciiTheme="majorHAnsi" w:hAnsiTheme="majorHAnsi" w:cstheme="majorHAnsi"/>
                <w:color w:val="000000"/>
                <w:sz w:val="20"/>
                <w:szCs w:val="20"/>
                <w:lang w:val="ro-MD"/>
              </w:rPr>
            </w:pPr>
            <w:r w:rsidRPr="00B13B9A">
              <w:rPr>
                <w:rFonts w:asciiTheme="majorHAnsi" w:hAnsiTheme="majorHAnsi" w:cstheme="majorHAnsi"/>
                <w:color w:val="000000"/>
                <w:sz w:val="20"/>
                <w:szCs w:val="20"/>
                <w:lang w:val="ro-MD"/>
              </w:rPr>
              <w:t xml:space="preserve">CNAM a evaluat, în anul 2019, volumul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i calitatea serviciilor medicale prestate persoanelor cu tuberculoză în 15 institu</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ii medico-sanitare prestatoare de asisten</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ă medicală specializată de ambulatoriu.</w:t>
            </w:r>
          </w:p>
          <w:p w14:paraId="32BA79CB" w14:textId="05288072" w:rsidR="00FD65B6" w:rsidRPr="00B13B9A" w:rsidRDefault="00FD65B6" w:rsidP="00332FF7">
            <w:pPr>
              <w:jc w:val="both"/>
              <w:rPr>
                <w:rFonts w:asciiTheme="majorHAnsi" w:hAnsiTheme="majorHAnsi" w:cstheme="majorHAnsi"/>
                <w:color w:val="000000"/>
                <w:sz w:val="20"/>
                <w:szCs w:val="20"/>
                <w:lang w:val="ro-MD"/>
              </w:rPr>
            </w:pPr>
            <w:r w:rsidRPr="00B13B9A">
              <w:rPr>
                <w:rFonts w:asciiTheme="majorHAnsi" w:hAnsiTheme="majorHAnsi" w:cstheme="majorHAnsi"/>
                <w:color w:val="000000"/>
                <w:sz w:val="20"/>
                <w:szCs w:val="20"/>
                <w:lang w:val="ro-MD"/>
              </w:rPr>
              <w:t>Evaluarea procesului de organizare a tratamentului în condi</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ii de ambulatoriu a pacien</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ilor cu tuberculoză se efectuează în conformitate cu actele normative în vigoare, care prevăd:</w:t>
            </w:r>
          </w:p>
          <w:p w14:paraId="36DF3112" w14:textId="524B2F05" w:rsidR="00FD65B6" w:rsidRPr="00B13B9A" w:rsidRDefault="00FD65B6" w:rsidP="00332FF7">
            <w:pPr>
              <w:jc w:val="both"/>
              <w:rPr>
                <w:rFonts w:asciiTheme="majorHAnsi" w:hAnsiTheme="majorHAnsi" w:cstheme="majorHAnsi"/>
                <w:color w:val="000000"/>
                <w:sz w:val="20"/>
                <w:szCs w:val="20"/>
                <w:lang w:val="ro-MD"/>
              </w:rPr>
            </w:pPr>
            <w:r w:rsidRPr="00B13B9A">
              <w:rPr>
                <w:rFonts w:asciiTheme="majorHAnsi" w:hAnsiTheme="majorHAnsi" w:cstheme="majorHAnsi"/>
                <w:color w:val="000000"/>
                <w:sz w:val="20"/>
                <w:szCs w:val="20"/>
                <w:lang w:val="ro-MD"/>
              </w:rPr>
              <w:t>- prestarea serviciilor în volumul prevăzut de Programul unic al asigurării obligatorii de asisten</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ă medicală;</w:t>
            </w:r>
          </w:p>
          <w:p w14:paraId="2B6A4E97" w14:textId="26DA546D" w:rsidR="00FD65B6" w:rsidRPr="00B13B9A" w:rsidRDefault="00FD65B6" w:rsidP="00332FF7">
            <w:pPr>
              <w:jc w:val="both"/>
              <w:rPr>
                <w:rFonts w:asciiTheme="majorHAnsi" w:hAnsiTheme="majorHAnsi" w:cstheme="majorHAnsi"/>
                <w:color w:val="000000"/>
                <w:sz w:val="20"/>
                <w:szCs w:val="20"/>
                <w:lang w:val="ro-MD"/>
              </w:rPr>
            </w:pPr>
            <w:r w:rsidRPr="00B13B9A">
              <w:rPr>
                <w:rFonts w:asciiTheme="majorHAnsi" w:hAnsiTheme="majorHAnsi" w:cstheme="majorHAnsi"/>
                <w:color w:val="000000"/>
                <w:sz w:val="20"/>
                <w:szCs w:val="20"/>
                <w:lang w:val="ro-MD"/>
              </w:rPr>
              <w:t>- respectarea de către medicii speciali</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ti de profil a Protocoalelor Clinice Na</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 xml:space="preserve">ionale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 xml:space="preserve">i Standardelor medicale de diagnostic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i tratament;</w:t>
            </w:r>
          </w:p>
          <w:p w14:paraId="2855C289" w14:textId="77777777" w:rsidR="00FD65B6" w:rsidRPr="00B13B9A" w:rsidRDefault="00FD65B6" w:rsidP="00332FF7">
            <w:pPr>
              <w:jc w:val="both"/>
              <w:rPr>
                <w:rFonts w:asciiTheme="majorHAnsi" w:hAnsiTheme="majorHAnsi" w:cstheme="majorHAnsi"/>
                <w:color w:val="000000"/>
                <w:sz w:val="20"/>
                <w:szCs w:val="20"/>
                <w:lang w:val="ro-MD"/>
              </w:rPr>
            </w:pPr>
            <w:r w:rsidRPr="00B13B9A">
              <w:rPr>
                <w:rFonts w:asciiTheme="majorHAnsi" w:hAnsiTheme="majorHAnsi" w:cstheme="majorHAnsi"/>
                <w:color w:val="000000"/>
                <w:sz w:val="20"/>
                <w:szCs w:val="20"/>
                <w:lang w:val="ro-MD"/>
              </w:rPr>
              <w:t>- administrarea preparatelor medicamentoase sub supravegherea medicului;</w:t>
            </w:r>
          </w:p>
          <w:p w14:paraId="7D14C6C6" w14:textId="227B96E7" w:rsidR="00FD65B6" w:rsidRPr="00B13B9A" w:rsidRDefault="00FD65B6" w:rsidP="00332FF7">
            <w:pPr>
              <w:jc w:val="both"/>
              <w:rPr>
                <w:rFonts w:asciiTheme="majorHAnsi" w:hAnsiTheme="majorHAnsi" w:cstheme="majorHAnsi"/>
                <w:color w:val="000000"/>
                <w:sz w:val="20"/>
                <w:szCs w:val="20"/>
                <w:lang w:val="ro-MD"/>
              </w:rPr>
            </w:pPr>
            <w:r w:rsidRPr="00B13B9A">
              <w:rPr>
                <w:rFonts w:asciiTheme="majorHAnsi" w:hAnsiTheme="majorHAnsi" w:cstheme="majorHAnsi"/>
                <w:color w:val="000000"/>
                <w:sz w:val="20"/>
                <w:szCs w:val="20"/>
                <w:lang w:val="ro-MD"/>
              </w:rPr>
              <w:t>- procurarea tichetelor alimentare în conformitate cu prevederile Legii privind achizi</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iile publice;</w:t>
            </w:r>
          </w:p>
          <w:p w14:paraId="211AA54C" w14:textId="77777777" w:rsidR="00FD65B6" w:rsidRPr="00B13B9A" w:rsidRDefault="00FD65B6" w:rsidP="00332FF7">
            <w:pPr>
              <w:jc w:val="both"/>
              <w:rPr>
                <w:rFonts w:asciiTheme="majorHAnsi" w:hAnsiTheme="majorHAnsi" w:cstheme="majorHAnsi"/>
                <w:color w:val="000000"/>
                <w:sz w:val="20"/>
                <w:szCs w:val="20"/>
                <w:lang w:val="ro-MD"/>
              </w:rPr>
            </w:pPr>
            <w:r w:rsidRPr="00B13B9A">
              <w:rPr>
                <w:rFonts w:asciiTheme="majorHAnsi" w:hAnsiTheme="majorHAnsi" w:cstheme="majorHAnsi"/>
                <w:color w:val="000000"/>
                <w:sz w:val="20"/>
                <w:szCs w:val="20"/>
                <w:lang w:val="ro-MD"/>
              </w:rPr>
              <w:t>- corespunderea Listei produselor alimentare recomandate pacientului cu tuberculoză în conformitate cu prevederile actelor normative în vigoare;</w:t>
            </w:r>
          </w:p>
          <w:p w14:paraId="164428C2" w14:textId="77777777" w:rsidR="00FD65B6" w:rsidRPr="00B13B9A" w:rsidRDefault="00FD65B6" w:rsidP="00332FF7">
            <w:pPr>
              <w:jc w:val="both"/>
              <w:rPr>
                <w:rFonts w:asciiTheme="majorHAnsi" w:hAnsiTheme="majorHAnsi" w:cstheme="majorHAnsi"/>
                <w:color w:val="000000"/>
                <w:sz w:val="20"/>
                <w:szCs w:val="20"/>
                <w:lang w:val="ro-MD"/>
              </w:rPr>
            </w:pPr>
            <w:r w:rsidRPr="00B13B9A">
              <w:rPr>
                <w:rFonts w:asciiTheme="majorHAnsi" w:hAnsiTheme="majorHAnsi" w:cstheme="majorHAnsi"/>
                <w:color w:val="000000"/>
                <w:sz w:val="20"/>
                <w:szCs w:val="20"/>
                <w:lang w:val="ro-MD"/>
              </w:rPr>
              <w:t>- eliberarea tichetelor alimentare confirmată prin semnătura pacientului;</w:t>
            </w:r>
          </w:p>
          <w:p w14:paraId="4FDC4D47" w14:textId="55DE6AD8" w:rsidR="00FD65B6" w:rsidRPr="00B13B9A" w:rsidRDefault="00FD65B6" w:rsidP="00332FF7">
            <w:pPr>
              <w:jc w:val="both"/>
              <w:rPr>
                <w:rFonts w:asciiTheme="majorHAnsi" w:hAnsiTheme="majorHAnsi" w:cstheme="majorHAnsi"/>
                <w:color w:val="000000"/>
                <w:sz w:val="20"/>
                <w:szCs w:val="20"/>
                <w:lang w:val="ro-MD"/>
              </w:rPr>
            </w:pPr>
            <w:r w:rsidRPr="00B13B9A">
              <w:rPr>
                <w:rFonts w:asciiTheme="majorHAnsi" w:hAnsiTheme="majorHAnsi" w:cstheme="majorHAnsi"/>
                <w:color w:val="000000"/>
                <w:sz w:val="20"/>
                <w:szCs w:val="20"/>
                <w:lang w:val="ro-MD"/>
              </w:rPr>
              <w:t xml:space="preserve">- corespunderea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i confirmarea documentară a cheltuielilor de transport;</w:t>
            </w:r>
          </w:p>
          <w:p w14:paraId="518D7C7A" w14:textId="528EE02B" w:rsidR="00FD65B6" w:rsidRPr="00B13B9A" w:rsidRDefault="00FD65B6" w:rsidP="00332FF7">
            <w:pPr>
              <w:jc w:val="both"/>
              <w:rPr>
                <w:rFonts w:asciiTheme="majorHAnsi" w:hAnsiTheme="majorHAnsi" w:cstheme="majorHAnsi"/>
                <w:color w:val="000000"/>
                <w:sz w:val="20"/>
                <w:szCs w:val="20"/>
                <w:lang w:val="ro-MD"/>
              </w:rPr>
            </w:pPr>
            <w:r w:rsidRPr="00B13B9A">
              <w:rPr>
                <w:rFonts w:asciiTheme="majorHAnsi" w:hAnsiTheme="majorHAnsi" w:cstheme="majorHAnsi"/>
                <w:color w:val="000000"/>
                <w:sz w:val="20"/>
                <w:szCs w:val="20"/>
                <w:lang w:val="ro-MD"/>
              </w:rPr>
              <w:t>- gestionarea eficientă de către institu</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iile medicale a mijloacelor financiare provenite din fondurile asigurării obligatorii de asisten</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ă medicală.</w:t>
            </w:r>
          </w:p>
          <w:p w14:paraId="3BED2C70" w14:textId="6DF94B5B" w:rsidR="00FD65B6" w:rsidRPr="00B13B9A" w:rsidRDefault="00FD65B6" w:rsidP="00332FF7">
            <w:pPr>
              <w:jc w:val="both"/>
              <w:rPr>
                <w:rFonts w:asciiTheme="majorHAnsi" w:hAnsiTheme="majorHAnsi" w:cstheme="majorHAnsi"/>
                <w:color w:val="000000"/>
                <w:sz w:val="20"/>
                <w:szCs w:val="20"/>
                <w:lang w:val="ro-MD"/>
              </w:rPr>
            </w:pPr>
            <w:r w:rsidRPr="00B13B9A">
              <w:rPr>
                <w:rFonts w:asciiTheme="majorHAnsi" w:hAnsiTheme="majorHAnsi" w:cstheme="majorHAnsi"/>
                <w:color w:val="000000"/>
                <w:sz w:val="20"/>
                <w:szCs w:val="20"/>
                <w:lang w:val="ro-MD"/>
              </w:rPr>
              <w:t>Astfel, în rezultatul evaluărilor efectuate în cadrul serviciului ftiziopneumologic, la nivel de asisten</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ă medicală specializată de ambulatoriu, în institu</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iile medicale nu au fost identificate încălcări ale cadrului normativ.</w:t>
            </w:r>
          </w:p>
        </w:tc>
        <w:tc>
          <w:tcPr>
            <w:tcW w:w="2835" w:type="dxa"/>
            <w:shd w:val="clear" w:color="auto" w:fill="auto"/>
          </w:tcPr>
          <w:p w14:paraId="14CE8F8B" w14:textId="7D38F5A9" w:rsidR="00FD65B6" w:rsidRPr="00B13B9A" w:rsidRDefault="00FD65B6" w:rsidP="00332FF7">
            <w:pPr>
              <w:jc w:val="both"/>
              <w:rPr>
                <w:rFonts w:asciiTheme="majorHAnsi" w:hAnsiTheme="majorHAnsi" w:cstheme="majorHAnsi"/>
                <w:color w:val="000000"/>
                <w:sz w:val="20"/>
                <w:szCs w:val="20"/>
                <w:lang w:val="ro-MD"/>
              </w:rPr>
            </w:pPr>
            <w:r w:rsidRPr="00B13B9A">
              <w:rPr>
                <w:rFonts w:asciiTheme="majorHAnsi" w:hAnsiTheme="majorHAnsi" w:cstheme="majorHAnsi"/>
                <w:color w:val="000000"/>
                <w:sz w:val="20"/>
                <w:szCs w:val="20"/>
                <w:lang w:val="ro-MD"/>
              </w:rPr>
              <w:t xml:space="preserve">CNAM a evaluat volumul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 xml:space="preserve">i calitatea serviciilor medicale prestate persoanelor cu tuberculoză în </w:t>
            </w:r>
            <w:r w:rsidRPr="00B13B9A">
              <w:rPr>
                <w:rFonts w:asciiTheme="majorHAnsi" w:hAnsiTheme="majorHAnsi" w:cstheme="majorHAnsi"/>
                <w:i/>
                <w:color w:val="000000"/>
                <w:sz w:val="20"/>
                <w:szCs w:val="20"/>
                <w:lang w:val="ro-MD"/>
              </w:rPr>
              <w:t>15 institu</w:t>
            </w:r>
            <w:r w:rsidR="00B13B9A" w:rsidRPr="00B13B9A">
              <w:rPr>
                <w:rFonts w:asciiTheme="majorHAnsi" w:hAnsiTheme="majorHAnsi" w:cstheme="majorHAnsi"/>
                <w:i/>
                <w:color w:val="000000"/>
                <w:sz w:val="20"/>
                <w:szCs w:val="20"/>
                <w:lang w:val="ro-MD"/>
              </w:rPr>
              <w:t>ț</w:t>
            </w:r>
            <w:r w:rsidRPr="00B13B9A">
              <w:rPr>
                <w:rFonts w:asciiTheme="majorHAnsi" w:hAnsiTheme="majorHAnsi" w:cstheme="majorHAnsi"/>
                <w:i/>
                <w:color w:val="000000"/>
                <w:sz w:val="20"/>
                <w:szCs w:val="20"/>
                <w:lang w:val="ro-MD"/>
              </w:rPr>
              <w:t>ii medico-sanitare prestatoare de asisten</w:t>
            </w:r>
            <w:r w:rsidR="00B13B9A" w:rsidRPr="00B13B9A">
              <w:rPr>
                <w:rFonts w:asciiTheme="majorHAnsi" w:hAnsiTheme="majorHAnsi" w:cstheme="majorHAnsi"/>
                <w:i/>
                <w:color w:val="000000"/>
                <w:sz w:val="20"/>
                <w:szCs w:val="20"/>
                <w:lang w:val="ro-MD"/>
              </w:rPr>
              <w:t>ț</w:t>
            </w:r>
            <w:r w:rsidRPr="00B13B9A">
              <w:rPr>
                <w:rFonts w:asciiTheme="majorHAnsi" w:hAnsiTheme="majorHAnsi" w:cstheme="majorHAnsi"/>
                <w:i/>
                <w:color w:val="000000"/>
                <w:sz w:val="20"/>
                <w:szCs w:val="20"/>
                <w:lang w:val="ro-MD"/>
              </w:rPr>
              <w:t>ă medicală specializată de ambulatoriu</w:t>
            </w:r>
          </w:p>
          <w:p w14:paraId="53658C94" w14:textId="77777777" w:rsidR="00FD65B6" w:rsidRPr="00B13B9A" w:rsidRDefault="00FD65B6" w:rsidP="00332FF7">
            <w:pPr>
              <w:jc w:val="both"/>
              <w:rPr>
                <w:rFonts w:asciiTheme="majorHAnsi" w:hAnsiTheme="majorHAnsi" w:cstheme="majorHAnsi"/>
                <w:color w:val="000000" w:themeColor="text1"/>
                <w:sz w:val="20"/>
                <w:szCs w:val="20"/>
                <w:lang w:val="ro-MD"/>
              </w:rPr>
            </w:pPr>
          </w:p>
        </w:tc>
        <w:tc>
          <w:tcPr>
            <w:tcW w:w="1344" w:type="dxa"/>
            <w:shd w:val="clear" w:color="auto" w:fill="auto"/>
          </w:tcPr>
          <w:p w14:paraId="79CEF5BC" w14:textId="77777777" w:rsidR="00FD65B6" w:rsidRPr="00B13B9A" w:rsidRDefault="00FD65B6" w:rsidP="00332FF7">
            <w:pPr>
              <w:rPr>
                <w:rFonts w:asciiTheme="majorHAnsi" w:hAnsiTheme="majorHAnsi" w:cstheme="majorHAnsi"/>
                <w:b/>
                <w:i/>
                <w:color w:val="000000" w:themeColor="text1"/>
                <w:sz w:val="20"/>
                <w:szCs w:val="20"/>
                <w:lang w:val="ro-MD"/>
              </w:rPr>
            </w:pPr>
            <w:r w:rsidRPr="00B13B9A">
              <w:rPr>
                <w:rFonts w:asciiTheme="majorHAnsi" w:hAnsiTheme="majorHAnsi" w:cstheme="majorHAnsi"/>
                <w:b/>
                <w:i/>
                <w:color w:val="000000" w:themeColor="text1"/>
                <w:sz w:val="20"/>
                <w:szCs w:val="20"/>
                <w:lang w:val="ro-MD"/>
              </w:rPr>
              <w:t>Recomandare implementată</w:t>
            </w:r>
          </w:p>
        </w:tc>
      </w:tr>
      <w:tr w:rsidR="00FD65B6" w:rsidRPr="00B13B9A" w14:paraId="63F7CA68" w14:textId="77777777" w:rsidTr="00332FF7">
        <w:trPr>
          <w:gridAfter w:val="1"/>
          <w:wAfter w:w="24" w:type="dxa"/>
        </w:trPr>
        <w:tc>
          <w:tcPr>
            <w:tcW w:w="576" w:type="dxa"/>
            <w:shd w:val="clear" w:color="auto" w:fill="auto"/>
          </w:tcPr>
          <w:p w14:paraId="4D83CA1D" w14:textId="77777777" w:rsidR="00FD65B6" w:rsidRPr="00B13B9A" w:rsidRDefault="00FD65B6" w:rsidP="00332FF7">
            <w:pPr>
              <w:jc w:val="center"/>
              <w:rPr>
                <w:rFonts w:asciiTheme="majorHAnsi" w:hAnsiTheme="majorHAnsi" w:cstheme="majorHAnsi"/>
                <w:b/>
                <w:i/>
                <w:color w:val="000000" w:themeColor="text1"/>
                <w:sz w:val="20"/>
                <w:szCs w:val="20"/>
                <w:lang w:val="ro-MD"/>
              </w:rPr>
            </w:pPr>
          </w:p>
        </w:tc>
        <w:tc>
          <w:tcPr>
            <w:tcW w:w="837" w:type="dxa"/>
            <w:shd w:val="clear" w:color="auto" w:fill="auto"/>
          </w:tcPr>
          <w:p w14:paraId="53ED96B2" w14:textId="77777777" w:rsidR="00FD65B6" w:rsidRPr="00B13B9A" w:rsidRDefault="00FD65B6" w:rsidP="00332FF7">
            <w:pPr>
              <w:jc w:val="center"/>
              <w:rPr>
                <w:rFonts w:asciiTheme="majorHAnsi" w:hAnsiTheme="majorHAnsi" w:cstheme="majorHAnsi"/>
                <w:b/>
                <w:i/>
                <w:color w:val="000000" w:themeColor="text1"/>
                <w:sz w:val="20"/>
                <w:szCs w:val="20"/>
                <w:lang w:val="ro-MD"/>
              </w:rPr>
            </w:pPr>
            <w:r w:rsidRPr="00B13B9A">
              <w:rPr>
                <w:rFonts w:asciiTheme="majorHAnsi" w:hAnsiTheme="majorHAnsi" w:cstheme="majorHAnsi"/>
                <w:b/>
                <w:i/>
                <w:color w:val="000000" w:themeColor="text1"/>
                <w:sz w:val="20"/>
                <w:szCs w:val="20"/>
                <w:lang w:val="ro-MD"/>
              </w:rPr>
              <w:t>4</w:t>
            </w:r>
          </w:p>
        </w:tc>
        <w:tc>
          <w:tcPr>
            <w:tcW w:w="2977" w:type="dxa"/>
            <w:shd w:val="clear" w:color="auto" w:fill="auto"/>
          </w:tcPr>
          <w:p w14:paraId="5CBB1489" w14:textId="2CC29DE9" w:rsidR="00FD65B6" w:rsidRPr="00B13B9A" w:rsidRDefault="00FD65B6" w:rsidP="00332FF7">
            <w:pPr>
              <w:jc w:val="both"/>
              <w:rPr>
                <w:rFonts w:asciiTheme="majorHAnsi" w:hAnsiTheme="majorHAnsi" w:cstheme="majorHAnsi"/>
                <w:color w:val="000000"/>
                <w:sz w:val="20"/>
                <w:szCs w:val="20"/>
                <w:lang w:val="ro-MD"/>
              </w:rPr>
            </w:pPr>
            <w:r w:rsidRPr="00B13B9A">
              <w:rPr>
                <w:rFonts w:asciiTheme="majorHAnsi" w:hAnsiTheme="majorHAnsi" w:cstheme="majorHAnsi"/>
                <w:color w:val="000000"/>
                <w:sz w:val="20"/>
                <w:szCs w:val="20"/>
                <w:lang w:val="ro-MD"/>
              </w:rPr>
              <w:t xml:space="preserve">Să asigure reglementarea procesului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i a responsabilită</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ilor delegate privind eviden</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 xml:space="preserve">a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 xml:space="preserve">i raportarea cheltuielilor pentru tichetele alimentare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i compensarea cheltuielilor pentru transport (pct.4.10.)</w:t>
            </w:r>
          </w:p>
        </w:tc>
        <w:tc>
          <w:tcPr>
            <w:tcW w:w="5670" w:type="dxa"/>
            <w:shd w:val="clear" w:color="auto" w:fill="auto"/>
          </w:tcPr>
          <w:p w14:paraId="100FBEDD" w14:textId="5A1B1AB9" w:rsidR="00FD65B6" w:rsidRPr="00B13B9A" w:rsidRDefault="00FD65B6" w:rsidP="00332FF7">
            <w:pPr>
              <w:jc w:val="both"/>
              <w:rPr>
                <w:rFonts w:asciiTheme="majorHAnsi" w:hAnsiTheme="majorHAnsi" w:cstheme="majorHAnsi"/>
                <w:color w:val="000000"/>
                <w:sz w:val="20"/>
                <w:szCs w:val="20"/>
                <w:lang w:val="ro-MD"/>
              </w:rPr>
            </w:pPr>
            <w:r w:rsidRPr="00B13B9A">
              <w:rPr>
                <w:rFonts w:asciiTheme="majorHAnsi" w:hAnsiTheme="majorHAnsi" w:cstheme="majorHAnsi"/>
                <w:b/>
                <w:i/>
                <w:color w:val="000000"/>
                <w:sz w:val="20"/>
                <w:szCs w:val="20"/>
                <w:u w:val="single"/>
                <w:lang w:val="ro-MD"/>
              </w:rPr>
              <w:t>Scrisoare CNAM nr.01-08/1383 din 31.07.2020</w:t>
            </w:r>
            <w:r w:rsidRPr="00B13B9A">
              <w:rPr>
                <w:rFonts w:asciiTheme="majorHAnsi" w:hAnsiTheme="majorHAnsi" w:cstheme="majorHAnsi"/>
                <w:color w:val="000000"/>
                <w:sz w:val="20"/>
                <w:szCs w:val="20"/>
                <w:lang w:val="ro-MD"/>
              </w:rPr>
              <w:t xml:space="preserve">: Prin Ordinul comun al MSMPS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 xml:space="preserve">i CNAM nr.90/16-A din 28.01.2020 ,,Cu privire la modificarea Ordinului MS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i CNAM ,,Cu privire la aprobarea formularelor de eviden</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 xml:space="preserve">ă medicală primară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i dărilor de seamă în cadrul asigurării obligatorii de asisten</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ă medicală"" a fost aprobat Formularul nr.1-29/d ,,Darea de seamă despre acoperirea cheltuielilor pentru alimenta</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 xml:space="preserve">ie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i transport public de la/la domiciliu pentru tratamentul în condi</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 xml:space="preserve">ii de ambulatoriu a persoanelor bolnave de tuberculoză (caz nou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i readmis).</w:t>
            </w:r>
          </w:p>
          <w:p w14:paraId="4719D7C3" w14:textId="67C3910D" w:rsidR="00FD65B6" w:rsidRPr="00B13B9A" w:rsidRDefault="00FD65B6" w:rsidP="00332FF7">
            <w:pPr>
              <w:jc w:val="both"/>
              <w:rPr>
                <w:rFonts w:asciiTheme="majorHAnsi" w:hAnsiTheme="majorHAnsi" w:cstheme="majorHAnsi"/>
                <w:color w:val="000000"/>
                <w:sz w:val="20"/>
                <w:szCs w:val="20"/>
                <w:u w:val="single"/>
                <w:lang w:val="ro-MD"/>
              </w:rPr>
            </w:pPr>
            <w:r w:rsidRPr="00B13B9A">
              <w:rPr>
                <w:rFonts w:asciiTheme="majorHAnsi" w:hAnsiTheme="majorHAnsi" w:cstheme="majorHAnsi"/>
                <w:color w:val="000000"/>
                <w:sz w:val="20"/>
                <w:szCs w:val="20"/>
                <w:lang w:val="ro-MD"/>
              </w:rPr>
              <w:t>Totodată, Formularul sus men</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ionat con</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ine eviden</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a personificată a cheltuielilor pentru alimenta</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 xml:space="preserve">ie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i transport public.</w:t>
            </w:r>
          </w:p>
        </w:tc>
        <w:tc>
          <w:tcPr>
            <w:tcW w:w="2835" w:type="dxa"/>
            <w:shd w:val="clear" w:color="auto" w:fill="auto"/>
          </w:tcPr>
          <w:p w14:paraId="45772583" w14:textId="01BC6CEE" w:rsidR="00FD65B6" w:rsidRPr="00B13B9A" w:rsidRDefault="00FD65B6" w:rsidP="00332FF7">
            <w:pPr>
              <w:jc w:val="both"/>
              <w:rPr>
                <w:rFonts w:asciiTheme="majorHAnsi" w:hAnsiTheme="majorHAnsi" w:cstheme="majorHAnsi"/>
                <w:color w:val="000000"/>
                <w:sz w:val="20"/>
                <w:szCs w:val="20"/>
                <w:lang w:val="ro-MD"/>
              </w:rPr>
            </w:pPr>
            <w:r w:rsidRPr="00B13B9A">
              <w:rPr>
                <w:rFonts w:asciiTheme="majorHAnsi" w:hAnsiTheme="majorHAnsi" w:cstheme="majorHAnsi"/>
                <w:color w:val="000000"/>
                <w:sz w:val="20"/>
                <w:szCs w:val="20"/>
                <w:lang w:val="ro-MD"/>
              </w:rPr>
              <w:t xml:space="preserve">Prin Ordinul comun al MSMPS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i CNAM nr.90/16-A din 28.01.2020</w:t>
            </w:r>
            <w:r w:rsidR="00E92ECC" w:rsidRPr="00B13B9A">
              <w:rPr>
                <w:rFonts w:asciiTheme="majorHAnsi" w:hAnsiTheme="majorHAnsi" w:cstheme="majorHAnsi"/>
                <w:color w:val="000000"/>
                <w:sz w:val="20"/>
                <w:szCs w:val="20"/>
                <w:lang w:val="ro-MD"/>
              </w:rPr>
              <w:t>,</w:t>
            </w:r>
            <w:r w:rsidRPr="00B13B9A">
              <w:rPr>
                <w:rFonts w:asciiTheme="majorHAnsi" w:hAnsiTheme="majorHAnsi" w:cstheme="majorHAnsi"/>
                <w:color w:val="000000"/>
                <w:sz w:val="20"/>
                <w:szCs w:val="20"/>
                <w:lang w:val="ro-MD"/>
              </w:rPr>
              <w:t xml:space="preserve"> a fost aprobat Formularul nr.1-29/d ,,Darea de seamă despre acoperirea cheltuielilor pentru alimenta</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 xml:space="preserve">ie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i transport public de la/la domiciliu pentru tratamentul în condi</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ii de ambulatoriu a persoanelor bolnave de tuberculoză</w:t>
            </w:r>
            <w:r w:rsidR="00E92ECC" w:rsidRPr="00B13B9A">
              <w:rPr>
                <w:rFonts w:asciiTheme="majorHAnsi" w:hAnsiTheme="majorHAnsi" w:cstheme="majorHAnsi"/>
                <w:color w:val="000000"/>
                <w:sz w:val="20"/>
                <w:szCs w:val="20"/>
                <w:lang w:val="ro-MD"/>
              </w:rPr>
              <w:t>”</w:t>
            </w:r>
            <w:r w:rsidRPr="00B13B9A">
              <w:rPr>
                <w:rFonts w:asciiTheme="majorHAnsi" w:hAnsiTheme="majorHAnsi" w:cstheme="majorHAnsi"/>
                <w:color w:val="000000"/>
                <w:sz w:val="20"/>
                <w:szCs w:val="20"/>
                <w:lang w:val="ro-MD"/>
              </w:rPr>
              <w:t>. Acest formular con</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ine eviden</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a personificată a cheltuielilor pentru alimenta</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 xml:space="preserve">ie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 xml:space="preserve">i transport public </w:t>
            </w:r>
          </w:p>
        </w:tc>
        <w:tc>
          <w:tcPr>
            <w:tcW w:w="1344" w:type="dxa"/>
            <w:shd w:val="clear" w:color="auto" w:fill="auto"/>
          </w:tcPr>
          <w:p w14:paraId="06E6EBFC" w14:textId="77777777" w:rsidR="00FD65B6" w:rsidRPr="00B13B9A" w:rsidRDefault="00FD65B6" w:rsidP="00332FF7">
            <w:pPr>
              <w:rPr>
                <w:rFonts w:asciiTheme="majorHAnsi" w:hAnsiTheme="majorHAnsi" w:cstheme="majorHAnsi"/>
                <w:b/>
                <w:i/>
                <w:color w:val="000000" w:themeColor="text1"/>
                <w:sz w:val="20"/>
                <w:szCs w:val="20"/>
                <w:lang w:val="ro-MD"/>
              </w:rPr>
            </w:pPr>
            <w:r w:rsidRPr="00B13B9A">
              <w:rPr>
                <w:rFonts w:asciiTheme="majorHAnsi" w:hAnsiTheme="majorHAnsi" w:cstheme="majorHAnsi"/>
                <w:b/>
                <w:i/>
                <w:color w:val="000000" w:themeColor="text1"/>
                <w:sz w:val="20"/>
                <w:szCs w:val="20"/>
                <w:lang w:val="ro-MD"/>
              </w:rPr>
              <w:t>Recomandare implementată</w:t>
            </w:r>
          </w:p>
        </w:tc>
      </w:tr>
      <w:tr w:rsidR="00FD65B6" w:rsidRPr="00B13B9A" w14:paraId="5445E888" w14:textId="77777777" w:rsidTr="00332FF7">
        <w:tc>
          <w:tcPr>
            <w:tcW w:w="14263" w:type="dxa"/>
            <w:gridSpan w:val="7"/>
            <w:shd w:val="clear" w:color="auto" w:fill="auto"/>
          </w:tcPr>
          <w:p w14:paraId="341CE9E6" w14:textId="369959B9" w:rsidR="00FD65B6" w:rsidRPr="00B13B9A" w:rsidRDefault="00FD65B6" w:rsidP="00332FF7">
            <w:pPr>
              <w:jc w:val="center"/>
              <w:rPr>
                <w:rFonts w:asciiTheme="majorHAnsi" w:hAnsiTheme="majorHAnsi" w:cstheme="majorHAnsi"/>
                <w:b/>
                <w:i/>
                <w:color w:val="000000" w:themeColor="text1"/>
                <w:sz w:val="20"/>
                <w:szCs w:val="20"/>
                <w:lang w:val="ro-MD"/>
              </w:rPr>
            </w:pPr>
            <w:r w:rsidRPr="00B13B9A">
              <w:rPr>
                <w:rFonts w:asciiTheme="majorHAnsi" w:hAnsiTheme="majorHAnsi" w:cstheme="majorHAnsi"/>
                <w:b/>
                <w:i/>
                <w:color w:val="000000" w:themeColor="text1"/>
                <w:sz w:val="20"/>
                <w:szCs w:val="20"/>
                <w:lang w:val="ro-MD"/>
              </w:rPr>
              <w:t>Recomandare Maternită</w:t>
            </w:r>
            <w:r w:rsidR="00B13B9A" w:rsidRPr="00B13B9A">
              <w:rPr>
                <w:rFonts w:asciiTheme="majorHAnsi" w:hAnsiTheme="majorHAnsi" w:cstheme="majorHAnsi"/>
                <w:b/>
                <w:i/>
                <w:color w:val="000000" w:themeColor="text1"/>
                <w:sz w:val="20"/>
                <w:szCs w:val="20"/>
                <w:lang w:val="ro-MD"/>
              </w:rPr>
              <w:t>ț</w:t>
            </w:r>
            <w:r w:rsidRPr="00B13B9A">
              <w:rPr>
                <w:rFonts w:asciiTheme="majorHAnsi" w:hAnsiTheme="majorHAnsi" w:cstheme="majorHAnsi"/>
                <w:b/>
                <w:i/>
                <w:color w:val="000000" w:themeColor="text1"/>
                <w:sz w:val="20"/>
                <w:szCs w:val="20"/>
                <w:lang w:val="ro-MD"/>
              </w:rPr>
              <w:t>ii Municipale nr.2, Chi</w:t>
            </w:r>
            <w:r w:rsidR="00B13B9A" w:rsidRPr="00B13B9A">
              <w:rPr>
                <w:rFonts w:asciiTheme="majorHAnsi" w:hAnsiTheme="majorHAnsi" w:cstheme="majorHAnsi"/>
                <w:b/>
                <w:i/>
                <w:color w:val="000000" w:themeColor="text1"/>
                <w:sz w:val="20"/>
                <w:szCs w:val="20"/>
                <w:lang w:val="ro-MD"/>
              </w:rPr>
              <w:t>ș</w:t>
            </w:r>
            <w:r w:rsidRPr="00B13B9A">
              <w:rPr>
                <w:rFonts w:asciiTheme="majorHAnsi" w:hAnsiTheme="majorHAnsi" w:cstheme="majorHAnsi"/>
                <w:b/>
                <w:i/>
                <w:color w:val="000000" w:themeColor="text1"/>
                <w:sz w:val="20"/>
                <w:szCs w:val="20"/>
                <w:lang w:val="ro-MD"/>
              </w:rPr>
              <w:t>inău</w:t>
            </w:r>
          </w:p>
        </w:tc>
      </w:tr>
      <w:tr w:rsidR="00FD65B6" w:rsidRPr="00B13B9A" w14:paraId="7BE297EA" w14:textId="77777777" w:rsidTr="00332FF7">
        <w:trPr>
          <w:gridAfter w:val="1"/>
          <w:wAfter w:w="24" w:type="dxa"/>
        </w:trPr>
        <w:tc>
          <w:tcPr>
            <w:tcW w:w="576" w:type="dxa"/>
            <w:shd w:val="clear" w:color="auto" w:fill="auto"/>
          </w:tcPr>
          <w:p w14:paraId="18F68A4B" w14:textId="77777777" w:rsidR="00FD65B6" w:rsidRPr="00B13B9A" w:rsidRDefault="00FD65B6" w:rsidP="00332FF7">
            <w:pPr>
              <w:jc w:val="center"/>
              <w:rPr>
                <w:rFonts w:asciiTheme="majorHAnsi" w:hAnsiTheme="majorHAnsi" w:cstheme="majorHAnsi"/>
                <w:b/>
                <w:i/>
                <w:color w:val="000000" w:themeColor="text1"/>
                <w:sz w:val="20"/>
                <w:szCs w:val="20"/>
                <w:lang w:val="ro-MD"/>
              </w:rPr>
            </w:pPr>
            <w:r w:rsidRPr="00B13B9A">
              <w:rPr>
                <w:rFonts w:asciiTheme="majorHAnsi" w:hAnsiTheme="majorHAnsi" w:cstheme="majorHAnsi"/>
                <w:b/>
                <w:i/>
                <w:color w:val="000000" w:themeColor="text1"/>
                <w:sz w:val="20"/>
                <w:szCs w:val="20"/>
                <w:lang w:val="ro-MD"/>
              </w:rPr>
              <w:t>4</w:t>
            </w:r>
          </w:p>
        </w:tc>
        <w:tc>
          <w:tcPr>
            <w:tcW w:w="837" w:type="dxa"/>
            <w:shd w:val="clear" w:color="auto" w:fill="auto"/>
          </w:tcPr>
          <w:p w14:paraId="45240D67" w14:textId="77777777" w:rsidR="00FD65B6" w:rsidRPr="00B13B9A" w:rsidRDefault="00FD65B6" w:rsidP="00332FF7">
            <w:pPr>
              <w:jc w:val="center"/>
              <w:rPr>
                <w:rFonts w:asciiTheme="majorHAnsi" w:hAnsiTheme="majorHAnsi" w:cstheme="majorHAnsi"/>
                <w:b/>
                <w:i/>
                <w:color w:val="000000" w:themeColor="text1"/>
                <w:sz w:val="20"/>
                <w:szCs w:val="20"/>
                <w:lang w:val="ro-MD"/>
              </w:rPr>
            </w:pPr>
            <w:r w:rsidRPr="00B13B9A">
              <w:rPr>
                <w:rFonts w:asciiTheme="majorHAnsi" w:hAnsiTheme="majorHAnsi" w:cstheme="majorHAnsi"/>
                <w:b/>
                <w:i/>
                <w:color w:val="000000" w:themeColor="text1"/>
                <w:sz w:val="20"/>
                <w:szCs w:val="20"/>
                <w:lang w:val="ro-MD"/>
              </w:rPr>
              <w:t>6</w:t>
            </w:r>
          </w:p>
        </w:tc>
        <w:tc>
          <w:tcPr>
            <w:tcW w:w="2977" w:type="dxa"/>
            <w:shd w:val="clear" w:color="auto" w:fill="auto"/>
          </w:tcPr>
          <w:p w14:paraId="1322FE10" w14:textId="72DA1FEF" w:rsidR="00FD65B6" w:rsidRPr="00B13B9A" w:rsidRDefault="00FD65B6" w:rsidP="00332FF7">
            <w:pPr>
              <w:jc w:val="both"/>
              <w:rPr>
                <w:rFonts w:asciiTheme="majorHAnsi" w:hAnsiTheme="majorHAnsi" w:cstheme="majorHAnsi"/>
                <w:color w:val="000000"/>
                <w:sz w:val="20"/>
                <w:szCs w:val="20"/>
                <w:lang w:val="ro-MD"/>
              </w:rPr>
            </w:pPr>
            <w:r w:rsidRPr="00B13B9A">
              <w:rPr>
                <w:rFonts w:asciiTheme="majorHAnsi" w:hAnsiTheme="majorHAnsi" w:cstheme="majorHAnsi"/>
                <w:color w:val="000000"/>
                <w:sz w:val="20"/>
                <w:szCs w:val="20"/>
                <w:lang w:val="ro-MD"/>
              </w:rPr>
              <w:t xml:space="preserve">Să asigure planificarea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i administrarea vaccinului BCG, în scopul diminuării indicatorului de pierderi (pct.4.12.)</w:t>
            </w:r>
          </w:p>
        </w:tc>
        <w:tc>
          <w:tcPr>
            <w:tcW w:w="5670" w:type="dxa"/>
            <w:shd w:val="clear" w:color="auto" w:fill="auto"/>
          </w:tcPr>
          <w:p w14:paraId="407976E4" w14:textId="5A72EC69" w:rsidR="00FD65B6" w:rsidRPr="00B13B9A" w:rsidRDefault="00FD65B6" w:rsidP="00332FF7">
            <w:pPr>
              <w:jc w:val="both"/>
              <w:rPr>
                <w:rFonts w:asciiTheme="majorHAnsi" w:hAnsiTheme="majorHAnsi" w:cstheme="majorHAnsi"/>
                <w:color w:val="000000"/>
                <w:sz w:val="20"/>
                <w:szCs w:val="20"/>
                <w:lang w:val="ro-MD"/>
              </w:rPr>
            </w:pPr>
            <w:r w:rsidRPr="00B13B9A">
              <w:rPr>
                <w:rFonts w:asciiTheme="majorHAnsi" w:hAnsiTheme="majorHAnsi" w:cstheme="majorHAnsi"/>
                <w:b/>
                <w:i/>
                <w:color w:val="000000"/>
                <w:sz w:val="20"/>
                <w:szCs w:val="20"/>
                <w:u w:val="single"/>
                <w:lang w:val="ro-MD"/>
              </w:rPr>
              <w:t>Prin scrisoarea nr.177 din 29.11.2023</w:t>
            </w:r>
            <w:r w:rsidRPr="00B13B9A">
              <w:rPr>
                <w:rFonts w:asciiTheme="majorHAnsi" w:hAnsiTheme="majorHAnsi" w:cstheme="majorHAnsi"/>
                <w:color w:val="000000"/>
                <w:sz w:val="20"/>
                <w:szCs w:val="20"/>
                <w:lang w:val="ro-MD"/>
              </w:rPr>
              <w:t xml:space="preserve"> IMSP Maternitatea Municipală nr.2 informează că, în perioada când se atestă un număr mic de na</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teri în institu</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 xml:space="preserve">ie, pentru a eficientiza stocurile de vaccin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 xml:space="preserve">i a asigura planificarea corectă, precum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 xml:space="preserve">i a diminua pierderile de vaccin, în caz de externare din maternitate a nou-născutului fără vaccinarea BCG, mamele sunt informate despre necesitatea de a reveni în maternitate la data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i ora programată pentru a efectua vaccinarea respectivă. Informa</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ia este înregistrată în documenta</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ia medicală primară din sta</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 xml:space="preserve">ionar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 xml:space="preserve">i confirmată prin semnătura mamei. </w:t>
            </w:r>
          </w:p>
        </w:tc>
        <w:tc>
          <w:tcPr>
            <w:tcW w:w="2835" w:type="dxa"/>
            <w:shd w:val="clear" w:color="auto" w:fill="auto"/>
          </w:tcPr>
          <w:p w14:paraId="0ED2E2D2" w14:textId="5AA3CAE0" w:rsidR="00FD65B6" w:rsidRPr="00B13B9A" w:rsidRDefault="00FD65B6" w:rsidP="00332FF7">
            <w:pPr>
              <w:jc w:val="both"/>
              <w:rPr>
                <w:rFonts w:asciiTheme="majorHAnsi" w:hAnsiTheme="majorHAnsi" w:cstheme="majorHAnsi"/>
                <w:color w:val="000000"/>
                <w:sz w:val="20"/>
                <w:szCs w:val="20"/>
                <w:lang w:val="ro-MD"/>
              </w:rPr>
            </w:pPr>
            <w:r w:rsidRPr="00B13B9A">
              <w:rPr>
                <w:rFonts w:asciiTheme="majorHAnsi" w:hAnsiTheme="majorHAnsi" w:cstheme="majorHAnsi"/>
                <w:color w:val="000000"/>
                <w:sz w:val="20"/>
                <w:szCs w:val="20"/>
                <w:lang w:val="ro-MD"/>
              </w:rPr>
              <w:t>În scopul diminuării indicatorului de pierderi</w:t>
            </w:r>
            <w:r w:rsidR="00E92ECC" w:rsidRPr="00B13B9A">
              <w:rPr>
                <w:rFonts w:asciiTheme="majorHAnsi" w:hAnsiTheme="majorHAnsi" w:cstheme="majorHAnsi"/>
                <w:color w:val="000000"/>
                <w:sz w:val="20"/>
                <w:szCs w:val="20"/>
                <w:lang w:val="ro-MD"/>
              </w:rPr>
              <w:t>,</w:t>
            </w:r>
            <w:r w:rsidRPr="00B13B9A">
              <w:rPr>
                <w:rFonts w:asciiTheme="majorHAnsi" w:hAnsiTheme="majorHAnsi" w:cstheme="majorHAnsi"/>
                <w:color w:val="000000"/>
                <w:sz w:val="20"/>
                <w:szCs w:val="20"/>
                <w:lang w:val="ro-MD"/>
              </w:rPr>
              <w:t xml:space="preserve"> IMSP Maternitatea Municipală nr.2 a asigurat planificarea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 xml:space="preserve">i administrarea vaccinului BCG </w:t>
            </w:r>
          </w:p>
        </w:tc>
        <w:tc>
          <w:tcPr>
            <w:tcW w:w="1344" w:type="dxa"/>
            <w:shd w:val="clear" w:color="auto" w:fill="auto"/>
          </w:tcPr>
          <w:p w14:paraId="4B544B89" w14:textId="77777777" w:rsidR="00FD65B6" w:rsidRPr="00B13B9A" w:rsidRDefault="00FD65B6" w:rsidP="00332FF7">
            <w:pPr>
              <w:rPr>
                <w:rFonts w:asciiTheme="majorHAnsi" w:hAnsiTheme="majorHAnsi" w:cstheme="majorHAnsi"/>
                <w:b/>
                <w:i/>
                <w:color w:val="000000" w:themeColor="text1"/>
                <w:sz w:val="20"/>
                <w:szCs w:val="20"/>
                <w:lang w:val="ro-MD"/>
              </w:rPr>
            </w:pPr>
            <w:r w:rsidRPr="00B13B9A">
              <w:rPr>
                <w:rFonts w:asciiTheme="majorHAnsi" w:hAnsiTheme="majorHAnsi" w:cstheme="majorHAnsi"/>
                <w:b/>
                <w:i/>
                <w:color w:val="000000" w:themeColor="text1"/>
                <w:sz w:val="20"/>
                <w:szCs w:val="20"/>
                <w:lang w:val="ro-MD"/>
              </w:rPr>
              <w:t>Recomandare implementată</w:t>
            </w:r>
          </w:p>
        </w:tc>
      </w:tr>
      <w:tr w:rsidR="00FD65B6" w:rsidRPr="00B13B9A" w14:paraId="53D3D831" w14:textId="77777777" w:rsidTr="00332FF7">
        <w:trPr>
          <w:trHeight w:val="161"/>
        </w:trPr>
        <w:tc>
          <w:tcPr>
            <w:tcW w:w="14263" w:type="dxa"/>
            <w:gridSpan w:val="7"/>
            <w:shd w:val="clear" w:color="auto" w:fill="auto"/>
          </w:tcPr>
          <w:p w14:paraId="3EEAE159" w14:textId="2DBD2F91" w:rsidR="00FD65B6" w:rsidRPr="00B13B9A" w:rsidRDefault="00FD65B6" w:rsidP="00332FF7">
            <w:pPr>
              <w:jc w:val="center"/>
              <w:rPr>
                <w:rFonts w:asciiTheme="majorHAnsi" w:hAnsiTheme="majorHAnsi" w:cstheme="majorHAnsi"/>
                <w:b/>
                <w:i/>
                <w:color w:val="000000" w:themeColor="text1"/>
                <w:sz w:val="20"/>
                <w:szCs w:val="20"/>
                <w:lang w:val="ro-MD"/>
              </w:rPr>
            </w:pPr>
            <w:r w:rsidRPr="00B13B9A">
              <w:rPr>
                <w:rFonts w:asciiTheme="majorHAnsi" w:hAnsiTheme="majorHAnsi" w:cstheme="majorHAnsi"/>
                <w:b/>
                <w:i/>
                <w:color w:val="000000" w:themeColor="text1"/>
                <w:sz w:val="20"/>
                <w:szCs w:val="20"/>
                <w:lang w:val="ro-MD"/>
              </w:rPr>
              <w:t>Recomandare Spitalului Clinic Municipal nr.1, Chi</w:t>
            </w:r>
            <w:r w:rsidR="00B13B9A" w:rsidRPr="00B13B9A">
              <w:rPr>
                <w:rFonts w:asciiTheme="majorHAnsi" w:hAnsiTheme="majorHAnsi" w:cstheme="majorHAnsi"/>
                <w:b/>
                <w:i/>
                <w:color w:val="000000" w:themeColor="text1"/>
                <w:sz w:val="20"/>
                <w:szCs w:val="20"/>
                <w:lang w:val="ro-MD"/>
              </w:rPr>
              <w:t>ș</w:t>
            </w:r>
            <w:r w:rsidRPr="00B13B9A">
              <w:rPr>
                <w:rFonts w:asciiTheme="majorHAnsi" w:hAnsiTheme="majorHAnsi" w:cstheme="majorHAnsi"/>
                <w:b/>
                <w:i/>
                <w:color w:val="000000" w:themeColor="text1"/>
                <w:sz w:val="20"/>
                <w:szCs w:val="20"/>
                <w:lang w:val="ro-MD"/>
              </w:rPr>
              <w:t>inău</w:t>
            </w:r>
          </w:p>
        </w:tc>
      </w:tr>
      <w:tr w:rsidR="00FD65B6" w:rsidRPr="00B13B9A" w14:paraId="21FCE271" w14:textId="77777777" w:rsidTr="00332FF7">
        <w:trPr>
          <w:gridAfter w:val="1"/>
          <w:wAfter w:w="24" w:type="dxa"/>
        </w:trPr>
        <w:tc>
          <w:tcPr>
            <w:tcW w:w="576" w:type="dxa"/>
            <w:shd w:val="clear" w:color="auto" w:fill="auto"/>
          </w:tcPr>
          <w:p w14:paraId="0119A6DF" w14:textId="77777777" w:rsidR="00FD65B6" w:rsidRPr="00B13B9A" w:rsidRDefault="00FD65B6" w:rsidP="00332FF7">
            <w:pPr>
              <w:jc w:val="center"/>
              <w:rPr>
                <w:rFonts w:asciiTheme="majorHAnsi" w:hAnsiTheme="majorHAnsi" w:cstheme="majorHAnsi"/>
                <w:b/>
                <w:i/>
                <w:color w:val="000000" w:themeColor="text1"/>
                <w:sz w:val="20"/>
                <w:szCs w:val="20"/>
                <w:lang w:val="ro-MD"/>
              </w:rPr>
            </w:pPr>
            <w:r w:rsidRPr="00B13B9A">
              <w:rPr>
                <w:rFonts w:asciiTheme="majorHAnsi" w:hAnsiTheme="majorHAnsi" w:cstheme="majorHAnsi"/>
                <w:b/>
                <w:i/>
                <w:color w:val="000000" w:themeColor="text1"/>
                <w:sz w:val="20"/>
                <w:szCs w:val="20"/>
                <w:lang w:val="ro-MD"/>
              </w:rPr>
              <w:t>5</w:t>
            </w:r>
          </w:p>
        </w:tc>
        <w:tc>
          <w:tcPr>
            <w:tcW w:w="837" w:type="dxa"/>
            <w:shd w:val="clear" w:color="auto" w:fill="auto"/>
          </w:tcPr>
          <w:p w14:paraId="50236F09" w14:textId="77777777" w:rsidR="00FD65B6" w:rsidRPr="00B13B9A" w:rsidRDefault="00FD65B6" w:rsidP="00332FF7">
            <w:pPr>
              <w:jc w:val="center"/>
              <w:rPr>
                <w:rFonts w:asciiTheme="majorHAnsi" w:hAnsiTheme="majorHAnsi" w:cstheme="majorHAnsi"/>
                <w:b/>
                <w:i/>
                <w:color w:val="000000" w:themeColor="text1"/>
                <w:sz w:val="20"/>
                <w:szCs w:val="20"/>
                <w:lang w:val="ro-MD"/>
              </w:rPr>
            </w:pPr>
            <w:r w:rsidRPr="00B13B9A">
              <w:rPr>
                <w:rFonts w:asciiTheme="majorHAnsi" w:hAnsiTheme="majorHAnsi" w:cstheme="majorHAnsi"/>
                <w:b/>
                <w:i/>
                <w:color w:val="000000" w:themeColor="text1"/>
                <w:sz w:val="20"/>
                <w:szCs w:val="20"/>
                <w:lang w:val="ro-MD"/>
              </w:rPr>
              <w:t xml:space="preserve">6 </w:t>
            </w:r>
          </w:p>
        </w:tc>
        <w:tc>
          <w:tcPr>
            <w:tcW w:w="2977" w:type="dxa"/>
            <w:shd w:val="clear" w:color="auto" w:fill="auto"/>
          </w:tcPr>
          <w:p w14:paraId="7A6784AF" w14:textId="39FFFD03" w:rsidR="00FD65B6" w:rsidRPr="00B13B9A" w:rsidRDefault="00FD65B6" w:rsidP="00332FF7">
            <w:pPr>
              <w:jc w:val="both"/>
              <w:rPr>
                <w:rFonts w:asciiTheme="majorHAnsi" w:hAnsiTheme="majorHAnsi" w:cstheme="majorHAnsi"/>
                <w:color w:val="000000"/>
                <w:sz w:val="20"/>
                <w:szCs w:val="20"/>
                <w:lang w:val="ro-MD"/>
              </w:rPr>
            </w:pPr>
            <w:r w:rsidRPr="00B13B9A">
              <w:rPr>
                <w:rFonts w:asciiTheme="majorHAnsi" w:hAnsiTheme="majorHAnsi" w:cstheme="majorHAnsi"/>
                <w:color w:val="000000"/>
                <w:sz w:val="20"/>
                <w:szCs w:val="20"/>
                <w:lang w:val="ro-MD"/>
              </w:rPr>
              <w:t xml:space="preserve">Să asigure planificarea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i administrarea vaccinului BCG, în scopul diminuării indicatorului de pierderi (pct.4.12.)</w:t>
            </w:r>
          </w:p>
        </w:tc>
        <w:tc>
          <w:tcPr>
            <w:tcW w:w="5670" w:type="dxa"/>
            <w:shd w:val="clear" w:color="auto" w:fill="auto"/>
          </w:tcPr>
          <w:p w14:paraId="705A1FC3" w14:textId="4CD9AF08" w:rsidR="00FD65B6" w:rsidRPr="00B13B9A" w:rsidRDefault="00FD65B6" w:rsidP="00332FF7">
            <w:pPr>
              <w:jc w:val="both"/>
              <w:rPr>
                <w:rFonts w:asciiTheme="majorHAnsi" w:hAnsiTheme="majorHAnsi" w:cstheme="majorHAnsi"/>
                <w:color w:val="000000"/>
                <w:sz w:val="20"/>
                <w:szCs w:val="20"/>
                <w:lang w:val="ro-MD"/>
              </w:rPr>
            </w:pPr>
            <w:r w:rsidRPr="00B13B9A">
              <w:rPr>
                <w:rFonts w:asciiTheme="majorHAnsi" w:hAnsiTheme="majorHAnsi" w:cstheme="majorHAnsi"/>
                <w:b/>
                <w:i/>
                <w:color w:val="000000"/>
                <w:sz w:val="20"/>
                <w:szCs w:val="20"/>
                <w:lang w:val="ro-MD"/>
              </w:rPr>
              <w:t>Prin scrisoarea nr.05-4/1196 din 30.11.2023</w:t>
            </w:r>
            <w:r w:rsidRPr="00B13B9A">
              <w:rPr>
                <w:rFonts w:asciiTheme="majorHAnsi" w:hAnsiTheme="majorHAnsi" w:cstheme="majorHAnsi"/>
                <w:color w:val="000000"/>
                <w:sz w:val="20"/>
                <w:szCs w:val="20"/>
                <w:lang w:val="ro-MD"/>
              </w:rPr>
              <w:t xml:space="preserve"> administra</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ia IMSP SCM ”Gheorghe Paladi” a prezentat informa</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 xml:space="preserve">iile cu referire la măsurile întreprinse privind realizarea recomandării înaintate. Astfel, au fost organizate seminare de instruire a asistentelor din cabinetele de vaccinări în cadrul căruia au fost familiarizate cu principiile de vaccinare BCG, planificarea corectă a dozelor de vaccinare, modalitatea de administrare a vaccinurilor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 xml:space="preserve">i evenimentele adverse post imunizare care pot apărea. Personalul a fost evaluat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 xml:space="preserve">i atestate prin oferirea certificatelor ce permit activitatea de imunizare BCG. Pe parcursul anilor 2020-2022 rata de acoperire vaccinală cu vaccin BCG a constituit circa 93,5%. S-a redus factorul de pierdere a vaccinului BCG de la 2 la 1,7 – 1,8 ceea ce se încadrează în limitele normei. </w:t>
            </w:r>
          </w:p>
        </w:tc>
        <w:tc>
          <w:tcPr>
            <w:tcW w:w="2835" w:type="dxa"/>
            <w:shd w:val="clear" w:color="auto" w:fill="auto"/>
          </w:tcPr>
          <w:p w14:paraId="4C817526" w14:textId="1E40B535" w:rsidR="00FD65B6" w:rsidRPr="00B13B9A" w:rsidRDefault="00FD65B6" w:rsidP="00332FF7">
            <w:pPr>
              <w:jc w:val="both"/>
              <w:rPr>
                <w:rFonts w:asciiTheme="majorHAnsi" w:hAnsiTheme="majorHAnsi" w:cstheme="majorHAnsi"/>
                <w:color w:val="000000"/>
                <w:sz w:val="20"/>
                <w:szCs w:val="20"/>
                <w:lang w:val="ro-MD"/>
              </w:rPr>
            </w:pPr>
            <w:r w:rsidRPr="00B13B9A">
              <w:rPr>
                <w:rFonts w:asciiTheme="majorHAnsi" w:hAnsiTheme="majorHAnsi" w:cstheme="majorHAnsi"/>
                <w:color w:val="000000"/>
                <w:sz w:val="20"/>
                <w:szCs w:val="20"/>
                <w:lang w:val="ro-MD"/>
              </w:rPr>
              <w:t>Au fost efectuate seminare de instruire a asistentelor din cabinetele de vaccinări. Pe parcursul anilor 2020-2022 rata de acoperire vaccinală cu vaccin BCG a constituit circa 93,5%. S-a redus factorul de pierdere a vaccinului BCG de la 2 la 1,7 – 1,8</w:t>
            </w:r>
            <w:r w:rsidR="00E92ECC" w:rsidRPr="00B13B9A">
              <w:rPr>
                <w:rFonts w:asciiTheme="majorHAnsi" w:hAnsiTheme="majorHAnsi" w:cstheme="majorHAnsi"/>
                <w:color w:val="000000"/>
                <w:sz w:val="20"/>
                <w:szCs w:val="20"/>
                <w:lang w:val="ro-MD"/>
              </w:rPr>
              <w:t>,</w:t>
            </w:r>
            <w:r w:rsidRPr="00B13B9A">
              <w:rPr>
                <w:rFonts w:asciiTheme="majorHAnsi" w:hAnsiTheme="majorHAnsi" w:cstheme="majorHAnsi"/>
                <w:color w:val="000000"/>
                <w:sz w:val="20"/>
                <w:szCs w:val="20"/>
                <w:lang w:val="ro-MD"/>
              </w:rPr>
              <w:t xml:space="preserve"> ceea ce se încadrează în limitele normei</w:t>
            </w:r>
          </w:p>
        </w:tc>
        <w:tc>
          <w:tcPr>
            <w:tcW w:w="1344" w:type="dxa"/>
            <w:shd w:val="clear" w:color="auto" w:fill="auto"/>
          </w:tcPr>
          <w:p w14:paraId="1D780FA5" w14:textId="77777777" w:rsidR="00FD65B6" w:rsidRPr="00B13B9A" w:rsidRDefault="00FD65B6" w:rsidP="00332FF7">
            <w:pPr>
              <w:rPr>
                <w:rFonts w:asciiTheme="majorHAnsi" w:hAnsiTheme="majorHAnsi" w:cstheme="majorHAnsi"/>
                <w:b/>
                <w:i/>
                <w:color w:val="000000" w:themeColor="text1"/>
                <w:sz w:val="20"/>
                <w:szCs w:val="20"/>
                <w:lang w:val="ro-MD"/>
              </w:rPr>
            </w:pPr>
            <w:r w:rsidRPr="00B13B9A">
              <w:rPr>
                <w:rFonts w:asciiTheme="majorHAnsi" w:hAnsiTheme="majorHAnsi" w:cstheme="majorHAnsi"/>
                <w:b/>
                <w:i/>
                <w:color w:val="000000" w:themeColor="text1"/>
                <w:sz w:val="20"/>
                <w:szCs w:val="20"/>
                <w:lang w:val="ro-MD"/>
              </w:rPr>
              <w:t>Recomandare implementată</w:t>
            </w:r>
          </w:p>
        </w:tc>
      </w:tr>
      <w:tr w:rsidR="00FD65B6" w:rsidRPr="00B13B9A" w14:paraId="5F51EAEF" w14:textId="77777777" w:rsidTr="00332FF7">
        <w:tc>
          <w:tcPr>
            <w:tcW w:w="14263" w:type="dxa"/>
            <w:gridSpan w:val="7"/>
            <w:shd w:val="clear" w:color="auto" w:fill="auto"/>
          </w:tcPr>
          <w:p w14:paraId="7D87D70C" w14:textId="43020D8A" w:rsidR="00FD65B6" w:rsidRPr="00B13B9A" w:rsidRDefault="00FD65B6" w:rsidP="00332FF7">
            <w:pPr>
              <w:jc w:val="center"/>
              <w:rPr>
                <w:rFonts w:asciiTheme="majorHAnsi" w:hAnsiTheme="majorHAnsi" w:cstheme="majorHAnsi"/>
                <w:b/>
                <w:i/>
                <w:color w:val="000000" w:themeColor="text1"/>
                <w:sz w:val="20"/>
                <w:szCs w:val="20"/>
                <w:lang w:val="ro-MD"/>
              </w:rPr>
            </w:pPr>
            <w:r w:rsidRPr="00B13B9A">
              <w:rPr>
                <w:rFonts w:asciiTheme="majorHAnsi" w:hAnsiTheme="majorHAnsi" w:cstheme="majorHAnsi"/>
                <w:b/>
                <w:i/>
                <w:color w:val="000000" w:themeColor="text1"/>
                <w:sz w:val="20"/>
                <w:szCs w:val="20"/>
                <w:lang w:val="ro-MD"/>
              </w:rPr>
              <w:t>Recomandare Departamentului Perinatologic, mun. Băl</w:t>
            </w:r>
            <w:r w:rsidR="00B13B9A" w:rsidRPr="00B13B9A">
              <w:rPr>
                <w:rFonts w:asciiTheme="majorHAnsi" w:hAnsiTheme="majorHAnsi" w:cstheme="majorHAnsi"/>
                <w:b/>
                <w:i/>
                <w:color w:val="000000" w:themeColor="text1"/>
                <w:sz w:val="20"/>
                <w:szCs w:val="20"/>
                <w:lang w:val="ro-MD"/>
              </w:rPr>
              <w:t>ț</w:t>
            </w:r>
            <w:r w:rsidRPr="00B13B9A">
              <w:rPr>
                <w:rFonts w:asciiTheme="majorHAnsi" w:hAnsiTheme="majorHAnsi" w:cstheme="majorHAnsi"/>
                <w:b/>
                <w:i/>
                <w:color w:val="000000" w:themeColor="text1"/>
                <w:sz w:val="20"/>
                <w:szCs w:val="20"/>
                <w:lang w:val="ro-MD"/>
              </w:rPr>
              <w:t>i (actualmente Centrul Perinatologic, Băl</w:t>
            </w:r>
            <w:r w:rsidR="00B13B9A" w:rsidRPr="00B13B9A">
              <w:rPr>
                <w:rFonts w:asciiTheme="majorHAnsi" w:hAnsiTheme="majorHAnsi" w:cstheme="majorHAnsi"/>
                <w:b/>
                <w:i/>
                <w:color w:val="000000" w:themeColor="text1"/>
                <w:sz w:val="20"/>
                <w:szCs w:val="20"/>
                <w:lang w:val="ro-MD"/>
              </w:rPr>
              <w:t>ț</w:t>
            </w:r>
            <w:r w:rsidRPr="00B13B9A">
              <w:rPr>
                <w:rFonts w:asciiTheme="majorHAnsi" w:hAnsiTheme="majorHAnsi" w:cstheme="majorHAnsi"/>
                <w:b/>
                <w:i/>
                <w:color w:val="000000" w:themeColor="text1"/>
                <w:sz w:val="20"/>
                <w:szCs w:val="20"/>
                <w:lang w:val="ro-MD"/>
              </w:rPr>
              <w:t>i)</w:t>
            </w:r>
          </w:p>
        </w:tc>
      </w:tr>
      <w:tr w:rsidR="00FD65B6" w:rsidRPr="00B13B9A" w14:paraId="7BDF01E8" w14:textId="77777777" w:rsidTr="00332FF7">
        <w:trPr>
          <w:gridAfter w:val="1"/>
          <w:wAfter w:w="24" w:type="dxa"/>
        </w:trPr>
        <w:tc>
          <w:tcPr>
            <w:tcW w:w="576" w:type="dxa"/>
            <w:shd w:val="clear" w:color="auto" w:fill="auto"/>
          </w:tcPr>
          <w:p w14:paraId="64AEAB2A" w14:textId="77777777" w:rsidR="00FD65B6" w:rsidRPr="00B13B9A" w:rsidRDefault="00FD65B6" w:rsidP="00332FF7">
            <w:pPr>
              <w:jc w:val="center"/>
              <w:rPr>
                <w:rFonts w:asciiTheme="majorHAnsi" w:hAnsiTheme="majorHAnsi" w:cstheme="majorHAnsi"/>
                <w:b/>
                <w:i/>
                <w:color w:val="000000" w:themeColor="text1"/>
                <w:sz w:val="20"/>
                <w:szCs w:val="20"/>
                <w:lang w:val="ro-MD"/>
              </w:rPr>
            </w:pPr>
            <w:r w:rsidRPr="00B13B9A">
              <w:rPr>
                <w:rFonts w:asciiTheme="majorHAnsi" w:hAnsiTheme="majorHAnsi" w:cstheme="majorHAnsi"/>
                <w:b/>
                <w:i/>
                <w:color w:val="000000" w:themeColor="text1"/>
                <w:sz w:val="20"/>
                <w:szCs w:val="20"/>
                <w:lang w:val="ro-MD"/>
              </w:rPr>
              <w:t>6</w:t>
            </w:r>
          </w:p>
        </w:tc>
        <w:tc>
          <w:tcPr>
            <w:tcW w:w="837" w:type="dxa"/>
            <w:shd w:val="clear" w:color="auto" w:fill="auto"/>
          </w:tcPr>
          <w:p w14:paraId="1BE94A05" w14:textId="77777777" w:rsidR="00FD65B6" w:rsidRPr="00B13B9A" w:rsidRDefault="00FD65B6" w:rsidP="00332FF7">
            <w:pPr>
              <w:jc w:val="center"/>
              <w:rPr>
                <w:rFonts w:asciiTheme="majorHAnsi" w:hAnsiTheme="majorHAnsi" w:cstheme="majorHAnsi"/>
                <w:b/>
                <w:i/>
                <w:color w:val="000000" w:themeColor="text1"/>
                <w:sz w:val="20"/>
                <w:szCs w:val="20"/>
                <w:lang w:val="ro-MD"/>
              </w:rPr>
            </w:pPr>
            <w:r w:rsidRPr="00B13B9A">
              <w:rPr>
                <w:rFonts w:asciiTheme="majorHAnsi" w:hAnsiTheme="majorHAnsi" w:cstheme="majorHAnsi"/>
                <w:b/>
                <w:i/>
                <w:color w:val="000000" w:themeColor="text1"/>
                <w:sz w:val="20"/>
                <w:szCs w:val="20"/>
                <w:lang w:val="ro-MD"/>
              </w:rPr>
              <w:t>6</w:t>
            </w:r>
          </w:p>
        </w:tc>
        <w:tc>
          <w:tcPr>
            <w:tcW w:w="2977" w:type="dxa"/>
            <w:shd w:val="clear" w:color="auto" w:fill="auto"/>
          </w:tcPr>
          <w:p w14:paraId="5FC95A89" w14:textId="098B24C4" w:rsidR="00FD65B6" w:rsidRPr="00B13B9A" w:rsidRDefault="00FD65B6" w:rsidP="00332FF7">
            <w:pPr>
              <w:jc w:val="both"/>
              <w:rPr>
                <w:rFonts w:asciiTheme="majorHAnsi" w:hAnsiTheme="majorHAnsi" w:cstheme="majorHAnsi"/>
                <w:color w:val="000000"/>
                <w:sz w:val="20"/>
                <w:szCs w:val="20"/>
                <w:lang w:val="ro-MD"/>
              </w:rPr>
            </w:pPr>
            <w:r w:rsidRPr="00B13B9A">
              <w:rPr>
                <w:rFonts w:asciiTheme="majorHAnsi" w:hAnsiTheme="majorHAnsi" w:cstheme="majorHAnsi"/>
                <w:color w:val="000000"/>
                <w:sz w:val="20"/>
                <w:szCs w:val="20"/>
                <w:lang w:val="ro-MD"/>
              </w:rPr>
              <w:t xml:space="preserve">Să asigure planificarea </w:t>
            </w:r>
            <w:r w:rsidR="00B13B9A" w:rsidRPr="00B13B9A">
              <w:rPr>
                <w:rFonts w:asciiTheme="majorHAnsi" w:hAnsiTheme="majorHAnsi" w:cstheme="majorHAnsi"/>
                <w:color w:val="000000"/>
                <w:sz w:val="20"/>
                <w:szCs w:val="20"/>
                <w:lang w:val="ro-MD"/>
              </w:rPr>
              <w:t>ș</w:t>
            </w:r>
            <w:r w:rsidRPr="00B13B9A">
              <w:rPr>
                <w:rFonts w:asciiTheme="majorHAnsi" w:hAnsiTheme="majorHAnsi" w:cstheme="majorHAnsi"/>
                <w:color w:val="000000"/>
                <w:sz w:val="20"/>
                <w:szCs w:val="20"/>
                <w:lang w:val="ro-MD"/>
              </w:rPr>
              <w:t>i administrarea vaccinului BCG, în scopul diminuării indicatorului de pierderi (pct.4.12.)</w:t>
            </w:r>
          </w:p>
        </w:tc>
        <w:tc>
          <w:tcPr>
            <w:tcW w:w="5670" w:type="dxa"/>
            <w:shd w:val="clear" w:color="auto" w:fill="auto"/>
          </w:tcPr>
          <w:p w14:paraId="4AA326DD" w14:textId="42A26D82" w:rsidR="00FD65B6" w:rsidRPr="00B13B9A" w:rsidRDefault="00FD65B6" w:rsidP="00332FF7">
            <w:pPr>
              <w:jc w:val="center"/>
              <w:rPr>
                <w:rFonts w:asciiTheme="majorHAnsi" w:hAnsiTheme="majorHAnsi" w:cstheme="majorHAnsi"/>
                <w:b/>
                <w:i/>
                <w:color w:val="000000"/>
                <w:sz w:val="20"/>
                <w:szCs w:val="20"/>
                <w:lang w:val="ro-MD"/>
              </w:rPr>
            </w:pPr>
            <w:r w:rsidRPr="00B13B9A">
              <w:rPr>
                <w:rFonts w:asciiTheme="majorHAnsi" w:hAnsiTheme="majorHAnsi" w:cstheme="majorHAnsi"/>
                <w:b/>
                <w:i/>
                <w:color w:val="000000"/>
                <w:sz w:val="20"/>
                <w:szCs w:val="20"/>
                <w:lang w:val="ro-MD"/>
              </w:rPr>
              <w:t>Nu a prezentat informa</w:t>
            </w:r>
            <w:r w:rsidR="00B13B9A" w:rsidRPr="00B13B9A">
              <w:rPr>
                <w:rFonts w:asciiTheme="majorHAnsi" w:hAnsiTheme="majorHAnsi" w:cstheme="majorHAnsi"/>
                <w:b/>
                <w:i/>
                <w:color w:val="000000"/>
                <w:sz w:val="20"/>
                <w:szCs w:val="20"/>
                <w:lang w:val="ro-MD"/>
              </w:rPr>
              <w:t>ț</w:t>
            </w:r>
            <w:r w:rsidRPr="00B13B9A">
              <w:rPr>
                <w:rFonts w:asciiTheme="majorHAnsi" w:hAnsiTheme="majorHAnsi" w:cstheme="majorHAnsi"/>
                <w:b/>
                <w:i/>
                <w:color w:val="000000"/>
                <w:sz w:val="20"/>
                <w:szCs w:val="20"/>
                <w:lang w:val="ro-MD"/>
              </w:rPr>
              <w:t>i</w:t>
            </w:r>
            <w:r w:rsidR="00E92ECC" w:rsidRPr="00B13B9A">
              <w:rPr>
                <w:rFonts w:asciiTheme="majorHAnsi" w:hAnsiTheme="majorHAnsi" w:cstheme="majorHAnsi"/>
                <w:b/>
                <w:i/>
                <w:color w:val="000000"/>
                <w:sz w:val="20"/>
                <w:szCs w:val="20"/>
                <w:lang w:val="ro-MD"/>
              </w:rPr>
              <w:t>i</w:t>
            </w:r>
          </w:p>
        </w:tc>
        <w:tc>
          <w:tcPr>
            <w:tcW w:w="2835" w:type="dxa"/>
            <w:shd w:val="clear" w:color="auto" w:fill="auto"/>
          </w:tcPr>
          <w:p w14:paraId="7016D81B" w14:textId="53F6769E" w:rsidR="00FD65B6" w:rsidRPr="00B13B9A" w:rsidRDefault="00FD65B6" w:rsidP="00332FF7">
            <w:pPr>
              <w:jc w:val="both"/>
              <w:rPr>
                <w:rFonts w:asciiTheme="majorHAnsi" w:hAnsiTheme="majorHAnsi" w:cstheme="majorHAnsi"/>
                <w:color w:val="000000"/>
                <w:sz w:val="20"/>
                <w:szCs w:val="20"/>
                <w:lang w:val="ro-MD"/>
              </w:rPr>
            </w:pPr>
            <w:r w:rsidRPr="00B13B9A">
              <w:rPr>
                <w:rFonts w:asciiTheme="majorHAnsi" w:hAnsiTheme="majorHAnsi" w:cstheme="majorHAnsi"/>
                <w:color w:val="000000"/>
                <w:sz w:val="20"/>
                <w:szCs w:val="20"/>
                <w:lang w:val="ro-MD"/>
              </w:rPr>
              <w:t>La solicitare entitatea nu a prezentat informa</w:t>
            </w:r>
            <w:r w:rsidR="00B13B9A" w:rsidRPr="00B13B9A">
              <w:rPr>
                <w:rFonts w:asciiTheme="majorHAnsi" w:hAnsiTheme="majorHAnsi" w:cstheme="majorHAnsi"/>
                <w:color w:val="000000"/>
                <w:sz w:val="20"/>
                <w:szCs w:val="20"/>
                <w:lang w:val="ro-MD"/>
              </w:rPr>
              <w:t>ț</w:t>
            </w:r>
            <w:r w:rsidRPr="00B13B9A">
              <w:rPr>
                <w:rFonts w:asciiTheme="majorHAnsi" w:hAnsiTheme="majorHAnsi" w:cstheme="majorHAnsi"/>
                <w:color w:val="000000"/>
                <w:sz w:val="20"/>
                <w:szCs w:val="20"/>
                <w:lang w:val="ro-MD"/>
              </w:rPr>
              <w:t>ii</w:t>
            </w:r>
          </w:p>
        </w:tc>
        <w:tc>
          <w:tcPr>
            <w:tcW w:w="1344" w:type="dxa"/>
            <w:shd w:val="clear" w:color="auto" w:fill="auto"/>
          </w:tcPr>
          <w:p w14:paraId="376D6C42" w14:textId="77777777" w:rsidR="00FD65B6" w:rsidRPr="00B13B9A" w:rsidRDefault="00FD65B6" w:rsidP="00332FF7">
            <w:pPr>
              <w:rPr>
                <w:rFonts w:asciiTheme="majorHAnsi" w:hAnsiTheme="majorHAnsi" w:cstheme="majorHAnsi"/>
                <w:b/>
                <w:i/>
                <w:color w:val="000000" w:themeColor="text1"/>
                <w:sz w:val="20"/>
                <w:szCs w:val="20"/>
                <w:lang w:val="ro-MD"/>
              </w:rPr>
            </w:pPr>
            <w:r w:rsidRPr="00B13B9A">
              <w:rPr>
                <w:rFonts w:asciiTheme="majorHAnsi" w:hAnsiTheme="majorHAnsi" w:cstheme="majorHAnsi"/>
                <w:b/>
                <w:i/>
                <w:color w:val="000000" w:themeColor="text1"/>
                <w:sz w:val="20"/>
                <w:szCs w:val="20"/>
                <w:lang w:val="ro-MD"/>
              </w:rPr>
              <w:t>Recomandare neimplementată</w:t>
            </w:r>
          </w:p>
        </w:tc>
      </w:tr>
    </w:tbl>
    <w:p w14:paraId="35590AA2" w14:textId="77777777" w:rsidR="00FD65B6" w:rsidRPr="00B13B9A" w:rsidRDefault="00FD65B6" w:rsidP="0062601E">
      <w:pPr>
        <w:pStyle w:val="af0"/>
        <w:tabs>
          <w:tab w:val="left" w:pos="9072"/>
        </w:tabs>
        <w:spacing w:line="276" w:lineRule="auto"/>
        <w:rPr>
          <w:rFonts w:asciiTheme="majorHAnsi" w:hAnsiTheme="majorHAnsi" w:cstheme="majorHAnsi"/>
          <w:i/>
          <w:sz w:val="20"/>
          <w:szCs w:val="20"/>
          <w:lang w:val="ro-MD"/>
        </w:rPr>
        <w:sectPr w:rsidR="00FD65B6" w:rsidRPr="00B13B9A" w:rsidSect="00332FF7">
          <w:pgSz w:w="15840" w:h="12240" w:orient="landscape"/>
          <w:pgMar w:top="1276" w:right="1134" w:bottom="760" w:left="1134" w:header="709" w:footer="709" w:gutter="0"/>
          <w:cols w:space="708"/>
          <w:docGrid w:linePitch="360"/>
        </w:sectPr>
      </w:pPr>
    </w:p>
    <w:p w14:paraId="33F9AB50" w14:textId="77777777" w:rsidR="00A046DD" w:rsidRPr="00B13B9A" w:rsidRDefault="00A046DD">
      <w:pPr>
        <w:pStyle w:val="cn"/>
        <w:spacing w:line="276" w:lineRule="auto"/>
        <w:ind w:right="71"/>
        <w:jc w:val="both"/>
        <w:rPr>
          <w:rFonts w:asciiTheme="majorHAnsi" w:eastAsiaTheme="minorHAnsi" w:hAnsiTheme="majorHAnsi" w:cstheme="majorHAnsi"/>
          <w:lang w:val="ro-MD" w:eastAsia="en-US"/>
        </w:rPr>
      </w:pPr>
    </w:p>
    <w:sectPr w:rsidR="00A046DD" w:rsidRPr="00B13B9A" w:rsidSect="007F68A0">
      <w:pgSz w:w="12240" w:h="15840"/>
      <w:pgMar w:top="1134" w:right="758"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6717F7" w14:textId="77777777" w:rsidR="0053077D" w:rsidRDefault="0053077D" w:rsidP="009E7FD2">
      <w:pPr>
        <w:spacing w:after="0" w:line="240" w:lineRule="auto"/>
      </w:pPr>
      <w:r>
        <w:separator/>
      </w:r>
    </w:p>
  </w:endnote>
  <w:endnote w:type="continuationSeparator" w:id="0">
    <w:p w14:paraId="6C848708" w14:textId="77777777" w:rsidR="0053077D" w:rsidRDefault="0053077D" w:rsidP="009E7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195"/>
      <w:docPartObj>
        <w:docPartGallery w:val="Page Numbers (Bottom of Page)"/>
        <w:docPartUnique/>
      </w:docPartObj>
    </w:sdtPr>
    <w:sdtEndPr>
      <w:rPr>
        <w:noProof/>
      </w:rPr>
    </w:sdtEndPr>
    <w:sdtContent>
      <w:p w14:paraId="1F87651F" w14:textId="17D71353" w:rsidR="00A477F5" w:rsidRDefault="00A477F5">
        <w:pPr>
          <w:pStyle w:val="ac"/>
          <w:jc w:val="right"/>
        </w:pPr>
        <w:r>
          <w:fldChar w:fldCharType="begin"/>
        </w:r>
        <w:r>
          <w:instrText xml:space="preserve"> PAGE   \* MERGEFORMAT </w:instrText>
        </w:r>
        <w:r>
          <w:fldChar w:fldCharType="separate"/>
        </w:r>
        <w:r w:rsidR="00D93C60">
          <w:rPr>
            <w:noProof/>
          </w:rPr>
          <w:t>20</w:t>
        </w:r>
        <w:r>
          <w:rPr>
            <w:noProof/>
          </w:rPr>
          <w:fldChar w:fldCharType="end"/>
        </w:r>
      </w:p>
    </w:sdtContent>
  </w:sdt>
  <w:p w14:paraId="283F25FD" w14:textId="77777777" w:rsidR="00A477F5" w:rsidRDefault="00A477F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D42F5B" w14:textId="77777777" w:rsidR="0053077D" w:rsidRDefault="0053077D" w:rsidP="009E7FD2">
      <w:pPr>
        <w:spacing w:after="0" w:line="240" w:lineRule="auto"/>
      </w:pPr>
      <w:r>
        <w:separator/>
      </w:r>
    </w:p>
  </w:footnote>
  <w:footnote w:type="continuationSeparator" w:id="0">
    <w:p w14:paraId="567AE114" w14:textId="77777777" w:rsidR="0053077D" w:rsidRDefault="0053077D" w:rsidP="009E7FD2">
      <w:pPr>
        <w:spacing w:after="0" w:line="240" w:lineRule="auto"/>
      </w:pPr>
      <w:r>
        <w:continuationSeparator/>
      </w:r>
    </w:p>
  </w:footnote>
  <w:footnote w:id="1">
    <w:p w14:paraId="1D2D30BD" w14:textId="677DCDD0" w:rsidR="00A477F5" w:rsidRPr="006B4AFD" w:rsidRDefault="00A477F5" w:rsidP="006327C5">
      <w:pPr>
        <w:pStyle w:val="a5"/>
        <w:jc w:val="both"/>
        <w:rPr>
          <w:rFonts w:asciiTheme="majorHAnsi" w:hAnsiTheme="majorHAnsi" w:cstheme="majorHAnsi"/>
          <w:sz w:val="16"/>
          <w:szCs w:val="16"/>
          <w:vertAlign w:val="baseline"/>
          <w:lang w:val="ro-MD"/>
        </w:rPr>
      </w:pPr>
      <w:r w:rsidRPr="006B4AFD">
        <w:rPr>
          <w:rStyle w:val="a9"/>
          <w:rFonts w:asciiTheme="majorHAnsi" w:hAnsiTheme="majorHAnsi" w:cstheme="majorHAnsi"/>
          <w:sz w:val="16"/>
          <w:szCs w:val="16"/>
          <w:lang w:val="ro-MD"/>
        </w:rPr>
        <w:footnoteRef/>
      </w:r>
      <w:r w:rsidRPr="006B4AFD">
        <w:rPr>
          <w:rFonts w:asciiTheme="majorHAnsi" w:hAnsiTheme="majorHAnsi" w:cstheme="majorHAnsi"/>
          <w:sz w:val="16"/>
          <w:szCs w:val="16"/>
          <w:vertAlign w:val="baseline"/>
          <w:lang w:val="ro-MD"/>
        </w:rPr>
        <w:t xml:space="preserve"> HG nr.559 din 28.06.2001 „Cu privire la Programul național de control al tuberculozei pentru anii 2001-2005” (abrogată); HG nr.1409 din 30.12.2005 „Cu privire la Programul național de control și profilaxie a tuberculozei pentru anii 2006-2010” (abrogată); HG nr.1171 din 21.12.2010 „Cu privire la Programul național de control al tuberculozei pentru anii 2011-2015” (abrogată); HG nr.1160 din 20.10.2016 „Cu privire la Programul național de control al tuberculozei pentru anii 2016-2020”; HG nr.107 din 23.02.2022 „Cu privire la Programul național de răspuns la tuberculoză pentru anii 2022-2025”.</w:t>
      </w:r>
      <w:r w:rsidRPr="006B4AFD">
        <w:rPr>
          <w:rFonts w:asciiTheme="majorHAnsi" w:hAnsiTheme="majorHAnsi" w:cstheme="majorHAnsi"/>
          <w:sz w:val="16"/>
          <w:szCs w:val="16"/>
          <w:lang w:val="ro-MD"/>
        </w:rPr>
        <w:t>.</w:t>
      </w:r>
    </w:p>
  </w:footnote>
  <w:footnote w:id="2">
    <w:p w14:paraId="69B3771C" w14:textId="185BA291" w:rsidR="00A477F5" w:rsidRPr="006B4AFD" w:rsidRDefault="00A477F5" w:rsidP="00415D9E">
      <w:pPr>
        <w:pStyle w:val="a5"/>
        <w:jc w:val="both"/>
        <w:rPr>
          <w:rFonts w:asciiTheme="majorHAnsi" w:hAnsiTheme="majorHAnsi" w:cstheme="majorHAnsi"/>
          <w:sz w:val="16"/>
          <w:szCs w:val="16"/>
          <w:vertAlign w:val="baseline"/>
          <w:lang w:val="ro-MD"/>
        </w:rPr>
      </w:pPr>
      <w:r w:rsidRPr="006B4AFD">
        <w:rPr>
          <w:rStyle w:val="a9"/>
          <w:rFonts w:asciiTheme="majorHAnsi" w:hAnsiTheme="majorHAnsi" w:cstheme="majorHAnsi"/>
          <w:sz w:val="16"/>
          <w:szCs w:val="16"/>
          <w:lang w:val="ro-MD"/>
        </w:rPr>
        <w:footnoteRef/>
      </w:r>
      <w:r w:rsidRPr="006B4AFD">
        <w:rPr>
          <w:rFonts w:asciiTheme="majorHAnsi" w:hAnsiTheme="majorHAnsi" w:cstheme="majorHAnsi"/>
          <w:sz w:val="16"/>
          <w:szCs w:val="16"/>
          <w:lang w:val="ro-MD"/>
        </w:rPr>
        <w:t xml:space="preserve"> </w:t>
      </w:r>
      <w:r w:rsidRPr="006B4AFD">
        <w:rPr>
          <w:rFonts w:asciiTheme="majorHAnsi" w:hAnsiTheme="majorHAnsi" w:cstheme="majorHAnsi"/>
          <w:sz w:val="16"/>
          <w:szCs w:val="16"/>
          <w:vertAlign w:val="baseline"/>
          <w:lang w:val="ro-MD"/>
        </w:rPr>
        <w:t>Legea contabilității și raportării financiare nr. 287 din 15.12.2017.</w:t>
      </w:r>
    </w:p>
  </w:footnote>
  <w:footnote w:id="3">
    <w:p w14:paraId="24ED4CB5" w14:textId="38C522B6" w:rsidR="00A477F5" w:rsidRPr="006B4AFD" w:rsidRDefault="00A477F5" w:rsidP="00415D9E">
      <w:pPr>
        <w:pStyle w:val="a5"/>
        <w:jc w:val="both"/>
        <w:rPr>
          <w:rFonts w:asciiTheme="majorHAnsi" w:hAnsiTheme="majorHAnsi" w:cstheme="majorHAnsi"/>
          <w:sz w:val="16"/>
          <w:szCs w:val="16"/>
          <w:vertAlign w:val="baseline"/>
          <w:lang w:val="ro-MD"/>
        </w:rPr>
      </w:pPr>
      <w:r w:rsidRPr="006B4AFD">
        <w:rPr>
          <w:rStyle w:val="a9"/>
          <w:rFonts w:asciiTheme="majorHAnsi" w:hAnsiTheme="majorHAnsi" w:cstheme="majorHAnsi"/>
          <w:sz w:val="16"/>
          <w:szCs w:val="16"/>
          <w:lang w:val="ro-MD"/>
        </w:rPr>
        <w:footnoteRef/>
      </w:r>
      <w:r w:rsidRPr="006B4AFD">
        <w:rPr>
          <w:rFonts w:asciiTheme="majorHAnsi" w:hAnsiTheme="majorHAnsi" w:cstheme="majorHAnsi"/>
          <w:sz w:val="16"/>
          <w:szCs w:val="16"/>
          <w:vertAlign w:val="baseline"/>
          <w:lang w:val="ro-MD"/>
        </w:rPr>
        <w:t xml:space="preserve"> Ordinul MF nr.118 din 06.08.2013 „Privind aprobarea Standardelor Naționale de Contabilitate”, cu modificările și completările ulterioare.</w:t>
      </w:r>
    </w:p>
  </w:footnote>
  <w:footnote w:id="4">
    <w:p w14:paraId="3EA485EF" w14:textId="64EAC415" w:rsidR="00A477F5" w:rsidRPr="006B4AFD" w:rsidRDefault="00A477F5" w:rsidP="00415D9E">
      <w:pPr>
        <w:pStyle w:val="a5"/>
        <w:jc w:val="both"/>
        <w:rPr>
          <w:rFonts w:asciiTheme="majorHAnsi" w:hAnsiTheme="majorHAnsi" w:cstheme="majorHAnsi"/>
          <w:sz w:val="16"/>
          <w:szCs w:val="16"/>
          <w:lang w:val="ro-MD"/>
        </w:rPr>
      </w:pPr>
      <w:r w:rsidRPr="006B4AFD">
        <w:rPr>
          <w:rStyle w:val="a9"/>
          <w:rFonts w:asciiTheme="majorHAnsi" w:hAnsiTheme="majorHAnsi" w:cstheme="majorHAnsi"/>
          <w:sz w:val="16"/>
          <w:szCs w:val="16"/>
          <w:lang w:val="ro-MD"/>
        </w:rPr>
        <w:footnoteRef/>
      </w:r>
      <w:r w:rsidRPr="006B4AFD">
        <w:rPr>
          <w:rFonts w:asciiTheme="majorHAnsi" w:hAnsiTheme="majorHAnsi" w:cstheme="majorHAnsi"/>
          <w:sz w:val="16"/>
          <w:szCs w:val="16"/>
          <w:lang w:val="ro-MD"/>
        </w:rPr>
        <w:t xml:space="preserve"> </w:t>
      </w:r>
      <w:r w:rsidRPr="006B4AFD">
        <w:rPr>
          <w:rFonts w:asciiTheme="majorHAnsi" w:hAnsiTheme="majorHAnsi" w:cstheme="majorHAnsi"/>
          <w:sz w:val="16"/>
          <w:szCs w:val="16"/>
          <w:vertAlign w:val="baseline"/>
          <w:lang w:val="ro-MD"/>
        </w:rPr>
        <w:t>Pct. 22 lit.k), pct. 23 din Regulamentul de organizare și funcționare a IMSP IFP „Chiril Draganiuc”, aprobat prin Ordinul MS nr. 407 din 05.05.2023.</w:t>
      </w:r>
    </w:p>
  </w:footnote>
  <w:footnote w:id="5">
    <w:p w14:paraId="48B2F4EB" w14:textId="1FF4D909" w:rsidR="00A477F5" w:rsidRPr="006B4AFD" w:rsidRDefault="00A477F5" w:rsidP="00415D9E">
      <w:pPr>
        <w:pStyle w:val="a5"/>
        <w:jc w:val="both"/>
        <w:rPr>
          <w:rFonts w:asciiTheme="majorHAnsi" w:hAnsiTheme="majorHAnsi" w:cstheme="majorHAnsi"/>
          <w:sz w:val="16"/>
          <w:szCs w:val="16"/>
          <w:lang w:val="ro-MD"/>
        </w:rPr>
      </w:pPr>
      <w:r w:rsidRPr="006B4AFD">
        <w:rPr>
          <w:rStyle w:val="a9"/>
          <w:rFonts w:asciiTheme="majorHAnsi" w:hAnsiTheme="majorHAnsi" w:cstheme="majorHAnsi"/>
          <w:sz w:val="16"/>
          <w:szCs w:val="16"/>
          <w:lang w:val="ro-MD"/>
        </w:rPr>
        <w:footnoteRef/>
      </w:r>
      <w:r w:rsidRPr="006B4AFD">
        <w:rPr>
          <w:rFonts w:asciiTheme="majorHAnsi" w:hAnsiTheme="majorHAnsi" w:cstheme="majorHAnsi"/>
          <w:sz w:val="16"/>
          <w:szCs w:val="16"/>
          <w:lang w:val="ro-MD"/>
        </w:rPr>
        <w:t xml:space="preserve"> </w:t>
      </w:r>
      <w:r w:rsidRPr="006B4AFD">
        <w:rPr>
          <w:rFonts w:asciiTheme="majorHAnsi" w:hAnsiTheme="majorHAnsi" w:cstheme="majorHAnsi"/>
          <w:sz w:val="16"/>
          <w:szCs w:val="16"/>
          <w:vertAlign w:val="baseline"/>
          <w:lang w:val="ro-MD"/>
        </w:rPr>
        <w:t>Pct.40 din Regulamentul de organizare și funcționare a IMSP IFP „Chiril Draganiuc”, aprobat prin Ordinul MS nr. 407 din 05.05.2023.</w:t>
      </w:r>
    </w:p>
  </w:footnote>
  <w:footnote w:id="6">
    <w:p w14:paraId="146AC612" w14:textId="3B786E40" w:rsidR="00A477F5" w:rsidRPr="006B4AFD" w:rsidRDefault="00A477F5" w:rsidP="00894909">
      <w:pPr>
        <w:spacing w:after="0" w:line="276" w:lineRule="auto"/>
        <w:jc w:val="both"/>
        <w:rPr>
          <w:rFonts w:asciiTheme="majorHAnsi" w:hAnsiTheme="majorHAnsi" w:cstheme="majorHAnsi"/>
          <w:sz w:val="16"/>
          <w:szCs w:val="16"/>
          <w:lang w:val="ro-MD"/>
        </w:rPr>
      </w:pPr>
      <w:r w:rsidRPr="006B4AFD">
        <w:rPr>
          <w:rStyle w:val="a9"/>
          <w:rFonts w:asciiTheme="majorHAnsi" w:hAnsiTheme="majorHAnsi" w:cstheme="majorHAnsi"/>
          <w:sz w:val="16"/>
          <w:szCs w:val="16"/>
          <w:lang w:val="ro-MD"/>
        </w:rPr>
        <w:footnoteRef/>
      </w:r>
      <w:r w:rsidRPr="006B4AFD">
        <w:rPr>
          <w:rFonts w:asciiTheme="majorHAnsi" w:hAnsiTheme="majorHAnsi" w:cstheme="majorHAnsi"/>
          <w:sz w:val="16"/>
          <w:szCs w:val="16"/>
          <w:lang w:val="ro-MD"/>
        </w:rPr>
        <w:t xml:space="preserve"> I</w:t>
      </w:r>
      <w:r w:rsidRPr="006B4AFD">
        <w:rPr>
          <w:rFonts w:asciiTheme="majorHAnsi" w:eastAsia="Times New Roman" w:hAnsiTheme="majorHAnsi" w:cstheme="majorHAnsi"/>
          <w:sz w:val="16"/>
          <w:szCs w:val="16"/>
          <w:lang w:val="ro-MD"/>
        </w:rPr>
        <w:t>nformații detaliate privind atribuțiile se prezintă în Anexa nr.1 la prezentul Raport de audit.</w:t>
      </w:r>
    </w:p>
  </w:footnote>
  <w:footnote w:id="7">
    <w:p w14:paraId="5F3D6D30" w14:textId="74578814" w:rsidR="00A477F5" w:rsidRPr="006B4AFD" w:rsidRDefault="00A477F5" w:rsidP="00894909">
      <w:pPr>
        <w:pStyle w:val="a5"/>
        <w:jc w:val="both"/>
        <w:rPr>
          <w:rFonts w:asciiTheme="majorHAnsi" w:hAnsiTheme="majorHAnsi" w:cstheme="majorHAnsi"/>
          <w:sz w:val="16"/>
          <w:szCs w:val="16"/>
          <w:vertAlign w:val="baseline"/>
          <w:lang w:val="ro-MD"/>
        </w:rPr>
      </w:pPr>
      <w:r w:rsidRPr="006B4AFD">
        <w:rPr>
          <w:rStyle w:val="a9"/>
          <w:rFonts w:asciiTheme="majorHAnsi" w:hAnsiTheme="majorHAnsi" w:cstheme="majorHAnsi"/>
          <w:sz w:val="16"/>
          <w:szCs w:val="16"/>
          <w:lang w:val="ro-MD"/>
        </w:rPr>
        <w:footnoteRef/>
      </w:r>
      <w:r w:rsidRPr="006B4AFD">
        <w:rPr>
          <w:rFonts w:asciiTheme="majorHAnsi" w:hAnsiTheme="majorHAnsi" w:cstheme="majorHAnsi"/>
          <w:sz w:val="16"/>
          <w:szCs w:val="16"/>
          <w:lang w:val="ro-MD"/>
        </w:rPr>
        <w:t xml:space="preserve"> </w:t>
      </w:r>
      <w:r w:rsidRPr="006B4AFD">
        <w:rPr>
          <w:rFonts w:asciiTheme="majorHAnsi" w:eastAsia="Times New Roman" w:hAnsiTheme="majorHAnsi" w:cstheme="majorHAnsi"/>
          <w:sz w:val="16"/>
          <w:szCs w:val="16"/>
          <w:vertAlign w:val="baseline"/>
          <w:lang w:val="ro-MD"/>
        </w:rPr>
        <w:t>Hotărârea Curții de Conturi nr.2 din 24.01.2020 „Cu privire la Cadrul Declarațiilor Profesionale ale INTOSAI”.</w:t>
      </w:r>
    </w:p>
  </w:footnote>
  <w:footnote w:id="8">
    <w:p w14:paraId="5292C3AC" w14:textId="6DB99698" w:rsidR="00A477F5" w:rsidRPr="006B4AFD" w:rsidRDefault="00A477F5" w:rsidP="001159D9">
      <w:pPr>
        <w:pStyle w:val="a5"/>
        <w:jc w:val="both"/>
        <w:rPr>
          <w:rFonts w:asciiTheme="majorHAnsi" w:hAnsiTheme="majorHAnsi" w:cstheme="majorHAnsi"/>
          <w:sz w:val="16"/>
          <w:szCs w:val="16"/>
          <w:vertAlign w:val="baseline"/>
          <w:lang w:val="ro-MD"/>
        </w:rPr>
      </w:pPr>
      <w:r w:rsidRPr="006B4AFD">
        <w:rPr>
          <w:rStyle w:val="a9"/>
          <w:rFonts w:asciiTheme="majorHAnsi" w:hAnsiTheme="majorHAnsi" w:cstheme="majorHAnsi"/>
          <w:sz w:val="16"/>
          <w:szCs w:val="16"/>
          <w:lang w:val="ro-MD"/>
        </w:rPr>
        <w:footnoteRef/>
      </w:r>
      <w:r w:rsidRPr="006B4AFD">
        <w:rPr>
          <w:rFonts w:asciiTheme="majorHAnsi" w:hAnsiTheme="majorHAnsi" w:cstheme="majorHAnsi"/>
          <w:sz w:val="16"/>
          <w:szCs w:val="16"/>
          <w:vertAlign w:val="baseline"/>
          <w:lang w:val="ro-MD"/>
        </w:rPr>
        <w:t xml:space="preserve"> </w:t>
      </w:r>
      <w:r w:rsidRPr="006B4AFD">
        <w:rPr>
          <w:rFonts w:asciiTheme="majorHAnsi" w:eastAsia="Times New Roman" w:hAnsiTheme="majorHAnsi" w:cstheme="majorHAnsi"/>
          <w:sz w:val="16"/>
          <w:szCs w:val="16"/>
          <w:vertAlign w:val="baseline"/>
          <w:lang w:val="ro-MD"/>
        </w:rPr>
        <w:t xml:space="preserve">Hotărârea Curții de Conturi nr.19 din 05.04.2019 „Cu privire la aprobarea Codului etic al Curții de Conturi”. </w:t>
      </w:r>
    </w:p>
  </w:footnote>
  <w:footnote w:id="9">
    <w:p w14:paraId="63697347" w14:textId="572FDF31" w:rsidR="00A477F5" w:rsidRPr="006B4AFD" w:rsidRDefault="00A477F5">
      <w:pPr>
        <w:pStyle w:val="a5"/>
        <w:rPr>
          <w:rFonts w:asciiTheme="majorHAnsi" w:hAnsiTheme="majorHAnsi" w:cstheme="majorHAnsi"/>
          <w:sz w:val="16"/>
          <w:szCs w:val="16"/>
          <w:lang w:val="ro-MD"/>
        </w:rPr>
      </w:pPr>
      <w:r w:rsidRPr="006B4AFD">
        <w:rPr>
          <w:rStyle w:val="a9"/>
          <w:rFonts w:asciiTheme="majorHAnsi" w:hAnsiTheme="majorHAnsi" w:cstheme="majorHAnsi"/>
          <w:sz w:val="16"/>
          <w:szCs w:val="16"/>
          <w:lang w:val="ro-MD"/>
        </w:rPr>
        <w:footnoteRef/>
      </w:r>
      <w:r w:rsidRPr="006B4AFD">
        <w:rPr>
          <w:rFonts w:asciiTheme="majorHAnsi" w:hAnsiTheme="majorHAnsi" w:cstheme="majorHAnsi"/>
          <w:sz w:val="16"/>
          <w:szCs w:val="16"/>
          <w:lang w:val="ro-MD"/>
        </w:rPr>
        <w:t xml:space="preserve"> </w:t>
      </w:r>
      <w:r w:rsidRPr="006B4AFD">
        <w:rPr>
          <w:rFonts w:asciiTheme="majorHAnsi" w:hAnsiTheme="majorHAnsi" w:cstheme="majorHAnsi"/>
          <w:sz w:val="16"/>
          <w:szCs w:val="16"/>
          <w:vertAlign w:val="baseline"/>
          <w:lang w:val="ro-MD"/>
        </w:rPr>
        <w:t>Ordinul nr.329 din 25.11.2003 ”cu privire la instituirea Instituțiilor medico-sanitare publice”</w:t>
      </w:r>
    </w:p>
  </w:footnote>
  <w:footnote w:id="10">
    <w:p w14:paraId="5F7843CE" w14:textId="1D1173BA" w:rsidR="00A477F5" w:rsidRPr="006B4AFD" w:rsidRDefault="00A477F5">
      <w:pPr>
        <w:pStyle w:val="a5"/>
        <w:rPr>
          <w:rFonts w:asciiTheme="majorHAnsi" w:hAnsiTheme="majorHAnsi" w:cstheme="majorHAnsi"/>
          <w:sz w:val="16"/>
          <w:szCs w:val="16"/>
          <w:vertAlign w:val="baseline"/>
          <w:lang w:val="ro-MD"/>
        </w:rPr>
      </w:pPr>
      <w:r w:rsidRPr="006B4AFD">
        <w:rPr>
          <w:rStyle w:val="a9"/>
          <w:rFonts w:asciiTheme="majorHAnsi" w:hAnsiTheme="majorHAnsi" w:cstheme="majorHAnsi"/>
          <w:sz w:val="16"/>
          <w:szCs w:val="16"/>
          <w:lang w:val="ro-MD"/>
        </w:rPr>
        <w:footnoteRef/>
      </w:r>
      <w:r w:rsidRPr="006B4AFD">
        <w:rPr>
          <w:rFonts w:asciiTheme="majorHAnsi" w:hAnsiTheme="majorHAnsi" w:cstheme="majorHAnsi"/>
          <w:sz w:val="16"/>
          <w:szCs w:val="16"/>
          <w:lang w:val="ro-MD"/>
        </w:rPr>
        <w:t xml:space="preserve"> </w:t>
      </w:r>
      <w:r w:rsidRPr="006B4AFD">
        <w:rPr>
          <w:rFonts w:asciiTheme="majorHAnsi" w:hAnsiTheme="majorHAnsi" w:cstheme="majorHAnsi"/>
          <w:sz w:val="16"/>
          <w:szCs w:val="16"/>
          <w:vertAlign w:val="baseline"/>
          <w:lang w:val="ro-MD"/>
        </w:rPr>
        <w:t>Ordinul MSMPS a fost abrogat prin Ordinul Ministerului Sănătății din 14.03.2005 „Cu privire la comasarea IMSP de Boli Tuberculoase din Vorniceni cu IMSP IFP „Chiril Draganiuc””.</w:t>
      </w:r>
    </w:p>
  </w:footnote>
  <w:footnote w:id="11">
    <w:p w14:paraId="23CE2DF3" w14:textId="042F0262" w:rsidR="00A477F5" w:rsidRPr="006B4AFD" w:rsidRDefault="00A477F5">
      <w:pPr>
        <w:pStyle w:val="a5"/>
        <w:rPr>
          <w:rFonts w:asciiTheme="majorHAnsi" w:hAnsiTheme="majorHAnsi" w:cstheme="majorHAnsi"/>
          <w:sz w:val="16"/>
          <w:szCs w:val="16"/>
          <w:lang w:val="ro-MD"/>
        </w:rPr>
      </w:pPr>
      <w:r w:rsidRPr="006B4AFD">
        <w:rPr>
          <w:rFonts w:asciiTheme="majorHAnsi" w:hAnsiTheme="majorHAnsi" w:cstheme="majorHAnsi"/>
          <w:sz w:val="16"/>
          <w:lang w:val="ro-MD"/>
        </w:rPr>
        <w:footnoteRef/>
      </w:r>
      <w:r w:rsidRPr="006B4AFD">
        <w:rPr>
          <w:rFonts w:asciiTheme="majorHAnsi" w:hAnsiTheme="majorHAnsi" w:cstheme="majorHAnsi"/>
          <w:sz w:val="6"/>
          <w:szCs w:val="16"/>
          <w:lang w:val="ro-MD"/>
        </w:rPr>
        <w:t xml:space="preserve"> </w:t>
      </w:r>
      <w:r w:rsidRPr="006B4AFD">
        <w:rPr>
          <w:rFonts w:asciiTheme="majorHAnsi" w:hAnsiTheme="majorHAnsi" w:cstheme="majorHAnsi"/>
          <w:sz w:val="16"/>
          <w:szCs w:val="16"/>
          <w:vertAlign w:val="baseline"/>
          <w:lang w:val="ro-MD"/>
        </w:rPr>
        <w:t xml:space="preserve"> Ordinul MS nr.781 din 18.10.2011  cu privire reorganizarea unor instituții medico-sanitare publice.</w:t>
      </w:r>
    </w:p>
  </w:footnote>
  <w:footnote w:id="12">
    <w:p w14:paraId="37C57D46" w14:textId="75F383A6" w:rsidR="00A477F5" w:rsidRPr="006B4AFD" w:rsidRDefault="00A477F5">
      <w:pPr>
        <w:pStyle w:val="a5"/>
        <w:rPr>
          <w:rFonts w:asciiTheme="majorHAnsi" w:hAnsiTheme="majorHAnsi" w:cstheme="majorHAnsi"/>
          <w:sz w:val="16"/>
          <w:szCs w:val="16"/>
          <w:vertAlign w:val="baseline"/>
          <w:lang w:val="ro-MD"/>
        </w:rPr>
      </w:pPr>
      <w:r w:rsidRPr="006B4AFD">
        <w:rPr>
          <w:rStyle w:val="a9"/>
          <w:rFonts w:asciiTheme="majorHAnsi" w:hAnsiTheme="majorHAnsi" w:cstheme="majorHAnsi"/>
          <w:sz w:val="16"/>
          <w:szCs w:val="16"/>
          <w:lang w:val="ro-MD"/>
        </w:rPr>
        <w:footnoteRef/>
      </w:r>
      <w:r w:rsidRPr="006B4AFD">
        <w:rPr>
          <w:rFonts w:asciiTheme="majorHAnsi" w:hAnsiTheme="majorHAnsi" w:cstheme="majorHAnsi"/>
          <w:sz w:val="16"/>
          <w:szCs w:val="16"/>
          <w:lang w:val="ro-MD"/>
        </w:rPr>
        <w:t xml:space="preserve"> </w:t>
      </w:r>
      <w:r w:rsidRPr="006B4AFD">
        <w:rPr>
          <w:rFonts w:asciiTheme="majorHAnsi" w:hAnsiTheme="majorHAnsi" w:cstheme="majorHAnsi"/>
          <w:sz w:val="16"/>
          <w:szCs w:val="16"/>
          <w:vertAlign w:val="baseline"/>
          <w:lang w:val="ro-MD"/>
        </w:rPr>
        <w:t>Actul de primire-predare a întreprinderii, subdiviziunii din 01.02.2012, aprobat de către MS la 22.02.2012.</w:t>
      </w:r>
    </w:p>
  </w:footnote>
  <w:footnote w:id="13">
    <w:p w14:paraId="2E63B089" w14:textId="007BF56A" w:rsidR="00A477F5" w:rsidRPr="006B4AFD" w:rsidRDefault="00A477F5" w:rsidP="00847C7C">
      <w:pPr>
        <w:pStyle w:val="a5"/>
        <w:rPr>
          <w:rFonts w:asciiTheme="majorHAnsi" w:hAnsiTheme="majorHAnsi" w:cstheme="majorHAnsi"/>
          <w:sz w:val="16"/>
          <w:szCs w:val="16"/>
          <w:vertAlign w:val="baseline"/>
          <w:lang w:val="ro-MD"/>
        </w:rPr>
      </w:pPr>
      <w:r w:rsidRPr="006B4AFD">
        <w:rPr>
          <w:rStyle w:val="a9"/>
          <w:rFonts w:asciiTheme="majorHAnsi" w:hAnsiTheme="majorHAnsi" w:cstheme="majorHAnsi"/>
          <w:sz w:val="16"/>
          <w:szCs w:val="16"/>
          <w:lang w:val="ro-MD"/>
        </w:rPr>
        <w:footnoteRef/>
      </w:r>
      <w:r w:rsidRPr="006B4AFD">
        <w:rPr>
          <w:rFonts w:asciiTheme="majorHAnsi" w:hAnsiTheme="majorHAnsi" w:cstheme="majorHAnsi"/>
          <w:sz w:val="16"/>
          <w:szCs w:val="16"/>
          <w:vertAlign w:val="baseline"/>
          <w:lang w:val="ro-MD"/>
        </w:rPr>
        <w:t xml:space="preserve"> Art. 22 din Legea nr.29 din 05.04.2018 privind delimitarea proprietății publice.</w:t>
      </w:r>
    </w:p>
  </w:footnote>
  <w:footnote w:id="14">
    <w:p w14:paraId="417843E6" w14:textId="64376416" w:rsidR="00A477F5" w:rsidRPr="006B4AFD" w:rsidRDefault="00A477F5" w:rsidP="00C56368">
      <w:pPr>
        <w:pStyle w:val="a5"/>
        <w:rPr>
          <w:rFonts w:asciiTheme="majorHAnsi" w:hAnsiTheme="majorHAnsi" w:cstheme="majorHAnsi"/>
          <w:sz w:val="16"/>
          <w:szCs w:val="16"/>
          <w:lang w:val="ro-MD"/>
        </w:rPr>
      </w:pPr>
      <w:r w:rsidRPr="006B4AFD">
        <w:rPr>
          <w:rStyle w:val="a9"/>
          <w:rFonts w:asciiTheme="majorHAnsi" w:hAnsiTheme="majorHAnsi" w:cstheme="majorHAnsi"/>
          <w:sz w:val="16"/>
          <w:szCs w:val="16"/>
          <w:lang w:val="ro-MD"/>
        </w:rPr>
        <w:footnoteRef/>
      </w:r>
      <w:r w:rsidRPr="006B4AFD">
        <w:rPr>
          <w:rFonts w:asciiTheme="majorHAnsi" w:hAnsiTheme="majorHAnsi" w:cstheme="majorHAnsi"/>
          <w:sz w:val="16"/>
          <w:szCs w:val="16"/>
          <w:lang w:val="ro-MD"/>
        </w:rPr>
        <w:t xml:space="preserve"> </w:t>
      </w:r>
      <w:r w:rsidRPr="006B4AFD">
        <w:rPr>
          <w:rFonts w:asciiTheme="majorHAnsi" w:hAnsiTheme="majorHAnsi" w:cstheme="majorHAnsi"/>
          <w:sz w:val="16"/>
          <w:szCs w:val="16"/>
          <w:vertAlign w:val="baseline"/>
          <w:lang w:val="ro-MD"/>
        </w:rPr>
        <w:t>Legea nr.29 din 05.04.2018 privind delimitarea proprietății publice.</w:t>
      </w:r>
    </w:p>
  </w:footnote>
  <w:footnote w:id="15">
    <w:p w14:paraId="3DD19703" w14:textId="0A6542B3" w:rsidR="00A477F5" w:rsidRPr="006B4AFD" w:rsidRDefault="00A477F5">
      <w:pPr>
        <w:pStyle w:val="a5"/>
        <w:rPr>
          <w:sz w:val="16"/>
          <w:szCs w:val="16"/>
          <w:lang w:val="ro-MD"/>
        </w:rPr>
      </w:pPr>
      <w:r w:rsidRPr="006B4AFD">
        <w:rPr>
          <w:rStyle w:val="a9"/>
          <w:rFonts w:asciiTheme="majorHAnsi" w:hAnsiTheme="majorHAnsi" w:cstheme="majorHAnsi"/>
          <w:sz w:val="16"/>
          <w:szCs w:val="16"/>
          <w:lang w:val="ro-MD"/>
        </w:rPr>
        <w:footnoteRef/>
      </w:r>
      <w:r w:rsidRPr="006B4AFD">
        <w:rPr>
          <w:rFonts w:asciiTheme="majorHAnsi" w:hAnsiTheme="majorHAnsi" w:cstheme="majorHAnsi"/>
          <w:sz w:val="16"/>
          <w:szCs w:val="16"/>
          <w:lang w:val="ro-MD"/>
        </w:rPr>
        <w:t xml:space="preserve"> </w:t>
      </w:r>
      <w:r w:rsidRPr="006B4AFD">
        <w:rPr>
          <w:rFonts w:asciiTheme="majorHAnsi" w:hAnsiTheme="majorHAnsi" w:cstheme="majorHAnsi"/>
          <w:sz w:val="16"/>
          <w:szCs w:val="16"/>
          <w:vertAlign w:val="baseline"/>
          <w:lang w:val="ro-MD"/>
        </w:rPr>
        <w:t>8042200.060; 8042200.001.01.</w:t>
      </w:r>
    </w:p>
  </w:footnote>
  <w:footnote w:id="16">
    <w:p w14:paraId="2C9B1A5E" w14:textId="69EF8302" w:rsidR="00A477F5" w:rsidRPr="006B4AFD" w:rsidRDefault="00A477F5" w:rsidP="00415D9E">
      <w:pPr>
        <w:pStyle w:val="a5"/>
        <w:jc w:val="both"/>
        <w:rPr>
          <w:rFonts w:asciiTheme="majorHAnsi" w:hAnsiTheme="majorHAnsi" w:cstheme="majorHAnsi"/>
          <w:sz w:val="16"/>
          <w:szCs w:val="16"/>
          <w:lang w:val="ro-MD"/>
        </w:rPr>
      </w:pPr>
      <w:r w:rsidRPr="006B4AFD">
        <w:rPr>
          <w:rStyle w:val="a9"/>
          <w:rFonts w:asciiTheme="majorHAnsi" w:hAnsiTheme="majorHAnsi" w:cstheme="majorHAnsi"/>
          <w:sz w:val="16"/>
          <w:szCs w:val="16"/>
          <w:lang w:val="ro-MD"/>
        </w:rPr>
        <w:footnoteRef/>
      </w:r>
      <w:r w:rsidRPr="006B4AFD">
        <w:rPr>
          <w:rFonts w:asciiTheme="majorHAnsi" w:hAnsiTheme="majorHAnsi" w:cstheme="majorHAnsi"/>
          <w:sz w:val="16"/>
          <w:szCs w:val="16"/>
          <w:lang w:val="ro-MD"/>
        </w:rPr>
        <w:t xml:space="preserve"> </w:t>
      </w:r>
      <w:r w:rsidRPr="006B4AFD">
        <w:rPr>
          <w:rFonts w:asciiTheme="majorHAnsi" w:hAnsiTheme="majorHAnsi" w:cstheme="majorHAnsi"/>
          <w:sz w:val="16"/>
          <w:szCs w:val="16"/>
          <w:vertAlign w:val="baseline"/>
          <w:lang w:val="ro-MD"/>
        </w:rPr>
        <w:t>8042208425.02; 8042208425.03.</w:t>
      </w:r>
    </w:p>
  </w:footnote>
  <w:footnote w:id="17">
    <w:p w14:paraId="554F5E8A" w14:textId="787CB05B" w:rsidR="00A477F5" w:rsidRPr="006B4AFD" w:rsidRDefault="00A477F5" w:rsidP="00415D9E">
      <w:pPr>
        <w:pStyle w:val="a5"/>
        <w:jc w:val="both"/>
        <w:rPr>
          <w:rFonts w:asciiTheme="majorHAnsi" w:hAnsiTheme="majorHAnsi" w:cstheme="majorHAnsi"/>
          <w:sz w:val="16"/>
          <w:szCs w:val="16"/>
          <w:vertAlign w:val="baseline"/>
          <w:lang w:val="ro-MD"/>
        </w:rPr>
      </w:pPr>
      <w:r w:rsidRPr="006B4AFD">
        <w:rPr>
          <w:rStyle w:val="a9"/>
          <w:rFonts w:asciiTheme="majorHAnsi" w:hAnsiTheme="majorHAnsi" w:cstheme="majorHAnsi"/>
          <w:sz w:val="16"/>
          <w:szCs w:val="16"/>
          <w:lang w:val="ro-MD"/>
        </w:rPr>
        <w:footnoteRef/>
      </w:r>
      <w:r w:rsidRPr="006B4AFD">
        <w:rPr>
          <w:rFonts w:asciiTheme="majorHAnsi" w:hAnsiTheme="majorHAnsi" w:cstheme="majorHAnsi"/>
          <w:sz w:val="16"/>
          <w:szCs w:val="16"/>
          <w:vertAlign w:val="baseline"/>
          <w:lang w:val="ro-MD"/>
        </w:rPr>
        <w:t xml:space="preserve"> 8042208425.05.</w:t>
      </w:r>
    </w:p>
  </w:footnote>
  <w:footnote w:id="18">
    <w:p w14:paraId="60EABE88" w14:textId="587A8D0C" w:rsidR="00A477F5" w:rsidRPr="006B4AFD" w:rsidRDefault="00A477F5" w:rsidP="00415D9E">
      <w:pPr>
        <w:pStyle w:val="a5"/>
        <w:jc w:val="both"/>
        <w:rPr>
          <w:rFonts w:asciiTheme="majorHAnsi" w:hAnsiTheme="majorHAnsi" w:cstheme="majorHAnsi"/>
          <w:sz w:val="16"/>
          <w:szCs w:val="16"/>
          <w:lang w:val="ro-MD"/>
        </w:rPr>
      </w:pPr>
      <w:r w:rsidRPr="006B4AFD">
        <w:rPr>
          <w:rStyle w:val="a9"/>
          <w:rFonts w:asciiTheme="majorHAnsi" w:hAnsiTheme="majorHAnsi" w:cstheme="majorHAnsi"/>
          <w:sz w:val="16"/>
          <w:szCs w:val="16"/>
          <w:lang w:val="ro-MD"/>
        </w:rPr>
        <w:footnoteRef/>
      </w:r>
      <w:r w:rsidRPr="006B4AFD">
        <w:rPr>
          <w:rFonts w:asciiTheme="majorHAnsi" w:hAnsiTheme="majorHAnsi" w:cstheme="majorHAnsi"/>
          <w:sz w:val="16"/>
          <w:szCs w:val="16"/>
          <w:lang w:val="ro-MD"/>
        </w:rPr>
        <w:t xml:space="preserve"> </w:t>
      </w:r>
      <w:r w:rsidRPr="006B4AFD">
        <w:rPr>
          <w:rFonts w:asciiTheme="majorHAnsi" w:hAnsiTheme="majorHAnsi" w:cstheme="majorHAnsi"/>
          <w:color w:val="000000" w:themeColor="text1"/>
          <w:sz w:val="16"/>
          <w:szCs w:val="16"/>
          <w:vertAlign w:val="baseline"/>
          <w:lang w:val="ro-MD"/>
        </w:rPr>
        <w:t>În anul 2021 –  82,2 mii lei, în 2022 – 82,3 mii lei, în 2023 – 41,1 mii lei.</w:t>
      </w:r>
    </w:p>
  </w:footnote>
  <w:footnote w:id="19">
    <w:p w14:paraId="289C3E8D" w14:textId="26687FFB" w:rsidR="00A477F5" w:rsidRPr="006B4AFD" w:rsidRDefault="00A477F5" w:rsidP="00415D9E">
      <w:pPr>
        <w:pStyle w:val="a5"/>
        <w:jc w:val="both"/>
        <w:rPr>
          <w:rFonts w:asciiTheme="majorHAnsi" w:hAnsiTheme="majorHAnsi" w:cstheme="majorHAnsi"/>
          <w:sz w:val="16"/>
          <w:szCs w:val="16"/>
          <w:vertAlign w:val="baseline"/>
          <w:lang w:val="ro-MD"/>
        </w:rPr>
      </w:pPr>
      <w:r w:rsidRPr="006B4AFD">
        <w:rPr>
          <w:rStyle w:val="a9"/>
          <w:rFonts w:asciiTheme="majorHAnsi" w:hAnsiTheme="majorHAnsi" w:cstheme="majorHAnsi"/>
          <w:sz w:val="16"/>
          <w:szCs w:val="16"/>
          <w:lang w:val="ro-MD"/>
        </w:rPr>
        <w:footnoteRef/>
      </w:r>
      <w:r w:rsidRPr="006B4AFD">
        <w:rPr>
          <w:rFonts w:asciiTheme="majorHAnsi" w:hAnsiTheme="majorHAnsi" w:cstheme="majorHAnsi"/>
          <w:sz w:val="16"/>
          <w:szCs w:val="16"/>
          <w:lang w:val="ro-MD"/>
        </w:rPr>
        <w:t xml:space="preserve"> </w:t>
      </w:r>
      <w:r w:rsidRPr="006B4AFD">
        <w:rPr>
          <w:rFonts w:asciiTheme="majorHAnsi" w:hAnsiTheme="majorHAnsi" w:cstheme="majorHAnsi"/>
          <w:sz w:val="16"/>
          <w:szCs w:val="16"/>
          <w:vertAlign w:val="baseline"/>
          <w:lang w:val="ro-MD"/>
        </w:rPr>
        <w:t>SNC Cheltuielile, Anexa nr.3, pct.9.</w:t>
      </w:r>
    </w:p>
  </w:footnote>
  <w:footnote w:id="20">
    <w:p w14:paraId="0D186438" w14:textId="05690E8A" w:rsidR="00A477F5" w:rsidRPr="006B4AFD" w:rsidRDefault="00A477F5" w:rsidP="00D54BEB">
      <w:pPr>
        <w:tabs>
          <w:tab w:val="left" w:pos="284"/>
          <w:tab w:val="left" w:pos="993"/>
        </w:tabs>
        <w:spacing w:after="0" w:line="240" w:lineRule="auto"/>
        <w:jc w:val="both"/>
        <w:rPr>
          <w:rFonts w:asciiTheme="majorHAnsi" w:hAnsiTheme="majorHAnsi" w:cstheme="majorHAnsi"/>
          <w:sz w:val="16"/>
          <w:szCs w:val="16"/>
          <w:lang w:val="ro-MD"/>
        </w:rPr>
      </w:pPr>
      <w:r w:rsidRPr="006B4AFD">
        <w:rPr>
          <w:rStyle w:val="a9"/>
          <w:rFonts w:asciiTheme="majorHAnsi" w:hAnsiTheme="majorHAnsi" w:cstheme="majorHAnsi"/>
          <w:sz w:val="16"/>
          <w:szCs w:val="16"/>
          <w:lang w:val="ro-MD"/>
        </w:rPr>
        <w:footnoteRef/>
      </w:r>
      <w:r w:rsidRPr="006B4AFD">
        <w:rPr>
          <w:rFonts w:asciiTheme="majorHAnsi" w:hAnsiTheme="majorHAnsi" w:cstheme="majorHAnsi"/>
          <w:sz w:val="16"/>
          <w:szCs w:val="16"/>
          <w:lang w:val="ro-MD"/>
        </w:rPr>
        <w:t xml:space="preserve"> HG nr.338 din 21.03.2003 „Cu privire la aprobarea Catalogului mijloacelor fixe și activelor nemateriale”; Ordinul Ministerului Finanțelor nr.77 din 29.06.2022 „Cu privire la aprobarea Catalogului mijloacelor fixe și activelor nemateriale pentru autorități/instituții bugetare”.</w:t>
      </w:r>
    </w:p>
  </w:footnote>
  <w:footnote w:id="21">
    <w:p w14:paraId="7BC96645" w14:textId="2B2BF0F7" w:rsidR="00A477F5" w:rsidRPr="006B4AFD" w:rsidRDefault="00A477F5">
      <w:pPr>
        <w:pStyle w:val="a5"/>
        <w:rPr>
          <w:rFonts w:asciiTheme="majorHAnsi" w:hAnsiTheme="majorHAnsi" w:cstheme="majorHAnsi"/>
          <w:sz w:val="16"/>
          <w:szCs w:val="16"/>
          <w:vertAlign w:val="baseline"/>
          <w:lang w:val="ro-MD"/>
        </w:rPr>
      </w:pPr>
      <w:r w:rsidRPr="006B4AFD">
        <w:rPr>
          <w:rStyle w:val="a9"/>
          <w:rFonts w:asciiTheme="majorHAnsi" w:hAnsiTheme="majorHAnsi" w:cstheme="majorHAnsi"/>
          <w:sz w:val="16"/>
          <w:szCs w:val="16"/>
          <w:lang w:val="ro-MD"/>
        </w:rPr>
        <w:footnoteRef/>
      </w:r>
      <w:r w:rsidRPr="006B4AFD">
        <w:rPr>
          <w:rFonts w:asciiTheme="majorHAnsi" w:hAnsiTheme="majorHAnsi" w:cstheme="majorHAnsi"/>
          <w:sz w:val="16"/>
          <w:szCs w:val="16"/>
          <w:lang w:val="ro-MD"/>
        </w:rPr>
        <w:t xml:space="preserve"> </w:t>
      </w:r>
      <w:r w:rsidRPr="006B4AFD">
        <w:rPr>
          <w:rFonts w:asciiTheme="majorHAnsi" w:hAnsiTheme="majorHAnsi" w:cstheme="majorHAnsi"/>
          <w:sz w:val="16"/>
          <w:szCs w:val="16"/>
          <w:vertAlign w:val="baseline"/>
          <w:lang w:val="ro-MD"/>
        </w:rPr>
        <w:t>Art.14 din Legea privatizării fondului de locuințe nr.1324 din 10.03.1993.</w:t>
      </w:r>
    </w:p>
  </w:footnote>
  <w:footnote w:id="22">
    <w:p w14:paraId="66E7A2D8" w14:textId="48B7ABF8" w:rsidR="00A477F5" w:rsidRPr="006B4AFD" w:rsidRDefault="00A477F5" w:rsidP="00E63278">
      <w:pPr>
        <w:pStyle w:val="a5"/>
        <w:jc w:val="both"/>
        <w:rPr>
          <w:rFonts w:asciiTheme="majorHAnsi" w:hAnsiTheme="majorHAnsi" w:cstheme="majorHAnsi"/>
          <w:sz w:val="16"/>
          <w:szCs w:val="16"/>
          <w:vertAlign w:val="baseline"/>
          <w:lang w:val="ro-MD"/>
        </w:rPr>
      </w:pPr>
      <w:r w:rsidRPr="006B4AFD">
        <w:rPr>
          <w:rStyle w:val="a9"/>
          <w:rFonts w:asciiTheme="majorHAnsi" w:hAnsiTheme="majorHAnsi" w:cstheme="majorHAnsi"/>
          <w:sz w:val="16"/>
          <w:szCs w:val="16"/>
          <w:lang w:val="ro-MD"/>
        </w:rPr>
        <w:footnoteRef/>
      </w:r>
      <w:r w:rsidRPr="006B4AFD">
        <w:rPr>
          <w:rFonts w:asciiTheme="majorHAnsi" w:hAnsiTheme="majorHAnsi" w:cstheme="majorHAnsi"/>
          <w:sz w:val="16"/>
          <w:szCs w:val="16"/>
          <w:lang w:val="ro-MD"/>
        </w:rPr>
        <w:t xml:space="preserve"> </w:t>
      </w:r>
      <w:r w:rsidRPr="006B4AFD">
        <w:rPr>
          <w:rFonts w:asciiTheme="majorHAnsi" w:hAnsiTheme="majorHAnsi" w:cstheme="majorHAnsi"/>
          <w:sz w:val="16"/>
          <w:szCs w:val="16"/>
          <w:vertAlign w:val="baseline"/>
          <w:lang w:val="ro-MD"/>
        </w:rPr>
        <w:t>Art.17 din Legea nr. 121 din 04.05.2007 privind administrarea și deetatizarea proprietății publice.</w:t>
      </w:r>
    </w:p>
  </w:footnote>
  <w:footnote w:id="23">
    <w:p w14:paraId="5F5F37C5" w14:textId="5DF7375B" w:rsidR="00A477F5" w:rsidRPr="006B4AFD" w:rsidRDefault="00A477F5" w:rsidP="00E63278">
      <w:pPr>
        <w:pStyle w:val="a5"/>
        <w:jc w:val="both"/>
        <w:rPr>
          <w:rFonts w:asciiTheme="majorHAnsi" w:hAnsiTheme="majorHAnsi" w:cstheme="majorHAnsi"/>
          <w:sz w:val="16"/>
          <w:szCs w:val="16"/>
          <w:lang w:val="ro-MD"/>
        </w:rPr>
      </w:pPr>
      <w:r w:rsidRPr="006B4AFD">
        <w:rPr>
          <w:rStyle w:val="a9"/>
          <w:rFonts w:asciiTheme="majorHAnsi" w:hAnsiTheme="majorHAnsi" w:cstheme="majorHAnsi"/>
          <w:sz w:val="16"/>
          <w:szCs w:val="16"/>
          <w:lang w:val="ro-MD"/>
        </w:rPr>
        <w:footnoteRef/>
      </w:r>
      <w:r w:rsidRPr="006B4AFD">
        <w:rPr>
          <w:rFonts w:asciiTheme="majorHAnsi" w:hAnsiTheme="majorHAnsi" w:cstheme="majorHAnsi"/>
          <w:sz w:val="16"/>
          <w:szCs w:val="16"/>
          <w:lang w:val="ro-MD"/>
        </w:rPr>
        <w:t xml:space="preserve"> </w:t>
      </w:r>
      <w:r w:rsidRPr="006B4AFD">
        <w:rPr>
          <w:rFonts w:asciiTheme="majorHAnsi" w:hAnsiTheme="majorHAnsi" w:cstheme="majorHAnsi"/>
          <w:sz w:val="16"/>
          <w:szCs w:val="16"/>
          <w:vertAlign w:val="baseline"/>
          <w:lang w:val="ro-MD"/>
        </w:rPr>
        <w:t>Anexa nr.1 la HG nr.161 din 07.03.2019 „Cu privire la aprobarea listei terenurilor proprietate publică a statului din administrarea Agenției Proprietății Publice”.</w:t>
      </w:r>
    </w:p>
  </w:footnote>
  <w:footnote w:id="24">
    <w:p w14:paraId="62EB71B5" w14:textId="3669FE8A" w:rsidR="00A477F5" w:rsidRPr="006B4AFD" w:rsidRDefault="00A477F5" w:rsidP="00E63278">
      <w:pPr>
        <w:pStyle w:val="a5"/>
        <w:jc w:val="both"/>
        <w:rPr>
          <w:rFonts w:asciiTheme="majorHAnsi" w:hAnsiTheme="majorHAnsi" w:cstheme="majorHAnsi"/>
          <w:sz w:val="16"/>
          <w:szCs w:val="16"/>
          <w:vertAlign w:val="baseline"/>
          <w:lang w:val="ro-MD"/>
        </w:rPr>
      </w:pPr>
      <w:r w:rsidRPr="006B4AFD">
        <w:rPr>
          <w:rStyle w:val="a9"/>
          <w:rFonts w:asciiTheme="majorHAnsi" w:hAnsiTheme="majorHAnsi" w:cstheme="majorHAnsi"/>
          <w:sz w:val="16"/>
          <w:szCs w:val="16"/>
          <w:lang w:val="ro-MD"/>
        </w:rPr>
        <w:footnoteRef/>
      </w:r>
      <w:r w:rsidRPr="006B4AFD">
        <w:rPr>
          <w:rFonts w:asciiTheme="majorHAnsi" w:hAnsiTheme="majorHAnsi" w:cstheme="majorHAnsi"/>
          <w:sz w:val="16"/>
          <w:szCs w:val="16"/>
          <w:lang w:val="ro-MD"/>
        </w:rPr>
        <w:t xml:space="preserve"> </w:t>
      </w:r>
      <w:r w:rsidRPr="006B4AFD">
        <w:rPr>
          <w:rFonts w:asciiTheme="majorHAnsi" w:hAnsiTheme="majorHAnsi" w:cstheme="majorHAnsi"/>
          <w:sz w:val="16"/>
          <w:szCs w:val="16"/>
          <w:vertAlign w:val="baseline"/>
          <w:lang w:val="ro-MD"/>
        </w:rPr>
        <w:t>Legea nr.29 din 05.04.2018 privind delimitarea proprietății publice.</w:t>
      </w:r>
    </w:p>
  </w:footnote>
  <w:footnote w:id="25">
    <w:p w14:paraId="7D76113B" w14:textId="67EFCBC1" w:rsidR="00A477F5" w:rsidRPr="006B4AFD" w:rsidRDefault="00A477F5" w:rsidP="00E63278">
      <w:pPr>
        <w:pStyle w:val="a5"/>
        <w:jc w:val="both"/>
        <w:rPr>
          <w:rFonts w:asciiTheme="majorHAnsi" w:hAnsiTheme="majorHAnsi" w:cstheme="majorHAnsi"/>
          <w:sz w:val="16"/>
          <w:szCs w:val="16"/>
          <w:lang w:val="ro-MD"/>
        </w:rPr>
      </w:pPr>
      <w:r w:rsidRPr="006B4AFD">
        <w:rPr>
          <w:rStyle w:val="a9"/>
          <w:rFonts w:asciiTheme="majorHAnsi" w:hAnsiTheme="majorHAnsi" w:cstheme="majorHAnsi"/>
          <w:sz w:val="16"/>
          <w:szCs w:val="16"/>
          <w:lang w:val="ro-MD"/>
        </w:rPr>
        <w:footnoteRef/>
      </w:r>
      <w:r w:rsidRPr="006B4AFD">
        <w:rPr>
          <w:rFonts w:asciiTheme="majorHAnsi" w:hAnsiTheme="majorHAnsi" w:cstheme="majorHAnsi"/>
          <w:sz w:val="16"/>
          <w:szCs w:val="16"/>
          <w:vertAlign w:val="baseline"/>
          <w:lang w:val="ro-MD"/>
        </w:rPr>
        <w:t xml:space="preserve"> Legea nr.1308 din 25.07.1997 privind prețul normativ și modul de vânzare-cumpărare a pământului, cu modificările ulterioare.</w:t>
      </w:r>
    </w:p>
  </w:footnote>
  <w:footnote w:id="26">
    <w:p w14:paraId="357FF487" w14:textId="47EEFD39" w:rsidR="00A477F5" w:rsidRPr="006B4AFD" w:rsidRDefault="00A477F5" w:rsidP="002860CE">
      <w:pPr>
        <w:pStyle w:val="a5"/>
        <w:rPr>
          <w:rFonts w:asciiTheme="majorHAnsi" w:hAnsiTheme="majorHAnsi" w:cstheme="majorHAnsi"/>
          <w:sz w:val="16"/>
          <w:szCs w:val="16"/>
          <w:lang w:val="ro-MD"/>
        </w:rPr>
      </w:pPr>
      <w:r w:rsidRPr="006B4AFD">
        <w:rPr>
          <w:rStyle w:val="a9"/>
          <w:rFonts w:asciiTheme="majorHAnsi" w:hAnsiTheme="majorHAnsi" w:cstheme="majorHAnsi"/>
          <w:sz w:val="16"/>
          <w:szCs w:val="16"/>
          <w:lang w:val="ro-MD"/>
        </w:rPr>
        <w:footnoteRef/>
      </w:r>
      <w:r w:rsidRPr="006B4AFD">
        <w:rPr>
          <w:rFonts w:asciiTheme="majorHAnsi" w:hAnsiTheme="majorHAnsi" w:cstheme="majorHAnsi"/>
          <w:sz w:val="16"/>
          <w:szCs w:val="16"/>
          <w:lang w:val="ro-MD"/>
        </w:rPr>
        <w:t xml:space="preserve"> </w:t>
      </w:r>
      <w:r w:rsidRPr="006B4AFD">
        <w:rPr>
          <w:rFonts w:asciiTheme="majorHAnsi" w:hAnsiTheme="majorHAnsi" w:cstheme="majorHAnsi"/>
          <w:sz w:val="16"/>
          <w:szCs w:val="16"/>
          <w:vertAlign w:val="baseline"/>
          <w:lang w:val="ro-MD"/>
        </w:rPr>
        <w:t>HG nr.949 din 25.11.2013 „Pentru aprobarea Regulamentului privind zonele de protecție sanitară a prizelor de apă”.</w:t>
      </w:r>
    </w:p>
  </w:footnote>
  <w:footnote w:id="27">
    <w:p w14:paraId="08D4AEB2" w14:textId="135B7CC0" w:rsidR="00A477F5" w:rsidRPr="006B4AFD" w:rsidRDefault="00A477F5" w:rsidP="00D226AF">
      <w:pPr>
        <w:pStyle w:val="a5"/>
        <w:rPr>
          <w:sz w:val="16"/>
          <w:szCs w:val="16"/>
          <w:vertAlign w:val="baseline"/>
          <w:lang w:val="ro-MD"/>
        </w:rPr>
      </w:pPr>
      <w:r w:rsidRPr="006B4AFD">
        <w:rPr>
          <w:rStyle w:val="a9"/>
          <w:rFonts w:asciiTheme="majorHAnsi" w:hAnsiTheme="majorHAnsi" w:cstheme="majorHAnsi"/>
          <w:sz w:val="16"/>
          <w:szCs w:val="16"/>
          <w:lang w:val="ro-MD"/>
        </w:rPr>
        <w:footnoteRef/>
      </w:r>
      <w:r w:rsidRPr="006B4AFD">
        <w:rPr>
          <w:rFonts w:asciiTheme="majorHAnsi" w:hAnsiTheme="majorHAnsi" w:cstheme="majorHAnsi"/>
          <w:sz w:val="16"/>
          <w:szCs w:val="16"/>
          <w:lang w:val="ro-MD"/>
        </w:rPr>
        <w:t xml:space="preserve"> </w:t>
      </w:r>
      <w:r w:rsidRPr="006B4AFD">
        <w:rPr>
          <w:rFonts w:asciiTheme="majorHAnsi" w:hAnsiTheme="majorHAnsi" w:cstheme="majorHAnsi"/>
          <w:sz w:val="16"/>
          <w:szCs w:val="16"/>
          <w:vertAlign w:val="baseline"/>
          <w:lang w:val="ro-MD"/>
        </w:rPr>
        <w:t>Ordinul MS nr. 163 din 01.02.2013.</w:t>
      </w:r>
    </w:p>
  </w:footnote>
  <w:footnote w:id="28">
    <w:p w14:paraId="623E995C" w14:textId="6E08090F" w:rsidR="00A477F5" w:rsidRPr="006B4AFD" w:rsidRDefault="00A477F5">
      <w:pPr>
        <w:pStyle w:val="a5"/>
        <w:rPr>
          <w:rFonts w:asciiTheme="majorHAnsi" w:hAnsiTheme="majorHAnsi" w:cstheme="majorHAnsi"/>
          <w:sz w:val="16"/>
          <w:szCs w:val="16"/>
          <w:lang w:val="ro-MD"/>
        </w:rPr>
      </w:pPr>
      <w:r w:rsidRPr="006B4AFD">
        <w:rPr>
          <w:rStyle w:val="a9"/>
          <w:rFonts w:asciiTheme="majorHAnsi" w:hAnsiTheme="majorHAnsi" w:cstheme="majorHAnsi"/>
          <w:sz w:val="16"/>
          <w:szCs w:val="16"/>
          <w:lang w:val="ro-MD"/>
        </w:rPr>
        <w:footnoteRef/>
      </w:r>
      <w:r w:rsidRPr="006B4AFD">
        <w:rPr>
          <w:rFonts w:asciiTheme="majorHAnsi" w:hAnsiTheme="majorHAnsi" w:cstheme="majorHAnsi"/>
          <w:sz w:val="16"/>
          <w:szCs w:val="16"/>
          <w:lang w:val="ro-MD"/>
        </w:rPr>
        <w:t xml:space="preserve"> </w:t>
      </w:r>
      <w:r w:rsidRPr="006B4AFD">
        <w:rPr>
          <w:rFonts w:asciiTheme="majorHAnsi" w:hAnsiTheme="majorHAnsi" w:cstheme="majorHAnsi"/>
          <w:color w:val="000000" w:themeColor="text1"/>
          <w:sz w:val="16"/>
          <w:szCs w:val="16"/>
          <w:vertAlign w:val="baseline"/>
          <w:lang w:val="ro-MD"/>
        </w:rPr>
        <w:t>Ordinul MS nr.381 din 21.04.2022 „Cu privire la instituirea grupului de lucru”.</w:t>
      </w:r>
    </w:p>
  </w:footnote>
  <w:footnote w:id="29">
    <w:p w14:paraId="168E4F31" w14:textId="31C94253" w:rsidR="00A477F5" w:rsidRPr="006B4AFD" w:rsidRDefault="00A477F5" w:rsidP="00E63278">
      <w:pPr>
        <w:pStyle w:val="a5"/>
        <w:jc w:val="both"/>
        <w:rPr>
          <w:rFonts w:asciiTheme="majorHAnsi" w:hAnsiTheme="majorHAnsi" w:cstheme="majorHAnsi"/>
          <w:sz w:val="16"/>
          <w:szCs w:val="16"/>
          <w:vertAlign w:val="baseline"/>
          <w:lang w:val="ro-MD"/>
        </w:rPr>
      </w:pPr>
      <w:r w:rsidRPr="006B4AFD">
        <w:rPr>
          <w:rStyle w:val="a9"/>
          <w:rFonts w:asciiTheme="majorHAnsi" w:hAnsiTheme="majorHAnsi" w:cstheme="majorHAnsi"/>
          <w:sz w:val="16"/>
          <w:szCs w:val="16"/>
          <w:lang w:val="ro-MD"/>
        </w:rPr>
        <w:footnoteRef/>
      </w:r>
      <w:r w:rsidRPr="006B4AFD">
        <w:rPr>
          <w:rFonts w:asciiTheme="majorHAnsi" w:hAnsiTheme="majorHAnsi" w:cstheme="majorHAnsi"/>
          <w:sz w:val="16"/>
          <w:szCs w:val="16"/>
          <w:lang w:val="ro-MD"/>
        </w:rPr>
        <w:t xml:space="preserve"> </w:t>
      </w:r>
      <w:r w:rsidRPr="006B4AFD">
        <w:rPr>
          <w:rFonts w:asciiTheme="majorHAnsi" w:hAnsiTheme="majorHAnsi" w:cstheme="majorHAnsi"/>
          <w:color w:val="000000" w:themeColor="text1"/>
          <w:sz w:val="16"/>
          <w:szCs w:val="16"/>
          <w:vertAlign w:val="baseline"/>
          <w:lang w:val="ro-MD"/>
        </w:rPr>
        <w:t>Certificatul de urbanism nr.9 din 22.05.2006, emis de Primăria s. Vorniceni, r-nul Strășeni.</w:t>
      </w:r>
    </w:p>
  </w:footnote>
  <w:footnote w:id="30">
    <w:p w14:paraId="6C80CC70" w14:textId="0018EEC0" w:rsidR="00A477F5" w:rsidRPr="006B4AFD" w:rsidRDefault="00A477F5" w:rsidP="00E63278">
      <w:pPr>
        <w:pStyle w:val="a5"/>
        <w:jc w:val="both"/>
        <w:rPr>
          <w:rFonts w:asciiTheme="majorHAnsi" w:hAnsiTheme="majorHAnsi" w:cstheme="majorHAnsi"/>
          <w:sz w:val="16"/>
          <w:szCs w:val="16"/>
          <w:vertAlign w:val="baseline"/>
          <w:lang w:val="ro-MD"/>
        </w:rPr>
      </w:pPr>
      <w:r w:rsidRPr="006B4AFD">
        <w:rPr>
          <w:rStyle w:val="a9"/>
          <w:rFonts w:asciiTheme="majorHAnsi" w:hAnsiTheme="majorHAnsi" w:cstheme="majorHAnsi"/>
          <w:sz w:val="16"/>
          <w:szCs w:val="16"/>
          <w:lang w:val="ro-MD"/>
        </w:rPr>
        <w:footnoteRef/>
      </w:r>
      <w:r w:rsidRPr="006B4AFD">
        <w:rPr>
          <w:rFonts w:asciiTheme="majorHAnsi" w:hAnsiTheme="majorHAnsi" w:cstheme="majorHAnsi"/>
          <w:sz w:val="16"/>
          <w:szCs w:val="16"/>
          <w:vertAlign w:val="baseline"/>
          <w:lang w:val="ro-MD"/>
        </w:rPr>
        <w:t xml:space="preserve"> Proiectul de execuție „Reconstrucția spitalului de boli tuberculoase din s. Vorniceni, r-nul Strășeni. Bloc curativ nr.2”, elaborat de SC „ROSTRAL” SRL.</w:t>
      </w:r>
    </w:p>
  </w:footnote>
  <w:footnote w:id="31">
    <w:p w14:paraId="242FC306" w14:textId="2C6B6C82" w:rsidR="00A477F5" w:rsidRPr="006B4AFD" w:rsidRDefault="00A477F5" w:rsidP="00E63278">
      <w:pPr>
        <w:pStyle w:val="a5"/>
        <w:jc w:val="both"/>
        <w:rPr>
          <w:rFonts w:asciiTheme="majorHAnsi" w:hAnsiTheme="majorHAnsi" w:cstheme="majorHAnsi"/>
          <w:sz w:val="16"/>
          <w:szCs w:val="16"/>
          <w:vertAlign w:val="baseline"/>
          <w:lang w:val="ro-MD"/>
        </w:rPr>
      </w:pPr>
      <w:r w:rsidRPr="006B4AFD">
        <w:rPr>
          <w:rStyle w:val="a9"/>
          <w:rFonts w:asciiTheme="majorHAnsi" w:hAnsiTheme="majorHAnsi" w:cstheme="majorHAnsi"/>
          <w:sz w:val="16"/>
          <w:szCs w:val="16"/>
          <w:lang w:val="ro-MD"/>
        </w:rPr>
        <w:footnoteRef/>
      </w:r>
      <w:r w:rsidRPr="006B4AFD">
        <w:rPr>
          <w:rFonts w:asciiTheme="majorHAnsi" w:hAnsiTheme="majorHAnsi" w:cstheme="majorHAnsi"/>
          <w:sz w:val="16"/>
          <w:szCs w:val="16"/>
          <w:lang w:val="ro-MD"/>
        </w:rPr>
        <w:t xml:space="preserve"> </w:t>
      </w:r>
      <w:r w:rsidRPr="006B4AFD">
        <w:rPr>
          <w:rFonts w:asciiTheme="majorHAnsi" w:hAnsiTheme="majorHAnsi" w:cstheme="majorHAnsi"/>
          <w:sz w:val="16"/>
          <w:szCs w:val="16"/>
          <w:vertAlign w:val="baseline"/>
          <w:lang w:val="ro-MD"/>
        </w:rPr>
        <w:t>Contractului de antrepriză nr.10 din 24.03.2008, încheiat cu Ministerul Sănătății.</w:t>
      </w:r>
    </w:p>
  </w:footnote>
  <w:footnote w:id="32">
    <w:p w14:paraId="57598B07" w14:textId="12F60B13" w:rsidR="00A477F5" w:rsidRPr="006B4AFD" w:rsidRDefault="00A477F5" w:rsidP="00E63278">
      <w:pPr>
        <w:pStyle w:val="a5"/>
        <w:jc w:val="both"/>
        <w:rPr>
          <w:rFonts w:asciiTheme="majorHAnsi" w:hAnsiTheme="majorHAnsi" w:cstheme="majorHAnsi"/>
          <w:sz w:val="16"/>
          <w:szCs w:val="16"/>
          <w:vertAlign w:val="baseline"/>
          <w:lang w:val="ro-MD"/>
        </w:rPr>
      </w:pPr>
      <w:r w:rsidRPr="006B4AFD">
        <w:rPr>
          <w:rStyle w:val="a9"/>
          <w:rFonts w:asciiTheme="majorHAnsi" w:hAnsiTheme="majorHAnsi" w:cstheme="majorHAnsi"/>
          <w:sz w:val="16"/>
          <w:szCs w:val="16"/>
          <w:lang w:val="ro-MD"/>
        </w:rPr>
        <w:footnoteRef/>
      </w:r>
      <w:r w:rsidRPr="006B4AFD">
        <w:rPr>
          <w:rFonts w:asciiTheme="majorHAnsi" w:hAnsiTheme="majorHAnsi" w:cstheme="majorHAnsi"/>
          <w:sz w:val="16"/>
          <w:szCs w:val="16"/>
          <w:vertAlign w:val="baseline"/>
          <w:lang w:val="ro-MD"/>
        </w:rPr>
        <w:t xml:space="preserve"> Nr. cadastral </w:t>
      </w:r>
      <w:r w:rsidRPr="006B4AFD">
        <w:rPr>
          <w:rFonts w:asciiTheme="majorHAnsi" w:hAnsiTheme="majorHAnsi" w:cstheme="majorHAnsi"/>
          <w:color w:val="000000" w:themeColor="text1"/>
          <w:sz w:val="16"/>
          <w:szCs w:val="16"/>
          <w:vertAlign w:val="baseline"/>
          <w:lang w:val="ro-MD"/>
        </w:rPr>
        <w:t>8042208387.12 cu suprafața de 509,3 m.p. și 8042208387.13 cu suprafața de 1135,20 m.p.</w:t>
      </w:r>
    </w:p>
  </w:footnote>
  <w:footnote w:id="33">
    <w:p w14:paraId="2137812F" w14:textId="7DDBC88C" w:rsidR="00A477F5" w:rsidRPr="006B4AFD" w:rsidRDefault="00A477F5" w:rsidP="00E63278">
      <w:pPr>
        <w:pStyle w:val="a5"/>
        <w:jc w:val="both"/>
        <w:rPr>
          <w:rFonts w:asciiTheme="majorHAnsi" w:hAnsiTheme="majorHAnsi" w:cstheme="majorHAnsi"/>
          <w:sz w:val="16"/>
          <w:szCs w:val="16"/>
          <w:vertAlign w:val="baseline"/>
          <w:lang w:val="ro-MD"/>
        </w:rPr>
      </w:pPr>
      <w:r w:rsidRPr="006B4AFD">
        <w:rPr>
          <w:rStyle w:val="a9"/>
          <w:rFonts w:asciiTheme="majorHAnsi" w:hAnsiTheme="majorHAnsi" w:cstheme="majorHAnsi"/>
          <w:sz w:val="16"/>
          <w:szCs w:val="16"/>
          <w:lang w:val="ro-MD"/>
        </w:rPr>
        <w:footnoteRef/>
      </w:r>
      <w:r w:rsidRPr="006B4AFD">
        <w:rPr>
          <w:rFonts w:asciiTheme="majorHAnsi" w:hAnsiTheme="majorHAnsi" w:cstheme="majorHAnsi"/>
          <w:sz w:val="16"/>
          <w:szCs w:val="16"/>
          <w:vertAlign w:val="baseline"/>
          <w:lang w:val="ro-MD"/>
        </w:rPr>
        <w:t xml:space="preserve"> </w:t>
      </w:r>
      <w:r w:rsidRPr="006B4AFD">
        <w:rPr>
          <w:rFonts w:asciiTheme="majorHAnsi" w:hAnsiTheme="majorHAnsi" w:cstheme="majorHAnsi"/>
          <w:color w:val="000000" w:themeColor="text1"/>
          <w:sz w:val="16"/>
          <w:szCs w:val="16"/>
          <w:vertAlign w:val="baseline"/>
          <w:lang w:val="ro-MD"/>
        </w:rPr>
        <w:t>Raportul de expertiză tehnică preventivă nr.459-12-20/t, emis de către SCPC SRL în anul 2020.</w:t>
      </w:r>
    </w:p>
  </w:footnote>
  <w:footnote w:id="34">
    <w:p w14:paraId="6963A24B" w14:textId="10C50792" w:rsidR="00A477F5" w:rsidRPr="006B4AFD" w:rsidRDefault="00A477F5" w:rsidP="00E63278">
      <w:pPr>
        <w:pStyle w:val="a5"/>
        <w:jc w:val="both"/>
        <w:rPr>
          <w:sz w:val="16"/>
          <w:szCs w:val="16"/>
          <w:lang w:val="ro-MD"/>
        </w:rPr>
      </w:pPr>
      <w:r w:rsidRPr="006B4AFD">
        <w:rPr>
          <w:rStyle w:val="a9"/>
          <w:rFonts w:asciiTheme="majorHAnsi" w:hAnsiTheme="majorHAnsi" w:cstheme="majorHAnsi"/>
          <w:sz w:val="16"/>
          <w:szCs w:val="16"/>
          <w:lang w:val="ro-MD"/>
        </w:rPr>
        <w:footnoteRef/>
      </w:r>
      <w:r w:rsidRPr="006B4AFD">
        <w:rPr>
          <w:rFonts w:asciiTheme="majorHAnsi" w:hAnsiTheme="majorHAnsi" w:cstheme="majorHAnsi"/>
          <w:sz w:val="16"/>
          <w:szCs w:val="16"/>
          <w:lang w:val="ro-MD"/>
        </w:rPr>
        <w:t xml:space="preserve"> </w:t>
      </w:r>
      <w:r w:rsidRPr="006B4AFD">
        <w:rPr>
          <w:rFonts w:asciiTheme="majorHAnsi" w:hAnsiTheme="majorHAnsi" w:cstheme="majorHAnsi"/>
          <w:sz w:val="16"/>
          <w:szCs w:val="16"/>
          <w:vertAlign w:val="baseline"/>
          <w:lang w:val="ro-MD"/>
        </w:rPr>
        <w:t xml:space="preserve">Ordinul nr.25 din 23.12.2009 al Ministerului Dezvoltării Regionale și Construcțiilor „Cu privire la aprobarea Hărții zonării seismice a Republicii a Moldova (scara 1:400 000, anul 2010)”. </w:t>
      </w:r>
    </w:p>
  </w:footnote>
  <w:footnote w:id="35">
    <w:p w14:paraId="2E55F642" w14:textId="01F880EF" w:rsidR="00A477F5" w:rsidRPr="006B4AFD" w:rsidRDefault="00A477F5" w:rsidP="002B2299">
      <w:pPr>
        <w:pStyle w:val="a5"/>
        <w:jc w:val="both"/>
        <w:rPr>
          <w:rFonts w:asciiTheme="majorHAnsi" w:hAnsiTheme="majorHAnsi" w:cstheme="majorHAnsi"/>
          <w:sz w:val="16"/>
          <w:szCs w:val="16"/>
          <w:vertAlign w:val="baseline"/>
          <w:lang w:val="ro-MD"/>
        </w:rPr>
      </w:pPr>
      <w:r w:rsidRPr="006B4AFD">
        <w:rPr>
          <w:rStyle w:val="a9"/>
          <w:rFonts w:asciiTheme="majorHAnsi" w:hAnsiTheme="majorHAnsi" w:cstheme="majorHAnsi"/>
          <w:sz w:val="16"/>
          <w:szCs w:val="16"/>
          <w:lang w:val="ro-MD"/>
        </w:rPr>
        <w:footnoteRef/>
      </w:r>
      <w:r w:rsidRPr="006B4AFD">
        <w:rPr>
          <w:rFonts w:asciiTheme="majorHAnsi" w:hAnsiTheme="majorHAnsi" w:cstheme="majorHAnsi"/>
          <w:sz w:val="16"/>
          <w:szCs w:val="16"/>
          <w:lang w:val="ro-MD"/>
        </w:rPr>
        <w:t xml:space="preserve"> </w:t>
      </w:r>
      <w:r w:rsidRPr="006B4AFD">
        <w:rPr>
          <w:rFonts w:asciiTheme="majorHAnsi" w:hAnsiTheme="majorHAnsi" w:cstheme="majorHAnsi"/>
          <w:color w:val="000000" w:themeColor="text1"/>
          <w:sz w:val="16"/>
          <w:szCs w:val="16"/>
          <w:vertAlign w:val="baseline"/>
          <w:lang w:val="ro-MD"/>
        </w:rPr>
        <w:t>HCC nr.46 din 05.07.2018, HCC nr.24 din 26.06.2020, HCC nr.36 din 28.07.2022 și HCC nr.37 din 04.07.2023.</w:t>
      </w:r>
    </w:p>
  </w:footnote>
  <w:footnote w:id="36">
    <w:p w14:paraId="32D501BE" w14:textId="10325591" w:rsidR="00A477F5" w:rsidRPr="006B4AFD" w:rsidRDefault="00A477F5" w:rsidP="002B2299">
      <w:pPr>
        <w:spacing w:after="0"/>
        <w:jc w:val="both"/>
        <w:rPr>
          <w:rFonts w:asciiTheme="majorHAnsi" w:hAnsiTheme="majorHAnsi" w:cstheme="majorHAnsi"/>
          <w:b/>
          <w:bCs/>
          <w:color w:val="333333"/>
          <w:sz w:val="16"/>
          <w:szCs w:val="16"/>
          <w:lang w:val="ro-MD"/>
        </w:rPr>
      </w:pPr>
      <w:r w:rsidRPr="006B4AFD">
        <w:rPr>
          <w:rStyle w:val="a9"/>
          <w:rFonts w:asciiTheme="majorHAnsi" w:hAnsiTheme="majorHAnsi" w:cstheme="majorHAnsi"/>
          <w:sz w:val="16"/>
          <w:szCs w:val="16"/>
          <w:lang w:val="ro-MD"/>
        </w:rPr>
        <w:footnoteRef/>
      </w:r>
      <w:r w:rsidRPr="006B4AFD">
        <w:rPr>
          <w:rFonts w:asciiTheme="majorHAnsi" w:hAnsiTheme="majorHAnsi" w:cstheme="majorHAnsi"/>
          <w:sz w:val="16"/>
          <w:szCs w:val="16"/>
          <w:lang w:val="ro-MD"/>
        </w:rPr>
        <w:t xml:space="preserve"> </w:t>
      </w:r>
      <w:r w:rsidRPr="006B4AFD">
        <w:rPr>
          <w:rStyle w:val="af"/>
          <w:rFonts w:asciiTheme="majorHAnsi" w:hAnsiTheme="majorHAnsi" w:cstheme="majorHAnsi"/>
          <w:b w:val="0"/>
          <w:color w:val="000000"/>
          <w:sz w:val="16"/>
          <w:szCs w:val="16"/>
          <w:lang w:val="ro-MD"/>
        </w:rPr>
        <w:t>Art. 9 lit. k) din</w:t>
      </w:r>
      <w:r w:rsidRPr="006B4AFD">
        <w:rPr>
          <w:rFonts w:asciiTheme="majorHAnsi" w:hAnsiTheme="majorHAnsi" w:cstheme="majorHAnsi"/>
          <w:color w:val="000000"/>
          <w:sz w:val="16"/>
          <w:szCs w:val="16"/>
          <w:lang w:val="ro-MD"/>
        </w:rPr>
        <w:t> </w:t>
      </w:r>
      <w:r w:rsidRPr="006B4AFD">
        <w:rPr>
          <w:rFonts w:asciiTheme="majorHAnsi" w:hAnsiTheme="majorHAnsi" w:cstheme="majorHAnsi"/>
          <w:color w:val="333333"/>
          <w:sz w:val="16"/>
          <w:szCs w:val="16"/>
          <w:lang w:val="ro-MD"/>
        </w:rPr>
        <w:t xml:space="preserve">Legea nr. 29 din 05.04.2018 </w:t>
      </w:r>
      <w:r w:rsidRPr="006B4AFD">
        <w:rPr>
          <w:rStyle w:val="af"/>
          <w:rFonts w:asciiTheme="majorHAnsi" w:hAnsiTheme="majorHAnsi" w:cstheme="majorHAnsi"/>
          <w:b w:val="0"/>
          <w:bCs w:val="0"/>
          <w:color w:val="333333"/>
          <w:sz w:val="16"/>
          <w:szCs w:val="16"/>
          <w:lang w:val="ro-MD"/>
        </w:rPr>
        <w:t>privind delimitarea proprietății publice.</w:t>
      </w:r>
    </w:p>
  </w:footnote>
  <w:footnote w:id="37">
    <w:p w14:paraId="30B09F9B" w14:textId="5A166D4A" w:rsidR="00A477F5" w:rsidRPr="006B4AFD" w:rsidRDefault="00A477F5" w:rsidP="002B2299">
      <w:pPr>
        <w:pStyle w:val="a5"/>
        <w:jc w:val="both"/>
        <w:rPr>
          <w:sz w:val="16"/>
          <w:szCs w:val="16"/>
          <w:vertAlign w:val="baseline"/>
          <w:lang w:val="ro-MD"/>
        </w:rPr>
      </w:pPr>
      <w:r w:rsidRPr="006B4AFD">
        <w:rPr>
          <w:rStyle w:val="a9"/>
          <w:rFonts w:asciiTheme="majorHAnsi" w:hAnsiTheme="majorHAnsi" w:cstheme="majorHAnsi"/>
          <w:sz w:val="16"/>
          <w:szCs w:val="16"/>
          <w:lang w:val="ro-MD"/>
        </w:rPr>
        <w:footnoteRef/>
      </w:r>
      <w:r w:rsidRPr="006B4AFD">
        <w:rPr>
          <w:rFonts w:asciiTheme="majorHAnsi" w:hAnsiTheme="majorHAnsi" w:cstheme="majorHAnsi"/>
          <w:sz w:val="16"/>
          <w:szCs w:val="16"/>
          <w:lang w:val="ro-MD"/>
        </w:rPr>
        <w:t xml:space="preserve"> </w:t>
      </w:r>
      <w:r w:rsidRPr="006B4AFD">
        <w:rPr>
          <w:rStyle w:val="af"/>
          <w:rFonts w:asciiTheme="majorHAnsi" w:hAnsiTheme="majorHAnsi" w:cstheme="majorHAnsi"/>
          <w:b w:val="0"/>
          <w:color w:val="000000"/>
          <w:sz w:val="16"/>
          <w:szCs w:val="16"/>
          <w:vertAlign w:val="baseline"/>
          <w:lang w:val="ro-MD"/>
        </w:rPr>
        <w:t>Conform art. 5 din</w:t>
      </w:r>
      <w:r w:rsidRPr="006B4AFD">
        <w:rPr>
          <w:rFonts w:asciiTheme="majorHAnsi" w:hAnsiTheme="majorHAnsi" w:cstheme="majorHAnsi"/>
          <w:color w:val="000000"/>
          <w:sz w:val="16"/>
          <w:szCs w:val="16"/>
          <w:vertAlign w:val="baseline"/>
          <w:lang w:val="ro-MD"/>
        </w:rPr>
        <w:t> </w:t>
      </w:r>
      <w:r w:rsidRPr="006B4AFD">
        <w:rPr>
          <w:rFonts w:asciiTheme="majorHAnsi" w:hAnsiTheme="majorHAnsi" w:cstheme="majorHAnsi"/>
          <w:color w:val="333333"/>
          <w:sz w:val="16"/>
          <w:szCs w:val="16"/>
          <w:vertAlign w:val="baseline"/>
          <w:lang w:val="ro-MD"/>
        </w:rPr>
        <w:t xml:space="preserve">Legea nr. 29 din 05.04.2018 </w:t>
      </w:r>
      <w:r w:rsidRPr="006B4AFD">
        <w:rPr>
          <w:rStyle w:val="af"/>
          <w:rFonts w:asciiTheme="majorHAnsi" w:hAnsiTheme="majorHAnsi" w:cstheme="majorHAnsi"/>
          <w:b w:val="0"/>
          <w:bCs w:val="0"/>
          <w:color w:val="333333"/>
          <w:sz w:val="16"/>
          <w:szCs w:val="16"/>
          <w:vertAlign w:val="baseline"/>
          <w:lang w:val="ro-MD"/>
        </w:rPr>
        <w:t>privind delimitarea proprietății publice, bunurile domeniului public nu pot fi înstrăinate sau depuse în capitalul social al unor persoane juridice, nu pot fi supuse urmăririi silite, nu pot fi incluse în masa debitoare în cazul insolvabilității/falimentului persoanei juridice, nu pot fi obiectul unei garanții reale și nu pot fi dobândite de persoane fizice sau juridice prin uzucapiune.</w:t>
      </w:r>
    </w:p>
  </w:footnote>
  <w:footnote w:id="38">
    <w:p w14:paraId="0F98081F" w14:textId="1B912816" w:rsidR="00A477F5" w:rsidRPr="006B4AFD" w:rsidRDefault="00A477F5" w:rsidP="00E63278">
      <w:pPr>
        <w:pStyle w:val="a5"/>
        <w:jc w:val="both"/>
        <w:rPr>
          <w:rFonts w:asciiTheme="majorHAnsi" w:hAnsiTheme="majorHAnsi" w:cstheme="majorHAnsi"/>
          <w:sz w:val="16"/>
          <w:szCs w:val="16"/>
          <w:lang w:val="ro-MD"/>
        </w:rPr>
      </w:pPr>
      <w:r w:rsidRPr="006B4AFD">
        <w:rPr>
          <w:rStyle w:val="a9"/>
          <w:rFonts w:asciiTheme="majorHAnsi" w:hAnsiTheme="majorHAnsi" w:cstheme="majorHAnsi"/>
          <w:sz w:val="16"/>
          <w:szCs w:val="16"/>
          <w:lang w:val="ro-MD"/>
        </w:rPr>
        <w:footnoteRef/>
      </w:r>
      <w:r w:rsidRPr="006B4AFD">
        <w:rPr>
          <w:rFonts w:asciiTheme="majorHAnsi" w:hAnsiTheme="majorHAnsi" w:cstheme="majorHAnsi"/>
          <w:sz w:val="16"/>
          <w:szCs w:val="16"/>
          <w:lang w:val="ro-MD"/>
        </w:rPr>
        <w:t xml:space="preserve"> </w:t>
      </w:r>
      <w:r w:rsidRPr="006B4AFD">
        <w:rPr>
          <w:rFonts w:asciiTheme="majorHAnsi" w:hAnsiTheme="majorHAnsi" w:cstheme="majorHAnsi"/>
          <w:sz w:val="16"/>
          <w:szCs w:val="16"/>
          <w:vertAlign w:val="baseline"/>
          <w:lang w:val="ro-MD"/>
        </w:rPr>
        <w:t>Scrisoarea Ministerului Finanțelor nr. 05-10/93 din 24.11.2023.</w:t>
      </w:r>
    </w:p>
  </w:footnote>
  <w:footnote w:id="39">
    <w:p w14:paraId="567C56EB" w14:textId="0EC82B97" w:rsidR="00A477F5" w:rsidRPr="006B4AFD" w:rsidRDefault="00A477F5" w:rsidP="00DA1FB6">
      <w:pPr>
        <w:pStyle w:val="a5"/>
        <w:jc w:val="both"/>
        <w:rPr>
          <w:rFonts w:asciiTheme="majorHAnsi" w:hAnsiTheme="majorHAnsi" w:cstheme="majorHAnsi"/>
          <w:sz w:val="16"/>
          <w:szCs w:val="16"/>
          <w:lang w:val="ro-MD"/>
        </w:rPr>
      </w:pPr>
      <w:r w:rsidRPr="006B4AFD">
        <w:rPr>
          <w:rStyle w:val="a9"/>
          <w:rFonts w:asciiTheme="majorHAnsi" w:hAnsiTheme="majorHAnsi" w:cstheme="majorHAnsi"/>
          <w:sz w:val="16"/>
          <w:szCs w:val="16"/>
          <w:lang w:val="ro-MD"/>
        </w:rPr>
        <w:footnoteRef/>
      </w:r>
      <w:r w:rsidRPr="006B4AFD">
        <w:rPr>
          <w:rFonts w:asciiTheme="majorHAnsi" w:hAnsiTheme="majorHAnsi" w:cstheme="majorHAnsi"/>
          <w:sz w:val="16"/>
          <w:szCs w:val="16"/>
          <w:lang w:val="ro-MD"/>
        </w:rPr>
        <w:t xml:space="preserve"> </w:t>
      </w:r>
      <w:r w:rsidRPr="006B4AFD">
        <w:rPr>
          <w:rFonts w:asciiTheme="majorHAnsi" w:hAnsiTheme="majorHAnsi" w:cstheme="majorHAnsi"/>
          <w:sz w:val="16"/>
          <w:szCs w:val="16"/>
          <w:vertAlign w:val="baseline"/>
          <w:lang w:val="ro-MD"/>
        </w:rPr>
        <w:t>Spre exemplu, entitatea deține o incintă frigorifică (214,9 mii lei), care conform evidenței contabile a fost pusă în funcțiune în anul 2012, fiindu-i calculată uzura, însă dispozitivul este păstrat în secție nou/neutilizat. Concomitent, au fost identificate 2 ventilatoare Laerdal Servi (194,8 mii lei) , repartizate în secții în utilizare în 2022, însă acestea sunt păstrate noi în cutii fiindu-le calculată uzura. La fel, 3 aparate de terapie intensivă Lumis (146,3 mii lei) sunt păstrate noi în cutii în secție, deși acestea au fost repartizate și puse în funcțiune în 2022.</w:t>
      </w:r>
    </w:p>
  </w:footnote>
  <w:footnote w:id="40">
    <w:p w14:paraId="7B1F550D" w14:textId="4D958153" w:rsidR="00A477F5" w:rsidRPr="006B4AFD" w:rsidRDefault="00A477F5" w:rsidP="00E63278">
      <w:pPr>
        <w:pStyle w:val="a5"/>
        <w:jc w:val="both"/>
        <w:rPr>
          <w:rFonts w:asciiTheme="majorHAnsi" w:hAnsiTheme="majorHAnsi" w:cstheme="majorHAnsi"/>
          <w:sz w:val="16"/>
          <w:szCs w:val="16"/>
          <w:vertAlign w:val="baseline"/>
          <w:lang w:val="ro-MD"/>
        </w:rPr>
      </w:pPr>
      <w:r w:rsidRPr="006B4AFD">
        <w:rPr>
          <w:rStyle w:val="a9"/>
          <w:rFonts w:asciiTheme="majorHAnsi" w:hAnsiTheme="majorHAnsi" w:cstheme="majorHAnsi"/>
          <w:sz w:val="16"/>
          <w:szCs w:val="16"/>
          <w:lang w:val="ro-MD"/>
        </w:rPr>
        <w:footnoteRef/>
      </w:r>
      <w:r w:rsidRPr="006B4AFD">
        <w:rPr>
          <w:rFonts w:asciiTheme="majorHAnsi" w:hAnsiTheme="majorHAnsi" w:cstheme="majorHAnsi"/>
          <w:sz w:val="16"/>
          <w:szCs w:val="16"/>
          <w:lang w:val="ro-MD"/>
        </w:rPr>
        <w:t xml:space="preserve"> </w:t>
      </w:r>
      <w:r w:rsidRPr="006B4AFD">
        <w:rPr>
          <w:rFonts w:asciiTheme="majorHAnsi" w:hAnsiTheme="majorHAnsi" w:cstheme="majorHAnsi"/>
          <w:sz w:val="16"/>
          <w:szCs w:val="16"/>
          <w:vertAlign w:val="baseline"/>
          <w:lang w:val="ro-MD"/>
        </w:rPr>
        <w:t>Pct. 4 din HG nr. 500 din 12.05.1998 „Despre aprobarea Regulamentului privind casarea bunurilor uzate, raportate la mijloacele fixe”.</w:t>
      </w:r>
    </w:p>
  </w:footnote>
  <w:footnote w:id="41">
    <w:p w14:paraId="7C0ED233" w14:textId="7B8F20EB" w:rsidR="00A477F5" w:rsidRPr="006B4AFD" w:rsidRDefault="00A477F5" w:rsidP="00E63278">
      <w:pPr>
        <w:pStyle w:val="a5"/>
        <w:jc w:val="both"/>
        <w:rPr>
          <w:rFonts w:asciiTheme="majorHAnsi" w:hAnsiTheme="majorHAnsi" w:cstheme="majorHAnsi"/>
          <w:sz w:val="16"/>
          <w:szCs w:val="16"/>
          <w:lang w:val="ro-MD"/>
        </w:rPr>
      </w:pPr>
      <w:r w:rsidRPr="006B4AFD">
        <w:rPr>
          <w:rStyle w:val="a9"/>
          <w:rFonts w:asciiTheme="majorHAnsi" w:hAnsiTheme="majorHAnsi" w:cstheme="majorHAnsi"/>
          <w:sz w:val="16"/>
          <w:szCs w:val="16"/>
          <w:lang w:val="ro-MD"/>
        </w:rPr>
        <w:footnoteRef/>
      </w:r>
      <w:r w:rsidRPr="006B4AFD">
        <w:rPr>
          <w:rFonts w:asciiTheme="majorHAnsi" w:hAnsiTheme="majorHAnsi" w:cstheme="majorHAnsi"/>
          <w:sz w:val="16"/>
          <w:szCs w:val="16"/>
          <w:lang w:val="ro-MD"/>
        </w:rPr>
        <w:t xml:space="preserve"> </w:t>
      </w:r>
      <w:r w:rsidRPr="006B4AFD">
        <w:rPr>
          <w:rFonts w:asciiTheme="majorHAnsi" w:hAnsiTheme="majorHAnsi" w:cstheme="majorHAnsi"/>
          <w:sz w:val="16"/>
          <w:szCs w:val="16"/>
          <w:vertAlign w:val="baseline"/>
          <w:lang w:val="ro-MD"/>
        </w:rPr>
        <w:t>Ordinul Directorului IMSP nr. 74 din 25.08.2023 „Cu privire la instituirea comisiei privind casarea bunurilor uzate, raportate la mijloace fixe”.</w:t>
      </w:r>
    </w:p>
  </w:footnote>
  <w:footnote w:id="42">
    <w:p w14:paraId="5FA2DFBE" w14:textId="2B786AC3" w:rsidR="00A477F5" w:rsidRPr="006B4AFD" w:rsidRDefault="00A477F5" w:rsidP="00E63278">
      <w:pPr>
        <w:pStyle w:val="a5"/>
        <w:jc w:val="both"/>
        <w:rPr>
          <w:rFonts w:asciiTheme="majorHAnsi" w:hAnsiTheme="majorHAnsi" w:cstheme="majorHAnsi"/>
          <w:lang w:val="ro-MD"/>
        </w:rPr>
      </w:pPr>
      <w:r w:rsidRPr="006B4AFD">
        <w:rPr>
          <w:rStyle w:val="a9"/>
          <w:rFonts w:asciiTheme="majorHAnsi" w:hAnsiTheme="majorHAnsi" w:cstheme="majorHAnsi"/>
          <w:sz w:val="16"/>
          <w:szCs w:val="16"/>
          <w:lang w:val="ro-MD"/>
        </w:rPr>
        <w:footnoteRef/>
      </w:r>
      <w:r w:rsidRPr="006B4AFD">
        <w:rPr>
          <w:rFonts w:asciiTheme="majorHAnsi" w:hAnsiTheme="majorHAnsi" w:cstheme="majorHAnsi"/>
          <w:sz w:val="16"/>
          <w:szCs w:val="16"/>
          <w:lang w:val="ro-MD"/>
        </w:rPr>
        <w:t xml:space="preserve"> </w:t>
      </w:r>
      <w:r w:rsidRPr="006B4AFD">
        <w:rPr>
          <w:rFonts w:asciiTheme="majorHAnsi" w:hAnsiTheme="majorHAnsi" w:cstheme="majorHAnsi"/>
          <w:sz w:val="16"/>
          <w:szCs w:val="16"/>
          <w:vertAlign w:val="baseline"/>
          <w:lang w:val="ro-MD"/>
        </w:rPr>
        <w:t>Art. 42 din Ordinul Ministerului Finanțelor nr. 60 din 29.05.2012 „Cu privire la aprobarea Regulamentului privind inventarierea”.</w:t>
      </w:r>
    </w:p>
  </w:footnote>
  <w:footnote w:id="43">
    <w:p w14:paraId="066E678D" w14:textId="4F7C96FD" w:rsidR="00A477F5" w:rsidRPr="006B4AFD" w:rsidRDefault="00A477F5" w:rsidP="003F0474">
      <w:pPr>
        <w:pStyle w:val="a5"/>
        <w:jc w:val="both"/>
        <w:rPr>
          <w:sz w:val="16"/>
          <w:szCs w:val="16"/>
          <w:lang w:val="ro-MD"/>
        </w:rPr>
      </w:pPr>
      <w:r w:rsidRPr="006B4AFD">
        <w:rPr>
          <w:rStyle w:val="a9"/>
          <w:rFonts w:asciiTheme="majorHAnsi" w:hAnsiTheme="majorHAnsi" w:cstheme="majorHAnsi"/>
          <w:sz w:val="16"/>
          <w:szCs w:val="16"/>
          <w:lang w:val="ro-MD"/>
        </w:rPr>
        <w:footnoteRef/>
      </w:r>
      <w:r w:rsidRPr="006B4AFD">
        <w:rPr>
          <w:rFonts w:asciiTheme="majorHAnsi" w:hAnsiTheme="majorHAnsi" w:cstheme="majorHAnsi"/>
          <w:sz w:val="16"/>
          <w:szCs w:val="16"/>
          <w:lang w:val="ro-MD"/>
        </w:rPr>
        <w:t xml:space="preserve"> </w:t>
      </w:r>
      <w:r w:rsidRPr="006B4AFD">
        <w:rPr>
          <w:rFonts w:asciiTheme="majorHAnsi" w:hAnsiTheme="majorHAnsi" w:cstheme="majorHAnsi"/>
          <w:sz w:val="16"/>
          <w:szCs w:val="16"/>
          <w:vertAlign w:val="baseline"/>
          <w:lang w:val="ro-MD" w:eastAsia="ro-RO"/>
        </w:rPr>
        <w:t>Anexa nr.1 la Regulamentul privind salarizarea angajaților din instituțiile medico-sanitare publice încadrate în sistemul asigurării obligatorii de asistență medicală, aprobat prin HG nr.837 din 06.07.2016, cu modificările ulterioare.</w:t>
      </w:r>
    </w:p>
  </w:footnote>
  <w:footnote w:id="44">
    <w:p w14:paraId="5487326F" w14:textId="4052A558" w:rsidR="00A477F5" w:rsidRPr="006B4AFD" w:rsidRDefault="00A477F5" w:rsidP="003F0474">
      <w:pPr>
        <w:pStyle w:val="a5"/>
        <w:jc w:val="both"/>
        <w:rPr>
          <w:rFonts w:asciiTheme="majorHAnsi" w:hAnsiTheme="majorHAnsi" w:cstheme="majorHAnsi"/>
          <w:sz w:val="16"/>
          <w:szCs w:val="16"/>
          <w:vertAlign w:val="baseline"/>
          <w:lang w:val="ro-MD"/>
        </w:rPr>
      </w:pPr>
      <w:r w:rsidRPr="006B4AFD">
        <w:rPr>
          <w:rStyle w:val="a9"/>
          <w:rFonts w:asciiTheme="majorHAnsi" w:hAnsiTheme="majorHAnsi" w:cstheme="majorHAnsi"/>
          <w:sz w:val="16"/>
          <w:szCs w:val="16"/>
          <w:lang w:val="ro-MD"/>
        </w:rPr>
        <w:footnoteRef/>
      </w:r>
      <w:r w:rsidRPr="006B4AFD">
        <w:rPr>
          <w:rFonts w:asciiTheme="majorHAnsi" w:hAnsiTheme="majorHAnsi" w:cstheme="majorHAnsi"/>
          <w:sz w:val="16"/>
          <w:szCs w:val="16"/>
          <w:lang w:val="ro-MD"/>
        </w:rPr>
        <w:t xml:space="preserve"> </w:t>
      </w:r>
      <w:r w:rsidRPr="006B4AFD">
        <w:rPr>
          <w:rFonts w:asciiTheme="majorHAnsi" w:hAnsiTheme="majorHAnsi" w:cstheme="majorHAnsi"/>
          <w:sz w:val="16"/>
          <w:szCs w:val="16"/>
          <w:vertAlign w:val="baseline"/>
          <w:lang w:val="ro-MD"/>
        </w:rPr>
        <w:t>Ordinul MSMPS nr. 318 din 26.03.2020 „Cu privire la acordarea asistenței medicale persoanelor care întrunesc criteriile definiției de caz COVID-19”.</w:t>
      </w:r>
    </w:p>
  </w:footnote>
  <w:footnote w:id="45">
    <w:p w14:paraId="61A6BE97" w14:textId="17521A17" w:rsidR="00A477F5" w:rsidRPr="006B4AFD" w:rsidRDefault="00A477F5" w:rsidP="003F0474">
      <w:pPr>
        <w:pStyle w:val="a5"/>
        <w:jc w:val="both"/>
        <w:rPr>
          <w:rFonts w:asciiTheme="majorHAnsi" w:hAnsiTheme="majorHAnsi" w:cstheme="majorHAnsi"/>
          <w:sz w:val="16"/>
          <w:szCs w:val="16"/>
          <w:vertAlign w:val="baseline"/>
          <w:lang w:val="ro-MD"/>
        </w:rPr>
      </w:pPr>
      <w:r w:rsidRPr="006B4AFD">
        <w:rPr>
          <w:rStyle w:val="a9"/>
          <w:rFonts w:asciiTheme="majorHAnsi" w:hAnsiTheme="majorHAnsi" w:cstheme="majorHAnsi"/>
          <w:sz w:val="16"/>
          <w:szCs w:val="16"/>
          <w:lang w:val="ro-MD"/>
        </w:rPr>
        <w:footnoteRef/>
      </w:r>
      <w:r w:rsidRPr="006B4AFD">
        <w:rPr>
          <w:rFonts w:asciiTheme="majorHAnsi" w:hAnsiTheme="majorHAnsi" w:cstheme="majorHAnsi"/>
          <w:sz w:val="16"/>
          <w:szCs w:val="16"/>
          <w:lang w:val="ro-MD"/>
        </w:rPr>
        <w:t xml:space="preserve"> </w:t>
      </w:r>
      <w:r w:rsidRPr="006B4AFD">
        <w:rPr>
          <w:rFonts w:asciiTheme="majorHAnsi" w:hAnsiTheme="majorHAnsi" w:cstheme="majorHAnsi"/>
          <w:sz w:val="16"/>
          <w:szCs w:val="16"/>
          <w:vertAlign w:val="baseline"/>
          <w:lang w:val="ro-MD"/>
        </w:rPr>
        <w:t>Ordinul MSMPS nr. 466 din 15.05.2020 „Cu privire la motivarea personalului”.</w:t>
      </w:r>
    </w:p>
  </w:footnote>
  <w:footnote w:id="46">
    <w:p w14:paraId="54EA80C5" w14:textId="48441F6F" w:rsidR="00A477F5" w:rsidRPr="006B4AFD" w:rsidRDefault="00A477F5" w:rsidP="00EF1983">
      <w:pPr>
        <w:pStyle w:val="a5"/>
        <w:rPr>
          <w:rFonts w:asciiTheme="majorHAnsi" w:hAnsiTheme="majorHAnsi" w:cstheme="majorHAnsi"/>
          <w:sz w:val="16"/>
          <w:szCs w:val="16"/>
          <w:vertAlign w:val="baseline"/>
          <w:lang w:val="ro-MD"/>
        </w:rPr>
      </w:pPr>
      <w:r w:rsidRPr="006B4AFD">
        <w:rPr>
          <w:rStyle w:val="a9"/>
          <w:rFonts w:asciiTheme="majorHAnsi" w:hAnsiTheme="majorHAnsi" w:cstheme="majorHAnsi"/>
          <w:sz w:val="16"/>
          <w:szCs w:val="16"/>
          <w:lang w:val="ro-MD"/>
        </w:rPr>
        <w:footnoteRef/>
      </w:r>
      <w:r w:rsidRPr="006B4AFD">
        <w:rPr>
          <w:rFonts w:asciiTheme="majorHAnsi" w:hAnsiTheme="majorHAnsi" w:cstheme="majorHAnsi"/>
          <w:sz w:val="16"/>
          <w:szCs w:val="16"/>
          <w:vertAlign w:val="baseline"/>
          <w:lang w:val="ro-MD"/>
        </w:rPr>
        <w:t xml:space="preserve"> Art. 23 din Legea finanțelor publice și responsabilității bugetar-fiscale nr. 181 din 25.07.2014.</w:t>
      </w:r>
    </w:p>
  </w:footnote>
  <w:footnote w:id="47">
    <w:p w14:paraId="435ADE35" w14:textId="46D2FC66" w:rsidR="00A477F5" w:rsidRPr="006B4AFD" w:rsidRDefault="00A477F5" w:rsidP="00EF1983">
      <w:pPr>
        <w:pStyle w:val="a5"/>
        <w:rPr>
          <w:rFonts w:asciiTheme="majorHAnsi" w:hAnsiTheme="majorHAnsi" w:cstheme="majorHAnsi"/>
          <w:sz w:val="16"/>
          <w:szCs w:val="16"/>
          <w:vertAlign w:val="baseline"/>
          <w:lang w:val="ro-MD"/>
        </w:rPr>
      </w:pPr>
      <w:r w:rsidRPr="006B4AFD">
        <w:rPr>
          <w:rStyle w:val="a9"/>
          <w:rFonts w:asciiTheme="majorHAnsi" w:hAnsiTheme="majorHAnsi" w:cstheme="majorHAnsi"/>
          <w:sz w:val="16"/>
          <w:szCs w:val="16"/>
          <w:lang w:val="ro-MD"/>
        </w:rPr>
        <w:footnoteRef/>
      </w:r>
      <w:r w:rsidRPr="006B4AFD">
        <w:rPr>
          <w:rFonts w:asciiTheme="majorHAnsi" w:hAnsiTheme="majorHAnsi" w:cstheme="majorHAnsi"/>
          <w:sz w:val="16"/>
          <w:szCs w:val="16"/>
          <w:vertAlign w:val="baseline"/>
          <w:lang w:val="ro-MD"/>
        </w:rPr>
        <w:t xml:space="preserve"> Pct. 11 din HG nr. 156 din 11.02.2002 „Cu privire la funcționarea Companiei Naționale de Asigurări în Medicină”.</w:t>
      </w:r>
    </w:p>
  </w:footnote>
  <w:footnote w:id="48">
    <w:p w14:paraId="100B6C87" w14:textId="09712F9B" w:rsidR="00A477F5" w:rsidRPr="006B4AFD" w:rsidRDefault="00A477F5" w:rsidP="00EF1983">
      <w:pPr>
        <w:pStyle w:val="a5"/>
        <w:rPr>
          <w:rFonts w:asciiTheme="majorHAnsi" w:hAnsiTheme="majorHAnsi" w:cstheme="majorHAnsi"/>
          <w:sz w:val="16"/>
          <w:szCs w:val="16"/>
          <w:vertAlign w:val="baseline"/>
          <w:lang w:val="ro-MD"/>
        </w:rPr>
      </w:pPr>
      <w:r w:rsidRPr="006B4AFD">
        <w:rPr>
          <w:rStyle w:val="a9"/>
          <w:rFonts w:asciiTheme="majorHAnsi" w:hAnsiTheme="majorHAnsi" w:cstheme="majorHAnsi"/>
          <w:sz w:val="16"/>
          <w:szCs w:val="16"/>
          <w:lang w:val="ro-MD"/>
        </w:rPr>
        <w:footnoteRef/>
      </w:r>
      <w:r w:rsidRPr="006B4AFD">
        <w:rPr>
          <w:rFonts w:asciiTheme="majorHAnsi" w:hAnsiTheme="majorHAnsi" w:cstheme="majorHAnsi"/>
          <w:sz w:val="16"/>
          <w:szCs w:val="16"/>
          <w:lang w:val="ro-MD"/>
        </w:rPr>
        <w:t xml:space="preserve"> </w:t>
      </w:r>
      <w:r w:rsidRPr="006B4AFD">
        <w:rPr>
          <w:rFonts w:asciiTheme="majorHAnsi" w:hAnsiTheme="majorHAnsi" w:cstheme="majorHAnsi"/>
          <w:sz w:val="16"/>
          <w:szCs w:val="16"/>
          <w:vertAlign w:val="baseline"/>
          <w:lang w:val="ro-MD"/>
        </w:rPr>
        <w:t>Demersul CNAM nr.01-13/19 din 30.04.2020.</w:t>
      </w:r>
    </w:p>
  </w:footnote>
  <w:footnote w:id="49">
    <w:p w14:paraId="214F1F48" w14:textId="4B0864EA" w:rsidR="00A477F5" w:rsidRPr="006B4AFD" w:rsidRDefault="00A477F5" w:rsidP="00EF1983">
      <w:pPr>
        <w:pStyle w:val="a5"/>
        <w:rPr>
          <w:rFonts w:asciiTheme="majorHAnsi" w:hAnsiTheme="majorHAnsi" w:cstheme="majorHAnsi"/>
          <w:sz w:val="16"/>
          <w:szCs w:val="16"/>
          <w:lang w:val="ro-MD"/>
        </w:rPr>
      </w:pPr>
      <w:r w:rsidRPr="006B4AFD">
        <w:rPr>
          <w:rStyle w:val="a9"/>
          <w:rFonts w:asciiTheme="majorHAnsi" w:hAnsiTheme="majorHAnsi" w:cstheme="majorHAnsi"/>
          <w:sz w:val="16"/>
          <w:szCs w:val="16"/>
          <w:lang w:val="ro-MD"/>
        </w:rPr>
        <w:footnoteRef/>
      </w:r>
      <w:r w:rsidRPr="006B4AFD">
        <w:rPr>
          <w:rFonts w:asciiTheme="majorHAnsi" w:hAnsiTheme="majorHAnsi" w:cstheme="majorHAnsi"/>
          <w:sz w:val="16"/>
          <w:szCs w:val="16"/>
          <w:lang w:val="ro-MD"/>
        </w:rPr>
        <w:t xml:space="preserve"> </w:t>
      </w:r>
      <w:r w:rsidRPr="006B4AFD">
        <w:rPr>
          <w:rFonts w:asciiTheme="majorHAnsi" w:hAnsiTheme="majorHAnsi" w:cstheme="majorHAnsi"/>
          <w:sz w:val="16"/>
          <w:szCs w:val="16"/>
          <w:vertAlign w:val="baseline"/>
          <w:lang w:val="ro-MD"/>
        </w:rPr>
        <w:t>Demersul CNAM nr. 01-13/28 din 10.08.2020.</w:t>
      </w:r>
    </w:p>
  </w:footnote>
  <w:footnote w:id="50">
    <w:p w14:paraId="736FD562" w14:textId="7EBB6247" w:rsidR="00A477F5" w:rsidRPr="00516931" w:rsidRDefault="00A477F5" w:rsidP="00EF1983">
      <w:pPr>
        <w:pStyle w:val="a5"/>
        <w:jc w:val="both"/>
        <w:rPr>
          <w:rFonts w:asciiTheme="majorHAnsi" w:hAnsiTheme="majorHAnsi" w:cstheme="majorHAnsi"/>
          <w:sz w:val="16"/>
          <w:szCs w:val="16"/>
          <w:vertAlign w:val="baseline"/>
          <w:lang w:val="ro-MD"/>
        </w:rPr>
      </w:pPr>
      <w:r w:rsidRPr="00516931">
        <w:rPr>
          <w:rStyle w:val="a9"/>
          <w:rFonts w:asciiTheme="majorHAnsi" w:hAnsiTheme="majorHAnsi" w:cstheme="majorHAnsi"/>
          <w:sz w:val="16"/>
          <w:szCs w:val="16"/>
          <w:lang w:val="ro-MD"/>
        </w:rPr>
        <w:footnoteRef/>
      </w:r>
      <w:r w:rsidRPr="00516931">
        <w:rPr>
          <w:rFonts w:asciiTheme="majorHAnsi" w:hAnsiTheme="majorHAnsi" w:cstheme="majorHAnsi"/>
          <w:sz w:val="16"/>
          <w:szCs w:val="16"/>
          <w:lang w:val="ro-MD"/>
        </w:rPr>
        <w:t xml:space="preserve"> </w:t>
      </w:r>
      <w:r w:rsidRPr="00516931">
        <w:rPr>
          <w:rFonts w:asciiTheme="majorHAnsi" w:hAnsiTheme="majorHAnsi" w:cstheme="majorHAnsi"/>
          <w:sz w:val="16"/>
          <w:szCs w:val="16"/>
          <w:vertAlign w:val="baseline"/>
          <w:lang w:val="ro-MD"/>
        </w:rPr>
        <w:t>Ordinul MSMPS nr. 243 din 09.03.2020 „Cu privire la motivarea personalului”; Ordinul MSMPS nr.466 din 15.05.2020 „Cu privire la motivarea personalului”.</w:t>
      </w:r>
    </w:p>
  </w:footnote>
  <w:footnote w:id="51">
    <w:p w14:paraId="245A14B4" w14:textId="17DA8B36" w:rsidR="00A477F5" w:rsidRPr="00516931" w:rsidRDefault="00A477F5" w:rsidP="00EF1983">
      <w:pPr>
        <w:pStyle w:val="a5"/>
        <w:jc w:val="both"/>
        <w:rPr>
          <w:sz w:val="16"/>
          <w:szCs w:val="16"/>
          <w:vertAlign w:val="baseline"/>
          <w:lang w:val="ro-MD"/>
        </w:rPr>
      </w:pPr>
      <w:r w:rsidRPr="00516931">
        <w:rPr>
          <w:rStyle w:val="a9"/>
          <w:rFonts w:asciiTheme="majorHAnsi" w:hAnsiTheme="majorHAnsi" w:cstheme="majorHAnsi"/>
          <w:sz w:val="16"/>
          <w:szCs w:val="16"/>
          <w:lang w:val="ro-MD"/>
        </w:rPr>
        <w:footnoteRef/>
      </w:r>
      <w:r w:rsidRPr="00516931">
        <w:rPr>
          <w:rFonts w:asciiTheme="majorHAnsi" w:hAnsiTheme="majorHAnsi" w:cstheme="majorHAnsi"/>
          <w:sz w:val="16"/>
          <w:szCs w:val="16"/>
          <w:lang w:val="ro-MD"/>
        </w:rPr>
        <w:t xml:space="preserve"> </w:t>
      </w:r>
      <w:r w:rsidRPr="00516931">
        <w:rPr>
          <w:rFonts w:ascii="Calibri Light" w:hAnsi="Calibri Light" w:cs="Calibri Light"/>
          <w:sz w:val="16"/>
          <w:szCs w:val="16"/>
          <w:vertAlign w:val="baseline"/>
          <w:lang w:val="ro-MD"/>
        </w:rPr>
        <w:t>Pct. 20 din Anexa nr. 3 la HG nr. 1231 din 12.12.2018 „Pentru punerea în aplicare a prevederilor Legii nr. 270/2018 privind sistemul unitar de salarizare în sectorul bugetar”.</w:t>
      </w:r>
      <w:r w:rsidRPr="00516931">
        <w:rPr>
          <w:sz w:val="16"/>
          <w:szCs w:val="16"/>
          <w:vertAlign w:val="baseline"/>
          <w:lang w:val="ro-MD"/>
        </w:rPr>
        <w:t xml:space="preserve">  </w:t>
      </w:r>
    </w:p>
  </w:footnote>
  <w:footnote w:id="52">
    <w:p w14:paraId="2ED8F9DC" w14:textId="16DBCE09" w:rsidR="00A477F5" w:rsidRPr="006B4AFD" w:rsidRDefault="00A477F5" w:rsidP="00EF1983">
      <w:pPr>
        <w:pStyle w:val="a5"/>
        <w:jc w:val="both"/>
        <w:rPr>
          <w:rFonts w:asciiTheme="majorHAnsi" w:hAnsiTheme="majorHAnsi" w:cstheme="majorHAnsi"/>
          <w:sz w:val="16"/>
          <w:szCs w:val="16"/>
          <w:vertAlign w:val="baseline"/>
          <w:lang w:val="ro-MD"/>
        </w:rPr>
      </w:pPr>
      <w:r w:rsidRPr="00516931">
        <w:rPr>
          <w:rStyle w:val="a9"/>
          <w:rFonts w:asciiTheme="majorHAnsi" w:hAnsiTheme="majorHAnsi" w:cstheme="majorHAnsi"/>
          <w:sz w:val="16"/>
          <w:szCs w:val="16"/>
          <w:lang w:val="ro-MD"/>
        </w:rPr>
        <w:footnoteRef/>
      </w:r>
      <w:r w:rsidRPr="00516931">
        <w:rPr>
          <w:rFonts w:asciiTheme="majorHAnsi" w:hAnsiTheme="majorHAnsi" w:cstheme="majorHAnsi"/>
          <w:sz w:val="16"/>
          <w:szCs w:val="16"/>
          <w:lang w:val="ro-MD"/>
        </w:rPr>
        <w:t xml:space="preserve"> </w:t>
      </w:r>
      <w:r w:rsidRPr="00516931">
        <w:rPr>
          <w:rFonts w:asciiTheme="majorHAnsi" w:hAnsiTheme="majorHAnsi" w:cstheme="majorHAnsi"/>
          <w:sz w:val="16"/>
          <w:szCs w:val="16"/>
          <w:vertAlign w:val="baseline"/>
          <w:lang w:val="ro-MD"/>
        </w:rPr>
        <w:t>HG nr. 837 din 06.07.2016 „Pentru aprobarea Regulamentului privind salarizarea angajaților din instituțiile medico-sanitare publice încadrate în sistemul asigurării obligatorii de asistență medicală”.</w:t>
      </w:r>
    </w:p>
  </w:footnote>
  <w:footnote w:id="53">
    <w:p w14:paraId="54F636CD" w14:textId="1F6B4E36" w:rsidR="00A477F5" w:rsidRPr="006B4AFD" w:rsidRDefault="00A477F5" w:rsidP="00EF1983">
      <w:pPr>
        <w:pStyle w:val="a5"/>
        <w:jc w:val="both"/>
        <w:rPr>
          <w:rFonts w:asciiTheme="majorHAnsi" w:hAnsiTheme="majorHAnsi" w:cstheme="majorHAnsi"/>
          <w:sz w:val="16"/>
          <w:szCs w:val="16"/>
          <w:vertAlign w:val="baseline"/>
          <w:lang w:val="ro-MD"/>
        </w:rPr>
      </w:pPr>
      <w:r w:rsidRPr="006B4AFD">
        <w:rPr>
          <w:rStyle w:val="a9"/>
          <w:rFonts w:asciiTheme="majorHAnsi" w:hAnsiTheme="majorHAnsi" w:cstheme="majorHAnsi"/>
          <w:sz w:val="16"/>
          <w:szCs w:val="16"/>
          <w:lang w:val="ro-MD"/>
        </w:rPr>
        <w:footnoteRef/>
      </w:r>
      <w:r w:rsidRPr="006B4AFD">
        <w:rPr>
          <w:rFonts w:asciiTheme="majorHAnsi" w:hAnsiTheme="majorHAnsi" w:cstheme="majorHAnsi"/>
          <w:sz w:val="16"/>
          <w:szCs w:val="16"/>
          <w:vertAlign w:val="baseline"/>
          <w:lang w:val="ro-MD"/>
        </w:rPr>
        <w:t xml:space="preserve"> Ordinul MSMPS nr. 243 din 09.03.2020 „Cu privire la motivarea personalului”; Ordinul MSMPS nr. 466 din 15.05.2020 „Cu privire la motivarea personalului”.</w:t>
      </w:r>
    </w:p>
  </w:footnote>
  <w:footnote w:id="54">
    <w:p w14:paraId="04A13410" w14:textId="4A3A8F5A" w:rsidR="00A477F5" w:rsidRPr="006B4AFD" w:rsidRDefault="00A477F5" w:rsidP="00EF1983">
      <w:pPr>
        <w:pStyle w:val="a5"/>
        <w:jc w:val="both"/>
        <w:rPr>
          <w:rFonts w:asciiTheme="majorHAnsi" w:hAnsiTheme="majorHAnsi" w:cstheme="majorHAnsi"/>
          <w:sz w:val="16"/>
          <w:szCs w:val="16"/>
          <w:lang w:val="ro-MD"/>
        </w:rPr>
      </w:pPr>
      <w:r w:rsidRPr="006B4AFD">
        <w:rPr>
          <w:rStyle w:val="a9"/>
          <w:rFonts w:asciiTheme="majorHAnsi" w:hAnsiTheme="majorHAnsi" w:cstheme="majorHAnsi"/>
          <w:sz w:val="16"/>
          <w:szCs w:val="16"/>
          <w:lang w:val="ro-MD"/>
        </w:rPr>
        <w:footnoteRef/>
      </w:r>
      <w:r w:rsidRPr="006B4AFD">
        <w:rPr>
          <w:rFonts w:asciiTheme="majorHAnsi" w:hAnsiTheme="majorHAnsi" w:cstheme="majorHAnsi"/>
          <w:sz w:val="16"/>
          <w:szCs w:val="16"/>
          <w:lang w:val="ro-MD"/>
        </w:rPr>
        <w:t xml:space="preserve"> </w:t>
      </w:r>
      <w:r w:rsidRPr="006B4AFD">
        <w:rPr>
          <w:rFonts w:asciiTheme="majorHAnsi" w:hAnsiTheme="majorHAnsi" w:cstheme="majorHAnsi"/>
          <w:sz w:val="16"/>
          <w:szCs w:val="16"/>
          <w:vertAlign w:val="baseline"/>
          <w:lang w:val="ro-MD"/>
        </w:rPr>
        <w:t xml:space="preserve">Scrisoarea </w:t>
      </w:r>
      <w:r w:rsidRPr="006B4AFD">
        <w:rPr>
          <w:rFonts w:asciiTheme="majorHAnsi" w:hAnsiTheme="majorHAnsi" w:cstheme="majorHAnsi"/>
          <w:bCs/>
          <w:sz w:val="16"/>
          <w:szCs w:val="16"/>
          <w:vertAlign w:val="baseline"/>
          <w:lang w:val="ro-MD" w:eastAsia="ro-RO"/>
        </w:rPr>
        <w:t>MSMPS nr. 17/3893 din 13.07.2020.</w:t>
      </w:r>
    </w:p>
  </w:footnote>
  <w:footnote w:id="55">
    <w:p w14:paraId="3756F845" w14:textId="4CCC1DA8" w:rsidR="00A477F5" w:rsidRPr="006B4AFD" w:rsidRDefault="00A477F5" w:rsidP="00EF1983">
      <w:pPr>
        <w:pStyle w:val="a5"/>
        <w:rPr>
          <w:rFonts w:asciiTheme="majorHAnsi" w:hAnsiTheme="majorHAnsi" w:cstheme="majorHAnsi"/>
          <w:sz w:val="16"/>
          <w:szCs w:val="16"/>
          <w:lang w:val="ro-MD"/>
        </w:rPr>
      </w:pPr>
      <w:r w:rsidRPr="006B4AFD">
        <w:rPr>
          <w:rStyle w:val="a9"/>
          <w:rFonts w:asciiTheme="majorHAnsi" w:hAnsiTheme="majorHAnsi" w:cstheme="majorHAnsi"/>
          <w:sz w:val="16"/>
          <w:szCs w:val="16"/>
          <w:lang w:val="ro-MD"/>
        </w:rPr>
        <w:footnoteRef/>
      </w:r>
      <w:r w:rsidRPr="006B4AFD">
        <w:rPr>
          <w:rFonts w:asciiTheme="majorHAnsi" w:hAnsiTheme="majorHAnsi" w:cstheme="majorHAnsi"/>
          <w:sz w:val="16"/>
          <w:szCs w:val="16"/>
          <w:lang w:val="ro-MD"/>
        </w:rPr>
        <w:t xml:space="preserve"> </w:t>
      </w:r>
      <w:r w:rsidRPr="006B4AFD">
        <w:rPr>
          <w:rFonts w:asciiTheme="majorHAnsi" w:hAnsiTheme="majorHAnsi" w:cstheme="majorHAnsi"/>
          <w:sz w:val="16"/>
          <w:szCs w:val="16"/>
          <w:vertAlign w:val="baseline"/>
          <w:lang w:val="ro-MD"/>
        </w:rPr>
        <w:t>Art.116 din Codul muncii nr. 154 din 28.03.2003.</w:t>
      </w:r>
    </w:p>
  </w:footnote>
  <w:footnote w:id="56">
    <w:p w14:paraId="1E7F3A39" w14:textId="4D9A9B09" w:rsidR="00A477F5" w:rsidRPr="006B4AFD" w:rsidRDefault="00A477F5" w:rsidP="00EF1983">
      <w:pPr>
        <w:pStyle w:val="a5"/>
        <w:rPr>
          <w:rFonts w:asciiTheme="majorHAnsi" w:hAnsiTheme="majorHAnsi" w:cstheme="majorHAnsi"/>
          <w:sz w:val="16"/>
          <w:szCs w:val="16"/>
          <w:lang w:val="ro-MD"/>
        </w:rPr>
      </w:pPr>
      <w:r w:rsidRPr="006B4AFD">
        <w:rPr>
          <w:rStyle w:val="a9"/>
          <w:rFonts w:asciiTheme="majorHAnsi" w:hAnsiTheme="majorHAnsi" w:cstheme="majorHAnsi"/>
          <w:sz w:val="16"/>
          <w:szCs w:val="16"/>
          <w:lang w:val="ro-MD"/>
        </w:rPr>
        <w:footnoteRef/>
      </w:r>
      <w:r w:rsidRPr="006B4AFD">
        <w:rPr>
          <w:rFonts w:asciiTheme="majorHAnsi" w:hAnsiTheme="majorHAnsi" w:cstheme="majorHAnsi"/>
          <w:sz w:val="16"/>
          <w:szCs w:val="16"/>
          <w:lang w:val="ro-MD"/>
        </w:rPr>
        <w:t xml:space="preserve"> </w:t>
      </w:r>
      <w:r w:rsidRPr="006B4AFD">
        <w:rPr>
          <w:rFonts w:asciiTheme="majorHAnsi" w:hAnsiTheme="majorHAnsi" w:cstheme="majorHAnsi"/>
          <w:sz w:val="16"/>
          <w:szCs w:val="16"/>
          <w:vertAlign w:val="baseline"/>
          <w:lang w:val="ro-MD"/>
        </w:rPr>
        <w:t>Art.118 din Codul muncii nr. 154 din 28.03.2003.</w:t>
      </w:r>
    </w:p>
  </w:footnote>
  <w:footnote w:id="57">
    <w:p w14:paraId="11E9574E" w14:textId="7132257F" w:rsidR="00A477F5" w:rsidRPr="006B4AFD" w:rsidRDefault="00A477F5" w:rsidP="00EF1983">
      <w:pPr>
        <w:pStyle w:val="a5"/>
        <w:jc w:val="both"/>
        <w:rPr>
          <w:rFonts w:asciiTheme="majorHAnsi" w:hAnsiTheme="majorHAnsi" w:cstheme="majorHAnsi"/>
          <w:sz w:val="16"/>
          <w:szCs w:val="16"/>
          <w:lang w:val="ro-MD"/>
        </w:rPr>
      </w:pPr>
      <w:r w:rsidRPr="006B4AFD">
        <w:rPr>
          <w:rStyle w:val="a9"/>
          <w:rFonts w:asciiTheme="majorHAnsi" w:hAnsiTheme="majorHAnsi" w:cstheme="majorHAnsi"/>
          <w:sz w:val="16"/>
          <w:szCs w:val="16"/>
          <w:lang w:val="ro-MD"/>
        </w:rPr>
        <w:footnoteRef/>
      </w:r>
      <w:r w:rsidRPr="006B4AFD">
        <w:rPr>
          <w:rFonts w:asciiTheme="majorHAnsi" w:hAnsiTheme="majorHAnsi" w:cstheme="majorHAnsi"/>
          <w:sz w:val="16"/>
          <w:szCs w:val="16"/>
          <w:lang w:val="ro-MD"/>
        </w:rPr>
        <w:t xml:space="preserve">  </w:t>
      </w:r>
      <w:r w:rsidRPr="006B4AFD">
        <w:rPr>
          <w:rFonts w:asciiTheme="majorHAnsi" w:hAnsiTheme="majorHAnsi" w:cstheme="majorHAnsi"/>
          <w:sz w:val="16"/>
          <w:szCs w:val="16"/>
          <w:vertAlign w:val="baseline"/>
          <w:lang w:val="ro-MD"/>
        </w:rPr>
        <w:t>Pct.82 – pct.89</w:t>
      </w:r>
      <w:r w:rsidRPr="006B4AFD">
        <w:rPr>
          <w:rFonts w:asciiTheme="majorHAnsi" w:hAnsiTheme="majorHAnsi" w:cstheme="majorHAnsi"/>
          <w:sz w:val="16"/>
          <w:szCs w:val="16"/>
          <w:lang w:val="ro-MD"/>
        </w:rPr>
        <w:t xml:space="preserve">  </w:t>
      </w:r>
      <w:r w:rsidRPr="006B4AFD">
        <w:rPr>
          <w:rFonts w:asciiTheme="majorHAnsi" w:hAnsiTheme="majorHAnsi" w:cstheme="majorHAnsi"/>
          <w:sz w:val="16"/>
          <w:szCs w:val="16"/>
          <w:vertAlign w:val="baseline"/>
          <w:lang w:val="ro-MD"/>
        </w:rPr>
        <w:t xml:space="preserve">din </w:t>
      </w:r>
      <w:r w:rsidRPr="006B4AFD">
        <w:rPr>
          <w:rFonts w:asciiTheme="majorHAnsi" w:eastAsia="Times New Roman" w:hAnsiTheme="majorHAnsi" w:cstheme="majorHAnsi"/>
          <w:bCs/>
          <w:sz w:val="16"/>
          <w:szCs w:val="16"/>
          <w:vertAlign w:val="baseline"/>
          <w:lang w:val="ro-MD"/>
        </w:rPr>
        <w:t>Standardul</w:t>
      </w:r>
      <w:r w:rsidRPr="006B4AFD">
        <w:rPr>
          <w:rFonts w:asciiTheme="majorHAnsi" w:hAnsiTheme="majorHAnsi" w:cstheme="majorHAnsi"/>
          <w:sz w:val="16"/>
          <w:szCs w:val="16"/>
          <w:vertAlign w:val="baseline"/>
          <w:lang w:val="ro-MD"/>
        </w:rPr>
        <w:t xml:space="preserve"> Național de Contabilitate „</w:t>
      </w:r>
      <w:r w:rsidRPr="006B4AFD">
        <w:rPr>
          <w:rFonts w:asciiTheme="majorHAnsi" w:eastAsia="Times New Roman" w:hAnsiTheme="majorHAnsi" w:cstheme="majorHAnsi"/>
          <w:bCs/>
          <w:sz w:val="16"/>
          <w:szCs w:val="16"/>
          <w:vertAlign w:val="baseline"/>
          <w:lang w:val="ro-MD"/>
        </w:rPr>
        <w:t>Capital propriu și datorii”, aprobat prin Ordinul MF nr.118 din 06.08.2013.</w:t>
      </w:r>
    </w:p>
  </w:footnote>
  <w:footnote w:id="58">
    <w:p w14:paraId="3FC70076" w14:textId="33FC5A0D" w:rsidR="00A477F5" w:rsidRPr="006B4AFD" w:rsidRDefault="00A477F5" w:rsidP="00B37661">
      <w:pPr>
        <w:pStyle w:val="a5"/>
        <w:rPr>
          <w:rFonts w:asciiTheme="majorHAnsi" w:hAnsiTheme="majorHAnsi" w:cstheme="majorHAnsi"/>
          <w:sz w:val="16"/>
          <w:szCs w:val="16"/>
          <w:vertAlign w:val="baseline"/>
          <w:lang w:val="ro-MD"/>
        </w:rPr>
      </w:pPr>
      <w:r w:rsidRPr="006B4AFD">
        <w:rPr>
          <w:rStyle w:val="a9"/>
          <w:rFonts w:asciiTheme="majorHAnsi" w:hAnsiTheme="majorHAnsi" w:cstheme="majorHAnsi"/>
          <w:sz w:val="16"/>
          <w:szCs w:val="16"/>
          <w:lang w:val="ro-MD"/>
        </w:rPr>
        <w:footnoteRef/>
      </w:r>
      <w:r w:rsidRPr="006B4AFD">
        <w:rPr>
          <w:rFonts w:asciiTheme="majorHAnsi" w:hAnsiTheme="majorHAnsi" w:cstheme="majorHAnsi"/>
          <w:sz w:val="16"/>
          <w:szCs w:val="16"/>
          <w:vertAlign w:val="baseline"/>
          <w:lang w:val="ro-MD"/>
        </w:rPr>
        <w:t xml:space="preserve"> Legea nr. 131 din 03.07.2015 privind achizițiile publice.</w:t>
      </w:r>
    </w:p>
  </w:footnote>
  <w:footnote w:id="59">
    <w:p w14:paraId="50698063" w14:textId="659060CE" w:rsidR="00A477F5" w:rsidRPr="006B4AFD" w:rsidRDefault="00A477F5" w:rsidP="00B37661">
      <w:pPr>
        <w:pStyle w:val="a5"/>
        <w:rPr>
          <w:rFonts w:asciiTheme="majorHAnsi" w:hAnsiTheme="majorHAnsi" w:cstheme="majorHAnsi"/>
          <w:sz w:val="16"/>
          <w:szCs w:val="16"/>
          <w:lang w:val="ro-MD"/>
        </w:rPr>
      </w:pPr>
      <w:r w:rsidRPr="006B4AFD">
        <w:rPr>
          <w:rStyle w:val="a9"/>
          <w:rFonts w:asciiTheme="majorHAnsi" w:hAnsiTheme="majorHAnsi" w:cstheme="majorHAnsi"/>
          <w:sz w:val="16"/>
          <w:szCs w:val="16"/>
          <w:lang w:val="ro-MD"/>
        </w:rPr>
        <w:footnoteRef/>
      </w:r>
      <w:r w:rsidRPr="006B4AFD">
        <w:rPr>
          <w:rFonts w:asciiTheme="majorHAnsi" w:hAnsiTheme="majorHAnsi" w:cstheme="majorHAnsi"/>
          <w:sz w:val="16"/>
          <w:szCs w:val="16"/>
          <w:lang w:val="ro-MD"/>
        </w:rPr>
        <w:t xml:space="preserve"> </w:t>
      </w:r>
      <w:r w:rsidRPr="006B4AFD">
        <w:rPr>
          <w:rFonts w:asciiTheme="majorHAnsi" w:hAnsiTheme="majorHAnsi" w:cstheme="majorHAnsi"/>
          <w:sz w:val="16"/>
          <w:szCs w:val="16"/>
          <w:vertAlign w:val="baseline"/>
          <w:lang w:val="ro-MD"/>
        </w:rPr>
        <w:t xml:space="preserve">Art. 76 alin. (1) din Legea nr.131 </w:t>
      </w:r>
      <w:r w:rsidRPr="006B4AFD">
        <w:rPr>
          <w:rFonts w:asciiTheme="majorHAnsi" w:hAnsiTheme="majorHAnsi" w:cstheme="majorHAnsi"/>
          <w:sz w:val="16"/>
          <w:szCs w:val="16"/>
          <w:vertAlign w:val="baseline"/>
          <w:lang w:val="ro-MD" w:eastAsia="ro-MD"/>
        </w:rPr>
        <w:t>din 03.07.2015 privind achizițiile publice.</w:t>
      </w:r>
    </w:p>
  </w:footnote>
  <w:footnote w:id="60">
    <w:p w14:paraId="7A6F47C7" w14:textId="350F6714" w:rsidR="00A477F5" w:rsidRPr="006B4AFD" w:rsidRDefault="00A477F5">
      <w:pPr>
        <w:pStyle w:val="a5"/>
        <w:rPr>
          <w:rFonts w:asciiTheme="majorHAnsi" w:hAnsiTheme="majorHAnsi" w:cstheme="majorHAnsi"/>
          <w:sz w:val="16"/>
          <w:szCs w:val="16"/>
          <w:vertAlign w:val="baseline"/>
          <w:lang w:val="ro-MD"/>
        </w:rPr>
      </w:pPr>
      <w:r w:rsidRPr="006B4AFD">
        <w:rPr>
          <w:rStyle w:val="a9"/>
          <w:rFonts w:asciiTheme="majorHAnsi" w:hAnsiTheme="majorHAnsi" w:cstheme="majorHAnsi"/>
          <w:sz w:val="16"/>
          <w:szCs w:val="16"/>
          <w:lang w:val="ro-MD"/>
        </w:rPr>
        <w:footnoteRef/>
      </w:r>
      <w:r w:rsidRPr="006B4AFD">
        <w:rPr>
          <w:rFonts w:asciiTheme="majorHAnsi" w:hAnsiTheme="majorHAnsi" w:cstheme="majorHAnsi"/>
          <w:sz w:val="16"/>
          <w:szCs w:val="16"/>
          <w:lang w:val="ro-MD"/>
        </w:rPr>
        <w:t xml:space="preserve"> </w:t>
      </w:r>
      <w:r w:rsidRPr="006B4AFD">
        <w:rPr>
          <w:rFonts w:asciiTheme="majorHAnsi" w:hAnsiTheme="majorHAnsi" w:cstheme="majorHAnsi"/>
          <w:sz w:val="16"/>
          <w:szCs w:val="16"/>
          <w:vertAlign w:val="baseline"/>
          <w:lang w:val="ro-MD"/>
        </w:rPr>
        <w:t>„Globeinvent” SRL.</w:t>
      </w:r>
    </w:p>
  </w:footnote>
  <w:footnote w:id="61">
    <w:p w14:paraId="1A219A20" w14:textId="3DD63F1F" w:rsidR="00A477F5" w:rsidRPr="006B4AFD" w:rsidRDefault="00A477F5" w:rsidP="00E63278">
      <w:pPr>
        <w:pStyle w:val="a5"/>
        <w:jc w:val="both"/>
        <w:rPr>
          <w:rFonts w:asciiTheme="majorHAnsi" w:hAnsiTheme="majorHAnsi" w:cstheme="majorHAnsi"/>
          <w:sz w:val="16"/>
          <w:szCs w:val="16"/>
          <w:vertAlign w:val="baseline"/>
          <w:lang w:val="ro-MD"/>
        </w:rPr>
      </w:pPr>
      <w:r w:rsidRPr="006B4AFD">
        <w:rPr>
          <w:rStyle w:val="a9"/>
          <w:rFonts w:asciiTheme="majorHAnsi" w:hAnsiTheme="majorHAnsi" w:cstheme="majorHAnsi"/>
          <w:sz w:val="16"/>
          <w:szCs w:val="16"/>
          <w:lang w:val="ro-MD"/>
        </w:rPr>
        <w:footnoteRef/>
      </w:r>
      <w:r w:rsidRPr="006B4AFD">
        <w:rPr>
          <w:rFonts w:asciiTheme="majorHAnsi" w:hAnsiTheme="majorHAnsi" w:cstheme="majorHAnsi"/>
          <w:sz w:val="16"/>
          <w:szCs w:val="16"/>
          <w:lang w:val="ro-MD"/>
        </w:rPr>
        <w:t xml:space="preserve"> </w:t>
      </w:r>
      <w:r w:rsidRPr="006B4AFD">
        <w:rPr>
          <w:rFonts w:asciiTheme="majorHAnsi" w:hAnsiTheme="majorHAnsi" w:cstheme="majorHAnsi"/>
          <w:sz w:val="16"/>
          <w:szCs w:val="16"/>
          <w:vertAlign w:val="baseline"/>
          <w:lang w:val="ro-MD"/>
        </w:rPr>
        <w:t>„Globeinvent” SRL.</w:t>
      </w:r>
    </w:p>
  </w:footnote>
  <w:footnote w:id="62">
    <w:p w14:paraId="162288C8" w14:textId="6E37A3A3" w:rsidR="00A477F5" w:rsidRPr="006B4AFD" w:rsidRDefault="00A477F5" w:rsidP="00E63278">
      <w:pPr>
        <w:pStyle w:val="a5"/>
        <w:jc w:val="both"/>
        <w:rPr>
          <w:rFonts w:asciiTheme="majorHAnsi" w:hAnsiTheme="majorHAnsi" w:cstheme="majorHAnsi"/>
          <w:sz w:val="16"/>
          <w:szCs w:val="16"/>
          <w:lang w:val="ro-MD"/>
        </w:rPr>
      </w:pPr>
      <w:r w:rsidRPr="006B4AFD">
        <w:rPr>
          <w:rStyle w:val="a9"/>
          <w:rFonts w:asciiTheme="majorHAnsi" w:hAnsiTheme="majorHAnsi" w:cstheme="majorHAnsi"/>
          <w:sz w:val="16"/>
          <w:szCs w:val="16"/>
          <w:lang w:val="ro-MD"/>
        </w:rPr>
        <w:footnoteRef/>
      </w:r>
      <w:r w:rsidRPr="006B4AFD">
        <w:rPr>
          <w:rFonts w:asciiTheme="majorHAnsi" w:hAnsiTheme="majorHAnsi" w:cstheme="majorHAnsi"/>
          <w:sz w:val="16"/>
          <w:szCs w:val="16"/>
          <w:lang w:val="ro-MD"/>
        </w:rPr>
        <w:t xml:space="preserve"> </w:t>
      </w:r>
      <w:r w:rsidRPr="006B4AFD">
        <w:rPr>
          <w:rFonts w:asciiTheme="majorHAnsi" w:hAnsiTheme="majorHAnsi" w:cstheme="majorHAnsi"/>
          <w:sz w:val="16"/>
          <w:szCs w:val="16"/>
          <w:vertAlign w:val="baseline"/>
          <w:lang w:val="ro-MD"/>
        </w:rPr>
        <w:t>Art. 7 din Legea nr.131 din 03.07.2015 privind achizițiile publice.</w:t>
      </w:r>
    </w:p>
  </w:footnote>
  <w:footnote w:id="63">
    <w:p w14:paraId="45E61B40" w14:textId="3BEA1CA9" w:rsidR="00A477F5" w:rsidRPr="006B4AFD" w:rsidRDefault="00A477F5" w:rsidP="00E63278">
      <w:pPr>
        <w:pStyle w:val="a5"/>
        <w:jc w:val="both"/>
        <w:rPr>
          <w:rFonts w:asciiTheme="majorHAnsi" w:hAnsiTheme="majorHAnsi" w:cstheme="majorHAnsi"/>
          <w:sz w:val="16"/>
          <w:szCs w:val="16"/>
          <w:lang w:val="ro-MD"/>
        </w:rPr>
      </w:pPr>
      <w:r w:rsidRPr="006B4AFD">
        <w:rPr>
          <w:rStyle w:val="a9"/>
          <w:rFonts w:asciiTheme="majorHAnsi" w:hAnsiTheme="majorHAnsi" w:cstheme="majorHAnsi"/>
          <w:sz w:val="16"/>
          <w:szCs w:val="16"/>
          <w:lang w:val="ro-MD"/>
        </w:rPr>
        <w:footnoteRef/>
      </w:r>
      <w:r w:rsidRPr="006B4AFD">
        <w:rPr>
          <w:rFonts w:asciiTheme="majorHAnsi" w:hAnsiTheme="majorHAnsi" w:cstheme="majorHAnsi"/>
          <w:sz w:val="16"/>
          <w:szCs w:val="16"/>
          <w:lang w:val="ro-MD"/>
        </w:rPr>
        <w:t xml:space="preserve"> </w:t>
      </w:r>
      <w:r w:rsidRPr="006B4AFD">
        <w:rPr>
          <w:rFonts w:asciiTheme="majorHAnsi" w:hAnsiTheme="majorHAnsi" w:cstheme="majorHAnsi"/>
          <w:sz w:val="16"/>
          <w:szCs w:val="16"/>
          <w:vertAlign w:val="baseline"/>
          <w:lang w:val="ro-MD"/>
        </w:rPr>
        <w:t>Art. 2 alin. (1) din Legea nr.131 din 03.07.2015 privind achizițiile publice.</w:t>
      </w:r>
    </w:p>
  </w:footnote>
  <w:footnote w:id="64">
    <w:p w14:paraId="27B041BD" w14:textId="64BCEB65" w:rsidR="00A477F5" w:rsidRPr="006B4AFD" w:rsidRDefault="00A477F5" w:rsidP="00E63278">
      <w:pPr>
        <w:pStyle w:val="a5"/>
        <w:jc w:val="both"/>
        <w:rPr>
          <w:rFonts w:asciiTheme="majorHAnsi" w:hAnsiTheme="majorHAnsi" w:cstheme="majorHAnsi"/>
          <w:sz w:val="16"/>
          <w:szCs w:val="16"/>
          <w:vertAlign w:val="baseline"/>
          <w:lang w:val="ro-MD"/>
        </w:rPr>
      </w:pPr>
      <w:r w:rsidRPr="006B4AFD">
        <w:rPr>
          <w:rStyle w:val="a9"/>
          <w:rFonts w:asciiTheme="majorHAnsi" w:hAnsiTheme="majorHAnsi" w:cstheme="majorHAnsi"/>
          <w:sz w:val="16"/>
          <w:szCs w:val="16"/>
          <w:lang w:val="ro-MD"/>
        </w:rPr>
        <w:footnoteRef/>
      </w:r>
      <w:r w:rsidRPr="006B4AFD">
        <w:rPr>
          <w:rFonts w:asciiTheme="majorHAnsi" w:hAnsiTheme="majorHAnsi" w:cstheme="majorHAnsi"/>
          <w:sz w:val="16"/>
          <w:szCs w:val="16"/>
          <w:lang w:val="ro-MD"/>
        </w:rPr>
        <w:t xml:space="preserve"> </w:t>
      </w:r>
      <w:r w:rsidRPr="006B4AFD">
        <w:rPr>
          <w:rFonts w:asciiTheme="majorHAnsi" w:hAnsiTheme="majorHAnsi" w:cstheme="majorHAnsi"/>
          <w:sz w:val="16"/>
          <w:szCs w:val="16"/>
          <w:vertAlign w:val="baseline"/>
          <w:lang w:val="ro-MD"/>
        </w:rPr>
        <w:t>HG nr. 665 din 27.05.2016 „Pentru aprobarea Regulamentului cu privire la achizițiile publice de valoare mică” (abrogată din 01.07.2023).</w:t>
      </w:r>
    </w:p>
  </w:footnote>
  <w:footnote w:id="65">
    <w:p w14:paraId="2FD6C12F" w14:textId="04618CBE" w:rsidR="00A477F5" w:rsidRPr="006B4AFD" w:rsidRDefault="00A477F5" w:rsidP="00E63278">
      <w:pPr>
        <w:pStyle w:val="a5"/>
        <w:jc w:val="both"/>
        <w:rPr>
          <w:rFonts w:asciiTheme="majorHAnsi" w:hAnsiTheme="majorHAnsi" w:cstheme="majorHAnsi"/>
          <w:sz w:val="16"/>
          <w:szCs w:val="16"/>
          <w:vertAlign w:val="baseline"/>
          <w:lang w:val="ro-MD"/>
        </w:rPr>
      </w:pPr>
      <w:r w:rsidRPr="006B4AFD">
        <w:rPr>
          <w:rStyle w:val="a9"/>
          <w:rFonts w:asciiTheme="majorHAnsi" w:hAnsiTheme="majorHAnsi" w:cstheme="majorHAnsi"/>
          <w:sz w:val="16"/>
          <w:szCs w:val="16"/>
          <w:lang w:val="ro-MD"/>
        </w:rPr>
        <w:footnoteRef/>
      </w:r>
      <w:r w:rsidRPr="006B4AFD">
        <w:rPr>
          <w:rFonts w:asciiTheme="majorHAnsi" w:hAnsiTheme="majorHAnsi" w:cstheme="majorHAnsi"/>
          <w:sz w:val="16"/>
          <w:szCs w:val="16"/>
          <w:lang w:val="ro-MD"/>
        </w:rPr>
        <w:t xml:space="preserve"> </w:t>
      </w:r>
      <w:r w:rsidRPr="006B4AFD">
        <w:rPr>
          <w:rFonts w:asciiTheme="majorHAnsi" w:hAnsiTheme="majorHAnsi" w:cstheme="majorHAnsi"/>
          <w:color w:val="000000" w:themeColor="text1"/>
          <w:sz w:val="16"/>
          <w:szCs w:val="16"/>
          <w:vertAlign w:val="baseline"/>
          <w:lang w:val="ro-MD"/>
        </w:rPr>
        <w:t xml:space="preserve">Art. 46 din Legea nr.131 </w:t>
      </w:r>
      <w:r w:rsidRPr="006B4AFD">
        <w:rPr>
          <w:rFonts w:asciiTheme="majorHAnsi" w:hAnsiTheme="majorHAnsi" w:cstheme="majorHAnsi"/>
          <w:sz w:val="16"/>
          <w:szCs w:val="16"/>
          <w:vertAlign w:val="baseline"/>
          <w:lang w:val="ro-MD"/>
        </w:rPr>
        <w:t>din 03.07.2015</w:t>
      </w:r>
      <w:r w:rsidRPr="006B4AFD">
        <w:rPr>
          <w:rFonts w:asciiTheme="majorHAnsi" w:hAnsiTheme="majorHAnsi" w:cstheme="majorHAnsi"/>
          <w:color w:val="000000" w:themeColor="text1"/>
          <w:sz w:val="16"/>
          <w:szCs w:val="16"/>
          <w:vertAlign w:val="baseline"/>
          <w:lang w:val="ro-MD"/>
        </w:rPr>
        <w:t xml:space="preserve"> privind achizițiile publice.</w:t>
      </w:r>
    </w:p>
  </w:footnote>
  <w:footnote w:id="66">
    <w:p w14:paraId="5CBDF387" w14:textId="4674B17A" w:rsidR="00A477F5" w:rsidRPr="006B4AFD" w:rsidRDefault="00A477F5" w:rsidP="00E63278">
      <w:pPr>
        <w:pStyle w:val="a5"/>
        <w:jc w:val="both"/>
        <w:rPr>
          <w:rFonts w:asciiTheme="majorHAnsi" w:hAnsiTheme="majorHAnsi" w:cstheme="majorHAnsi"/>
          <w:sz w:val="16"/>
          <w:szCs w:val="16"/>
          <w:lang w:val="ro-MD"/>
        </w:rPr>
      </w:pPr>
      <w:r w:rsidRPr="006B4AFD">
        <w:rPr>
          <w:rStyle w:val="a9"/>
          <w:rFonts w:asciiTheme="majorHAnsi" w:hAnsiTheme="majorHAnsi" w:cstheme="majorHAnsi"/>
          <w:sz w:val="16"/>
          <w:szCs w:val="16"/>
          <w:lang w:val="ro-MD"/>
        </w:rPr>
        <w:footnoteRef/>
      </w:r>
      <w:r w:rsidRPr="006B4AFD">
        <w:rPr>
          <w:rFonts w:asciiTheme="majorHAnsi" w:hAnsiTheme="majorHAnsi" w:cstheme="majorHAnsi"/>
          <w:sz w:val="16"/>
          <w:szCs w:val="16"/>
          <w:lang w:val="ro-MD"/>
        </w:rPr>
        <w:t xml:space="preserve"> </w:t>
      </w:r>
      <w:r w:rsidRPr="006B4AFD">
        <w:rPr>
          <w:rFonts w:asciiTheme="majorHAnsi" w:hAnsiTheme="majorHAnsi" w:cstheme="majorHAnsi"/>
          <w:sz w:val="16"/>
          <w:szCs w:val="16"/>
          <w:vertAlign w:val="baseline"/>
          <w:lang w:val="ro-MD"/>
        </w:rPr>
        <w:t>HG nr. 494 din 08.07.2020 „Pentru aprobarea Regulamentului cu privire la achizițiile publice necesare pentru prevenirea și controlul infecției COVID-19”.</w:t>
      </w:r>
    </w:p>
  </w:footnote>
  <w:footnote w:id="67">
    <w:p w14:paraId="7E345882" w14:textId="23193B37" w:rsidR="00A477F5" w:rsidRPr="006B4AFD" w:rsidRDefault="00A477F5" w:rsidP="00E63278">
      <w:pPr>
        <w:pStyle w:val="a5"/>
        <w:jc w:val="both"/>
        <w:rPr>
          <w:rFonts w:asciiTheme="majorHAnsi" w:hAnsiTheme="majorHAnsi" w:cstheme="majorHAnsi"/>
          <w:sz w:val="16"/>
          <w:szCs w:val="16"/>
          <w:lang w:val="ro-MD"/>
        </w:rPr>
      </w:pPr>
      <w:r w:rsidRPr="006B4AFD">
        <w:rPr>
          <w:rStyle w:val="a9"/>
          <w:rFonts w:asciiTheme="majorHAnsi" w:hAnsiTheme="majorHAnsi" w:cstheme="majorHAnsi"/>
          <w:sz w:val="16"/>
          <w:szCs w:val="16"/>
          <w:lang w:val="ro-MD"/>
        </w:rPr>
        <w:footnoteRef/>
      </w:r>
      <w:r w:rsidRPr="006B4AFD">
        <w:rPr>
          <w:rFonts w:asciiTheme="majorHAnsi" w:hAnsiTheme="majorHAnsi" w:cstheme="majorHAnsi"/>
          <w:sz w:val="16"/>
          <w:szCs w:val="16"/>
          <w:lang w:val="ro-MD"/>
        </w:rPr>
        <w:t xml:space="preserve"> </w:t>
      </w:r>
      <w:r w:rsidRPr="006B4AFD">
        <w:rPr>
          <w:rFonts w:asciiTheme="majorHAnsi" w:hAnsiTheme="majorHAnsi" w:cstheme="majorHAnsi"/>
          <w:sz w:val="16"/>
          <w:szCs w:val="16"/>
          <w:vertAlign w:val="baseline"/>
          <w:lang w:val="ro-MD"/>
        </w:rPr>
        <w:t>Ordinul MS nr. 238 din 31.07.2009 „Privind ameliorarea alimentației pacienților în instituțiile medico-sanitare spitalicești”.</w:t>
      </w:r>
    </w:p>
  </w:footnote>
  <w:footnote w:id="68">
    <w:p w14:paraId="39346498" w14:textId="3975F27E" w:rsidR="00A477F5" w:rsidRPr="006B4AFD" w:rsidRDefault="00A477F5" w:rsidP="00B37661">
      <w:pPr>
        <w:pStyle w:val="a5"/>
        <w:rPr>
          <w:rFonts w:asciiTheme="majorHAnsi" w:hAnsiTheme="majorHAnsi" w:cstheme="majorHAnsi"/>
          <w:sz w:val="16"/>
          <w:szCs w:val="16"/>
          <w:lang w:val="ro-MD"/>
        </w:rPr>
      </w:pPr>
      <w:r w:rsidRPr="006B4AFD">
        <w:rPr>
          <w:rStyle w:val="a9"/>
          <w:rFonts w:asciiTheme="majorHAnsi" w:hAnsiTheme="majorHAnsi" w:cstheme="majorHAnsi"/>
          <w:sz w:val="16"/>
          <w:szCs w:val="16"/>
          <w:lang w:val="ro-MD"/>
        </w:rPr>
        <w:footnoteRef/>
      </w:r>
      <w:r w:rsidRPr="006B4AFD">
        <w:rPr>
          <w:rFonts w:asciiTheme="majorHAnsi" w:hAnsiTheme="majorHAnsi" w:cstheme="majorHAnsi"/>
          <w:sz w:val="16"/>
          <w:szCs w:val="16"/>
          <w:lang w:val="ro-MD"/>
        </w:rPr>
        <w:t xml:space="preserve"> </w:t>
      </w:r>
      <w:r w:rsidRPr="006B4AFD">
        <w:rPr>
          <w:rFonts w:asciiTheme="majorHAnsi" w:hAnsiTheme="majorHAnsi" w:cstheme="majorHAnsi"/>
          <w:sz w:val="16"/>
          <w:szCs w:val="16"/>
          <w:vertAlign w:val="baseline"/>
          <w:lang w:val="ro-MD"/>
        </w:rPr>
        <w:t>Pct. 13-14 din Ordinul nr. 238 din 31.07.2009 „Privind ameliorarea alimentației pacienților în instituțiile medico-sanitare spitalicești”.</w:t>
      </w:r>
    </w:p>
  </w:footnote>
  <w:footnote w:id="69">
    <w:p w14:paraId="2A03EE51" w14:textId="7E0334EE" w:rsidR="00A477F5" w:rsidRPr="006B4AFD" w:rsidRDefault="00A477F5" w:rsidP="00B37661">
      <w:pPr>
        <w:pStyle w:val="a5"/>
        <w:rPr>
          <w:rFonts w:asciiTheme="majorHAnsi" w:hAnsiTheme="majorHAnsi" w:cstheme="majorHAnsi"/>
          <w:sz w:val="16"/>
          <w:szCs w:val="16"/>
          <w:vertAlign w:val="baseline"/>
          <w:lang w:val="ro-MD"/>
        </w:rPr>
      </w:pPr>
      <w:r w:rsidRPr="006B4AFD">
        <w:rPr>
          <w:rStyle w:val="a9"/>
          <w:rFonts w:asciiTheme="majorHAnsi" w:hAnsiTheme="majorHAnsi" w:cstheme="majorHAnsi"/>
          <w:sz w:val="16"/>
          <w:szCs w:val="16"/>
          <w:lang w:val="ro-MD"/>
        </w:rPr>
        <w:footnoteRef/>
      </w:r>
      <w:r w:rsidRPr="006B4AFD">
        <w:rPr>
          <w:rFonts w:asciiTheme="majorHAnsi" w:hAnsiTheme="majorHAnsi" w:cstheme="majorHAnsi"/>
          <w:sz w:val="16"/>
          <w:szCs w:val="16"/>
          <w:lang w:val="ro-MD"/>
        </w:rPr>
        <w:t xml:space="preserve"> </w:t>
      </w:r>
      <w:r w:rsidRPr="006B4AFD">
        <w:rPr>
          <w:rFonts w:asciiTheme="majorHAnsi" w:hAnsiTheme="majorHAnsi" w:cstheme="majorHAnsi"/>
          <w:sz w:val="16"/>
          <w:szCs w:val="16"/>
          <w:vertAlign w:val="baseline"/>
          <w:lang w:val="ro-MD"/>
        </w:rPr>
        <w:t>Pct.19 din Ordinul nr. 238 din 31.07.2009 „Privind ameliorarea alimentației pacienților în instituțiile medico-sanitare spitaliceşti”.</w:t>
      </w:r>
    </w:p>
  </w:footnote>
  <w:footnote w:id="70">
    <w:p w14:paraId="73DA5DC2" w14:textId="3A284F87" w:rsidR="00A477F5" w:rsidRPr="006B4AFD" w:rsidRDefault="00A477F5">
      <w:pPr>
        <w:pStyle w:val="a5"/>
        <w:rPr>
          <w:rFonts w:asciiTheme="majorHAnsi" w:hAnsiTheme="majorHAnsi" w:cstheme="majorHAnsi"/>
          <w:sz w:val="16"/>
          <w:szCs w:val="16"/>
          <w:vertAlign w:val="baseline"/>
          <w:lang w:val="ro-MD"/>
        </w:rPr>
      </w:pPr>
      <w:r w:rsidRPr="006B4AFD">
        <w:rPr>
          <w:rStyle w:val="a9"/>
          <w:rFonts w:asciiTheme="majorHAnsi" w:hAnsiTheme="majorHAnsi" w:cstheme="majorHAnsi"/>
          <w:sz w:val="16"/>
          <w:szCs w:val="16"/>
          <w:lang w:val="ro-MD"/>
        </w:rPr>
        <w:footnoteRef/>
      </w:r>
      <w:r w:rsidRPr="006B4AFD">
        <w:rPr>
          <w:rFonts w:asciiTheme="majorHAnsi" w:hAnsiTheme="majorHAnsi" w:cstheme="majorHAnsi"/>
          <w:sz w:val="16"/>
          <w:szCs w:val="16"/>
          <w:lang w:val="ro-MD"/>
        </w:rPr>
        <w:t xml:space="preserve"> </w:t>
      </w:r>
      <w:r w:rsidRPr="006B4AFD">
        <w:rPr>
          <w:rFonts w:asciiTheme="majorHAnsi" w:hAnsiTheme="majorHAnsi" w:cstheme="majorHAnsi"/>
          <w:sz w:val="16"/>
          <w:szCs w:val="16"/>
          <w:vertAlign w:val="baseline"/>
          <w:lang w:val="ro-MD"/>
        </w:rPr>
        <w:t>I semestru al anului 2023.</w:t>
      </w:r>
    </w:p>
  </w:footnote>
  <w:footnote w:id="71">
    <w:p w14:paraId="1B4BCE7E" w14:textId="4E768766" w:rsidR="00A477F5" w:rsidRPr="006B4AFD" w:rsidRDefault="00A477F5" w:rsidP="00E713CB">
      <w:pPr>
        <w:pStyle w:val="a5"/>
        <w:rPr>
          <w:rFonts w:asciiTheme="majorHAnsi" w:hAnsiTheme="majorHAnsi" w:cstheme="majorHAnsi"/>
          <w:sz w:val="16"/>
          <w:szCs w:val="16"/>
          <w:lang w:val="ro-MD"/>
        </w:rPr>
      </w:pPr>
      <w:r w:rsidRPr="006B4AFD">
        <w:rPr>
          <w:rStyle w:val="a9"/>
          <w:rFonts w:asciiTheme="majorHAnsi" w:hAnsiTheme="majorHAnsi" w:cstheme="majorHAnsi"/>
          <w:sz w:val="16"/>
          <w:szCs w:val="16"/>
          <w:lang w:val="ro-MD"/>
        </w:rPr>
        <w:footnoteRef/>
      </w:r>
      <w:r w:rsidRPr="006B4AFD">
        <w:rPr>
          <w:rFonts w:asciiTheme="majorHAnsi" w:hAnsiTheme="majorHAnsi" w:cstheme="majorHAnsi"/>
          <w:sz w:val="16"/>
          <w:szCs w:val="16"/>
          <w:lang w:val="ro-MD"/>
        </w:rPr>
        <w:t xml:space="preserve"> </w:t>
      </w:r>
      <w:r w:rsidRPr="006B4AFD">
        <w:rPr>
          <w:rFonts w:asciiTheme="majorHAnsi" w:hAnsiTheme="majorHAnsi" w:cstheme="majorHAnsi"/>
          <w:sz w:val="16"/>
          <w:szCs w:val="16"/>
          <w:vertAlign w:val="baseline"/>
          <w:lang w:val="ro-MD"/>
        </w:rPr>
        <w:t>Art. 11 din Legea contabilității și raportării financiare nr.287 din 15.12.2017.</w:t>
      </w:r>
    </w:p>
  </w:footnote>
  <w:footnote w:id="72">
    <w:p w14:paraId="463D8AB8" w14:textId="21AB9753" w:rsidR="00A477F5" w:rsidRPr="006B4AFD" w:rsidRDefault="00A477F5" w:rsidP="00E713CB">
      <w:pPr>
        <w:pStyle w:val="a5"/>
        <w:rPr>
          <w:rFonts w:asciiTheme="majorHAnsi" w:hAnsiTheme="majorHAnsi" w:cstheme="majorHAnsi"/>
          <w:sz w:val="16"/>
          <w:szCs w:val="16"/>
          <w:vertAlign w:val="baseline"/>
          <w:lang w:val="ro-MD"/>
        </w:rPr>
      </w:pPr>
      <w:r w:rsidRPr="006B4AFD">
        <w:rPr>
          <w:rStyle w:val="a9"/>
          <w:rFonts w:asciiTheme="majorHAnsi" w:hAnsiTheme="majorHAnsi" w:cstheme="majorHAnsi"/>
          <w:sz w:val="16"/>
          <w:szCs w:val="16"/>
          <w:lang w:val="ro-MD"/>
        </w:rPr>
        <w:footnoteRef/>
      </w:r>
      <w:r w:rsidRPr="006B4AFD">
        <w:rPr>
          <w:rFonts w:asciiTheme="majorHAnsi" w:hAnsiTheme="majorHAnsi" w:cstheme="majorHAnsi"/>
          <w:sz w:val="16"/>
          <w:szCs w:val="16"/>
          <w:lang w:val="ro-MD"/>
        </w:rPr>
        <w:t xml:space="preserve"> </w:t>
      </w:r>
      <w:r w:rsidRPr="006B4AFD">
        <w:rPr>
          <w:rFonts w:asciiTheme="majorHAnsi" w:hAnsiTheme="majorHAnsi" w:cstheme="majorHAnsi"/>
          <w:sz w:val="16"/>
          <w:szCs w:val="16"/>
          <w:vertAlign w:val="baseline"/>
          <w:lang w:val="ro-MD"/>
        </w:rPr>
        <w:t>HG nr. 1020 din 29.12.2011 „Cu privire la tarifele pentru serviciile medico-sanitare”.</w:t>
      </w:r>
    </w:p>
  </w:footnote>
  <w:footnote w:id="73">
    <w:p w14:paraId="41FF919B" w14:textId="04632C2E" w:rsidR="00A477F5" w:rsidRPr="006B4AFD" w:rsidRDefault="00A477F5" w:rsidP="00E63278">
      <w:pPr>
        <w:pStyle w:val="a5"/>
        <w:jc w:val="both"/>
        <w:rPr>
          <w:rFonts w:asciiTheme="majorHAnsi" w:hAnsiTheme="majorHAnsi" w:cstheme="majorHAnsi"/>
          <w:sz w:val="16"/>
          <w:szCs w:val="16"/>
          <w:lang w:val="ro-MD"/>
        </w:rPr>
      </w:pPr>
      <w:r w:rsidRPr="006B4AFD">
        <w:rPr>
          <w:rStyle w:val="a9"/>
          <w:rFonts w:asciiTheme="majorHAnsi" w:hAnsiTheme="majorHAnsi" w:cstheme="majorHAnsi"/>
          <w:sz w:val="16"/>
          <w:szCs w:val="16"/>
          <w:lang w:val="ro-MD"/>
        </w:rPr>
        <w:footnoteRef/>
      </w:r>
      <w:r w:rsidRPr="006B4AFD">
        <w:rPr>
          <w:rFonts w:asciiTheme="majorHAnsi" w:hAnsiTheme="majorHAnsi" w:cstheme="majorHAnsi"/>
          <w:sz w:val="16"/>
          <w:szCs w:val="16"/>
          <w:lang w:val="ro-MD"/>
        </w:rPr>
        <w:t xml:space="preserve"> </w:t>
      </w:r>
      <w:r w:rsidRPr="006B4AFD">
        <w:rPr>
          <w:rFonts w:asciiTheme="majorHAnsi" w:hAnsiTheme="majorHAnsi" w:cstheme="majorHAnsi"/>
          <w:color w:val="000000" w:themeColor="text1"/>
          <w:sz w:val="16"/>
          <w:szCs w:val="16"/>
          <w:vertAlign w:val="baseline"/>
          <w:lang w:val="ro-MD"/>
        </w:rPr>
        <w:t xml:space="preserve">În anul 2021 – 82,2 mii ei, 2022 – 82,2 mii lei, 2023 – 41,1 mii lei. </w:t>
      </w:r>
    </w:p>
  </w:footnote>
  <w:footnote w:id="74">
    <w:p w14:paraId="0481BC35" w14:textId="16912564" w:rsidR="00A477F5" w:rsidRPr="006B4AFD" w:rsidRDefault="00A477F5" w:rsidP="00E63278">
      <w:pPr>
        <w:pStyle w:val="a5"/>
        <w:jc w:val="both"/>
        <w:rPr>
          <w:rFonts w:asciiTheme="majorHAnsi" w:hAnsiTheme="majorHAnsi" w:cstheme="majorHAnsi"/>
          <w:color w:val="000000" w:themeColor="text1"/>
          <w:sz w:val="16"/>
          <w:szCs w:val="16"/>
          <w:vertAlign w:val="baseline"/>
          <w:lang w:val="ro-MD"/>
        </w:rPr>
      </w:pPr>
      <w:r w:rsidRPr="006B4AFD">
        <w:rPr>
          <w:rStyle w:val="a9"/>
          <w:rFonts w:asciiTheme="majorHAnsi" w:hAnsiTheme="majorHAnsi"/>
          <w:sz w:val="16"/>
          <w:szCs w:val="16"/>
          <w:lang w:val="ro-MD"/>
        </w:rPr>
        <w:footnoteRef/>
      </w:r>
      <w:r w:rsidRPr="006B4AFD">
        <w:rPr>
          <w:rFonts w:asciiTheme="majorHAnsi" w:hAnsiTheme="majorHAnsi"/>
          <w:sz w:val="16"/>
          <w:szCs w:val="16"/>
          <w:lang w:val="ro-MD"/>
        </w:rPr>
        <w:t xml:space="preserve"> </w:t>
      </w:r>
      <w:r w:rsidRPr="006B4AFD">
        <w:rPr>
          <w:rFonts w:asciiTheme="majorHAnsi" w:hAnsiTheme="majorHAnsi" w:cstheme="majorHAnsi"/>
          <w:color w:val="000000" w:themeColor="text1"/>
          <w:sz w:val="16"/>
          <w:szCs w:val="16"/>
          <w:vertAlign w:val="baseline"/>
          <w:lang w:val="ro-MD"/>
        </w:rPr>
        <w:t>În anul 2021 – 60,76 mii lei, 2022 – 60,76 mii lei, 2023 – 30,38 mii lei.</w:t>
      </w:r>
    </w:p>
    <w:p w14:paraId="001DE904" w14:textId="3F19A728" w:rsidR="00A477F5" w:rsidRPr="006B4AFD" w:rsidRDefault="00A477F5" w:rsidP="00E63278">
      <w:pPr>
        <w:pStyle w:val="a5"/>
        <w:jc w:val="both"/>
        <w:rPr>
          <w:rFonts w:asciiTheme="majorHAnsi" w:hAnsiTheme="majorHAnsi"/>
          <w:lang w:val="ro-MD"/>
        </w:rPr>
      </w:pPr>
      <w:r w:rsidRPr="006B4AFD">
        <w:rPr>
          <w:rFonts w:asciiTheme="majorHAnsi" w:hAnsiTheme="majorHAnsi"/>
          <w:lang w:val="ro-MD"/>
        </w:rPr>
        <w:t xml:space="preserve"> </w:t>
      </w:r>
    </w:p>
  </w:footnote>
  <w:footnote w:id="75">
    <w:p w14:paraId="1680F4EE" w14:textId="3022CC56" w:rsidR="00A477F5" w:rsidRPr="006B4AFD" w:rsidRDefault="00A477F5" w:rsidP="00B37661">
      <w:pPr>
        <w:pStyle w:val="a5"/>
        <w:jc w:val="both"/>
        <w:rPr>
          <w:rFonts w:asciiTheme="majorHAnsi" w:hAnsiTheme="majorHAnsi" w:cstheme="majorHAnsi"/>
          <w:sz w:val="16"/>
          <w:szCs w:val="16"/>
          <w:lang w:val="ro-MD"/>
        </w:rPr>
      </w:pPr>
      <w:r w:rsidRPr="006B4AFD">
        <w:rPr>
          <w:rStyle w:val="a9"/>
          <w:rFonts w:asciiTheme="majorHAnsi" w:hAnsiTheme="majorHAnsi"/>
          <w:sz w:val="16"/>
          <w:szCs w:val="16"/>
          <w:lang w:val="ro-MD"/>
        </w:rPr>
        <w:footnoteRef/>
      </w:r>
      <w:r w:rsidRPr="006B4AFD">
        <w:rPr>
          <w:rFonts w:asciiTheme="majorHAnsi" w:hAnsiTheme="majorHAnsi"/>
          <w:sz w:val="16"/>
          <w:szCs w:val="16"/>
          <w:lang w:val="ro-MD"/>
        </w:rPr>
        <w:t xml:space="preserve"> </w:t>
      </w:r>
      <w:r w:rsidRPr="006B4AFD">
        <w:rPr>
          <w:rFonts w:asciiTheme="majorHAnsi" w:hAnsiTheme="majorHAnsi" w:cstheme="majorHAnsi"/>
          <w:sz w:val="16"/>
          <w:szCs w:val="16"/>
          <w:vertAlign w:val="baseline"/>
          <w:lang w:val="ro-MD"/>
        </w:rPr>
        <w:t xml:space="preserve">Ordinul Ministerului Sănătății  nr.28 din 16.01.2006 „Cu privire la păstrarea medicamentelor, produselor para farmaceutice și articolelor cu destinație medicală”. </w:t>
      </w:r>
    </w:p>
  </w:footnote>
  <w:footnote w:id="76">
    <w:p w14:paraId="6C4103F5" w14:textId="74E4721E" w:rsidR="00A477F5" w:rsidRPr="006B4AFD" w:rsidRDefault="00A477F5" w:rsidP="00B37661">
      <w:pPr>
        <w:pStyle w:val="a5"/>
        <w:jc w:val="both"/>
        <w:rPr>
          <w:rFonts w:asciiTheme="majorHAnsi" w:hAnsiTheme="majorHAnsi" w:cstheme="majorHAnsi"/>
          <w:sz w:val="16"/>
          <w:szCs w:val="16"/>
          <w:lang w:val="ro-MD"/>
        </w:rPr>
      </w:pPr>
      <w:r w:rsidRPr="006B4AFD">
        <w:rPr>
          <w:rStyle w:val="a9"/>
          <w:rFonts w:asciiTheme="majorHAnsi" w:hAnsiTheme="majorHAnsi" w:cstheme="majorHAnsi"/>
          <w:sz w:val="16"/>
          <w:szCs w:val="16"/>
          <w:lang w:val="ro-MD"/>
        </w:rPr>
        <w:footnoteRef/>
      </w:r>
      <w:r w:rsidRPr="006B4AFD">
        <w:rPr>
          <w:rFonts w:asciiTheme="majorHAnsi" w:hAnsiTheme="majorHAnsi" w:cstheme="majorHAnsi"/>
          <w:sz w:val="16"/>
          <w:szCs w:val="16"/>
          <w:lang w:val="ro-MD"/>
        </w:rPr>
        <w:t xml:space="preserve"> </w:t>
      </w:r>
      <w:r w:rsidRPr="006B4AFD">
        <w:rPr>
          <w:rFonts w:asciiTheme="majorHAnsi" w:hAnsiTheme="majorHAnsi" w:cstheme="majorHAnsi"/>
          <w:sz w:val="16"/>
          <w:szCs w:val="16"/>
          <w:vertAlign w:val="baseline"/>
          <w:lang w:val="ro-MD"/>
        </w:rPr>
        <w:t xml:space="preserve">Cap.4 din Anexa nr.16 la Ordinul MS nr.432 din 11.05.2022 „Cu privire la implementarea Programului Național de răspuns la tuberculoză pentru anii 2022-2025”.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57A01"/>
    <w:multiLevelType w:val="hybridMultilevel"/>
    <w:tmpl w:val="8412259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CB0D2D"/>
    <w:multiLevelType w:val="hybridMultilevel"/>
    <w:tmpl w:val="38D6FD8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A12A04"/>
    <w:multiLevelType w:val="hybridMultilevel"/>
    <w:tmpl w:val="0A6E9F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08331E"/>
    <w:multiLevelType w:val="hybridMultilevel"/>
    <w:tmpl w:val="6590B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403E57"/>
    <w:multiLevelType w:val="hybridMultilevel"/>
    <w:tmpl w:val="7CAA25C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913530F"/>
    <w:multiLevelType w:val="hybridMultilevel"/>
    <w:tmpl w:val="CF72FB2E"/>
    <w:lvl w:ilvl="0" w:tplc="856846D6">
      <w:start w:val="1"/>
      <w:numFmt w:val="upperRoman"/>
      <w:lvlText w:val="%1."/>
      <w:lvlJc w:val="left"/>
      <w:pPr>
        <w:ind w:left="5940" w:hanging="720"/>
      </w:pPr>
      <w:rPr>
        <w:rFonts w:hint="default"/>
      </w:rPr>
    </w:lvl>
    <w:lvl w:ilvl="1" w:tplc="08180019">
      <w:start w:val="1"/>
      <w:numFmt w:val="lowerLetter"/>
      <w:lvlText w:val="%2."/>
      <w:lvlJc w:val="left"/>
      <w:pPr>
        <w:ind w:left="6300" w:hanging="360"/>
      </w:pPr>
    </w:lvl>
    <w:lvl w:ilvl="2" w:tplc="0818001B" w:tentative="1">
      <w:start w:val="1"/>
      <w:numFmt w:val="lowerRoman"/>
      <w:lvlText w:val="%3."/>
      <w:lvlJc w:val="right"/>
      <w:pPr>
        <w:ind w:left="7020" w:hanging="180"/>
      </w:pPr>
    </w:lvl>
    <w:lvl w:ilvl="3" w:tplc="0818000F" w:tentative="1">
      <w:start w:val="1"/>
      <w:numFmt w:val="decimal"/>
      <w:lvlText w:val="%4."/>
      <w:lvlJc w:val="left"/>
      <w:pPr>
        <w:ind w:left="7740" w:hanging="360"/>
      </w:pPr>
    </w:lvl>
    <w:lvl w:ilvl="4" w:tplc="08180019" w:tentative="1">
      <w:start w:val="1"/>
      <w:numFmt w:val="lowerLetter"/>
      <w:lvlText w:val="%5."/>
      <w:lvlJc w:val="left"/>
      <w:pPr>
        <w:ind w:left="8460" w:hanging="360"/>
      </w:pPr>
    </w:lvl>
    <w:lvl w:ilvl="5" w:tplc="0818001B" w:tentative="1">
      <w:start w:val="1"/>
      <w:numFmt w:val="lowerRoman"/>
      <w:lvlText w:val="%6."/>
      <w:lvlJc w:val="right"/>
      <w:pPr>
        <w:ind w:left="9180" w:hanging="180"/>
      </w:pPr>
    </w:lvl>
    <w:lvl w:ilvl="6" w:tplc="0818000F" w:tentative="1">
      <w:start w:val="1"/>
      <w:numFmt w:val="decimal"/>
      <w:lvlText w:val="%7."/>
      <w:lvlJc w:val="left"/>
      <w:pPr>
        <w:ind w:left="9900" w:hanging="360"/>
      </w:pPr>
    </w:lvl>
    <w:lvl w:ilvl="7" w:tplc="08180019" w:tentative="1">
      <w:start w:val="1"/>
      <w:numFmt w:val="lowerLetter"/>
      <w:lvlText w:val="%8."/>
      <w:lvlJc w:val="left"/>
      <w:pPr>
        <w:ind w:left="10620" w:hanging="360"/>
      </w:pPr>
    </w:lvl>
    <w:lvl w:ilvl="8" w:tplc="0818001B" w:tentative="1">
      <w:start w:val="1"/>
      <w:numFmt w:val="lowerRoman"/>
      <w:lvlText w:val="%9."/>
      <w:lvlJc w:val="right"/>
      <w:pPr>
        <w:ind w:left="11340" w:hanging="180"/>
      </w:pPr>
    </w:lvl>
  </w:abstractNum>
  <w:abstractNum w:abstractNumId="6" w15:restartNumberingAfterBreak="0">
    <w:nsid w:val="46A7427C"/>
    <w:multiLevelType w:val="hybridMultilevel"/>
    <w:tmpl w:val="A28E8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E5279E"/>
    <w:multiLevelType w:val="hybridMultilevel"/>
    <w:tmpl w:val="634CC60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07B457A"/>
    <w:multiLevelType w:val="hybridMultilevel"/>
    <w:tmpl w:val="A3B03D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A04DF9"/>
    <w:multiLevelType w:val="multilevel"/>
    <w:tmpl w:val="81DA05B8"/>
    <w:lvl w:ilvl="0">
      <w:start w:val="4"/>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1004" w:hanging="720"/>
      </w:pPr>
      <w:rPr>
        <w:rFonts w:hint="default"/>
        <w:b/>
        <w:i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FEC358B"/>
    <w:multiLevelType w:val="hybridMultilevel"/>
    <w:tmpl w:val="E2AA4B16"/>
    <w:lvl w:ilvl="0" w:tplc="04090001">
      <w:start w:val="1"/>
      <w:numFmt w:val="bullet"/>
      <w:lvlText w:val=""/>
      <w:lvlJc w:val="left"/>
      <w:pPr>
        <w:ind w:left="1778" w:hanging="360"/>
      </w:pPr>
      <w:rPr>
        <w:rFonts w:ascii="Symbol" w:hAnsi="Symbol" w:hint="default"/>
        <w:color w:val="000000" w:themeColor="text1"/>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1">
      <w:start w:val="1"/>
      <w:numFmt w:val="bullet"/>
      <w:lvlText w:val=""/>
      <w:lvlJc w:val="left"/>
      <w:pPr>
        <w:ind w:left="3229" w:hanging="360"/>
      </w:pPr>
      <w:rPr>
        <w:rFonts w:ascii="Symbol" w:hAnsi="Symbol" w:hint="default"/>
      </w:r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656928BF"/>
    <w:multiLevelType w:val="hybridMultilevel"/>
    <w:tmpl w:val="DE7251B6"/>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672539B2"/>
    <w:multiLevelType w:val="hybridMultilevel"/>
    <w:tmpl w:val="67CC71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0EF4D09"/>
    <w:multiLevelType w:val="hybridMultilevel"/>
    <w:tmpl w:val="18446DBA"/>
    <w:lvl w:ilvl="0" w:tplc="FA681336">
      <w:start w:val="1"/>
      <w:numFmt w:val="decimal"/>
      <w:lvlText w:val="%1."/>
      <w:lvlJc w:val="left"/>
      <w:pPr>
        <w:ind w:left="1069" w:hanging="360"/>
      </w:pPr>
      <w:rPr>
        <w:rFonts w:asciiTheme="majorHAnsi" w:eastAsiaTheme="minorHAnsi" w:hAnsiTheme="majorHAnsi" w:cstheme="majorHAnsi"/>
        <w:b w:val="0"/>
        <w:i/>
        <w:color w:val="000000"/>
        <w:u w:val="none"/>
      </w:rPr>
    </w:lvl>
    <w:lvl w:ilvl="1" w:tplc="04090003" w:tentative="1">
      <w:start w:val="1"/>
      <w:numFmt w:val="bullet"/>
      <w:lvlText w:val="o"/>
      <w:lvlJc w:val="left"/>
      <w:pPr>
        <w:ind w:left="1452" w:hanging="360"/>
      </w:pPr>
      <w:rPr>
        <w:rFonts w:ascii="Courier New" w:hAnsi="Courier New" w:cs="Courier New" w:hint="default"/>
      </w:rPr>
    </w:lvl>
    <w:lvl w:ilvl="2" w:tplc="04090005" w:tentative="1">
      <w:start w:val="1"/>
      <w:numFmt w:val="bullet"/>
      <w:lvlText w:val=""/>
      <w:lvlJc w:val="left"/>
      <w:pPr>
        <w:ind w:left="2172" w:hanging="360"/>
      </w:pPr>
      <w:rPr>
        <w:rFonts w:ascii="Wingdings" w:hAnsi="Wingdings" w:hint="default"/>
      </w:rPr>
    </w:lvl>
    <w:lvl w:ilvl="3" w:tplc="04090001" w:tentative="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cs="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cs="Courier New" w:hint="default"/>
      </w:rPr>
    </w:lvl>
    <w:lvl w:ilvl="8" w:tplc="04090005" w:tentative="1">
      <w:start w:val="1"/>
      <w:numFmt w:val="bullet"/>
      <w:lvlText w:val=""/>
      <w:lvlJc w:val="left"/>
      <w:pPr>
        <w:ind w:left="6492" w:hanging="360"/>
      </w:pPr>
      <w:rPr>
        <w:rFonts w:ascii="Wingdings" w:hAnsi="Wingdings" w:hint="default"/>
      </w:rPr>
    </w:lvl>
  </w:abstractNum>
  <w:num w:numId="1">
    <w:abstractNumId w:val="5"/>
  </w:num>
  <w:num w:numId="2">
    <w:abstractNumId w:val="2"/>
  </w:num>
  <w:num w:numId="3">
    <w:abstractNumId w:val="0"/>
  </w:num>
  <w:num w:numId="4">
    <w:abstractNumId w:val="7"/>
  </w:num>
  <w:num w:numId="5">
    <w:abstractNumId w:val="1"/>
  </w:num>
  <w:num w:numId="6">
    <w:abstractNumId w:val="12"/>
  </w:num>
  <w:num w:numId="7">
    <w:abstractNumId w:val="4"/>
  </w:num>
  <w:num w:numId="8">
    <w:abstractNumId w:val="13"/>
  </w:num>
  <w:num w:numId="9">
    <w:abstractNumId w:val="8"/>
  </w:num>
  <w:num w:numId="10">
    <w:abstractNumId w:val="9"/>
  </w:num>
  <w:num w:numId="11">
    <w:abstractNumId w:val="10"/>
  </w:num>
  <w:num w:numId="12">
    <w:abstractNumId w:val="11"/>
  </w:num>
  <w:num w:numId="13">
    <w:abstractNumId w:val="3"/>
  </w:num>
  <w:num w:numId="14">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15B"/>
    <w:rsid w:val="000000A2"/>
    <w:rsid w:val="00000291"/>
    <w:rsid w:val="00006719"/>
    <w:rsid w:val="00010558"/>
    <w:rsid w:val="00012402"/>
    <w:rsid w:val="00013D24"/>
    <w:rsid w:val="000202E7"/>
    <w:rsid w:val="00021DAB"/>
    <w:rsid w:val="00021F74"/>
    <w:rsid w:val="00024F81"/>
    <w:rsid w:val="0002731B"/>
    <w:rsid w:val="00027B88"/>
    <w:rsid w:val="00030F4D"/>
    <w:rsid w:val="00031D88"/>
    <w:rsid w:val="0004030C"/>
    <w:rsid w:val="00044A30"/>
    <w:rsid w:val="00046446"/>
    <w:rsid w:val="0005144E"/>
    <w:rsid w:val="00054CE0"/>
    <w:rsid w:val="000603F4"/>
    <w:rsid w:val="000636D2"/>
    <w:rsid w:val="0006445C"/>
    <w:rsid w:val="00067991"/>
    <w:rsid w:val="00071D0F"/>
    <w:rsid w:val="0007264E"/>
    <w:rsid w:val="00077FEE"/>
    <w:rsid w:val="0008104C"/>
    <w:rsid w:val="00082422"/>
    <w:rsid w:val="00082D69"/>
    <w:rsid w:val="00085AB8"/>
    <w:rsid w:val="00085E08"/>
    <w:rsid w:val="000906C3"/>
    <w:rsid w:val="000940E4"/>
    <w:rsid w:val="00095F75"/>
    <w:rsid w:val="000962F2"/>
    <w:rsid w:val="0009703A"/>
    <w:rsid w:val="000A02BD"/>
    <w:rsid w:val="000A1279"/>
    <w:rsid w:val="000A2E99"/>
    <w:rsid w:val="000A5AB9"/>
    <w:rsid w:val="000A6AE9"/>
    <w:rsid w:val="000B206B"/>
    <w:rsid w:val="000B5FCD"/>
    <w:rsid w:val="000C2354"/>
    <w:rsid w:val="000C3597"/>
    <w:rsid w:val="000C6F18"/>
    <w:rsid w:val="000C7DCA"/>
    <w:rsid w:val="000D36A9"/>
    <w:rsid w:val="000D4C4D"/>
    <w:rsid w:val="000D5889"/>
    <w:rsid w:val="000D61C7"/>
    <w:rsid w:val="000E2C2D"/>
    <w:rsid w:val="000E77D3"/>
    <w:rsid w:val="000F7C39"/>
    <w:rsid w:val="001002B3"/>
    <w:rsid w:val="00102FA5"/>
    <w:rsid w:val="00103535"/>
    <w:rsid w:val="00105B68"/>
    <w:rsid w:val="00110E89"/>
    <w:rsid w:val="00111AF8"/>
    <w:rsid w:val="00111DD0"/>
    <w:rsid w:val="0011361D"/>
    <w:rsid w:val="001159D9"/>
    <w:rsid w:val="00116D11"/>
    <w:rsid w:val="00117481"/>
    <w:rsid w:val="00117653"/>
    <w:rsid w:val="001179CC"/>
    <w:rsid w:val="00120E5E"/>
    <w:rsid w:val="00121C49"/>
    <w:rsid w:val="00122D04"/>
    <w:rsid w:val="0012305A"/>
    <w:rsid w:val="001255DA"/>
    <w:rsid w:val="00125FAD"/>
    <w:rsid w:val="0012633C"/>
    <w:rsid w:val="00130A65"/>
    <w:rsid w:val="00131F2D"/>
    <w:rsid w:val="00137557"/>
    <w:rsid w:val="001417C7"/>
    <w:rsid w:val="001421F2"/>
    <w:rsid w:val="00142200"/>
    <w:rsid w:val="00145067"/>
    <w:rsid w:val="001457CE"/>
    <w:rsid w:val="00147F26"/>
    <w:rsid w:val="00155240"/>
    <w:rsid w:val="0017222A"/>
    <w:rsid w:val="00181824"/>
    <w:rsid w:val="001820B2"/>
    <w:rsid w:val="00185DB9"/>
    <w:rsid w:val="00185FFF"/>
    <w:rsid w:val="001942DA"/>
    <w:rsid w:val="00194332"/>
    <w:rsid w:val="0019446E"/>
    <w:rsid w:val="001945F5"/>
    <w:rsid w:val="00195700"/>
    <w:rsid w:val="001A0799"/>
    <w:rsid w:val="001A0E43"/>
    <w:rsid w:val="001A49ED"/>
    <w:rsid w:val="001B5D3D"/>
    <w:rsid w:val="001B5DBE"/>
    <w:rsid w:val="001B6264"/>
    <w:rsid w:val="001C174A"/>
    <w:rsid w:val="001C3F94"/>
    <w:rsid w:val="001C4994"/>
    <w:rsid w:val="001C6DA5"/>
    <w:rsid w:val="001D1E13"/>
    <w:rsid w:val="001D2A23"/>
    <w:rsid w:val="001D625E"/>
    <w:rsid w:val="001D7055"/>
    <w:rsid w:val="001D7AAD"/>
    <w:rsid w:val="001E2550"/>
    <w:rsid w:val="001E3FAF"/>
    <w:rsid w:val="001E452A"/>
    <w:rsid w:val="001E4DA6"/>
    <w:rsid w:val="001E5470"/>
    <w:rsid w:val="001E5721"/>
    <w:rsid w:val="001E775F"/>
    <w:rsid w:val="001F0EA2"/>
    <w:rsid w:val="001F1448"/>
    <w:rsid w:val="001F3368"/>
    <w:rsid w:val="001F35E8"/>
    <w:rsid w:val="001F5976"/>
    <w:rsid w:val="001F6437"/>
    <w:rsid w:val="002012E5"/>
    <w:rsid w:val="002101A1"/>
    <w:rsid w:val="00210817"/>
    <w:rsid w:val="00211AE7"/>
    <w:rsid w:val="0021414A"/>
    <w:rsid w:val="00214199"/>
    <w:rsid w:val="00216673"/>
    <w:rsid w:val="00216A02"/>
    <w:rsid w:val="002206BC"/>
    <w:rsid w:val="0022264B"/>
    <w:rsid w:val="00222739"/>
    <w:rsid w:val="00224662"/>
    <w:rsid w:val="002279A8"/>
    <w:rsid w:val="00230444"/>
    <w:rsid w:val="0023258A"/>
    <w:rsid w:val="002403DB"/>
    <w:rsid w:val="002418A9"/>
    <w:rsid w:val="00241AB3"/>
    <w:rsid w:val="00242BA5"/>
    <w:rsid w:val="00243171"/>
    <w:rsid w:val="002446BB"/>
    <w:rsid w:val="00245373"/>
    <w:rsid w:val="00251DE9"/>
    <w:rsid w:val="00251EC7"/>
    <w:rsid w:val="0026385B"/>
    <w:rsid w:val="00263E95"/>
    <w:rsid w:val="0026741B"/>
    <w:rsid w:val="00270FEF"/>
    <w:rsid w:val="00271904"/>
    <w:rsid w:val="00272014"/>
    <w:rsid w:val="00272A6E"/>
    <w:rsid w:val="002733E9"/>
    <w:rsid w:val="00273639"/>
    <w:rsid w:val="002801D0"/>
    <w:rsid w:val="00281A21"/>
    <w:rsid w:val="002820A9"/>
    <w:rsid w:val="00282378"/>
    <w:rsid w:val="0028256D"/>
    <w:rsid w:val="002860CE"/>
    <w:rsid w:val="00290F4E"/>
    <w:rsid w:val="00291943"/>
    <w:rsid w:val="00292BC2"/>
    <w:rsid w:val="00292FBD"/>
    <w:rsid w:val="002932FC"/>
    <w:rsid w:val="00294F27"/>
    <w:rsid w:val="00295418"/>
    <w:rsid w:val="00297296"/>
    <w:rsid w:val="002973EB"/>
    <w:rsid w:val="00297EEE"/>
    <w:rsid w:val="002A10A1"/>
    <w:rsid w:val="002A2FA9"/>
    <w:rsid w:val="002A3B29"/>
    <w:rsid w:val="002A4B2D"/>
    <w:rsid w:val="002A6520"/>
    <w:rsid w:val="002A7177"/>
    <w:rsid w:val="002A72AD"/>
    <w:rsid w:val="002B06FF"/>
    <w:rsid w:val="002B16B2"/>
    <w:rsid w:val="002B2299"/>
    <w:rsid w:val="002B2480"/>
    <w:rsid w:val="002B3DB6"/>
    <w:rsid w:val="002B51D6"/>
    <w:rsid w:val="002B5A3A"/>
    <w:rsid w:val="002B7B86"/>
    <w:rsid w:val="002C2596"/>
    <w:rsid w:val="002C339A"/>
    <w:rsid w:val="002C33A9"/>
    <w:rsid w:val="002C572A"/>
    <w:rsid w:val="002D0DBF"/>
    <w:rsid w:val="002D753C"/>
    <w:rsid w:val="002E037C"/>
    <w:rsid w:val="002E12C9"/>
    <w:rsid w:val="002E1E64"/>
    <w:rsid w:val="002E344E"/>
    <w:rsid w:val="002E3BA3"/>
    <w:rsid w:val="002F35A3"/>
    <w:rsid w:val="002F3A86"/>
    <w:rsid w:val="002F5C19"/>
    <w:rsid w:val="003018A6"/>
    <w:rsid w:val="00302BD2"/>
    <w:rsid w:val="0030467B"/>
    <w:rsid w:val="00304C60"/>
    <w:rsid w:val="00305CD4"/>
    <w:rsid w:val="003101EC"/>
    <w:rsid w:val="00312814"/>
    <w:rsid w:val="003137E7"/>
    <w:rsid w:val="00314B87"/>
    <w:rsid w:val="00314C6D"/>
    <w:rsid w:val="003171E9"/>
    <w:rsid w:val="003210C3"/>
    <w:rsid w:val="00325F44"/>
    <w:rsid w:val="003268FB"/>
    <w:rsid w:val="00327DF0"/>
    <w:rsid w:val="00330637"/>
    <w:rsid w:val="003324EC"/>
    <w:rsid w:val="00332D4F"/>
    <w:rsid w:val="00332FF7"/>
    <w:rsid w:val="003343A7"/>
    <w:rsid w:val="00337CCA"/>
    <w:rsid w:val="0034468A"/>
    <w:rsid w:val="00345AAD"/>
    <w:rsid w:val="00350A1E"/>
    <w:rsid w:val="00351522"/>
    <w:rsid w:val="00352525"/>
    <w:rsid w:val="0036390A"/>
    <w:rsid w:val="003657D1"/>
    <w:rsid w:val="003717AE"/>
    <w:rsid w:val="00371912"/>
    <w:rsid w:val="00373157"/>
    <w:rsid w:val="003739E0"/>
    <w:rsid w:val="003803F6"/>
    <w:rsid w:val="00381BAC"/>
    <w:rsid w:val="00383C42"/>
    <w:rsid w:val="00385E8C"/>
    <w:rsid w:val="003914B9"/>
    <w:rsid w:val="00393D46"/>
    <w:rsid w:val="003962F1"/>
    <w:rsid w:val="00396F30"/>
    <w:rsid w:val="0039787E"/>
    <w:rsid w:val="003A2F51"/>
    <w:rsid w:val="003A601C"/>
    <w:rsid w:val="003B222F"/>
    <w:rsid w:val="003B2934"/>
    <w:rsid w:val="003B29AC"/>
    <w:rsid w:val="003B4D5C"/>
    <w:rsid w:val="003B51A0"/>
    <w:rsid w:val="003B7971"/>
    <w:rsid w:val="003B7DC3"/>
    <w:rsid w:val="003C181C"/>
    <w:rsid w:val="003C3E4D"/>
    <w:rsid w:val="003C4A28"/>
    <w:rsid w:val="003C567A"/>
    <w:rsid w:val="003C67A9"/>
    <w:rsid w:val="003D080C"/>
    <w:rsid w:val="003D08A6"/>
    <w:rsid w:val="003D2A18"/>
    <w:rsid w:val="003D34CB"/>
    <w:rsid w:val="003D4000"/>
    <w:rsid w:val="003D5F17"/>
    <w:rsid w:val="003E0B85"/>
    <w:rsid w:val="003E1FB0"/>
    <w:rsid w:val="003E31BE"/>
    <w:rsid w:val="003E43AF"/>
    <w:rsid w:val="003E7194"/>
    <w:rsid w:val="003E7EE1"/>
    <w:rsid w:val="003F0474"/>
    <w:rsid w:val="003F0C5E"/>
    <w:rsid w:val="003F305E"/>
    <w:rsid w:val="00404539"/>
    <w:rsid w:val="00406CC5"/>
    <w:rsid w:val="00407265"/>
    <w:rsid w:val="004128AA"/>
    <w:rsid w:val="00412CFD"/>
    <w:rsid w:val="0041425D"/>
    <w:rsid w:val="00415065"/>
    <w:rsid w:val="004150CC"/>
    <w:rsid w:val="00415D9E"/>
    <w:rsid w:val="0042231C"/>
    <w:rsid w:val="0042605F"/>
    <w:rsid w:val="004303BA"/>
    <w:rsid w:val="00430A01"/>
    <w:rsid w:val="00431AC9"/>
    <w:rsid w:val="004338B3"/>
    <w:rsid w:val="00436679"/>
    <w:rsid w:val="0044054B"/>
    <w:rsid w:val="00443815"/>
    <w:rsid w:val="004443A0"/>
    <w:rsid w:val="0044478B"/>
    <w:rsid w:val="00445029"/>
    <w:rsid w:val="004477EB"/>
    <w:rsid w:val="00452191"/>
    <w:rsid w:val="00452376"/>
    <w:rsid w:val="004524B1"/>
    <w:rsid w:val="00454129"/>
    <w:rsid w:val="00462B75"/>
    <w:rsid w:val="004649D6"/>
    <w:rsid w:val="004655B4"/>
    <w:rsid w:val="004676E1"/>
    <w:rsid w:val="00470063"/>
    <w:rsid w:val="004717DE"/>
    <w:rsid w:val="00472BE5"/>
    <w:rsid w:val="00472C66"/>
    <w:rsid w:val="004738D9"/>
    <w:rsid w:val="004740A1"/>
    <w:rsid w:val="00475DED"/>
    <w:rsid w:val="00476510"/>
    <w:rsid w:val="00480E5F"/>
    <w:rsid w:val="00481DC8"/>
    <w:rsid w:val="00482125"/>
    <w:rsid w:val="00484579"/>
    <w:rsid w:val="00485E8F"/>
    <w:rsid w:val="004861BA"/>
    <w:rsid w:val="004911D2"/>
    <w:rsid w:val="00491BA9"/>
    <w:rsid w:val="004947B2"/>
    <w:rsid w:val="00495592"/>
    <w:rsid w:val="00496111"/>
    <w:rsid w:val="004A39D7"/>
    <w:rsid w:val="004A3F0C"/>
    <w:rsid w:val="004A5BAA"/>
    <w:rsid w:val="004B03CC"/>
    <w:rsid w:val="004B10EA"/>
    <w:rsid w:val="004B12E2"/>
    <w:rsid w:val="004B28C7"/>
    <w:rsid w:val="004B30A5"/>
    <w:rsid w:val="004B30CE"/>
    <w:rsid w:val="004B370E"/>
    <w:rsid w:val="004B3A62"/>
    <w:rsid w:val="004B3B94"/>
    <w:rsid w:val="004B3C65"/>
    <w:rsid w:val="004B4356"/>
    <w:rsid w:val="004B72E3"/>
    <w:rsid w:val="004C01B3"/>
    <w:rsid w:val="004C03B1"/>
    <w:rsid w:val="004C3370"/>
    <w:rsid w:val="004C49DC"/>
    <w:rsid w:val="004C4E7B"/>
    <w:rsid w:val="004C53A1"/>
    <w:rsid w:val="004C68DF"/>
    <w:rsid w:val="004C76CF"/>
    <w:rsid w:val="004D2F25"/>
    <w:rsid w:val="004D39F1"/>
    <w:rsid w:val="004D5CCE"/>
    <w:rsid w:val="004E1122"/>
    <w:rsid w:val="004E56D2"/>
    <w:rsid w:val="004E5E11"/>
    <w:rsid w:val="004E6E63"/>
    <w:rsid w:val="004F1599"/>
    <w:rsid w:val="004F16C8"/>
    <w:rsid w:val="004F6612"/>
    <w:rsid w:val="004F6906"/>
    <w:rsid w:val="0050078B"/>
    <w:rsid w:val="00500FD4"/>
    <w:rsid w:val="005062BA"/>
    <w:rsid w:val="00506777"/>
    <w:rsid w:val="005107A3"/>
    <w:rsid w:val="00510A4C"/>
    <w:rsid w:val="0051673A"/>
    <w:rsid w:val="00516931"/>
    <w:rsid w:val="0051718B"/>
    <w:rsid w:val="005223F1"/>
    <w:rsid w:val="005225D0"/>
    <w:rsid w:val="005225D5"/>
    <w:rsid w:val="005242B2"/>
    <w:rsid w:val="00524A59"/>
    <w:rsid w:val="0052636B"/>
    <w:rsid w:val="00526404"/>
    <w:rsid w:val="0053013B"/>
    <w:rsid w:val="005305F9"/>
    <w:rsid w:val="0053077D"/>
    <w:rsid w:val="0053275E"/>
    <w:rsid w:val="00532F79"/>
    <w:rsid w:val="00533D18"/>
    <w:rsid w:val="00534D6A"/>
    <w:rsid w:val="0053729F"/>
    <w:rsid w:val="00541D79"/>
    <w:rsid w:val="00541EA0"/>
    <w:rsid w:val="00542741"/>
    <w:rsid w:val="005439D0"/>
    <w:rsid w:val="00543DD4"/>
    <w:rsid w:val="0054479C"/>
    <w:rsid w:val="00550DFC"/>
    <w:rsid w:val="005515CE"/>
    <w:rsid w:val="005522BF"/>
    <w:rsid w:val="00552FDD"/>
    <w:rsid w:val="00553C24"/>
    <w:rsid w:val="00553C79"/>
    <w:rsid w:val="00554C78"/>
    <w:rsid w:val="00555C8B"/>
    <w:rsid w:val="00557279"/>
    <w:rsid w:val="00557FEA"/>
    <w:rsid w:val="00560AB6"/>
    <w:rsid w:val="00562B6C"/>
    <w:rsid w:val="00567A6B"/>
    <w:rsid w:val="005728AB"/>
    <w:rsid w:val="00572A66"/>
    <w:rsid w:val="00573465"/>
    <w:rsid w:val="00574F9F"/>
    <w:rsid w:val="005777EB"/>
    <w:rsid w:val="00577F27"/>
    <w:rsid w:val="00580EFC"/>
    <w:rsid w:val="005853DD"/>
    <w:rsid w:val="00585605"/>
    <w:rsid w:val="005871B3"/>
    <w:rsid w:val="0059055C"/>
    <w:rsid w:val="00591955"/>
    <w:rsid w:val="00596726"/>
    <w:rsid w:val="005978A7"/>
    <w:rsid w:val="00597C98"/>
    <w:rsid w:val="005A070D"/>
    <w:rsid w:val="005A35BE"/>
    <w:rsid w:val="005A3DB7"/>
    <w:rsid w:val="005A3FFB"/>
    <w:rsid w:val="005A4AF3"/>
    <w:rsid w:val="005A614F"/>
    <w:rsid w:val="005A62B2"/>
    <w:rsid w:val="005B2D7F"/>
    <w:rsid w:val="005B5F6E"/>
    <w:rsid w:val="005B793A"/>
    <w:rsid w:val="005C1C26"/>
    <w:rsid w:val="005C2E2D"/>
    <w:rsid w:val="005C3117"/>
    <w:rsid w:val="005C3DCF"/>
    <w:rsid w:val="005C5502"/>
    <w:rsid w:val="005C6960"/>
    <w:rsid w:val="005C7542"/>
    <w:rsid w:val="005C7873"/>
    <w:rsid w:val="005C7E33"/>
    <w:rsid w:val="005D3067"/>
    <w:rsid w:val="005D3938"/>
    <w:rsid w:val="005D56E4"/>
    <w:rsid w:val="005D58D5"/>
    <w:rsid w:val="005E1207"/>
    <w:rsid w:val="005E538E"/>
    <w:rsid w:val="005E70A6"/>
    <w:rsid w:val="005F0A30"/>
    <w:rsid w:val="005F431F"/>
    <w:rsid w:val="005F6223"/>
    <w:rsid w:val="00602543"/>
    <w:rsid w:val="00602AC1"/>
    <w:rsid w:val="00604313"/>
    <w:rsid w:val="0061151B"/>
    <w:rsid w:val="006122B9"/>
    <w:rsid w:val="00616E8C"/>
    <w:rsid w:val="006179B5"/>
    <w:rsid w:val="00617F69"/>
    <w:rsid w:val="00620335"/>
    <w:rsid w:val="006213BF"/>
    <w:rsid w:val="00623FD0"/>
    <w:rsid w:val="00624F2F"/>
    <w:rsid w:val="0062601E"/>
    <w:rsid w:val="00626540"/>
    <w:rsid w:val="00626DC6"/>
    <w:rsid w:val="00630E24"/>
    <w:rsid w:val="00630E8E"/>
    <w:rsid w:val="00632534"/>
    <w:rsid w:val="006327C5"/>
    <w:rsid w:val="00632D7B"/>
    <w:rsid w:val="00634874"/>
    <w:rsid w:val="006354E6"/>
    <w:rsid w:val="00640CBE"/>
    <w:rsid w:val="00643620"/>
    <w:rsid w:val="00643D8F"/>
    <w:rsid w:val="006444E0"/>
    <w:rsid w:val="00644DA2"/>
    <w:rsid w:val="00651651"/>
    <w:rsid w:val="00651BC8"/>
    <w:rsid w:val="00651D22"/>
    <w:rsid w:val="006558C9"/>
    <w:rsid w:val="00656D89"/>
    <w:rsid w:val="0065779B"/>
    <w:rsid w:val="006609E2"/>
    <w:rsid w:val="006625ED"/>
    <w:rsid w:val="00666849"/>
    <w:rsid w:val="00667422"/>
    <w:rsid w:val="00667F50"/>
    <w:rsid w:val="00667F52"/>
    <w:rsid w:val="00674591"/>
    <w:rsid w:val="00675B54"/>
    <w:rsid w:val="0068086A"/>
    <w:rsid w:val="00681C6C"/>
    <w:rsid w:val="0068223D"/>
    <w:rsid w:val="00683847"/>
    <w:rsid w:val="006850B5"/>
    <w:rsid w:val="00685615"/>
    <w:rsid w:val="00686508"/>
    <w:rsid w:val="00686F73"/>
    <w:rsid w:val="0069084E"/>
    <w:rsid w:val="00692641"/>
    <w:rsid w:val="0069268B"/>
    <w:rsid w:val="00693658"/>
    <w:rsid w:val="00694154"/>
    <w:rsid w:val="006948F3"/>
    <w:rsid w:val="0069516F"/>
    <w:rsid w:val="00695705"/>
    <w:rsid w:val="00695C89"/>
    <w:rsid w:val="00695E58"/>
    <w:rsid w:val="006960F3"/>
    <w:rsid w:val="00696D0D"/>
    <w:rsid w:val="00696F11"/>
    <w:rsid w:val="006A0356"/>
    <w:rsid w:val="006A2C40"/>
    <w:rsid w:val="006A2E36"/>
    <w:rsid w:val="006A58F1"/>
    <w:rsid w:val="006B03E4"/>
    <w:rsid w:val="006B30F8"/>
    <w:rsid w:val="006B4AFD"/>
    <w:rsid w:val="006B5722"/>
    <w:rsid w:val="006B6481"/>
    <w:rsid w:val="006B6AAD"/>
    <w:rsid w:val="006B7E63"/>
    <w:rsid w:val="006C0901"/>
    <w:rsid w:val="006C10B3"/>
    <w:rsid w:val="006C1CE7"/>
    <w:rsid w:val="006C1D45"/>
    <w:rsid w:val="006C5032"/>
    <w:rsid w:val="006C5BE0"/>
    <w:rsid w:val="006C7CDA"/>
    <w:rsid w:val="006D0F0C"/>
    <w:rsid w:val="006D1FE6"/>
    <w:rsid w:val="006D3BF2"/>
    <w:rsid w:val="006D52C7"/>
    <w:rsid w:val="006D564A"/>
    <w:rsid w:val="006D5701"/>
    <w:rsid w:val="006D6EFF"/>
    <w:rsid w:val="006E4551"/>
    <w:rsid w:val="006E5491"/>
    <w:rsid w:val="006E58B4"/>
    <w:rsid w:val="006F3067"/>
    <w:rsid w:val="006F37C1"/>
    <w:rsid w:val="006F5682"/>
    <w:rsid w:val="006F585F"/>
    <w:rsid w:val="006F7395"/>
    <w:rsid w:val="006F78BD"/>
    <w:rsid w:val="006F7EE6"/>
    <w:rsid w:val="00701824"/>
    <w:rsid w:val="0070221A"/>
    <w:rsid w:val="00702502"/>
    <w:rsid w:val="007031FD"/>
    <w:rsid w:val="00703996"/>
    <w:rsid w:val="00704318"/>
    <w:rsid w:val="00705B84"/>
    <w:rsid w:val="00710E69"/>
    <w:rsid w:val="00712A17"/>
    <w:rsid w:val="0071319B"/>
    <w:rsid w:val="00717C7E"/>
    <w:rsid w:val="00717D02"/>
    <w:rsid w:val="00724F43"/>
    <w:rsid w:val="00727646"/>
    <w:rsid w:val="00730969"/>
    <w:rsid w:val="007321FB"/>
    <w:rsid w:val="00734A10"/>
    <w:rsid w:val="007350FF"/>
    <w:rsid w:val="0073562C"/>
    <w:rsid w:val="0073594C"/>
    <w:rsid w:val="0073613D"/>
    <w:rsid w:val="0073662F"/>
    <w:rsid w:val="00737124"/>
    <w:rsid w:val="00737A20"/>
    <w:rsid w:val="00737CE8"/>
    <w:rsid w:val="00741731"/>
    <w:rsid w:val="007419F0"/>
    <w:rsid w:val="00742E63"/>
    <w:rsid w:val="007453AB"/>
    <w:rsid w:val="0074563D"/>
    <w:rsid w:val="00746171"/>
    <w:rsid w:val="00752FE2"/>
    <w:rsid w:val="0075369A"/>
    <w:rsid w:val="00753A58"/>
    <w:rsid w:val="00756901"/>
    <w:rsid w:val="007606AB"/>
    <w:rsid w:val="007619BC"/>
    <w:rsid w:val="00764FE8"/>
    <w:rsid w:val="00766D50"/>
    <w:rsid w:val="007678A6"/>
    <w:rsid w:val="007709D9"/>
    <w:rsid w:val="007732D7"/>
    <w:rsid w:val="00775F72"/>
    <w:rsid w:val="00782B80"/>
    <w:rsid w:val="00782BD2"/>
    <w:rsid w:val="00784827"/>
    <w:rsid w:val="00784F26"/>
    <w:rsid w:val="00785988"/>
    <w:rsid w:val="00791817"/>
    <w:rsid w:val="00792BD5"/>
    <w:rsid w:val="00792FB0"/>
    <w:rsid w:val="00794605"/>
    <w:rsid w:val="007A1D83"/>
    <w:rsid w:val="007A1FC0"/>
    <w:rsid w:val="007A29A6"/>
    <w:rsid w:val="007A3476"/>
    <w:rsid w:val="007B3288"/>
    <w:rsid w:val="007B329C"/>
    <w:rsid w:val="007B43A3"/>
    <w:rsid w:val="007B61B2"/>
    <w:rsid w:val="007B6883"/>
    <w:rsid w:val="007B72D9"/>
    <w:rsid w:val="007B76E9"/>
    <w:rsid w:val="007C1048"/>
    <w:rsid w:val="007C3FE1"/>
    <w:rsid w:val="007C5EE2"/>
    <w:rsid w:val="007D147F"/>
    <w:rsid w:val="007D5AE4"/>
    <w:rsid w:val="007D68D3"/>
    <w:rsid w:val="007E110A"/>
    <w:rsid w:val="007E6B0B"/>
    <w:rsid w:val="007F1804"/>
    <w:rsid w:val="007F1EE9"/>
    <w:rsid w:val="007F68A0"/>
    <w:rsid w:val="00801C72"/>
    <w:rsid w:val="008046C3"/>
    <w:rsid w:val="008048A3"/>
    <w:rsid w:val="00804A06"/>
    <w:rsid w:val="00807CFF"/>
    <w:rsid w:val="00810C0B"/>
    <w:rsid w:val="00810E2E"/>
    <w:rsid w:val="0081359A"/>
    <w:rsid w:val="008141DA"/>
    <w:rsid w:val="00814394"/>
    <w:rsid w:val="008156E3"/>
    <w:rsid w:val="0081744F"/>
    <w:rsid w:val="00817549"/>
    <w:rsid w:val="00820BD4"/>
    <w:rsid w:val="00820CA2"/>
    <w:rsid w:val="0082109A"/>
    <w:rsid w:val="008216C5"/>
    <w:rsid w:val="008221AA"/>
    <w:rsid w:val="00822628"/>
    <w:rsid w:val="00822C52"/>
    <w:rsid w:val="00824619"/>
    <w:rsid w:val="00826699"/>
    <w:rsid w:val="00827558"/>
    <w:rsid w:val="00830BBE"/>
    <w:rsid w:val="00833424"/>
    <w:rsid w:val="0083342E"/>
    <w:rsid w:val="008354D8"/>
    <w:rsid w:val="00835914"/>
    <w:rsid w:val="00835E0D"/>
    <w:rsid w:val="00840AF1"/>
    <w:rsid w:val="00840FE2"/>
    <w:rsid w:val="00842FBB"/>
    <w:rsid w:val="008440FE"/>
    <w:rsid w:val="00844A56"/>
    <w:rsid w:val="00845198"/>
    <w:rsid w:val="00847C7C"/>
    <w:rsid w:val="0085176F"/>
    <w:rsid w:val="0085189E"/>
    <w:rsid w:val="00852A85"/>
    <w:rsid w:val="00856E15"/>
    <w:rsid w:val="00860A7C"/>
    <w:rsid w:val="00861C3A"/>
    <w:rsid w:val="008643A2"/>
    <w:rsid w:val="00864E64"/>
    <w:rsid w:val="00873798"/>
    <w:rsid w:val="008742DC"/>
    <w:rsid w:val="00874658"/>
    <w:rsid w:val="008752FD"/>
    <w:rsid w:val="00876AFF"/>
    <w:rsid w:val="008807AF"/>
    <w:rsid w:val="008820BF"/>
    <w:rsid w:val="00882B03"/>
    <w:rsid w:val="00885B24"/>
    <w:rsid w:val="00885EE0"/>
    <w:rsid w:val="008860BA"/>
    <w:rsid w:val="0089013B"/>
    <w:rsid w:val="00892ADE"/>
    <w:rsid w:val="00894708"/>
    <w:rsid w:val="00894909"/>
    <w:rsid w:val="00894CE5"/>
    <w:rsid w:val="00894FFE"/>
    <w:rsid w:val="00895306"/>
    <w:rsid w:val="008A166D"/>
    <w:rsid w:val="008A47BB"/>
    <w:rsid w:val="008A657C"/>
    <w:rsid w:val="008A6627"/>
    <w:rsid w:val="008A7674"/>
    <w:rsid w:val="008A7D00"/>
    <w:rsid w:val="008B0C9D"/>
    <w:rsid w:val="008B5192"/>
    <w:rsid w:val="008B6DF0"/>
    <w:rsid w:val="008C028B"/>
    <w:rsid w:val="008C3955"/>
    <w:rsid w:val="008C6A31"/>
    <w:rsid w:val="008C6CAC"/>
    <w:rsid w:val="008C7E1E"/>
    <w:rsid w:val="008D2FAE"/>
    <w:rsid w:val="008D3787"/>
    <w:rsid w:val="008D6598"/>
    <w:rsid w:val="008D732E"/>
    <w:rsid w:val="008E3D7A"/>
    <w:rsid w:val="008E6592"/>
    <w:rsid w:val="008E6696"/>
    <w:rsid w:val="008F0993"/>
    <w:rsid w:val="008F0FBE"/>
    <w:rsid w:val="008F4F51"/>
    <w:rsid w:val="009008E2"/>
    <w:rsid w:val="00901354"/>
    <w:rsid w:val="0090136A"/>
    <w:rsid w:val="009022BC"/>
    <w:rsid w:val="00902AC6"/>
    <w:rsid w:val="00903EDE"/>
    <w:rsid w:val="009071F5"/>
    <w:rsid w:val="00911AEE"/>
    <w:rsid w:val="00913370"/>
    <w:rsid w:val="00913C83"/>
    <w:rsid w:val="00913E66"/>
    <w:rsid w:val="00917726"/>
    <w:rsid w:val="009231C0"/>
    <w:rsid w:val="0092375B"/>
    <w:rsid w:val="009262F0"/>
    <w:rsid w:val="0092679F"/>
    <w:rsid w:val="009305DB"/>
    <w:rsid w:val="0093205F"/>
    <w:rsid w:val="009328AB"/>
    <w:rsid w:val="00933A5C"/>
    <w:rsid w:val="00933D72"/>
    <w:rsid w:val="00934A6F"/>
    <w:rsid w:val="0093559A"/>
    <w:rsid w:val="009359E0"/>
    <w:rsid w:val="009371DC"/>
    <w:rsid w:val="00937D9B"/>
    <w:rsid w:val="00943312"/>
    <w:rsid w:val="00944955"/>
    <w:rsid w:val="00945DDD"/>
    <w:rsid w:val="00946A1F"/>
    <w:rsid w:val="009514C5"/>
    <w:rsid w:val="00951AB5"/>
    <w:rsid w:val="00954002"/>
    <w:rsid w:val="009622DA"/>
    <w:rsid w:val="0096393F"/>
    <w:rsid w:val="0096709B"/>
    <w:rsid w:val="009708AE"/>
    <w:rsid w:val="00974697"/>
    <w:rsid w:val="00977BF7"/>
    <w:rsid w:val="009803CB"/>
    <w:rsid w:val="00980A00"/>
    <w:rsid w:val="00981ADA"/>
    <w:rsid w:val="00985B5D"/>
    <w:rsid w:val="0098634F"/>
    <w:rsid w:val="0099331B"/>
    <w:rsid w:val="00993FB6"/>
    <w:rsid w:val="009A3E67"/>
    <w:rsid w:val="009A7017"/>
    <w:rsid w:val="009A70C1"/>
    <w:rsid w:val="009B1068"/>
    <w:rsid w:val="009B2B0E"/>
    <w:rsid w:val="009B3521"/>
    <w:rsid w:val="009B3E40"/>
    <w:rsid w:val="009B6A20"/>
    <w:rsid w:val="009B7157"/>
    <w:rsid w:val="009B7363"/>
    <w:rsid w:val="009C12CD"/>
    <w:rsid w:val="009C243D"/>
    <w:rsid w:val="009C55B3"/>
    <w:rsid w:val="009C6982"/>
    <w:rsid w:val="009D0FB7"/>
    <w:rsid w:val="009D175D"/>
    <w:rsid w:val="009D4547"/>
    <w:rsid w:val="009D766E"/>
    <w:rsid w:val="009D7A6B"/>
    <w:rsid w:val="009E21E4"/>
    <w:rsid w:val="009E24ED"/>
    <w:rsid w:val="009E7FD2"/>
    <w:rsid w:val="009F0216"/>
    <w:rsid w:val="009F0EDC"/>
    <w:rsid w:val="009F2CFA"/>
    <w:rsid w:val="009F414A"/>
    <w:rsid w:val="009F4F9A"/>
    <w:rsid w:val="009F5CFF"/>
    <w:rsid w:val="009F70ED"/>
    <w:rsid w:val="00A00D93"/>
    <w:rsid w:val="00A0215B"/>
    <w:rsid w:val="00A02394"/>
    <w:rsid w:val="00A046DD"/>
    <w:rsid w:val="00A04DD3"/>
    <w:rsid w:val="00A05D1E"/>
    <w:rsid w:val="00A10BDE"/>
    <w:rsid w:val="00A10FE6"/>
    <w:rsid w:val="00A121CE"/>
    <w:rsid w:val="00A127B6"/>
    <w:rsid w:val="00A1327C"/>
    <w:rsid w:val="00A1402F"/>
    <w:rsid w:val="00A16055"/>
    <w:rsid w:val="00A165D9"/>
    <w:rsid w:val="00A1714B"/>
    <w:rsid w:val="00A178F1"/>
    <w:rsid w:val="00A22A5C"/>
    <w:rsid w:val="00A24FDF"/>
    <w:rsid w:val="00A26229"/>
    <w:rsid w:val="00A30A5A"/>
    <w:rsid w:val="00A31A1C"/>
    <w:rsid w:val="00A3359A"/>
    <w:rsid w:val="00A37B6F"/>
    <w:rsid w:val="00A4235B"/>
    <w:rsid w:val="00A42AD7"/>
    <w:rsid w:val="00A44F95"/>
    <w:rsid w:val="00A456FB"/>
    <w:rsid w:val="00A477F5"/>
    <w:rsid w:val="00A47D13"/>
    <w:rsid w:val="00A50449"/>
    <w:rsid w:val="00A51C46"/>
    <w:rsid w:val="00A52779"/>
    <w:rsid w:val="00A54529"/>
    <w:rsid w:val="00A57818"/>
    <w:rsid w:val="00A634B2"/>
    <w:rsid w:val="00A65275"/>
    <w:rsid w:val="00A7014D"/>
    <w:rsid w:val="00A7278E"/>
    <w:rsid w:val="00A73003"/>
    <w:rsid w:val="00A7471E"/>
    <w:rsid w:val="00A76EEC"/>
    <w:rsid w:val="00A8390A"/>
    <w:rsid w:val="00A9085E"/>
    <w:rsid w:val="00A95B61"/>
    <w:rsid w:val="00A9607D"/>
    <w:rsid w:val="00A9715B"/>
    <w:rsid w:val="00A97960"/>
    <w:rsid w:val="00AA1967"/>
    <w:rsid w:val="00AA274F"/>
    <w:rsid w:val="00AA2938"/>
    <w:rsid w:val="00AA7535"/>
    <w:rsid w:val="00AB35F5"/>
    <w:rsid w:val="00AB3CDC"/>
    <w:rsid w:val="00AB4A85"/>
    <w:rsid w:val="00AC4260"/>
    <w:rsid w:val="00AC490F"/>
    <w:rsid w:val="00AC5AA9"/>
    <w:rsid w:val="00AD1E36"/>
    <w:rsid w:val="00AD3370"/>
    <w:rsid w:val="00AD6411"/>
    <w:rsid w:val="00AD73D6"/>
    <w:rsid w:val="00AE0275"/>
    <w:rsid w:val="00AE09B5"/>
    <w:rsid w:val="00AE15A5"/>
    <w:rsid w:val="00AE3393"/>
    <w:rsid w:val="00AE7818"/>
    <w:rsid w:val="00AF21A7"/>
    <w:rsid w:val="00AF3C65"/>
    <w:rsid w:val="00AF4631"/>
    <w:rsid w:val="00B00556"/>
    <w:rsid w:val="00B01CAD"/>
    <w:rsid w:val="00B04A88"/>
    <w:rsid w:val="00B05F8E"/>
    <w:rsid w:val="00B06A5F"/>
    <w:rsid w:val="00B06D6D"/>
    <w:rsid w:val="00B07B4B"/>
    <w:rsid w:val="00B10493"/>
    <w:rsid w:val="00B120A1"/>
    <w:rsid w:val="00B1225D"/>
    <w:rsid w:val="00B13B9A"/>
    <w:rsid w:val="00B140BD"/>
    <w:rsid w:val="00B151FB"/>
    <w:rsid w:val="00B1634B"/>
    <w:rsid w:val="00B1642D"/>
    <w:rsid w:val="00B20084"/>
    <w:rsid w:val="00B227DA"/>
    <w:rsid w:val="00B24768"/>
    <w:rsid w:val="00B267A4"/>
    <w:rsid w:val="00B271C1"/>
    <w:rsid w:val="00B34D84"/>
    <w:rsid w:val="00B359BE"/>
    <w:rsid w:val="00B36240"/>
    <w:rsid w:val="00B37661"/>
    <w:rsid w:val="00B400DA"/>
    <w:rsid w:val="00B46905"/>
    <w:rsid w:val="00B46993"/>
    <w:rsid w:val="00B51658"/>
    <w:rsid w:val="00B51DE0"/>
    <w:rsid w:val="00B52C70"/>
    <w:rsid w:val="00B6357D"/>
    <w:rsid w:val="00B652B1"/>
    <w:rsid w:val="00B66459"/>
    <w:rsid w:val="00B726C3"/>
    <w:rsid w:val="00B73EDD"/>
    <w:rsid w:val="00B80D7E"/>
    <w:rsid w:val="00B80EA2"/>
    <w:rsid w:val="00B8613C"/>
    <w:rsid w:val="00B86B8F"/>
    <w:rsid w:val="00B87213"/>
    <w:rsid w:val="00B927B6"/>
    <w:rsid w:val="00B9390C"/>
    <w:rsid w:val="00B94D25"/>
    <w:rsid w:val="00B97968"/>
    <w:rsid w:val="00BA124E"/>
    <w:rsid w:val="00BA154C"/>
    <w:rsid w:val="00BA22DB"/>
    <w:rsid w:val="00BA56FA"/>
    <w:rsid w:val="00BA5C59"/>
    <w:rsid w:val="00BB392A"/>
    <w:rsid w:val="00BB3944"/>
    <w:rsid w:val="00BB3F59"/>
    <w:rsid w:val="00BB4F51"/>
    <w:rsid w:val="00BC388C"/>
    <w:rsid w:val="00BC4E04"/>
    <w:rsid w:val="00BC7B90"/>
    <w:rsid w:val="00BD240F"/>
    <w:rsid w:val="00BD25AE"/>
    <w:rsid w:val="00BD356B"/>
    <w:rsid w:val="00BD45E1"/>
    <w:rsid w:val="00BD4FD5"/>
    <w:rsid w:val="00BD6EEB"/>
    <w:rsid w:val="00BD7E52"/>
    <w:rsid w:val="00BE1AA9"/>
    <w:rsid w:val="00BE48A1"/>
    <w:rsid w:val="00BE7660"/>
    <w:rsid w:val="00BF00EC"/>
    <w:rsid w:val="00BF2684"/>
    <w:rsid w:val="00BF3680"/>
    <w:rsid w:val="00BF45AF"/>
    <w:rsid w:val="00C03562"/>
    <w:rsid w:val="00C05680"/>
    <w:rsid w:val="00C0582C"/>
    <w:rsid w:val="00C063FB"/>
    <w:rsid w:val="00C119E3"/>
    <w:rsid w:val="00C148C6"/>
    <w:rsid w:val="00C164B2"/>
    <w:rsid w:val="00C202E3"/>
    <w:rsid w:val="00C2062B"/>
    <w:rsid w:val="00C2146B"/>
    <w:rsid w:val="00C22396"/>
    <w:rsid w:val="00C2331E"/>
    <w:rsid w:val="00C27D88"/>
    <w:rsid w:val="00C31D7B"/>
    <w:rsid w:val="00C31DBB"/>
    <w:rsid w:val="00C333E0"/>
    <w:rsid w:val="00C34F82"/>
    <w:rsid w:val="00C3667B"/>
    <w:rsid w:val="00C37EED"/>
    <w:rsid w:val="00C41F0A"/>
    <w:rsid w:val="00C44033"/>
    <w:rsid w:val="00C442A0"/>
    <w:rsid w:val="00C45BC2"/>
    <w:rsid w:val="00C47678"/>
    <w:rsid w:val="00C47D23"/>
    <w:rsid w:val="00C50D54"/>
    <w:rsid w:val="00C50F57"/>
    <w:rsid w:val="00C5192A"/>
    <w:rsid w:val="00C53F9F"/>
    <w:rsid w:val="00C544A1"/>
    <w:rsid w:val="00C56197"/>
    <w:rsid w:val="00C56368"/>
    <w:rsid w:val="00C5698C"/>
    <w:rsid w:val="00C579FA"/>
    <w:rsid w:val="00C62250"/>
    <w:rsid w:val="00C64395"/>
    <w:rsid w:val="00C67ADE"/>
    <w:rsid w:val="00C721C6"/>
    <w:rsid w:val="00C73CDA"/>
    <w:rsid w:val="00C750F9"/>
    <w:rsid w:val="00C811EF"/>
    <w:rsid w:val="00C81F16"/>
    <w:rsid w:val="00C839D9"/>
    <w:rsid w:val="00C85F6D"/>
    <w:rsid w:val="00C86EC9"/>
    <w:rsid w:val="00C875AC"/>
    <w:rsid w:val="00C9222D"/>
    <w:rsid w:val="00C93D2B"/>
    <w:rsid w:val="00C952C9"/>
    <w:rsid w:val="00C9572F"/>
    <w:rsid w:val="00C97E08"/>
    <w:rsid w:val="00CA0BEB"/>
    <w:rsid w:val="00CA40D9"/>
    <w:rsid w:val="00CA4BAA"/>
    <w:rsid w:val="00CA5C8D"/>
    <w:rsid w:val="00CA5E5D"/>
    <w:rsid w:val="00CB0247"/>
    <w:rsid w:val="00CB05A1"/>
    <w:rsid w:val="00CB495F"/>
    <w:rsid w:val="00CB4C26"/>
    <w:rsid w:val="00CB630A"/>
    <w:rsid w:val="00CB7D40"/>
    <w:rsid w:val="00CC1A9A"/>
    <w:rsid w:val="00CC1C65"/>
    <w:rsid w:val="00CC1D4E"/>
    <w:rsid w:val="00CC2624"/>
    <w:rsid w:val="00CC278C"/>
    <w:rsid w:val="00CC53C8"/>
    <w:rsid w:val="00CD062B"/>
    <w:rsid w:val="00CD15BA"/>
    <w:rsid w:val="00CD19FA"/>
    <w:rsid w:val="00CD2891"/>
    <w:rsid w:val="00CD3BEB"/>
    <w:rsid w:val="00CD5F15"/>
    <w:rsid w:val="00CD710E"/>
    <w:rsid w:val="00CE4AE6"/>
    <w:rsid w:val="00CE6E43"/>
    <w:rsid w:val="00CF0D97"/>
    <w:rsid w:val="00CF4610"/>
    <w:rsid w:val="00CF711A"/>
    <w:rsid w:val="00D00EF1"/>
    <w:rsid w:val="00D05548"/>
    <w:rsid w:val="00D06020"/>
    <w:rsid w:val="00D137F1"/>
    <w:rsid w:val="00D14852"/>
    <w:rsid w:val="00D15513"/>
    <w:rsid w:val="00D163A8"/>
    <w:rsid w:val="00D217DF"/>
    <w:rsid w:val="00D226AF"/>
    <w:rsid w:val="00D22CA9"/>
    <w:rsid w:val="00D2381B"/>
    <w:rsid w:val="00D240B5"/>
    <w:rsid w:val="00D25500"/>
    <w:rsid w:val="00D25E60"/>
    <w:rsid w:val="00D26DDE"/>
    <w:rsid w:val="00D30318"/>
    <w:rsid w:val="00D30E10"/>
    <w:rsid w:val="00D313F8"/>
    <w:rsid w:val="00D3471D"/>
    <w:rsid w:val="00D3610F"/>
    <w:rsid w:val="00D37D8A"/>
    <w:rsid w:val="00D37E88"/>
    <w:rsid w:val="00D40D08"/>
    <w:rsid w:val="00D43BEF"/>
    <w:rsid w:val="00D47422"/>
    <w:rsid w:val="00D51371"/>
    <w:rsid w:val="00D533BA"/>
    <w:rsid w:val="00D54702"/>
    <w:rsid w:val="00D54BEB"/>
    <w:rsid w:val="00D55A48"/>
    <w:rsid w:val="00D56F4C"/>
    <w:rsid w:val="00D57EB8"/>
    <w:rsid w:val="00D64D06"/>
    <w:rsid w:val="00D661BB"/>
    <w:rsid w:val="00D665D7"/>
    <w:rsid w:val="00D67786"/>
    <w:rsid w:val="00D80586"/>
    <w:rsid w:val="00D80683"/>
    <w:rsid w:val="00D8409C"/>
    <w:rsid w:val="00D900FA"/>
    <w:rsid w:val="00D9055D"/>
    <w:rsid w:val="00D90992"/>
    <w:rsid w:val="00D92085"/>
    <w:rsid w:val="00D93A71"/>
    <w:rsid w:val="00D93C60"/>
    <w:rsid w:val="00D96F8A"/>
    <w:rsid w:val="00D975EC"/>
    <w:rsid w:val="00D9767C"/>
    <w:rsid w:val="00DA19D1"/>
    <w:rsid w:val="00DA1FB6"/>
    <w:rsid w:val="00DA4EE2"/>
    <w:rsid w:val="00DA5D71"/>
    <w:rsid w:val="00DA7886"/>
    <w:rsid w:val="00DA7A12"/>
    <w:rsid w:val="00DB02CD"/>
    <w:rsid w:val="00DB1CB6"/>
    <w:rsid w:val="00DB1FD6"/>
    <w:rsid w:val="00DB2223"/>
    <w:rsid w:val="00DB333D"/>
    <w:rsid w:val="00DB5FF6"/>
    <w:rsid w:val="00DB6082"/>
    <w:rsid w:val="00DB71C2"/>
    <w:rsid w:val="00DC1987"/>
    <w:rsid w:val="00DC4DEB"/>
    <w:rsid w:val="00DD2521"/>
    <w:rsid w:val="00DD2528"/>
    <w:rsid w:val="00DD2671"/>
    <w:rsid w:val="00DD430A"/>
    <w:rsid w:val="00DE0811"/>
    <w:rsid w:val="00DE2117"/>
    <w:rsid w:val="00DE34E4"/>
    <w:rsid w:val="00DE670B"/>
    <w:rsid w:val="00DF271A"/>
    <w:rsid w:val="00DF3303"/>
    <w:rsid w:val="00DF38B2"/>
    <w:rsid w:val="00DF6DA3"/>
    <w:rsid w:val="00DF7C57"/>
    <w:rsid w:val="00E0051C"/>
    <w:rsid w:val="00E00EE3"/>
    <w:rsid w:val="00E055DF"/>
    <w:rsid w:val="00E05EF5"/>
    <w:rsid w:val="00E0657A"/>
    <w:rsid w:val="00E10604"/>
    <w:rsid w:val="00E11501"/>
    <w:rsid w:val="00E13004"/>
    <w:rsid w:val="00E16A9F"/>
    <w:rsid w:val="00E1706C"/>
    <w:rsid w:val="00E20A1C"/>
    <w:rsid w:val="00E2170D"/>
    <w:rsid w:val="00E220FF"/>
    <w:rsid w:val="00E233E3"/>
    <w:rsid w:val="00E24940"/>
    <w:rsid w:val="00E25854"/>
    <w:rsid w:val="00E25875"/>
    <w:rsid w:val="00E26CB6"/>
    <w:rsid w:val="00E27475"/>
    <w:rsid w:val="00E274CE"/>
    <w:rsid w:val="00E276FD"/>
    <w:rsid w:val="00E27F26"/>
    <w:rsid w:val="00E335CE"/>
    <w:rsid w:val="00E33F92"/>
    <w:rsid w:val="00E342C9"/>
    <w:rsid w:val="00E34CEF"/>
    <w:rsid w:val="00E40485"/>
    <w:rsid w:val="00E43C8B"/>
    <w:rsid w:val="00E44391"/>
    <w:rsid w:val="00E5164D"/>
    <w:rsid w:val="00E60CF1"/>
    <w:rsid w:val="00E60D06"/>
    <w:rsid w:val="00E61DB8"/>
    <w:rsid w:val="00E63278"/>
    <w:rsid w:val="00E651EC"/>
    <w:rsid w:val="00E65282"/>
    <w:rsid w:val="00E70406"/>
    <w:rsid w:val="00E70C07"/>
    <w:rsid w:val="00E713CB"/>
    <w:rsid w:val="00E73BD8"/>
    <w:rsid w:val="00E74A10"/>
    <w:rsid w:val="00E76523"/>
    <w:rsid w:val="00E7729C"/>
    <w:rsid w:val="00E772E4"/>
    <w:rsid w:val="00E806AD"/>
    <w:rsid w:val="00E82CE2"/>
    <w:rsid w:val="00E8351E"/>
    <w:rsid w:val="00E92ECC"/>
    <w:rsid w:val="00E93323"/>
    <w:rsid w:val="00E94F5D"/>
    <w:rsid w:val="00E976F0"/>
    <w:rsid w:val="00EA2080"/>
    <w:rsid w:val="00EA6D4C"/>
    <w:rsid w:val="00EB3E5A"/>
    <w:rsid w:val="00EB47FC"/>
    <w:rsid w:val="00EC082A"/>
    <w:rsid w:val="00EC1E66"/>
    <w:rsid w:val="00EC20B7"/>
    <w:rsid w:val="00EC256E"/>
    <w:rsid w:val="00EC3F5F"/>
    <w:rsid w:val="00EC435A"/>
    <w:rsid w:val="00EC6065"/>
    <w:rsid w:val="00EC66A1"/>
    <w:rsid w:val="00EC7F1A"/>
    <w:rsid w:val="00ED0107"/>
    <w:rsid w:val="00ED129B"/>
    <w:rsid w:val="00ED1317"/>
    <w:rsid w:val="00ED7321"/>
    <w:rsid w:val="00ED7330"/>
    <w:rsid w:val="00ED795E"/>
    <w:rsid w:val="00EF13A4"/>
    <w:rsid w:val="00EF1983"/>
    <w:rsid w:val="00EF4191"/>
    <w:rsid w:val="00EF4B62"/>
    <w:rsid w:val="00EF5EA0"/>
    <w:rsid w:val="00EF6E95"/>
    <w:rsid w:val="00EF71D4"/>
    <w:rsid w:val="00F0083E"/>
    <w:rsid w:val="00F01DA0"/>
    <w:rsid w:val="00F03859"/>
    <w:rsid w:val="00F03991"/>
    <w:rsid w:val="00F0469C"/>
    <w:rsid w:val="00F05AF7"/>
    <w:rsid w:val="00F0722E"/>
    <w:rsid w:val="00F12CC8"/>
    <w:rsid w:val="00F147D0"/>
    <w:rsid w:val="00F165AB"/>
    <w:rsid w:val="00F169F5"/>
    <w:rsid w:val="00F20B3D"/>
    <w:rsid w:val="00F2144F"/>
    <w:rsid w:val="00F23026"/>
    <w:rsid w:val="00F2304D"/>
    <w:rsid w:val="00F3121B"/>
    <w:rsid w:val="00F31425"/>
    <w:rsid w:val="00F3152F"/>
    <w:rsid w:val="00F3257B"/>
    <w:rsid w:val="00F325E9"/>
    <w:rsid w:val="00F340E2"/>
    <w:rsid w:val="00F34837"/>
    <w:rsid w:val="00F34E75"/>
    <w:rsid w:val="00F37F5E"/>
    <w:rsid w:val="00F40542"/>
    <w:rsid w:val="00F4064A"/>
    <w:rsid w:val="00F431A2"/>
    <w:rsid w:val="00F43550"/>
    <w:rsid w:val="00F452DD"/>
    <w:rsid w:val="00F4705D"/>
    <w:rsid w:val="00F4754A"/>
    <w:rsid w:val="00F47D59"/>
    <w:rsid w:val="00F50661"/>
    <w:rsid w:val="00F50925"/>
    <w:rsid w:val="00F51315"/>
    <w:rsid w:val="00F51A54"/>
    <w:rsid w:val="00F53295"/>
    <w:rsid w:val="00F53985"/>
    <w:rsid w:val="00F54249"/>
    <w:rsid w:val="00F55899"/>
    <w:rsid w:val="00F60542"/>
    <w:rsid w:val="00F608B7"/>
    <w:rsid w:val="00F64F59"/>
    <w:rsid w:val="00F6587E"/>
    <w:rsid w:val="00F66B94"/>
    <w:rsid w:val="00F67D49"/>
    <w:rsid w:val="00F70F89"/>
    <w:rsid w:val="00F77D2B"/>
    <w:rsid w:val="00F82E28"/>
    <w:rsid w:val="00F87C2A"/>
    <w:rsid w:val="00F92CA1"/>
    <w:rsid w:val="00F9347C"/>
    <w:rsid w:val="00F95317"/>
    <w:rsid w:val="00F966AC"/>
    <w:rsid w:val="00FA138B"/>
    <w:rsid w:val="00FA3E48"/>
    <w:rsid w:val="00FA4D8A"/>
    <w:rsid w:val="00FA6174"/>
    <w:rsid w:val="00FA6669"/>
    <w:rsid w:val="00FA6FCA"/>
    <w:rsid w:val="00FA7B71"/>
    <w:rsid w:val="00FB17F5"/>
    <w:rsid w:val="00FB1833"/>
    <w:rsid w:val="00FB2E99"/>
    <w:rsid w:val="00FB366D"/>
    <w:rsid w:val="00FB483C"/>
    <w:rsid w:val="00FB7A7A"/>
    <w:rsid w:val="00FC0F04"/>
    <w:rsid w:val="00FC3896"/>
    <w:rsid w:val="00FC7532"/>
    <w:rsid w:val="00FC7B83"/>
    <w:rsid w:val="00FD65B6"/>
    <w:rsid w:val="00FD714D"/>
    <w:rsid w:val="00FE012A"/>
    <w:rsid w:val="00FE04E7"/>
    <w:rsid w:val="00FE0918"/>
    <w:rsid w:val="00FE1098"/>
    <w:rsid w:val="00FE1B93"/>
    <w:rsid w:val="00FE5658"/>
    <w:rsid w:val="00FE5EA2"/>
    <w:rsid w:val="00FE74F1"/>
    <w:rsid w:val="00FE77D3"/>
    <w:rsid w:val="00FF006D"/>
    <w:rsid w:val="00FF08FA"/>
    <w:rsid w:val="00FF0A71"/>
    <w:rsid w:val="00FF3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A6421"/>
  <w15:chartTrackingRefBased/>
  <w15:docId w15:val="{76EABB00-7265-46DB-A7A6-FE5817DE9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8E2"/>
  </w:style>
  <w:style w:type="paragraph" w:styleId="1">
    <w:name w:val="heading 1"/>
    <w:basedOn w:val="a"/>
    <w:next w:val="a"/>
    <w:link w:val="10"/>
    <w:uiPriority w:val="9"/>
    <w:qFormat/>
    <w:rsid w:val="00E933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2719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1159D9"/>
    <w:pPr>
      <w:keepNext/>
      <w:keepLines/>
      <w:spacing w:before="40" w:after="0"/>
      <w:outlineLvl w:val="2"/>
    </w:pPr>
    <w:rPr>
      <w:rFonts w:asciiTheme="majorHAnsi" w:eastAsiaTheme="majorEastAsia" w:hAnsiTheme="majorHAnsi" w:cstheme="majorBidi"/>
      <w:color w:val="1F4D78" w:themeColor="accent1" w:themeShade="7F"/>
      <w:sz w:val="24"/>
      <w:szCs w:val="24"/>
      <w:lang w:val="ro-MD"/>
    </w:rPr>
  </w:style>
  <w:style w:type="paragraph" w:styleId="4">
    <w:name w:val="heading 4"/>
    <w:basedOn w:val="a"/>
    <w:next w:val="a"/>
    <w:link w:val="40"/>
    <w:uiPriority w:val="9"/>
    <w:semiHidden/>
    <w:unhideWhenUsed/>
    <w:qFormat/>
    <w:rsid w:val="00BD25A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22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022BC"/>
    <w:rPr>
      <w:color w:val="0563C1" w:themeColor="hyperlink"/>
      <w:u w:val="single"/>
    </w:rPr>
  </w:style>
  <w:style w:type="paragraph" w:styleId="a5">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a"/>
    <w:link w:val="a6"/>
    <w:uiPriority w:val="99"/>
    <w:unhideWhenUsed/>
    <w:qFormat/>
    <w:rsid w:val="009022BC"/>
    <w:pPr>
      <w:spacing w:after="0" w:line="240" w:lineRule="auto"/>
    </w:pPr>
    <w:rPr>
      <w:rFonts w:ascii="Times New Roman" w:hAnsi="Times New Roman"/>
      <w:sz w:val="28"/>
      <w:szCs w:val="20"/>
      <w:vertAlign w:val="superscript"/>
    </w:rPr>
  </w:style>
  <w:style w:type="character" w:customStyle="1" w:styleId="a6">
    <w:name w:val="Текст сноски Знак"/>
    <w:aliases w:val="Char Знак,Знак1 Знак,Fußnote Char Char Знак,Fußnote Char Знак,Fußnote Char Car Char Char Знак,Fußnote Char Car Char Char Char Char Char Char Char Char Char Char Знак,fn Знак,single space Знак"/>
    <w:basedOn w:val="a0"/>
    <w:link w:val="a5"/>
    <w:uiPriority w:val="99"/>
    <w:qFormat/>
    <w:rsid w:val="009022BC"/>
    <w:rPr>
      <w:rFonts w:ascii="Times New Roman" w:hAnsi="Times New Roman"/>
      <w:sz w:val="28"/>
      <w:szCs w:val="20"/>
      <w:vertAlign w:val="superscript"/>
    </w:rPr>
  </w:style>
  <w:style w:type="table" w:styleId="21">
    <w:name w:val="Plain Table 2"/>
    <w:basedOn w:val="a1"/>
    <w:uiPriority w:val="42"/>
    <w:rsid w:val="003657D1"/>
    <w:pPr>
      <w:spacing w:after="0" w:line="240" w:lineRule="auto"/>
    </w:pPr>
    <w:rPr>
      <w:lang w:val="ro-MD"/>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7">
    <w:name w:val="List Paragraph"/>
    <w:aliases w:val="Scriptoria bullet points,List Paragraph 1,Абзац списка1,strikethrough,standaard met opsomming,List Paragraph1,Bullets,References,Liste 1,List Paragraph nowy,Numbered List Paragraph,List Paragraph (numbered (a)),Medium Grid 1 - Accent 21,3"/>
    <w:basedOn w:val="a"/>
    <w:link w:val="a8"/>
    <w:uiPriority w:val="34"/>
    <w:qFormat/>
    <w:rsid w:val="009E7FD2"/>
    <w:pPr>
      <w:ind w:left="720"/>
      <w:contextualSpacing/>
    </w:pPr>
  </w:style>
  <w:style w:type="character" w:customStyle="1" w:styleId="a8">
    <w:name w:val="Абзац списка Знак"/>
    <w:aliases w:val="Scriptoria bullet points Знак,List Paragraph 1 Знак,Абзац списка1 Знак,strikethrough Знак,standaard met opsomming Знак,List Paragraph1 Знак,Bullets Знак,References Знак,Liste 1 Знак,List Paragraph nowy Знак,Numbered List Paragraph Знак"/>
    <w:link w:val="a7"/>
    <w:uiPriority w:val="34"/>
    <w:qFormat/>
    <w:locked/>
    <w:rsid w:val="009E7FD2"/>
  </w:style>
  <w:style w:type="paragraph" w:customStyle="1" w:styleId="cn">
    <w:name w:val="cn"/>
    <w:basedOn w:val="a"/>
    <w:qFormat/>
    <w:rsid w:val="009E7FD2"/>
    <w:pPr>
      <w:spacing w:after="0" w:line="240" w:lineRule="auto"/>
      <w:jc w:val="center"/>
    </w:pPr>
    <w:rPr>
      <w:rFonts w:ascii="Times New Roman" w:eastAsia="Times New Roman" w:hAnsi="Times New Roman" w:cs="Times New Roman"/>
      <w:sz w:val="24"/>
      <w:szCs w:val="24"/>
      <w:lang w:val="ru-RU" w:eastAsia="ru-RU"/>
    </w:rPr>
  </w:style>
  <w:style w:type="character" w:styleId="a9">
    <w:name w:val="footnote reference"/>
    <w:aliases w:val="ftref,Times 10 Point,Exposant 3 Point,Footnote symbol,Footnote reference number,EN Footnote Reference,note TESI,16 Point,Superscript 6 Point,BVI fnr,Char Char1,FOOTNOTES Char1,fn Char1,single space Char1,ft Char1,Ref,fr,FR,Знак1 Char1"/>
    <w:basedOn w:val="a0"/>
    <w:link w:val="FNRefeCharChar"/>
    <w:uiPriority w:val="99"/>
    <w:unhideWhenUsed/>
    <w:qFormat/>
    <w:rsid w:val="009E7FD2"/>
    <w:rPr>
      <w:sz w:val="20"/>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9"/>
    <w:uiPriority w:val="99"/>
    <w:qFormat/>
    <w:rsid w:val="009E7FD2"/>
    <w:pPr>
      <w:spacing w:line="240" w:lineRule="exact"/>
    </w:pPr>
    <w:rPr>
      <w:sz w:val="20"/>
      <w:vertAlign w:val="superscript"/>
    </w:rPr>
  </w:style>
  <w:style w:type="paragraph" w:styleId="aa">
    <w:name w:val="header"/>
    <w:basedOn w:val="a"/>
    <w:link w:val="ab"/>
    <w:uiPriority w:val="99"/>
    <w:unhideWhenUsed/>
    <w:rsid w:val="009E7FD2"/>
    <w:pPr>
      <w:tabs>
        <w:tab w:val="center" w:pos="4844"/>
        <w:tab w:val="right" w:pos="9689"/>
      </w:tabs>
      <w:spacing w:after="0" w:line="240" w:lineRule="auto"/>
    </w:pPr>
  </w:style>
  <w:style w:type="character" w:customStyle="1" w:styleId="ab">
    <w:name w:val="Верхний колонтитул Знак"/>
    <w:basedOn w:val="a0"/>
    <w:link w:val="aa"/>
    <w:uiPriority w:val="99"/>
    <w:rsid w:val="009E7FD2"/>
  </w:style>
  <w:style w:type="paragraph" w:styleId="ac">
    <w:name w:val="footer"/>
    <w:basedOn w:val="a"/>
    <w:link w:val="ad"/>
    <w:uiPriority w:val="99"/>
    <w:unhideWhenUsed/>
    <w:rsid w:val="009E7FD2"/>
    <w:pPr>
      <w:tabs>
        <w:tab w:val="center" w:pos="4844"/>
        <w:tab w:val="right" w:pos="9689"/>
      </w:tabs>
      <w:spacing w:after="0" w:line="240" w:lineRule="auto"/>
    </w:pPr>
  </w:style>
  <w:style w:type="character" w:customStyle="1" w:styleId="ad">
    <w:name w:val="Нижний колонтитул Знак"/>
    <w:basedOn w:val="a0"/>
    <w:link w:val="ac"/>
    <w:uiPriority w:val="99"/>
    <w:rsid w:val="009E7FD2"/>
  </w:style>
  <w:style w:type="character" w:customStyle="1" w:styleId="30">
    <w:name w:val="Заголовок 3 Знак"/>
    <w:basedOn w:val="a0"/>
    <w:link w:val="3"/>
    <w:uiPriority w:val="9"/>
    <w:rsid w:val="001159D9"/>
    <w:rPr>
      <w:rFonts w:asciiTheme="majorHAnsi" w:eastAsiaTheme="majorEastAsia" w:hAnsiTheme="majorHAnsi" w:cstheme="majorBidi"/>
      <w:color w:val="1F4D78" w:themeColor="accent1" w:themeShade="7F"/>
      <w:sz w:val="24"/>
      <w:szCs w:val="24"/>
      <w:lang w:val="ro-MD"/>
    </w:rPr>
  </w:style>
  <w:style w:type="paragraph" w:styleId="ae">
    <w:name w:val="Normal (Web)"/>
    <w:basedOn w:val="a"/>
    <w:uiPriority w:val="99"/>
    <w:unhideWhenUsed/>
    <w:rsid w:val="006A2C40"/>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Strong"/>
    <w:basedOn w:val="a0"/>
    <w:uiPriority w:val="22"/>
    <w:qFormat/>
    <w:rsid w:val="006A2C40"/>
    <w:rPr>
      <w:b/>
      <w:bCs/>
    </w:rPr>
  </w:style>
  <w:style w:type="table" w:styleId="5">
    <w:name w:val="Plain Table 5"/>
    <w:basedOn w:val="a1"/>
    <w:uiPriority w:val="45"/>
    <w:rsid w:val="00FF006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0">
    <w:name w:val="No Spacing"/>
    <w:link w:val="af1"/>
    <w:uiPriority w:val="1"/>
    <w:qFormat/>
    <w:rsid w:val="007419F0"/>
    <w:pPr>
      <w:spacing w:after="0" w:line="240" w:lineRule="auto"/>
    </w:pPr>
    <w:rPr>
      <w:rFonts w:eastAsiaTheme="minorEastAsia"/>
    </w:rPr>
  </w:style>
  <w:style w:type="character" w:customStyle="1" w:styleId="af1">
    <w:name w:val="Без интервала Знак"/>
    <w:basedOn w:val="a0"/>
    <w:link w:val="af0"/>
    <w:uiPriority w:val="1"/>
    <w:rsid w:val="007419F0"/>
    <w:rPr>
      <w:rFonts w:eastAsiaTheme="minorEastAsia"/>
    </w:rPr>
  </w:style>
  <w:style w:type="table" w:styleId="31">
    <w:name w:val="Plain Table 3"/>
    <w:basedOn w:val="a1"/>
    <w:uiPriority w:val="43"/>
    <w:rsid w:val="00710E6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af2">
    <w:name w:val="annotation reference"/>
    <w:basedOn w:val="a0"/>
    <w:uiPriority w:val="99"/>
    <w:semiHidden/>
    <w:unhideWhenUsed/>
    <w:rsid w:val="001F35E8"/>
    <w:rPr>
      <w:sz w:val="16"/>
      <w:szCs w:val="16"/>
    </w:rPr>
  </w:style>
  <w:style w:type="paragraph" w:styleId="af3">
    <w:name w:val="annotation text"/>
    <w:basedOn w:val="a"/>
    <w:link w:val="af4"/>
    <w:uiPriority w:val="99"/>
    <w:semiHidden/>
    <w:unhideWhenUsed/>
    <w:rsid w:val="001F35E8"/>
    <w:pPr>
      <w:spacing w:line="240" w:lineRule="auto"/>
    </w:pPr>
    <w:rPr>
      <w:sz w:val="20"/>
      <w:szCs w:val="20"/>
      <w:lang w:val="ro-MD"/>
    </w:rPr>
  </w:style>
  <w:style w:type="character" w:customStyle="1" w:styleId="af4">
    <w:name w:val="Текст примечания Знак"/>
    <w:basedOn w:val="a0"/>
    <w:link w:val="af3"/>
    <w:uiPriority w:val="99"/>
    <w:semiHidden/>
    <w:rsid w:val="001F35E8"/>
    <w:rPr>
      <w:sz w:val="20"/>
      <w:szCs w:val="20"/>
      <w:lang w:val="ro-MD"/>
    </w:rPr>
  </w:style>
  <w:style w:type="paragraph" w:styleId="af5">
    <w:name w:val="Balloon Text"/>
    <w:basedOn w:val="a"/>
    <w:link w:val="af6"/>
    <w:uiPriority w:val="99"/>
    <w:semiHidden/>
    <w:unhideWhenUsed/>
    <w:rsid w:val="001F35E8"/>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1F35E8"/>
    <w:rPr>
      <w:rFonts w:ascii="Segoe UI" w:hAnsi="Segoe UI" w:cs="Segoe UI"/>
      <w:sz w:val="18"/>
      <w:szCs w:val="18"/>
    </w:rPr>
  </w:style>
  <w:style w:type="character" w:customStyle="1" w:styleId="10">
    <w:name w:val="Заголовок 1 Знак"/>
    <w:basedOn w:val="a0"/>
    <w:link w:val="1"/>
    <w:uiPriority w:val="9"/>
    <w:rsid w:val="00E93323"/>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271904"/>
    <w:rPr>
      <w:rFonts w:asciiTheme="majorHAnsi" w:eastAsiaTheme="majorEastAsia" w:hAnsiTheme="majorHAnsi" w:cstheme="majorBidi"/>
      <w:color w:val="2E74B5" w:themeColor="accent1" w:themeShade="BF"/>
      <w:sz w:val="26"/>
      <w:szCs w:val="26"/>
    </w:rPr>
  </w:style>
  <w:style w:type="character" w:customStyle="1" w:styleId="40">
    <w:name w:val="Заголовок 4 Знак"/>
    <w:basedOn w:val="a0"/>
    <w:link w:val="4"/>
    <w:uiPriority w:val="9"/>
    <w:semiHidden/>
    <w:rsid w:val="00BD25AE"/>
    <w:rPr>
      <w:rFonts w:asciiTheme="majorHAnsi" w:eastAsiaTheme="majorEastAsia" w:hAnsiTheme="majorHAnsi" w:cstheme="majorBidi"/>
      <w:i/>
      <w:iCs/>
      <w:color w:val="2E74B5" w:themeColor="accent1" w:themeShade="BF"/>
    </w:rPr>
  </w:style>
  <w:style w:type="paragraph" w:customStyle="1" w:styleId="Default">
    <w:name w:val="Default"/>
    <w:rsid w:val="009708AE"/>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PlainTable21">
    <w:name w:val="Plain Table 21"/>
    <w:basedOn w:val="a1"/>
    <w:uiPriority w:val="42"/>
    <w:rsid w:val="006D52C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tblPr/>
      <w:tcPr>
        <w:tcBorders>
          <w:bottom w:val="single" w:sz="4" w:space="0" w:color="7F7F7F" w:themeColor="text1" w:themeTint="80"/>
        </w:tcBorders>
      </w:tcPr>
    </w:tblStylePr>
    <w:tblStylePr w:type="lastRow">
      <w:tblPr/>
      <w:tcPr>
        <w:tcBorders>
          <w:top w:val="single" w:sz="4" w:space="0" w:color="7F7F7F" w:themeColor="text1" w:themeTint="80"/>
        </w:tcBorders>
      </w:tc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f7">
    <w:name w:val="TOC Heading"/>
    <w:basedOn w:val="1"/>
    <w:next w:val="a"/>
    <w:uiPriority w:val="39"/>
    <w:unhideWhenUsed/>
    <w:qFormat/>
    <w:rsid w:val="00FA7B71"/>
    <w:pPr>
      <w:outlineLvl w:val="9"/>
    </w:pPr>
  </w:style>
  <w:style w:type="paragraph" w:styleId="11">
    <w:name w:val="toc 1"/>
    <w:basedOn w:val="a"/>
    <w:next w:val="a"/>
    <w:autoRedefine/>
    <w:uiPriority w:val="39"/>
    <w:unhideWhenUsed/>
    <w:rsid w:val="00FA7B71"/>
    <w:pPr>
      <w:spacing w:after="100"/>
    </w:pPr>
  </w:style>
  <w:style w:type="paragraph" w:styleId="22">
    <w:name w:val="toc 2"/>
    <w:basedOn w:val="a"/>
    <w:next w:val="a"/>
    <w:autoRedefine/>
    <w:uiPriority w:val="39"/>
    <w:unhideWhenUsed/>
    <w:rsid w:val="00FA7B71"/>
    <w:pPr>
      <w:spacing w:after="100"/>
      <w:ind w:left="220"/>
    </w:pPr>
  </w:style>
  <w:style w:type="paragraph" w:styleId="32">
    <w:name w:val="toc 3"/>
    <w:basedOn w:val="a"/>
    <w:next w:val="a"/>
    <w:autoRedefine/>
    <w:uiPriority w:val="39"/>
    <w:unhideWhenUsed/>
    <w:rsid w:val="00FA7B71"/>
    <w:pPr>
      <w:spacing w:after="100"/>
      <w:ind w:left="440"/>
    </w:pPr>
  </w:style>
  <w:style w:type="character" w:customStyle="1" w:styleId="Bodytext2">
    <w:name w:val="Body text (2)_"/>
    <w:basedOn w:val="a0"/>
    <w:link w:val="Bodytext20"/>
    <w:rsid w:val="00FD65B6"/>
    <w:rPr>
      <w:rFonts w:ascii="Times New Roman" w:eastAsia="Times New Roman" w:hAnsi="Times New Roman" w:cs="Times New Roman"/>
      <w:shd w:val="clear" w:color="auto" w:fill="FFFFFF"/>
    </w:rPr>
  </w:style>
  <w:style w:type="paragraph" w:customStyle="1" w:styleId="Bodytext20">
    <w:name w:val="Body text (2)"/>
    <w:basedOn w:val="a"/>
    <w:link w:val="Bodytext2"/>
    <w:rsid w:val="00FD65B6"/>
    <w:pPr>
      <w:widowControl w:val="0"/>
      <w:shd w:val="clear" w:color="auto" w:fill="FFFFFF"/>
      <w:spacing w:before="1040" w:after="300" w:line="244" w:lineRule="exact"/>
    </w:pPr>
    <w:rPr>
      <w:rFonts w:ascii="Times New Roman" w:eastAsia="Times New Roman" w:hAnsi="Times New Roman" w:cs="Times New Roman"/>
    </w:rPr>
  </w:style>
  <w:style w:type="paragraph" w:styleId="af8">
    <w:name w:val="annotation subject"/>
    <w:basedOn w:val="af3"/>
    <w:next w:val="af3"/>
    <w:link w:val="af9"/>
    <w:uiPriority w:val="99"/>
    <w:semiHidden/>
    <w:unhideWhenUsed/>
    <w:rsid w:val="004B370E"/>
    <w:rPr>
      <w:b/>
      <w:bCs/>
      <w:lang w:val="en-US"/>
    </w:rPr>
  </w:style>
  <w:style w:type="character" w:customStyle="1" w:styleId="af9">
    <w:name w:val="Тема примечания Знак"/>
    <w:basedOn w:val="af4"/>
    <w:link w:val="af8"/>
    <w:uiPriority w:val="99"/>
    <w:semiHidden/>
    <w:rsid w:val="004B370E"/>
    <w:rPr>
      <w:b/>
      <w:bCs/>
      <w:sz w:val="20"/>
      <w:szCs w:val="20"/>
      <w:lang w:val="ro-MD"/>
    </w:rPr>
  </w:style>
  <w:style w:type="table" w:styleId="12">
    <w:name w:val="Plain Table 1"/>
    <w:basedOn w:val="a1"/>
    <w:uiPriority w:val="41"/>
    <w:rsid w:val="00C93D2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72394">
      <w:bodyDiv w:val="1"/>
      <w:marLeft w:val="0"/>
      <w:marRight w:val="0"/>
      <w:marTop w:val="0"/>
      <w:marBottom w:val="0"/>
      <w:divBdr>
        <w:top w:val="none" w:sz="0" w:space="0" w:color="auto"/>
        <w:left w:val="none" w:sz="0" w:space="0" w:color="auto"/>
        <w:bottom w:val="none" w:sz="0" w:space="0" w:color="auto"/>
        <w:right w:val="none" w:sz="0" w:space="0" w:color="auto"/>
      </w:divBdr>
    </w:div>
    <w:div w:id="268244874">
      <w:bodyDiv w:val="1"/>
      <w:marLeft w:val="0"/>
      <w:marRight w:val="0"/>
      <w:marTop w:val="0"/>
      <w:marBottom w:val="0"/>
      <w:divBdr>
        <w:top w:val="none" w:sz="0" w:space="0" w:color="auto"/>
        <w:left w:val="none" w:sz="0" w:space="0" w:color="auto"/>
        <w:bottom w:val="none" w:sz="0" w:space="0" w:color="auto"/>
        <w:right w:val="none" w:sz="0" w:space="0" w:color="auto"/>
      </w:divBdr>
    </w:div>
    <w:div w:id="283273515">
      <w:bodyDiv w:val="1"/>
      <w:marLeft w:val="0"/>
      <w:marRight w:val="0"/>
      <w:marTop w:val="0"/>
      <w:marBottom w:val="0"/>
      <w:divBdr>
        <w:top w:val="none" w:sz="0" w:space="0" w:color="auto"/>
        <w:left w:val="none" w:sz="0" w:space="0" w:color="auto"/>
        <w:bottom w:val="none" w:sz="0" w:space="0" w:color="auto"/>
        <w:right w:val="none" w:sz="0" w:space="0" w:color="auto"/>
      </w:divBdr>
    </w:div>
    <w:div w:id="303237101">
      <w:bodyDiv w:val="1"/>
      <w:marLeft w:val="0"/>
      <w:marRight w:val="0"/>
      <w:marTop w:val="0"/>
      <w:marBottom w:val="0"/>
      <w:divBdr>
        <w:top w:val="none" w:sz="0" w:space="0" w:color="auto"/>
        <w:left w:val="none" w:sz="0" w:space="0" w:color="auto"/>
        <w:bottom w:val="none" w:sz="0" w:space="0" w:color="auto"/>
        <w:right w:val="none" w:sz="0" w:space="0" w:color="auto"/>
      </w:divBdr>
    </w:div>
    <w:div w:id="378212737">
      <w:bodyDiv w:val="1"/>
      <w:marLeft w:val="0"/>
      <w:marRight w:val="0"/>
      <w:marTop w:val="0"/>
      <w:marBottom w:val="0"/>
      <w:divBdr>
        <w:top w:val="none" w:sz="0" w:space="0" w:color="auto"/>
        <w:left w:val="none" w:sz="0" w:space="0" w:color="auto"/>
        <w:bottom w:val="none" w:sz="0" w:space="0" w:color="auto"/>
        <w:right w:val="none" w:sz="0" w:space="0" w:color="auto"/>
      </w:divBdr>
    </w:div>
    <w:div w:id="388384794">
      <w:bodyDiv w:val="1"/>
      <w:marLeft w:val="0"/>
      <w:marRight w:val="0"/>
      <w:marTop w:val="0"/>
      <w:marBottom w:val="0"/>
      <w:divBdr>
        <w:top w:val="none" w:sz="0" w:space="0" w:color="auto"/>
        <w:left w:val="none" w:sz="0" w:space="0" w:color="auto"/>
        <w:bottom w:val="none" w:sz="0" w:space="0" w:color="auto"/>
        <w:right w:val="none" w:sz="0" w:space="0" w:color="auto"/>
      </w:divBdr>
    </w:div>
    <w:div w:id="408845758">
      <w:bodyDiv w:val="1"/>
      <w:marLeft w:val="0"/>
      <w:marRight w:val="0"/>
      <w:marTop w:val="0"/>
      <w:marBottom w:val="0"/>
      <w:divBdr>
        <w:top w:val="none" w:sz="0" w:space="0" w:color="auto"/>
        <w:left w:val="none" w:sz="0" w:space="0" w:color="auto"/>
        <w:bottom w:val="none" w:sz="0" w:space="0" w:color="auto"/>
        <w:right w:val="none" w:sz="0" w:space="0" w:color="auto"/>
      </w:divBdr>
    </w:div>
    <w:div w:id="416559572">
      <w:bodyDiv w:val="1"/>
      <w:marLeft w:val="0"/>
      <w:marRight w:val="0"/>
      <w:marTop w:val="0"/>
      <w:marBottom w:val="0"/>
      <w:divBdr>
        <w:top w:val="none" w:sz="0" w:space="0" w:color="auto"/>
        <w:left w:val="none" w:sz="0" w:space="0" w:color="auto"/>
        <w:bottom w:val="none" w:sz="0" w:space="0" w:color="auto"/>
        <w:right w:val="none" w:sz="0" w:space="0" w:color="auto"/>
      </w:divBdr>
    </w:div>
    <w:div w:id="643193000">
      <w:bodyDiv w:val="1"/>
      <w:marLeft w:val="0"/>
      <w:marRight w:val="0"/>
      <w:marTop w:val="0"/>
      <w:marBottom w:val="0"/>
      <w:divBdr>
        <w:top w:val="none" w:sz="0" w:space="0" w:color="auto"/>
        <w:left w:val="none" w:sz="0" w:space="0" w:color="auto"/>
        <w:bottom w:val="none" w:sz="0" w:space="0" w:color="auto"/>
        <w:right w:val="none" w:sz="0" w:space="0" w:color="auto"/>
      </w:divBdr>
    </w:div>
    <w:div w:id="679311638">
      <w:bodyDiv w:val="1"/>
      <w:marLeft w:val="0"/>
      <w:marRight w:val="0"/>
      <w:marTop w:val="0"/>
      <w:marBottom w:val="0"/>
      <w:divBdr>
        <w:top w:val="none" w:sz="0" w:space="0" w:color="auto"/>
        <w:left w:val="none" w:sz="0" w:space="0" w:color="auto"/>
        <w:bottom w:val="none" w:sz="0" w:space="0" w:color="auto"/>
        <w:right w:val="none" w:sz="0" w:space="0" w:color="auto"/>
      </w:divBdr>
    </w:div>
    <w:div w:id="714045746">
      <w:bodyDiv w:val="1"/>
      <w:marLeft w:val="0"/>
      <w:marRight w:val="0"/>
      <w:marTop w:val="0"/>
      <w:marBottom w:val="0"/>
      <w:divBdr>
        <w:top w:val="none" w:sz="0" w:space="0" w:color="auto"/>
        <w:left w:val="none" w:sz="0" w:space="0" w:color="auto"/>
        <w:bottom w:val="none" w:sz="0" w:space="0" w:color="auto"/>
        <w:right w:val="none" w:sz="0" w:space="0" w:color="auto"/>
      </w:divBdr>
    </w:div>
    <w:div w:id="891426708">
      <w:bodyDiv w:val="1"/>
      <w:marLeft w:val="0"/>
      <w:marRight w:val="0"/>
      <w:marTop w:val="0"/>
      <w:marBottom w:val="0"/>
      <w:divBdr>
        <w:top w:val="none" w:sz="0" w:space="0" w:color="auto"/>
        <w:left w:val="none" w:sz="0" w:space="0" w:color="auto"/>
        <w:bottom w:val="none" w:sz="0" w:space="0" w:color="auto"/>
        <w:right w:val="none" w:sz="0" w:space="0" w:color="auto"/>
      </w:divBdr>
    </w:div>
    <w:div w:id="905530085">
      <w:bodyDiv w:val="1"/>
      <w:marLeft w:val="0"/>
      <w:marRight w:val="0"/>
      <w:marTop w:val="0"/>
      <w:marBottom w:val="0"/>
      <w:divBdr>
        <w:top w:val="none" w:sz="0" w:space="0" w:color="auto"/>
        <w:left w:val="none" w:sz="0" w:space="0" w:color="auto"/>
        <w:bottom w:val="none" w:sz="0" w:space="0" w:color="auto"/>
        <w:right w:val="none" w:sz="0" w:space="0" w:color="auto"/>
      </w:divBdr>
    </w:div>
    <w:div w:id="917983744">
      <w:bodyDiv w:val="1"/>
      <w:marLeft w:val="0"/>
      <w:marRight w:val="0"/>
      <w:marTop w:val="0"/>
      <w:marBottom w:val="0"/>
      <w:divBdr>
        <w:top w:val="none" w:sz="0" w:space="0" w:color="auto"/>
        <w:left w:val="none" w:sz="0" w:space="0" w:color="auto"/>
        <w:bottom w:val="none" w:sz="0" w:space="0" w:color="auto"/>
        <w:right w:val="none" w:sz="0" w:space="0" w:color="auto"/>
      </w:divBdr>
    </w:div>
    <w:div w:id="964195518">
      <w:bodyDiv w:val="1"/>
      <w:marLeft w:val="0"/>
      <w:marRight w:val="0"/>
      <w:marTop w:val="0"/>
      <w:marBottom w:val="0"/>
      <w:divBdr>
        <w:top w:val="none" w:sz="0" w:space="0" w:color="auto"/>
        <w:left w:val="none" w:sz="0" w:space="0" w:color="auto"/>
        <w:bottom w:val="none" w:sz="0" w:space="0" w:color="auto"/>
        <w:right w:val="none" w:sz="0" w:space="0" w:color="auto"/>
      </w:divBdr>
    </w:div>
    <w:div w:id="1057321720">
      <w:bodyDiv w:val="1"/>
      <w:marLeft w:val="0"/>
      <w:marRight w:val="0"/>
      <w:marTop w:val="0"/>
      <w:marBottom w:val="0"/>
      <w:divBdr>
        <w:top w:val="none" w:sz="0" w:space="0" w:color="auto"/>
        <w:left w:val="none" w:sz="0" w:space="0" w:color="auto"/>
        <w:bottom w:val="none" w:sz="0" w:space="0" w:color="auto"/>
        <w:right w:val="none" w:sz="0" w:space="0" w:color="auto"/>
      </w:divBdr>
    </w:div>
    <w:div w:id="1108741276">
      <w:bodyDiv w:val="1"/>
      <w:marLeft w:val="0"/>
      <w:marRight w:val="0"/>
      <w:marTop w:val="0"/>
      <w:marBottom w:val="0"/>
      <w:divBdr>
        <w:top w:val="none" w:sz="0" w:space="0" w:color="auto"/>
        <w:left w:val="none" w:sz="0" w:space="0" w:color="auto"/>
        <w:bottom w:val="none" w:sz="0" w:space="0" w:color="auto"/>
        <w:right w:val="none" w:sz="0" w:space="0" w:color="auto"/>
      </w:divBdr>
    </w:div>
    <w:div w:id="1205748916">
      <w:bodyDiv w:val="1"/>
      <w:marLeft w:val="0"/>
      <w:marRight w:val="0"/>
      <w:marTop w:val="0"/>
      <w:marBottom w:val="0"/>
      <w:divBdr>
        <w:top w:val="none" w:sz="0" w:space="0" w:color="auto"/>
        <w:left w:val="none" w:sz="0" w:space="0" w:color="auto"/>
        <w:bottom w:val="none" w:sz="0" w:space="0" w:color="auto"/>
        <w:right w:val="none" w:sz="0" w:space="0" w:color="auto"/>
      </w:divBdr>
    </w:div>
    <w:div w:id="1285845042">
      <w:bodyDiv w:val="1"/>
      <w:marLeft w:val="0"/>
      <w:marRight w:val="0"/>
      <w:marTop w:val="0"/>
      <w:marBottom w:val="0"/>
      <w:divBdr>
        <w:top w:val="none" w:sz="0" w:space="0" w:color="auto"/>
        <w:left w:val="none" w:sz="0" w:space="0" w:color="auto"/>
        <w:bottom w:val="none" w:sz="0" w:space="0" w:color="auto"/>
        <w:right w:val="none" w:sz="0" w:space="0" w:color="auto"/>
      </w:divBdr>
    </w:div>
    <w:div w:id="1404570897">
      <w:bodyDiv w:val="1"/>
      <w:marLeft w:val="0"/>
      <w:marRight w:val="0"/>
      <w:marTop w:val="0"/>
      <w:marBottom w:val="0"/>
      <w:divBdr>
        <w:top w:val="none" w:sz="0" w:space="0" w:color="auto"/>
        <w:left w:val="none" w:sz="0" w:space="0" w:color="auto"/>
        <w:bottom w:val="none" w:sz="0" w:space="0" w:color="auto"/>
        <w:right w:val="none" w:sz="0" w:space="0" w:color="auto"/>
      </w:divBdr>
    </w:div>
    <w:div w:id="1426803819">
      <w:bodyDiv w:val="1"/>
      <w:marLeft w:val="0"/>
      <w:marRight w:val="0"/>
      <w:marTop w:val="0"/>
      <w:marBottom w:val="0"/>
      <w:divBdr>
        <w:top w:val="none" w:sz="0" w:space="0" w:color="auto"/>
        <w:left w:val="none" w:sz="0" w:space="0" w:color="auto"/>
        <w:bottom w:val="none" w:sz="0" w:space="0" w:color="auto"/>
        <w:right w:val="none" w:sz="0" w:space="0" w:color="auto"/>
      </w:divBdr>
    </w:div>
    <w:div w:id="1473908918">
      <w:bodyDiv w:val="1"/>
      <w:marLeft w:val="0"/>
      <w:marRight w:val="0"/>
      <w:marTop w:val="0"/>
      <w:marBottom w:val="0"/>
      <w:divBdr>
        <w:top w:val="none" w:sz="0" w:space="0" w:color="auto"/>
        <w:left w:val="none" w:sz="0" w:space="0" w:color="auto"/>
        <w:bottom w:val="none" w:sz="0" w:space="0" w:color="auto"/>
        <w:right w:val="none" w:sz="0" w:space="0" w:color="auto"/>
      </w:divBdr>
    </w:div>
    <w:div w:id="1530603061">
      <w:bodyDiv w:val="1"/>
      <w:marLeft w:val="0"/>
      <w:marRight w:val="0"/>
      <w:marTop w:val="0"/>
      <w:marBottom w:val="0"/>
      <w:divBdr>
        <w:top w:val="none" w:sz="0" w:space="0" w:color="auto"/>
        <w:left w:val="none" w:sz="0" w:space="0" w:color="auto"/>
        <w:bottom w:val="none" w:sz="0" w:space="0" w:color="auto"/>
        <w:right w:val="none" w:sz="0" w:space="0" w:color="auto"/>
      </w:divBdr>
    </w:div>
    <w:div w:id="1548445529">
      <w:bodyDiv w:val="1"/>
      <w:marLeft w:val="0"/>
      <w:marRight w:val="0"/>
      <w:marTop w:val="0"/>
      <w:marBottom w:val="0"/>
      <w:divBdr>
        <w:top w:val="none" w:sz="0" w:space="0" w:color="auto"/>
        <w:left w:val="none" w:sz="0" w:space="0" w:color="auto"/>
        <w:bottom w:val="none" w:sz="0" w:space="0" w:color="auto"/>
        <w:right w:val="none" w:sz="0" w:space="0" w:color="auto"/>
      </w:divBdr>
    </w:div>
    <w:div w:id="1620143148">
      <w:bodyDiv w:val="1"/>
      <w:marLeft w:val="0"/>
      <w:marRight w:val="0"/>
      <w:marTop w:val="0"/>
      <w:marBottom w:val="0"/>
      <w:divBdr>
        <w:top w:val="none" w:sz="0" w:space="0" w:color="auto"/>
        <w:left w:val="none" w:sz="0" w:space="0" w:color="auto"/>
        <w:bottom w:val="none" w:sz="0" w:space="0" w:color="auto"/>
        <w:right w:val="none" w:sz="0" w:space="0" w:color="auto"/>
      </w:divBdr>
    </w:div>
    <w:div w:id="1674720492">
      <w:bodyDiv w:val="1"/>
      <w:marLeft w:val="0"/>
      <w:marRight w:val="0"/>
      <w:marTop w:val="0"/>
      <w:marBottom w:val="0"/>
      <w:divBdr>
        <w:top w:val="none" w:sz="0" w:space="0" w:color="auto"/>
        <w:left w:val="none" w:sz="0" w:space="0" w:color="auto"/>
        <w:bottom w:val="none" w:sz="0" w:space="0" w:color="auto"/>
        <w:right w:val="none" w:sz="0" w:space="0" w:color="auto"/>
      </w:divBdr>
    </w:div>
    <w:div w:id="1719355334">
      <w:bodyDiv w:val="1"/>
      <w:marLeft w:val="0"/>
      <w:marRight w:val="0"/>
      <w:marTop w:val="0"/>
      <w:marBottom w:val="0"/>
      <w:divBdr>
        <w:top w:val="none" w:sz="0" w:space="0" w:color="auto"/>
        <w:left w:val="none" w:sz="0" w:space="0" w:color="auto"/>
        <w:bottom w:val="none" w:sz="0" w:space="0" w:color="auto"/>
        <w:right w:val="none" w:sz="0" w:space="0" w:color="auto"/>
      </w:divBdr>
    </w:div>
    <w:div w:id="1811094076">
      <w:bodyDiv w:val="1"/>
      <w:marLeft w:val="0"/>
      <w:marRight w:val="0"/>
      <w:marTop w:val="0"/>
      <w:marBottom w:val="0"/>
      <w:divBdr>
        <w:top w:val="none" w:sz="0" w:space="0" w:color="auto"/>
        <w:left w:val="none" w:sz="0" w:space="0" w:color="auto"/>
        <w:bottom w:val="none" w:sz="0" w:space="0" w:color="auto"/>
        <w:right w:val="none" w:sz="0" w:space="0" w:color="auto"/>
      </w:divBdr>
    </w:div>
    <w:div w:id="1888762099">
      <w:bodyDiv w:val="1"/>
      <w:marLeft w:val="0"/>
      <w:marRight w:val="0"/>
      <w:marTop w:val="0"/>
      <w:marBottom w:val="0"/>
      <w:divBdr>
        <w:top w:val="none" w:sz="0" w:space="0" w:color="auto"/>
        <w:left w:val="none" w:sz="0" w:space="0" w:color="auto"/>
        <w:bottom w:val="none" w:sz="0" w:space="0" w:color="auto"/>
        <w:right w:val="none" w:sz="0" w:space="0" w:color="auto"/>
      </w:divBdr>
    </w:div>
    <w:div w:id="1890914810">
      <w:bodyDiv w:val="1"/>
      <w:marLeft w:val="0"/>
      <w:marRight w:val="0"/>
      <w:marTop w:val="0"/>
      <w:marBottom w:val="0"/>
      <w:divBdr>
        <w:top w:val="none" w:sz="0" w:space="0" w:color="auto"/>
        <w:left w:val="none" w:sz="0" w:space="0" w:color="auto"/>
        <w:bottom w:val="none" w:sz="0" w:space="0" w:color="auto"/>
        <w:right w:val="none" w:sz="0" w:space="0" w:color="auto"/>
      </w:divBdr>
    </w:div>
    <w:div w:id="1930458627">
      <w:bodyDiv w:val="1"/>
      <w:marLeft w:val="0"/>
      <w:marRight w:val="0"/>
      <w:marTop w:val="0"/>
      <w:marBottom w:val="0"/>
      <w:divBdr>
        <w:top w:val="none" w:sz="0" w:space="0" w:color="auto"/>
        <w:left w:val="none" w:sz="0" w:space="0" w:color="auto"/>
        <w:bottom w:val="none" w:sz="0" w:space="0" w:color="auto"/>
        <w:right w:val="none" w:sz="0" w:space="0" w:color="auto"/>
      </w:divBdr>
    </w:div>
    <w:div w:id="207935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fatulmedicului.ro/dictionar-medical/tratament_2506" TargetMode="External"/><Relationship Id="rId18" Type="http://schemas.openxmlformats.org/officeDocument/2006/relationships/diagramLayout" Target="diagrams/layout1.xml"/><Relationship Id="rId26" Type="http://schemas.openxmlformats.org/officeDocument/2006/relationships/theme" Target="theme/theme1.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hyperlink" Target="https://www.sfatulmedicului.ro/dictionar-medical/medicament_4123" TargetMode="External"/><Relationship Id="rId17" Type="http://schemas.openxmlformats.org/officeDocument/2006/relationships/diagramData" Target="diagrams/data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crm@ccrm.md" TargetMode="External"/><Relationship Id="rId24"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chart" Target="charts/chart3.xml"/><Relationship Id="rId10" Type="http://schemas.openxmlformats.org/officeDocument/2006/relationships/hyperlink" Target="http://www.ccrm.md" TargetMode="External"/><Relationship Id="rId19"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image" Target="cid:image003.jpg@01D53192.824E8D70" TargetMode="External"/><Relationship Id="rId14" Type="http://schemas.openxmlformats.org/officeDocument/2006/relationships/hyperlink" Target="https://www.sfatulmedicului.ro/Tuberculoza/tuberculoza-tbc-generalitati_499" TargetMode="Externa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D:\ccrm\Misiuni%20de%20audit\IMSP%20Chiril%20Draganiuc\informatii\cheltieli%20vorniceni%202020-2023.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i_rogaciov\Downloads\Situa&#539;ia%20venituri-cheltuieli%202022,2021-%20diagrame%20(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i_rogaciov\Downloads\Situa&#539;ia%20venituri-cheltuieli%202022,2021-%20diagrame%20(1).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Prevalen</a:t>
            </a:r>
            <a:r>
              <a:rPr lang="ro-MD"/>
              <a:t>ț</a:t>
            </a:r>
            <a:r>
              <a:rPr lang="en-US"/>
              <a:t>a bolnavi</a:t>
            </a:r>
            <a:r>
              <a:rPr lang="ro-MD"/>
              <a:t>lor</a:t>
            </a:r>
            <a:r>
              <a:rPr lang="en-US"/>
              <a:t> </a:t>
            </a:r>
            <a:r>
              <a:rPr lang="ro-MD"/>
              <a:t>î</a:t>
            </a:r>
            <a:r>
              <a:rPr lang="en-US"/>
              <a:t>nregistra</a:t>
            </a:r>
            <a:r>
              <a:rPr lang="ro-MD"/>
              <a:t>ț</a:t>
            </a:r>
            <a:r>
              <a:rPr lang="en-US"/>
              <a:t>i pe parcursul an</a:t>
            </a:r>
            <a:r>
              <a:rPr lang="ro-MD"/>
              <a:t>ilor </a:t>
            </a:r>
            <a:endParaRPr lang="en-US"/>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ru-RU"/>
        </a:p>
      </c:txPr>
    </c:title>
    <c:autoTitleDeleted val="0"/>
    <c:plotArea>
      <c:layout/>
      <c:scatterChart>
        <c:scatterStyle val="lineMarker"/>
        <c:varyColors val="0"/>
        <c:ser>
          <c:idx val="0"/>
          <c:order val="0"/>
          <c:tx>
            <c:strRef>
              <c:f>'[cheltieli vorniceni 2020-2023.xlsx]Sheet1'!$E$6</c:f>
              <c:strCache>
                <c:ptCount val="1"/>
                <c:pt idx="0">
                  <c:v>Prevalenta</c:v>
                </c:pt>
              </c:strCache>
            </c:strRef>
          </c:tx>
          <c:spPr>
            <a:ln w="9525" cap="rnd">
              <a:solidFill>
                <a:schemeClr val="accent1"/>
              </a:solidFill>
              <a:round/>
            </a:ln>
            <a:effectLst/>
          </c:spPr>
          <c:marker>
            <c:symbol val="circle"/>
            <c:size val="5"/>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a:solidFill>
                  <a:schemeClr val="accent1"/>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xVal>
            <c:numRef>
              <c:f>'[cheltieli vorniceni 2020-2023.xlsx]Sheet1'!$D$7:$D$15</c:f>
              <c:numCache>
                <c:formatCode>General</c:formatCode>
                <c:ptCount val="9"/>
                <c:pt idx="0">
                  <c:v>2014</c:v>
                </c:pt>
                <c:pt idx="1">
                  <c:v>2015</c:v>
                </c:pt>
                <c:pt idx="2">
                  <c:v>2016</c:v>
                </c:pt>
                <c:pt idx="3">
                  <c:v>2017</c:v>
                </c:pt>
                <c:pt idx="4">
                  <c:v>2018</c:v>
                </c:pt>
                <c:pt idx="5">
                  <c:v>2019</c:v>
                </c:pt>
                <c:pt idx="6">
                  <c:v>2020</c:v>
                </c:pt>
                <c:pt idx="7">
                  <c:v>2021</c:v>
                </c:pt>
                <c:pt idx="8">
                  <c:v>2022</c:v>
                </c:pt>
              </c:numCache>
            </c:numRef>
          </c:xVal>
          <c:yVal>
            <c:numRef>
              <c:f>'[cheltieli vorniceni 2020-2023.xlsx]Sheet1'!$E$7:$E$15</c:f>
              <c:numCache>
                <c:formatCode>General</c:formatCode>
                <c:ptCount val="9"/>
                <c:pt idx="0">
                  <c:v>3770</c:v>
                </c:pt>
                <c:pt idx="1">
                  <c:v>3368</c:v>
                </c:pt>
                <c:pt idx="2">
                  <c:v>3355</c:v>
                </c:pt>
                <c:pt idx="3">
                  <c:v>3218</c:v>
                </c:pt>
                <c:pt idx="4">
                  <c:v>2810</c:v>
                </c:pt>
                <c:pt idx="5">
                  <c:v>2539</c:v>
                </c:pt>
                <c:pt idx="6">
                  <c:v>1737</c:v>
                </c:pt>
                <c:pt idx="7">
                  <c:v>1841</c:v>
                </c:pt>
                <c:pt idx="8">
                  <c:v>1790</c:v>
                </c:pt>
              </c:numCache>
            </c:numRef>
          </c:yVal>
          <c:smooth val="0"/>
          <c:extLst xmlns:c16r2="http://schemas.microsoft.com/office/drawing/2015/06/chart">
            <c:ext xmlns:c16="http://schemas.microsoft.com/office/drawing/2014/chart" uri="{C3380CC4-5D6E-409C-BE32-E72D297353CC}">
              <c16:uniqueId val="{00000000-A483-4B36-8249-8451A1F858D0}"/>
            </c:ext>
          </c:extLst>
        </c:ser>
        <c:dLbls>
          <c:showLegendKey val="0"/>
          <c:showVal val="0"/>
          <c:showCatName val="0"/>
          <c:showSerName val="0"/>
          <c:showPercent val="0"/>
          <c:showBubbleSize val="0"/>
        </c:dLbls>
        <c:axId val="617596352"/>
        <c:axId val="617596744"/>
      </c:scatterChart>
      <c:valAx>
        <c:axId val="617596352"/>
        <c:scaling>
          <c:orientation val="minMax"/>
        </c:scaling>
        <c:delete val="0"/>
        <c:axPos val="b"/>
        <c:majorGridlines>
          <c:spPr>
            <a:ln w="9525" cap="flat" cmpd="sng" algn="ctr">
              <a:solidFill>
                <a:schemeClr val="tx2">
                  <a:lumMod val="15000"/>
                  <a:lumOff val="85000"/>
                </a:schemeClr>
              </a:solidFill>
              <a:round/>
            </a:ln>
            <a:effectLst/>
          </c:spPr>
        </c:majorGridlines>
        <c:title>
          <c:tx>
            <c:rich>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r>
                  <a:rPr lang="ro-MD"/>
                  <a:t>Anul</a:t>
                </a:r>
                <a:endParaRPr lang="en-US"/>
              </a:p>
            </c:rich>
          </c:tx>
          <c:overlay val="0"/>
          <c:spPr>
            <a:noFill/>
            <a:ln>
              <a:noFill/>
            </a:ln>
            <a:effectLst/>
          </c:spPr>
          <c:txPr>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ru-RU"/>
            </a:p>
          </c:txPr>
        </c:title>
        <c:numFmt formatCode="General" sourceLinked="1"/>
        <c:majorTickMark val="none"/>
        <c:minorTickMark val="none"/>
        <c:tickLblPos val="nextTo"/>
        <c:spPr>
          <a:noFill/>
          <a:ln>
            <a:solidFill>
              <a:schemeClr val="tx2">
                <a:lumMod val="40000"/>
                <a:lumOff val="60000"/>
              </a:schemeClr>
            </a:solid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617596744"/>
        <c:crosses val="autoZero"/>
        <c:crossBetween val="midCat"/>
      </c:valAx>
      <c:valAx>
        <c:axId val="617596744"/>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solidFill>
              <a:schemeClr val="tx2">
                <a:lumMod val="40000"/>
                <a:lumOff val="60000"/>
              </a:schemeClr>
            </a:solid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61759635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Sheet1!$A$2:$A$7</c:f>
              <c:strCache>
                <c:ptCount val="6"/>
                <c:pt idx="0">
                  <c:v>Anul 2018</c:v>
                </c:pt>
                <c:pt idx="1">
                  <c:v>Anul 2019</c:v>
                </c:pt>
                <c:pt idx="2">
                  <c:v>Anul 2020</c:v>
                </c:pt>
                <c:pt idx="3">
                  <c:v>Anul 2021</c:v>
                </c:pt>
                <c:pt idx="4">
                  <c:v>Anul 2022</c:v>
                </c:pt>
                <c:pt idx="5">
                  <c:v>Anul 2023 (6 luni)</c:v>
                </c:pt>
              </c:strCache>
            </c:strRef>
          </c:cat>
          <c:val>
            <c:numRef>
              <c:f>Sheet1!$B$2:$B$7</c:f>
              <c:numCache>
                <c:formatCode>General</c:formatCode>
                <c:ptCount val="6"/>
                <c:pt idx="0">
                  <c:v>17690.759999999998</c:v>
                </c:pt>
                <c:pt idx="1">
                  <c:v>15690.76</c:v>
                </c:pt>
                <c:pt idx="2">
                  <c:v>18809.29</c:v>
                </c:pt>
                <c:pt idx="3">
                  <c:v>21985.69</c:v>
                </c:pt>
                <c:pt idx="4">
                  <c:v>20503.34</c:v>
                </c:pt>
                <c:pt idx="5">
                  <c:v>8223.18</c:v>
                </c:pt>
              </c:numCache>
            </c:numRef>
          </c:val>
          <c:extLst xmlns:c16r2="http://schemas.microsoft.com/office/drawing/2015/06/chart">
            <c:ext xmlns:c16="http://schemas.microsoft.com/office/drawing/2014/chart" uri="{C3380CC4-5D6E-409C-BE32-E72D297353CC}">
              <c16:uniqueId val="{00000000-1FF0-454D-86BD-958FC8AABA06}"/>
            </c:ext>
          </c:extLst>
        </c:ser>
        <c:dLbls>
          <c:dLblPos val="outEnd"/>
          <c:showLegendKey val="0"/>
          <c:showVal val="1"/>
          <c:showCatName val="0"/>
          <c:showSerName val="0"/>
          <c:showPercent val="0"/>
          <c:showBubbleSize val="0"/>
        </c:dLbls>
        <c:gapWidth val="355"/>
        <c:overlap val="-70"/>
        <c:axId val="617597528"/>
        <c:axId val="617597920"/>
      </c:barChart>
      <c:catAx>
        <c:axId val="617597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ru-RU"/>
          </a:p>
        </c:txPr>
        <c:crossAx val="617597920"/>
        <c:crosses val="autoZero"/>
        <c:auto val="1"/>
        <c:lblAlgn val="ctr"/>
        <c:lblOffset val="100"/>
        <c:noMultiLvlLbl val="0"/>
      </c:catAx>
      <c:valAx>
        <c:axId val="617597920"/>
        <c:scaling>
          <c:orientation val="minMax"/>
        </c:scaling>
        <c:delete val="0"/>
        <c:axPos val="l"/>
        <c:majorGridlines>
          <c:spPr>
            <a:ln w="9525" cap="flat" cmpd="sng" algn="ctr">
              <a:gradFill>
                <a:gsLst>
                  <a:gs pos="100000">
                    <a:schemeClr val="tx1">
                      <a:lumMod val="5000"/>
                      <a:lumOff val="95000"/>
                    </a:schemeClr>
                  </a:gs>
                  <a:gs pos="0">
                    <a:schemeClr val="tx1">
                      <a:lumMod val="25000"/>
                      <a:lumOff val="7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ru-RU"/>
          </a:p>
        </c:txPr>
        <c:crossAx val="6175975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mj-lt"/>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ro-MD"/>
              <a:t>Structura veniturilor în dinamică (mii lei)</a:t>
            </a:r>
            <a:endParaRPr lang="en-US"/>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ru-RU"/>
        </a:p>
      </c:txPr>
    </c:title>
    <c:autoTitleDeleted val="0"/>
    <c:plotArea>
      <c:layout/>
      <c:barChart>
        <c:barDir val="col"/>
        <c:grouping val="clustered"/>
        <c:varyColors val="0"/>
        <c:ser>
          <c:idx val="0"/>
          <c:order val="0"/>
          <c:tx>
            <c:strRef>
              <c:f>'diagrama venituri'!$D$6</c:f>
              <c:strCache>
                <c:ptCount val="1"/>
                <c:pt idx="0">
                  <c:v>Venituri totale</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'diagrama venituri'!$E$5:$G$5</c:f>
              <c:strCache>
                <c:ptCount val="2"/>
                <c:pt idx="0">
                  <c:v>2021</c:v>
                </c:pt>
                <c:pt idx="1">
                  <c:v>2022</c:v>
                </c:pt>
              </c:strCache>
            </c:strRef>
          </c:cat>
          <c:val>
            <c:numRef>
              <c:f>'diagrama venituri'!$E$6:$G$6</c:f>
              <c:numCache>
                <c:formatCode>0.00;[Red]0.00</c:formatCode>
                <c:ptCount val="2"/>
                <c:pt idx="0">
                  <c:v>157401.20000000001</c:v>
                </c:pt>
                <c:pt idx="1">
                  <c:v>160600.4</c:v>
                </c:pt>
              </c:numCache>
            </c:numRef>
          </c:val>
          <c:extLst xmlns:c16r2="http://schemas.microsoft.com/office/drawing/2015/06/chart">
            <c:ext xmlns:c16="http://schemas.microsoft.com/office/drawing/2014/chart" uri="{C3380CC4-5D6E-409C-BE32-E72D297353CC}">
              <c16:uniqueId val="{00000000-3A4A-4103-BD2D-B2D8EC40EB6A}"/>
            </c:ext>
          </c:extLst>
        </c:ser>
        <c:ser>
          <c:idx val="1"/>
          <c:order val="1"/>
          <c:tx>
            <c:strRef>
              <c:f>'diagrama venituri'!$D$7</c:f>
              <c:strCache>
                <c:ptCount val="1"/>
                <c:pt idx="0">
                  <c:v>alocații CNAM</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'diagrama venituri'!$E$5:$G$5</c:f>
              <c:strCache>
                <c:ptCount val="2"/>
                <c:pt idx="0">
                  <c:v>2021</c:v>
                </c:pt>
                <c:pt idx="1">
                  <c:v>2022</c:v>
                </c:pt>
              </c:strCache>
            </c:strRef>
          </c:cat>
          <c:val>
            <c:numRef>
              <c:f>'diagrama venituri'!$E$7:$G$7</c:f>
              <c:numCache>
                <c:formatCode>0.00;[Red]0.00</c:formatCode>
                <c:ptCount val="2"/>
                <c:pt idx="0">
                  <c:v>115657.7</c:v>
                </c:pt>
                <c:pt idx="1">
                  <c:v>117890.4</c:v>
                </c:pt>
              </c:numCache>
            </c:numRef>
          </c:val>
          <c:extLst xmlns:c16r2="http://schemas.microsoft.com/office/drawing/2015/06/chart">
            <c:ext xmlns:c16="http://schemas.microsoft.com/office/drawing/2014/chart" uri="{C3380CC4-5D6E-409C-BE32-E72D297353CC}">
              <c16:uniqueId val="{00000001-3A4A-4103-BD2D-B2D8EC40EB6A}"/>
            </c:ext>
          </c:extLst>
        </c:ser>
        <c:ser>
          <c:idx val="2"/>
          <c:order val="2"/>
          <c:tx>
            <c:strRef>
              <c:f>'diagrama venituri'!$D$8</c:f>
              <c:strCache>
                <c:ptCount val="1"/>
                <c:pt idx="0">
                  <c:v>alocații Știința</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'diagrama venituri'!$E$5:$G$5</c:f>
              <c:strCache>
                <c:ptCount val="2"/>
                <c:pt idx="0">
                  <c:v>2021</c:v>
                </c:pt>
                <c:pt idx="1">
                  <c:v>2022</c:v>
                </c:pt>
              </c:strCache>
            </c:strRef>
          </c:cat>
          <c:val>
            <c:numRef>
              <c:f>'diagrama venituri'!$E$8:$G$8</c:f>
              <c:numCache>
                <c:formatCode>0.00;[Red]0.00</c:formatCode>
                <c:ptCount val="2"/>
                <c:pt idx="0">
                  <c:v>3083.3</c:v>
                </c:pt>
                <c:pt idx="1">
                  <c:v>1729</c:v>
                </c:pt>
              </c:numCache>
            </c:numRef>
          </c:val>
          <c:extLst xmlns:c16r2="http://schemas.microsoft.com/office/drawing/2015/06/chart">
            <c:ext xmlns:c16="http://schemas.microsoft.com/office/drawing/2014/chart" uri="{C3380CC4-5D6E-409C-BE32-E72D297353CC}">
              <c16:uniqueId val="{00000002-3A4A-4103-BD2D-B2D8EC40EB6A}"/>
            </c:ext>
          </c:extLst>
        </c:ser>
        <c:ser>
          <c:idx val="3"/>
          <c:order val="3"/>
          <c:tx>
            <c:strRef>
              <c:f>'diagrama venituri'!$D$9</c:f>
              <c:strCache>
                <c:ptCount val="1"/>
                <c:pt idx="0">
                  <c:v>servicii cu plată</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'diagrama venituri'!$E$5:$G$5</c:f>
              <c:strCache>
                <c:ptCount val="2"/>
                <c:pt idx="0">
                  <c:v>2021</c:v>
                </c:pt>
                <c:pt idx="1">
                  <c:v>2022</c:v>
                </c:pt>
              </c:strCache>
            </c:strRef>
          </c:cat>
          <c:val>
            <c:numRef>
              <c:f>'diagrama venituri'!$E$9:$G$9</c:f>
              <c:numCache>
                <c:formatCode>0.00;[Red]0.00</c:formatCode>
                <c:ptCount val="2"/>
                <c:pt idx="0">
                  <c:v>1346.7</c:v>
                </c:pt>
                <c:pt idx="1">
                  <c:v>2088.6</c:v>
                </c:pt>
              </c:numCache>
            </c:numRef>
          </c:val>
          <c:extLst xmlns:c16r2="http://schemas.microsoft.com/office/drawing/2015/06/chart">
            <c:ext xmlns:c16="http://schemas.microsoft.com/office/drawing/2014/chart" uri="{C3380CC4-5D6E-409C-BE32-E72D297353CC}">
              <c16:uniqueId val="{00000003-3A4A-4103-BD2D-B2D8EC40EB6A}"/>
            </c:ext>
          </c:extLst>
        </c:ser>
        <c:ser>
          <c:idx val="4"/>
          <c:order val="4"/>
          <c:tx>
            <c:strRef>
              <c:f>'diagrama venituri'!$D$10</c:f>
              <c:strCache>
                <c:ptCount val="1"/>
                <c:pt idx="0">
                  <c:v>alocații proiecte</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'diagrama venituri'!$E$5:$G$5</c:f>
              <c:strCache>
                <c:ptCount val="2"/>
                <c:pt idx="0">
                  <c:v>2021</c:v>
                </c:pt>
                <c:pt idx="1">
                  <c:v>2022</c:v>
                </c:pt>
              </c:strCache>
            </c:strRef>
          </c:cat>
          <c:val>
            <c:numRef>
              <c:f>'diagrama venituri'!$E$10:$G$10</c:f>
              <c:numCache>
                <c:formatCode>0.00;[Red]0.00</c:formatCode>
                <c:ptCount val="2"/>
                <c:pt idx="0">
                  <c:v>11212.4</c:v>
                </c:pt>
                <c:pt idx="1">
                  <c:v>9558.2999999999993</c:v>
                </c:pt>
              </c:numCache>
            </c:numRef>
          </c:val>
          <c:extLst xmlns:c16r2="http://schemas.microsoft.com/office/drawing/2015/06/chart">
            <c:ext xmlns:c16="http://schemas.microsoft.com/office/drawing/2014/chart" uri="{C3380CC4-5D6E-409C-BE32-E72D297353CC}">
              <c16:uniqueId val="{00000004-3A4A-4103-BD2D-B2D8EC40EB6A}"/>
            </c:ext>
          </c:extLst>
        </c:ser>
        <c:ser>
          <c:idx val="5"/>
          <c:order val="5"/>
          <c:tx>
            <c:strRef>
              <c:f>'diagrama venituri'!$D$11</c:f>
              <c:strCache>
                <c:ptCount val="1"/>
                <c:pt idx="0">
                  <c:v>ajutor umanitar, medicamente</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'diagrama venituri'!$E$5:$G$5</c:f>
              <c:strCache>
                <c:ptCount val="2"/>
                <c:pt idx="0">
                  <c:v>2021</c:v>
                </c:pt>
                <c:pt idx="1">
                  <c:v>2022</c:v>
                </c:pt>
              </c:strCache>
            </c:strRef>
          </c:cat>
          <c:val>
            <c:numRef>
              <c:f>'diagrama venituri'!$E$11:$G$11</c:f>
              <c:numCache>
                <c:formatCode>0.00;[Red]0.00</c:formatCode>
                <c:ptCount val="2"/>
                <c:pt idx="0">
                  <c:v>25837.3</c:v>
                </c:pt>
                <c:pt idx="1">
                  <c:v>28785.200000000001</c:v>
                </c:pt>
              </c:numCache>
            </c:numRef>
          </c:val>
          <c:extLst xmlns:c16r2="http://schemas.microsoft.com/office/drawing/2015/06/chart">
            <c:ext xmlns:c16="http://schemas.microsoft.com/office/drawing/2014/chart" uri="{C3380CC4-5D6E-409C-BE32-E72D297353CC}">
              <c16:uniqueId val="{00000005-3A4A-4103-BD2D-B2D8EC40EB6A}"/>
            </c:ext>
          </c:extLst>
        </c:ser>
        <c:ser>
          <c:idx val="6"/>
          <c:order val="6"/>
          <c:tx>
            <c:strRef>
              <c:f>'diagrama venituri'!$D$12</c:f>
              <c:strCache>
                <c:ptCount val="1"/>
                <c:pt idx="0">
                  <c:v>alte venituri</c:v>
                </c:pt>
              </c:strCache>
            </c:strRef>
          </c:tx>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c:spPr>
          <c:invertIfNegative val="0"/>
          <c:cat>
            <c:strRef>
              <c:f>'diagrama venituri'!$E$5:$G$5</c:f>
              <c:strCache>
                <c:ptCount val="2"/>
                <c:pt idx="0">
                  <c:v>2021</c:v>
                </c:pt>
                <c:pt idx="1">
                  <c:v>2022</c:v>
                </c:pt>
              </c:strCache>
            </c:strRef>
          </c:cat>
          <c:val>
            <c:numRef>
              <c:f>'diagrama venituri'!$E$12:$G$12</c:f>
              <c:numCache>
                <c:formatCode>0.00;[Red]0.00</c:formatCode>
                <c:ptCount val="2"/>
                <c:pt idx="0">
                  <c:v>263.8</c:v>
                </c:pt>
                <c:pt idx="1">
                  <c:v>548.9</c:v>
                </c:pt>
              </c:numCache>
            </c:numRef>
          </c:val>
          <c:extLst xmlns:c16r2="http://schemas.microsoft.com/office/drawing/2015/06/chart">
            <c:ext xmlns:c16="http://schemas.microsoft.com/office/drawing/2014/chart" uri="{C3380CC4-5D6E-409C-BE32-E72D297353CC}">
              <c16:uniqueId val="{00000006-3A4A-4103-BD2D-B2D8EC40EB6A}"/>
            </c:ext>
          </c:extLst>
        </c:ser>
        <c:dLbls>
          <c:showLegendKey val="0"/>
          <c:showVal val="0"/>
          <c:showCatName val="0"/>
          <c:showSerName val="0"/>
          <c:showPercent val="0"/>
          <c:showBubbleSize val="0"/>
        </c:dLbls>
        <c:gapWidth val="75"/>
        <c:overlap val="-25"/>
        <c:axId val="616178264"/>
        <c:axId val="616178656"/>
      </c:barChart>
      <c:catAx>
        <c:axId val="61617826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2"/>
                </a:solidFill>
                <a:latin typeface="+mn-lt"/>
                <a:ea typeface="+mn-ea"/>
                <a:cs typeface="+mn-cs"/>
              </a:defRPr>
            </a:pPr>
            <a:endParaRPr lang="ru-RU"/>
          </a:p>
        </c:txPr>
        <c:crossAx val="616178656"/>
        <c:crosses val="autoZero"/>
        <c:auto val="1"/>
        <c:lblAlgn val="ctr"/>
        <c:lblOffset val="100"/>
        <c:noMultiLvlLbl val="0"/>
      </c:catAx>
      <c:valAx>
        <c:axId val="616178656"/>
        <c:scaling>
          <c:orientation val="minMax"/>
        </c:scaling>
        <c:delete val="0"/>
        <c:axPos val="l"/>
        <c:majorGridlines>
          <c:spPr>
            <a:ln w="9525" cap="flat" cmpd="sng" algn="ctr">
              <a:solidFill>
                <a:schemeClr val="tx2">
                  <a:lumMod val="15000"/>
                  <a:lumOff val="85000"/>
                </a:schemeClr>
              </a:solidFill>
              <a:round/>
            </a:ln>
            <a:effectLst/>
          </c:spPr>
        </c:majorGridlines>
        <c:numFmt formatCode="0.00;[Red]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616178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ro-MD"/>
              <a:t>Structura cheltuielilor </a:t>
            </a:r>
            <a:endParaRPr lang="en-US"/>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'diagrama cheltuieli'!$E$2</c:f>
              <c:strCache>
                <c:ptCount val="1"/>
                <c:pt idx="0">
                  <c:v>2021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invertIfNegative val="0"/>
          <c:cat>
            <c:strRef>
              <c:f>'diagrama cheltuieli'!$D$3:$D$11</c:f>
              <c:strCache>
                <c:ptCount val="9"/>
                <c:pt idx="0">
                  <c:v>Cheltuieli totale</c:v>
                </c:pt>
                <c:pt idx="1">
                  <c:v>retribuirea muncii</c:v>
                </c:pt>
                <c:pt idx="2">
                  <c:v>alimentație pacienți</c:v>
                </c:pt>
                <c:pt idx="3">
                  <c:v>medicamente</c:v>
                </c:pt>
                <c:pt idx="4">
                  <c:v>cotizații, asigurări sociale</c:v>
                </c:pt>
                <c:pt idx="5">
                  <c:v>cheltuieli de regie</c:v>
                </c:pt>
                <c:pt idx="6">
                  <c:v>inventar OMVSD</c:v>
                </c:pt>
                <c:pt idx="7">
                  <c:v>amortizare, uzură</c:v>
                </c:pt>
                <c:pt idx="8">
                  <c:v>alte cheltuieli</c:v>
                </c:pt>
              </c:strCache>
            </c:strRef>
          </c:cat>
          <c:val>
            <c:numRef>
              <c:f>'diagrama cheltuieli'!$E$3:$E$11</c:f>
              <c:numCache>
                <c:formatCode>0.00;[Red]0.00</c:formatCode>
                <c:ptCount val="9"/>
                <c:pt idx="0">
                  <c:v>157401.20000000001</c:v>
                </c:pt>
                <c:pt idx="1">
                  <c:v>86529</c:v>
                </c:pt>
                <c:pt idx="2">
                  <c:v>3714.7</c:v>
                </c:pt>
                <c:pt idx="3">
                  <c:v>23546.3</c:v>
                </c:pt>
                <c:pt idx="4">
                  <c:v>20765.099999999999</c:v>
                </c:pt>
                <c:pt idx="5">
                  <c:v>6604.9</c:v>
                </c:pt>
                <c:pt idx="6">
                  <c:v>945</c:v>
                </c:pt>
                <c:pt idx="7">
                  <c:v>8074.1</c:v>
                </c:pt>
                <c:pt idx="8">
                  <c:v>7222.1</c:v>
                </c:pt>
              </c:numCache>
            </c:numRef>
          </c:val>
          <c:extLst xmlns:c16r2="http://schemas.microsoft.com/office/drawing/2015/06/chart">
            <c:ext xmlns:c16="http://schemas.microsoft.com/office/drawing/2014/chart" uri="{C3380CC4-5D6E-409C-BE32-E72D297353CC}">
              <c16:uniqueId val="{00000000-6895-483E-B862-B8B65E39BFF7}"/>
            </c:ext>
          </c:extLst>
        </c:ser>
        <c:ser>
          <c:idx val="1"/>
          <c:order val="1"/>
          <c:tx>
            <c:strRef>
              <c:f>'diagrama cheltuieli'!$F$2</c:f>
              <c:strCache>
                <c:ptCount val="1"/>
                <c:pt idx="0">
                  <c:v>2022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invertIfNegative val="0"/>
          <c:cat>
            <c:strRef>
              <c:f>'diagrama cheltuieli'!$D$3:$D$11</c:f>
              <c:strCache>
                <c:ptCount val="9"/>
                <c:pt idx="0">
                  <c:v>Cheltuieli totale</c:v>
                </c:pt>
                <c:pt idx="1">
                  <c:v>retribuirea muncii</c:v>
                </c:pt>
                <c:pt idx="2">
                  <c:v>alimentație pacienți</c:v>
                </c:pt>
                <c:pt idx="3">
                  <c:v>medicamente</c:v>
                </c:pt>
                <c:pt idx="4">
                  <c:v>cotizații, asigurări sociale</c:v>
                </c:pt>
                <c:pt idx="5">
                  <c:v>cheltuieli de regie</c:v>
                </c:pt>
                <c:pt idx="6">
                  <c:v>inventar OMVSD</c:v>
                </c:pt>
                <c:pt idx="7">
                  <c:v>amortizare, uzură</c:v>
                </c:pt>
                <c:pt idx="8">
                  <c:v>alte cheltuieli</c:v>
                </c:pt>
              </c:strCache>
            </c:strRef>
          </c:cat>
          <c:val>
            <c:numRef>
              <c:f>'diagrama cheltuieli'!$F$3:$F$11</c:f>
              <c:numCache>
                <c:formatCode>0.00;[Red]0.00</c:formatCode>
                <c:ptCount val="9"/>
                <c:pt idx="0">
                  <c:v>160600.4</c:v>
                </c:pt>
                <c:pt idx="1">
                  <c:v>79092.800000000003</c:v>
                </c:pt>
                <c:pt idx="2">
                  <c:v>4677.2</c:v>
                </c:pt>
                <c:pt idx="3">
                  <c:v>31772.9</c:v>
                </c:pt>
                <c:pt idx="4">
                  <c:v>18893.400000000001</c:v>
                </c:pt>
                <c:pt idx="5">
                  <c:v>9269.2000000000007</c:v>
                </c:pt>
                <c:pt idx="6">
                  <c:v>1874.5</c:v>
                </c:pt>
                <c:pt idx="7">
                  <c:v>8236.1</c:v>
                </c:pt>
                <c:pt idx="8">
                  <c:v>6784.3</c:v>
                </c:pt>
              </c:numCache>
            </c:numRef>
          </c:val>
          <c:extLst xmlns:c16r2="http://schemas.microsoft.com/office/drawing/2015/06/chart">
            <c:ext xmlns:c16="http://schemas.microsoft.com/office/drawing/2014/chart" uri="{C3380CC4-5D6E-409C-BE32-E72D297353CC}">
              <c16:uniqueId val="{00000001-6895-483E-B862-B8B65E39BFF7}"/>
            </c:ext>
          </c:extLst>
        </c:ser>
        <c:dLbls>
          <c:showLegendKey val="0"/>
          <c:showVal val="0"/>
          <c:showCatName val="0"/>
          <c:showSerName val="0"/>
          <c:showPercent val="0"/>
          <c:showBubbleSize val="0"/>
        </c:dLbls>
        <c:gapWidth val="150"/>
        <c:shape val="box"/>
        <c:axId val="617177264"/>
        <c:axId val="617177656"/>
        <c:axId val="0"/>
      </c:bar3DChart>
      <c:catAx>
        <c:axId val="61717726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617177656"/>
        <c:crosses val="autoZero"/>
        <c:auto val="1"/>
        <c:lblAlgn val="ctr"/>
        <c:lblOffset val="100"/>
        <c:noMultiLvlLbl val="0"/>
      </c:catAx>
      <c:valAx>
        <c:axId val="617177656"/>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ro-MD"/>
                  <a:t>mii lei </a:t>
                </a:r>
                <a:endParaRPr lang="en-US"/>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ru-RU"/>
            </a:p>
          </c:txPr>
        </c:title>
        <c:numFmt formatCode="0.00;[Red]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617177264"/>
        <c:crosses val="autoZero"/>
        <c:crossBetween val="between"/>
      </c:valAx>
      <c:dTable>
        <c:showHorzBorder val="1"/>
        <c:showVertBorder val="1"/>
        <c:showOutline val="1"/>
        <c:showKeys val="1"/>
        <c:spPr>
          <a:noFill/>
          <a:ln w="9525">
            <a:solidFill>
              <a:schemeClr val="tx2">
                <a:lumMod val="15000"/>
                <a:lumOff val="85000"/>
              </a:schemeClr>
            </a:solid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dTable>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9525" cap="rnd">
        <a:solidFill>
          <a:schemeClr val="phClr"/>
        </a:solidFill>
        <a:round/>
      </a:ln>
    </cs:spPr>
  </cs:dataPointLine>
  <cs:dataPointMarker>
    <cs:lnRef idx="0">
      <cs:styleClr val="auto"/>
    </cs:lnRef>
    <cs:fillRef idx="3">
      <cs:styleClr val="auto"/>
    </cs:fillRef>
    <cs:effectRef idx="2"/>
    <cs:fontRef idx="minor">
      <a:schemeClr val="tx2"/>
    </cs:fontRef>
    <cs:spPr>
      <a:ln w="9525">
        <a:solidFill>
          <a:schemeClr val="phClr"/>
        </a:solidFill>
        <a:round/>
      </a:ln>
    </cs:spPr>
  </cs:dataPointMarker>
  <cs:dataPointMarkerLayout symbol="circle" size="5"/>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9525" cap="rnd">
        <a:solidFill>
          <a:schemeClr val="phClr"/>
        </a:solidFill>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spPr>
      <a:ln>
        <a:solidFill>
          <a:schemeClr val="tx2">
            <a:lumMod val="40000"/>
            <a:lumOff val="60000"/>
          </a:schemeClr>
        </a:solidFill>
      </a:ln>
    </cs:spPr>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10">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166B17E-3C2E-4FDF-B57A-E140A46ADBDE}" type="doc">
      <dgm:prSet loTypeId="urn:microsoft.com/office/officeart/2005/8/layout/process4" loCatId="process" qsTypeId="urn:microsoft.com/office/officeart/2005/8/quickstyle/3d1" qsCatId="3D" csTypeId="urn:microsoft.com/office/officeart/2005/8/colors/accent1_3" csCatId="accent1" phldr="1"/>
      <dgm:spPr/>
      <dgm:t>
        <a:bodyPr/>
        <a:lstStyle/>
        <a:p>
          <a:endParaRPr lang="en-US"/>
        </a:p>
      </dgm:t>
    </dgm:pt>
    <dgm:pt modelId="{AFF806CC-355F-41FC-BBF3-1DD9F8F3C48D}">
      <dgm:prSet phldrT="[Text]" custT="1"/>
      <dgm:spPr/>
      <dgm:t>
        <a:bodyPr/>
        <a:lstStyle/>
        <a:p>
          <a:r>
            <a:rPr lang="en-US" sz="1000" b="1" i="1">
              <a:solidFill>
                <a:sysClr val="windowText" lastClr="000000"/>
              </a:solidFill>
              <a:latin typeface="+mj-lt"/>
            </a:rPr>
            <a:t>Determinarea</a:t>
          </a:r>
          <a:r>
            <a:rPr lang="en-US" sz="1100" b="1" i="1">
              <a:solidFill>
                <a:sysClr val="windowText" lastClr="000000"/>
              </a:solidFill>
              <a:latin typeface="+mj-lt"/>
            </a:rPr>
            <a:t> necesităților și elaborarea comenzii pentru procurare de medicamente TB</a:t>
          </a:r>
          <a:endParaRPr lang="en-US" sz="1100">
            <a:solidFill>
              <a:sysClr val="windowText" lastClr="000000"/>
            </a:solidFill>
            <a:latin typeface="+mj-lt"/>
          </a:endParaRPr>
        </a:p>
      </dgm:t>
    </dgm:pt>
    <dgm:pt modelId="{FA0CB661-4E86-4933-BE0A-F3511364BB74}" type="parTrans" cxnId="{463FD667-19BB-4866-AC55-EE227343B0E7}">
      <dgm:prSet/>
      <dgm:spPr/>
      <dgm:t>
        <a:bodyPr/>
        <a:lstStyle/>
        <a:p>
          <a:endParaRPr lang="en-US" sz="1100"/>
        </a:p>
      </dgm:t>
    </dgm:pt>
    <dgm:pt modelId="{D96953E8-4B57-43D1-9A85-5F6ADB896001}" type="sibTrans" cxnId="{463FD667-19BB-4866-AC55-EE227343B0E7}">
      <dgm:prSet/>
      <dgm:spPr/>
      <dgm:t>
        <a:bodyPr/>
        <a:lstStyle/>
        <a:p>
          <a:endParaRPr lang="en-US" sz="1100"/>
        </a:p>
      </dgm:t>
    </dgm:pt>
    <dgm:pt modelId="{FEC149AC-EED7-4190-8DB6-C39326C244FE}">
      <dgm:prSet phldrT="[Text]" custT="1"/>
      <dgm:spPr/>
      <dgm:t>
        <a:bodyPr/>
        <a:lstStyle/>
        <a:p>
          <a:r>
            <a:rPr lang="ro-RO" sz="1000" b="1" i="1">
              <a:solidFill>
                <a:sysClr val="windowText" lastClr="000000"/>
              </a:solidFill>
              <a:latin typeface="+mj-lt"/>
            </a:rPr>
            <a:t>Organizarea</a:t>
          </a:r>
          <a:r>
            <a:rPr lang="ro-RO" sz="1100" b="1" i="1">
              <a:solidFill>
                <a:sysClr val="windowText" lastClr="000000"/>
              </a:solidFill>
              <a:latin typeface="+mj-lt"/>
            </a:rPr>
            <a:t> procedurii de procurare și livrare a medicamentelor TB</a:t>
          </a:r>
          <a:endParaRPr lang="en-US" sz="1100">
            <a:solidFill>
              <a:sysClr val="windowText" lastClr="000000"/>
            </a:solidFill>
            <a:latin typeface="+mj-lt"/>
          </a:endParaRPr>
        </a:p>
      </dgm:t>
    </dgm:pt>
    <dgm:pt modelId="{E67EAAB1-A7AF-4EC9-BB1A-A8CB7633DD0D}" type="parTrans" cxnId="{0F191619-CEAA-409E-BA76-BE462B13A28D}">
      <dgm:prSet/>
      <dgm:spPr/>
      <dgm:t>
        <a:bodyPr/>
        <a:lstStyle/>
        <a:p>
          <a:endParaRPr lang="en-US" sz="1100"/>
        </a:p>
      </dgm:t>
    </dgm:pt>
    <dgm:pt modelId="{B5472A9E-F17E-4002-A472-B5A0057677D4}" type="sibTrans" cxnId="{0F191619-CEAA-409E-BA76-BE462B13A28D}">
      <dgm:prSet/>
      <dgm:spPr/>
      <dgm:t>
        <a:bodyPr/>
        <a:lstStyle/>
        <a:p>
          <a:endParaRPr lang="en-US" sz="1100"/>
        </a:p>
      </dgm:t>
    </dgm:pt>
    <dgm:pt modelId="{0AEFB9EE-BDA8-4BE7-9159-C992BCD098A9}">
      <dgm:prSet phldrT="[Text]" custT="1"/>
      <dgm:spPr/>
      <dgm:t>
        <a:bodyPr/>
        <a:lstStyle/>
        <a:p>
          <a:r>
            <a:rPr lang="ro-RO" sz="1000" b="1" i="1">
              <a:solidFill>
                <a:sysClr val="windowText" lastClr="000000"/>
              </a:solidFill>
              <a:latin typeface="+mj-lt"/>
            </a:rPr>
            <a:t>Recepționarea</a:t>
          </a:r>
          <a:r>
            <a:rPr lang="ro-RO" sz="1100" b="1" i="1">
              <a:solidFill>
                <a:sysClr val="windowText" lastClr="000000"/>
              </a:solidFill>
              <a:latin typeface="+mj-lt"/>
            </a:rPr>
            <a:t> medicamentelor antituberculoase la nivel central</a:t>
          </a:r>
          <a:endParaRPr lang="en-US" sz="1100">
            <a:solidFill>
              <a:sysClr val="windowText" lastClr="000000"/>
            </a:solidFill>
            <a:latin typeface="+mj-lt"/>
          </a:endParaRPr>
        </a:p>
      </dgm:t>
    </dgm:pt>
    <dgm:pt modelId="{748FF995-FB0F-44EB-A6D0-522DE2FF751E}" type="parTrans" cxnId="{A8B380DC-EC09-4E71-A0D4-3941B350AE21}">
      <dgm:prSet/>
      <dgm:spPr/>
      <dgm:t>
        <a:bodyPr/>
        <a:lstStyle/>
        <a:p>
          <a:endParaRPr lang="en-US" sz="1100"/>
        </a:p>
      </dgm:t>
    </dgm:pt>
    <dgm:pt modelId="{3740651A-0EC9-437B-A945-CCDA263A5343}" type="sibTrans" cxnId="{A8B380DC-EC09-4E71-A0D4-3941B350AE21}">
      <dgm:prSet/>
      <dgm:spPr/>
      <dgm:t>
        <a:bodyPr/>
        <a:lstStyle/>
        <a:p>
          <a:endParaRPr lang="en-US" sz="1100"/>
        </a:p>
      </dgm:t>
    </dgm:pt>
    <dgm:pt modelId="{80DBE299-E34D-41F5-9910-2D67800200AB}">
      <dgm:prSet phldrT="[Text]" custT="1"/>
      <dgm:spPr/>
      <dgm:t>
        <a:bodyPr/>
        <a:lstStyle/>
        <a:p>
          <a:r>
            <a:rPr lang="ro-RO" sz="1000" b="1" i="1">
              <a:solidFill>
                <a:sysClr val="windowText" lastClr="000000"/>
              </a:solidFill>
              <a:latin typeface="+mj-lt"/>
            </a:rPr>
            <a:t>Stocarea</a:t>
          </a:r>
          <a:r>
            <a:rPr lang="ro-RO" sz="1100" b="1" i="1">
              <a:solidFill>
                <a:sysClr val="windowText" lastClr="000000"/>
              </a:solidFill>
              <a:latin typeface="+mj-lt"/>
            </a:rPr>
            <a:t> și gestionarea medicamentelor antituberculoase la nivel central</a:t>
          </a:r>
          <a:endParaRPr lang="en-US" sz="1100">
            <a:solidFill>
              <a:srgbClr val="FFFF00"/>
            </a:solidFill>
            <a:latin typeface="+mj-lt"/>
          </a:endParaRPr>
        </a:p>
      </dgm:t>
    </dgm:pt>
    <dgm:pt modelId="{6A4FD0FD-98F4-4748-BA0B-A8B42AD36A44}" type="parTrans" cxnId="{02863EF2-98BC-44B0-8A38-47E1EBC1F836}">
      <dgm:prSet/>
      <dgm:spPr/>
      <dgm:t>
        <a:bodyPr/>
        <a:lstStyle/>
        <a:p>
          <a:endParaRPr lang="en-US" sz="1100"/>
        </a:p>
      </dgm:t>
    </dgm:pt>
    <dgm:pt modelId="{1029E579-D347-421E-8A87-1A14E845B2F3}" type="sibTrans" cxnId="{02863EF2-98BC-44B0-8A38-47E1EBC1F836}">
      <dgm:prSet/>
      <dgm:spPr/>
      <dgm:t>
        <a:bodyPr/>
        <a:lstStyle/>
        <a:p>
          <a:endParaRPr lang="en-US" sz="1100"/>
        </a:p>
      </dgm:t>
    </dgm:pt>
    <dgm:pt modelId="{53A08AEF-CACD-49A9-80ED-FD67E42A7495}">
      <dgm:prSet phldrT="[Text]" custT="1"/>
      <dgm:spPr/>
      <dgm:t>
        <a:bodyPr/>
        <a:lstStyle/>
        <a:p>
          <a:r>
            <a:rPr lang="ro-RO" sz="1100" b="1" i="1">
              <a:solidFill>
                <a:sysClr val="windowText" lastClr="000000"/>
              </a:solidFill>
              <a:latin typeface="+mj-lt"/>
            </a:rPr>
            <a:t>Distribuirea de la nivelul central și nivel de serviciu de ftiziopneumologie din IMSP</a:t>
          </a:r>
        </a:p>
      </dgm:t>
    </dgm:pt>
    <dgm:pt modelId="{D7B0AB11-020F-4A9C-A032-49E129385A66}" type="parTrans" cxnId="{A7575EFD-3915-430C-8DB8-7C150CFC3277}">
      <dgm:prSet/>
      <dgm:spPr/>
      <dgm:t>
        <a:bodyPr/>
        <a:lstStyle/>
        <a:p>
          <a:endParaRPr lang="en-US" sz="1100"/>
        </a:p>
      </dgm:t>
    </dgm:pt>
    <dgm:pt modelId="{6FCA083C-4F93-44A3-B471-E3B1E42585E2}" type="sibTrans" cxnId="{A7575EFD-3915-430C-8DB8-7C150CFC3277}">
      <dgm:prSet/>
      <dgm:spPr/>
      <dgm:t>
        <a:bodyPr/>
        <a:lstStyle/>
        <a:p>
          <a:endParaRPr lang="en-US" sz="1100"/>
        </a:p>
      </dgm:t>
    </dgm:pt>
    <dgm:pt modelId="{E2141F24-9783-40DF-A782-E49EA748725E}">
      <dgm:prSet phldrT="[Text]" custT="1"/>
      <dgm:spPr/>
      <dgm:t>
        <a:bodyPr/>
        <a:lstStyle/>
        <a:p>
          <a:r>
            <a:rPr lang="ro-RO" sz="1000" b="1" i="1">
              <a:solidFill>
                <a:schemeClr val="tx1"/>
              </a:solidFill>
              <a:latin typeface="+mj-lt"/>
            </a:rPr>
            <a:t>Repartizarea</a:t>
          </a:r>
          <a:r>
            <a:rPr lang="ro-RO" sz="1100" b="1" i="1">
              <a:solidFill>
                <a:schemeClr val="tx1"/>
              </a:solidFill>
              <a:latin typeface="+mj-lt"/>
            </a:rPr>
            <a:t> tratamentului de către medicii ftiziopulmonologi </a:t>
          </a:r>
          <a:r>
            <a:rPr lang="ro-RO" sz="1100" b="1" i="1">
              <a:solidFill>
                <a:sysClr val="windowText" lastClr="000000"/>
              </a:solidFill>
              <a:latin typeface="+mj-lt"/>
            </a:rPr>
            <a:t>și medicii de familie către pacienți</a:t>
          </a:r>
        </a:p>
      </dgm:t>
    </dgm:pt>
    <dgm:pt modelId="{EB555CCE-7D2D-4CE3-BA9E-34F28F1FA1DC}" type="parTrans" cxnId="{2C8B4A0B-8618-498E-A593-534AD1582A85}">
      <dgm:prSet/>
      <dgm:spPr/>
      <dgm:t>
        <a:bodyPr/>
        <a:lstStyle/>
        <a:p>
          <a:endParaRPr lang="en-US" sz="1100"/>
        </a:p>
      </dgm:t>
    </dgm:pt>
    <dgm:pt modelId="{56F8CC1C-10EF-4073-9466-5B671662CF86}" type="sibTrans" cxnId="{2C8B4A0B-8618-498E-A593-534AD1582A85}">
      <dgm:prSet/>
      <dgm:spPr/>
      <dgm:t>
        <a:bodyPr/>
        <a:lstStyle/>
        <a:p>
          <a:endParaRPr lang="en-US" sz="1100"/>
        </a:p>
      </dgm:t>
    </dgm:pt>
    <dgm:pt modelId="{FD3B7E56-BB94-49F0-9993-07E9E12BF0F4}" type="pres">
      <dgm:prSet presAssocID="{C166B17E-3C2E-4FDF-B57A-E140A46ADBDE}" presName="Name0" presStyleCnt="0">
        <dgm:presLayoutVars>
          <dgm:dir/>
          <dgm:animLvl val="lvl"/>
          <dgm:resizeHandles val="exact"/>
        </dgm:presLayoutVars>
      </dgm:prSet>
      <dgm:spPr/>
      <dgm:t>
        <a:bodyPr/>
        <a:lstStyle/>
        <a:p>
          <a:endParaRPr lang="en-US"/>
        </a:p>
      </dgm:t>
    </dgm:pt>
    <dgm:pt modelId="{41E22819-ABE4-40CB-9C8B-415423848102}" type="pres">
      <dgm:prSet presAssocID="{E2141F24-9783-40DF-A782-E49EA748725E}" presName="boxAndChildren" presStyleCnt="0"/>
      <dgm:spPr/>
    </dgm:pt>
    <dgm:pt modelId="{61A5200A-406A-4328-8E66-9C23A8166AAB}" type="pres">
      <dgm:prSet presAssocID="{E2141F24-9783-40DF-A782-E49EA748725E}" presName="parentTextBox" presStyleLbl="node1" presStyleIdx="0" presStyleCnt="6"/>
      <dgm:spPr/>
      <dgm:t>
        <a:bodyPr/>
        <a:lstStyle/>
        <a:p>
          <a:endParaRPr lang="en-US"/>
        </a:p>
      </dgm:t>
    </dgm:pt>
    <dgm:pt modelId="{64F0A0F0-7579-411C-ADC4-4434BD6A911C}" type="pres">
      <dgm:prSet presAssocID="{6FCA083C-4F93-44A3-B471-E3B1E42585E2}" presName="sp" presStyleCnt="0"/>
      <dgm:spPr/>
    </dgm:pt>
    <dgm:pt modelId="{E1D49B80-00C2-4F5D-B3A8-E6ED74C4A482}" type="pres">
      <dgm:prSet presAssocID="{53A08AEF-CACD-49A9-80ED-FD67E42A7495}" presName="arrowAndChildren" presStyleCnt="0"/>
      <dgm:spPr/>
    </dgm:pt>
    <dgm:pt modelId="{14B4E719-7609-4B98-AB56-E642C6A7C94C}" type="pres">
      <dgm:prSet presAssocID="{53A08AEF-CACD-49A9-80ED-FD67E42A7495}" presName="parentTextArrow" presStyleLbl="node1" presStyleIdx="1" presStyleCnt="6" custLinFactNeighborY="-3549"/>
      <dgm:spPr/>
      <dgm:t>
        <a:bodyPr/>
        <a:lstStyle/>
        <a:p>
          <a:endParaRPr lang="en-US"/>
        </a:p>
      </dgm:t>
    </dgm:pt>
    <dgm:pt modelId="{2304D68E-1474-4214-AF44-AF1ED1FBAD45}" type="pres">
      <dgm:prSet presAssocID="{1029E579-D347-421E-8A87-1A14E845B2F3}" presName="sp" presStyleCnt="0"/>
      <dgm:spPr/>
    </dgm:pt>
    <dgm:pt modelId="{66926005-5F86-4C83-87AE-D627BAE3690E}" type="pres">
      <dgm:prSet presAssocID="{80DBE299-E34D-41F5-9910-2D67800200AB}" presName="arrowAndChildren" presStyleCnt="0"/>
      <dgm:spPr/>
    </dgm:pt>
    <dgm:pt modelId="{B2ED8645-9E58-4992-A004-EF69663B0840}" type="pres">
      <dgm:prSet presAssocID="{80DBE299-E34D-41F5-9910-2D67800200AB}" presName="parentTextArrow" presStyleLbl="node1" presStyleIdx="2" presStyleCnt="6"/>
      <dgm:spPr/>
      <dgm:t>
        <a:bodyPr/>
        <a:lstStyle/>
        <a:p>
          <a:endParaRPr lang="en-US"/>
        </a:p>
      </dgm:t>
    </dgm:pt>
    <dgm:pt modelId="{76D26F29-59E9-423A-929C-01C2A9C30154}" type="pres">
      <dgm:prSet presAssocID="{3740651A-0EC9-437B-A945-CCDA263A5343}" presName="sp" presStyleCnt="0"/>
      <dgm:spPr/>
    </dgm:pt>
    <dgm:pt modelId="{77509480-3B05-4ACE-9CA8-83355584BB32}" type="pres">
      <dgm:prSet presAssocID="{0AEFB9EE-BDA8-4BE7-9159-C992BCD098A9}" presName="arrowAndChildren" presStyleCnt="0"/>
      <dgm:spPr/>
    </dgm:pt>
    <dgm:pt modelId="{57B5D227-973D-46F8-BA77-5DE5962C9AED}" type="pres">
      <dgm:prSet presAssocID="{0AEFB9EE-BDA8-4BE7-9159-C992BCD098A9}" presName="parentTextArrow" presStyleLbl="node1" presStyleIdx="3" presStyleCnt="6"/>
      <dgm:spPr/>
      <dgm:t>
        <a:bodyPr/>
        <a:lstStyle/>
        <a:p>
          <a:endParaRPr lang="en-US"/>
        </a:p>
      </dgm:t>
    </dgm:pt>
    <dgm:pt modelId="{19A377BD-2371-4EAF-823D-05602F8A50F4}" type="pres">
      <dgm:prSet presAssocID="{B5472A9E-F17E-4002-A472-B5A0057677D4}" presName="sp" presStyleCnt="0"/>
      <dgm:spPr/>
    </dgm:pt>
    <dgm:pt modelId="{3A03B500-7256-4C97-A380-DA8786659B68}" type="pres">
      <dgm:prSet presAssocID="{FEC149AC-EED7-4190-8DB6-C39326C244FE}" presName="arrowAndChildren" presStyleCnt="0"/>
      <dgm:spPr/>
    </dgm:pt>
    <dgm:pt modelId="{F2EF8F0A-747E-4163-9B6C-B7D404779E60}" type="pres">
      <dgm:prSet presAssocID="{FEC149AC-EED7-4190-8DB6-C39326C244FE}" presName="parentTextArrow" presStyleLbl="node1" presStyleIdx="4" presStyleCnt="6"/>
      <dgm:spPr/>
      <dgm:t>
        <a:bodyPr/>
        <a:lstStyle/>
        <a:p>
          <a:endParaRPr lang="en-US"/>
        </a:p>
      </dgm:t>
    </dgm:pt>
    <dgm:pt modelId="{47DEF01A-6A9E-4E5E-B3E2-31514EAAA82D}" type="pres">
      <dgm:prSet presAssocID="{D96953E8-4B57-43D1-9A85-5F6ADB896001}" presName="sp" presStyleCnt="0"/>
      <dgm:spPr/>
    </dgm:pt>
    <dgm:pt modelId="{BF7538AB-2E23-43D3-85D8-419CE26C9B1A}" type="pres">
      <dgm:prSet presAssocID="{AFF806CC-355F-41FC-BBF3-1DD9F8F3C48D}" presName="arrowAndChildren" presStyleCnt="0"/>
      <dgm:spPr/>
    </dgm:pt>
    <dgm:pt modelId="{E5481D65-3835-4A15-8377-D630F7558E6F}" type="pres">
      <dgm:prSet presAssocID="{AFF806CC-355F-41FC-BBF3-1DD9F8F3C48D}" presName="parentTextArrow" presStyleLbl="node1" presStyleIdx="5" presStyleCnt="6"/>
      <dgm:spPr/>
      <dgm:t>
        <a:bodyPr/>
        <a:lstStyle/>
        <a:p>
          <a:endParaRPr lang="en-US"/>
        </a:p>
      </dgm:t>
    </dgm:pt>
  </dgm:ptLst>
  <dgm:cxnLst>
    <dgm:cxn modelId="{2E56CD3C-BA43-480D-900C-285BDCA09BE1}" type="presOf" srcId="{0AEFB9EE-BDA8-4BE7-9159-C992BCD098A9}" destId="{57B5D227-973D-46F8-BA77-5DE5962C9AED}" srcOrd="0" destOrd="0" presId="urn:microsoft.com/office/officeart/2005/8/layout/process4"/>
    <dgm:cxn modelId="{463FD667-19BB-4866-AC55-EE227343B0E7}" srcId="{C166B17E-3C2E-4FDF-B57A-E140A46ADBDE}" destId="{AFF806CC-355F-41FC-BBF3-1DD9F8F3C48D}" srcOrd="0" destOrd="0" parTransId="{FA0CB661-4E86-4933-BE0A-F3511364BB74}" sibTransId="{D96953E8-4B57-43D1-9A85-5F6ADB896001}"/>
    <dgm:cxn modelId="{C333D8D8-E47E-4B94-86A7-33A97B9AF0DB}" type="presOf" srcId="{AFF806CC-355F-41FC-BBF3-1DD9F8F3C48D}" destId="{E5481D65-3835-4A15-8377-D630F7558E6F}" srcOrd="0" destOrd="0" presId="urn:microsoft.com/office/officeart/2005/8/layout/process4"/>
    <dgm:cxn modelId="{A8B380DC-EC09-4E71-A0D4-3941B350AE21}" srcId="{C166B17E-3C2E-4FDF-B57A-E140A46ADBDE}" destId="{0AEFB9EE-BDA8-4BE7-9159-C992BCD098A9}" srcOrd="2" destOrd="0" parTransId="{748FF995-FB0F-44EB-A6D0-522DE2FF751E}" sibTransId="{3740651A-0EC9-437B-A945-CCDA263A5343}"/>
    <dgm:cxn modelId="{124EF753-F308-4D27-9E89-4844CE27ED62}" type="presOf" srcId="{53A08AEF-CACD-49A9-80ED-FD67E42A7495}" destId="{14B4E719-7609-4B98-AB56-E642C6A7C94C}" srcOrd="0" destOrd="0" presId="urn:microsoft.com/office/officeart/2005/8/layout/process4"/>
    <dgm:cxn modelId="{02863EF2-98BC-44B0-8A38-47E1EBC1F836}" srcId="{C166B17E-3C2E-4FDF-B57A-E140A46ADBDE}" destId="{80DBE299-E34D-41F5-9910-2D67800200AB}" srcOrd="3" destOrd="0" parTransId="{6A4FD0FD-98F4-4748-BA0B-A8B42AD36A44}" sibTransId="{1029E579-D347-421E-8A87-1A14E845B2F3}"/>
    <dgm:cxn modelId="{55961F1E-7DD1-4895-BCF3-2B029B9F7E9B}" type="presOf" srcId="{FEC149AC-EED7-4190-8DB6-C39326C244FE}" destId="{F2EF8F0A-747E-4163-9B6C-B7D404779E60}" srcOrd="0" destOrd="0" presId="urn:microsoft.com/office/officeart/2005/8/layout/process4"/>
    <dgm:cxn modelId="{B129629E-D38B-4BB8-A7A4-5D17356E4DAF}" type="presOf" srcId="{E2141F24-9783-40DF-A782-E49EA748725E}" destId="{61A5200A-406A-4328-8E66-9C23A8166AAB}" srcOrd="0" destOrd="0" presId="urn:microsoft.com/office/officeart/2005/8/layout/process4"/>
    <dgm:cxn modelId="{CEEE788C-910C-4628-ACBF-FB37617DC9C5}" type="presOf" srcId="{C166B17E-3C2E-4FDF-B57A-E140A46ADBDE}" destId="{FD3B7E56-BB94-49F0-9993-07E9E12BF0F4}" srcOrd="0" destOrd="0" presId="urn:microsoft.com/office/officeart/2005/8/layout/process4"/>
    <dgm:cxn modelId="{0F191619-CEAA-409E-BA76-BE462B13A28D}" srcId="{C166B17E-3C2E-4FDF-B57A-E140A46ADBDE}" destId="{FEC149AC-EED7-4190-8DB6-C39326C244FE}" srcOrd="1" destOrd="0" parTransId="{E67EAAB1-A7AF-4EC9-BB1A-A8CB7633DD0D}" sibTransId="{B5472A9E-F17E-4002-A472-B5A0057677D4}"/>
    <dgm:cxn modelId="{491EF835-7A2C-4881-8115-32180718FE86}" type="presOf" srcId="{80DBE299-E34D-41F5-9910-2D67800200AB}" destId="{B2ED8645-9E58-4992-A004-EF69663B0840}" srcOrd="0" destOrd="0" presId="urn:microsoft.com/office/officeart/2005/8/layout/process4"/>
    <dgm:cxn modelId="{A7575EFD-3915-430C-8DB8-7C150CFC3277}" srcId="{C166B17E-3C2E-4FDF-B57A-E140A46ADBDE}" destId="{53A08AEF-CACD-49A9-80ED-FD67E42A7495}" srcOrd="4" destOrd="0" parTransId="{D7B0AB11-020F-4A9C-A032-49E129385A66}" sibTransId="{6FCA083C-4F93-44A3-B471-E3B1E42585E2}"/>
    <dgm:cxn modelId="{2C8B4A0B-8618-498E-A593-534AD1582A85}" srcId="{C166B17E-3C2E-4FDF-B57A-E140A46ADBDE}" destId="{E2141F24-9783-40DF-A782-E49EA748725E}" srcOrd="5" destOrd="0" parTransId="{EB555CCE-7D2D-4CE3-BA9E-34F28F1FA1DC}" sibTransId="{56F8CC1C-10EF-4073-9466-5B671662CF86}"/>
    <dgm:cxn modelId="{CD68E782-E03C-4D73-92D4-04C623F7C3C6}" type="presParOf" srcId="{FD3B7E56-BB94-49F0-9993-07E9E12BF0F4}" destId="{41E22819-ABE4-40CB-9C8B-415423848102}" srcOrd="0" destOrd="0" presId="urn:microsoft.com/office/officeart/2005/8/layout/process4"/>
    <dgm:cxn modelId="{BE4F793D-5814-468B-90CA-A68701C20783}" type="presParOf" srcId="{41E22819-ABE4-40CB-9C8B-415423848102}" destId="{61A5200A-406A-4328-8E66-9C23A8166AAB}" srcOrd="0" destOrd="0" presId="urn:microsoft.com/office/officeart/2005/8/layout/process4"/>
    <dgm:cxn modelId="{F484E202-6807-423A-B14F-5FEAF2619CDD}" type="presParOf" srcId="{FD3B7E56-BB94-49F0-9993-07E9E12BF0F4}" destId="{64F0A0F0-7579-411C-ADC4-4434BD6A911C}" srcOrd="1" destOrd="0" presId="urn:microsoft.com/office/officeart/2005/8/layout/process4"/>
    <dgm:cxn modelId="{90D09839-5F68-4F76-A26D-673F5D3FCECB}" type="presParOf" srcId="{FD3B7E56-BB94-49F0-9993-07E9E12BF0F4}" destId="{E1D49B80-00C2-4F5D-B3A8-E6ED74C4A482}" srcOrd="2" destOrd="0" presId="urn:microsoft.com/office/officeart/2005/8/layout/process4"/>
    <dgm:cxn modelId="{898C47F2-88E3-4F0A-B940-1B93F44C88D5}" type="presParOf" srcId="{E1D49B80-00C2-4F5D-B3A8-E6ED74C4A482}" destId="{14B4E719-7609-4B98-AB56-E642C6A7C94C}" srcOrd="0" destOrd="0" presId="urn:microsoft.com/office/officeart/2005/8/layout/process4"/>
    <dgm:cxn modelId="{F5CF764F-A7CE-4D5E-8D27-D89B4D683C50}" type="presParOf" srcId="{FD3B7E56-BB94-49F0-9993-07E9E12BF0F4}" destId="{2304D68E-1474-4214-AF44-AF1ED1FBAD45}" srcOrd="3" destOrd="0" presId="urn:microsoft.com/office/officeart/2005/8/layout/process4"/>
    <dgm:cxn modelId="{A1B27917-0D0C-4BA6-8A62-2FBC9250A032}" type="presParOf" srcId="{FD3B7E56-BB94-49F0-9993-07E9E12BF0F4}" destId="{66926005-5F86-4C83-87AE-D627BAE3690E}" srcOrd="4" destOrd="0" presId="urn:microsoft.com/office/officeart/2005/8/layout/process4"/>
    <dgm:cxn modelId="{A9E2C351-84D2-4801-8905-95FF40468713}" type="presParOf" srcId="{66926005-5F86-4C83-87AE-D627BAE3690E}" destId="{B2ED8645-9E58-4992-A004-EF69663B0840}" srcOrd="0" destOrd="0" presId="urn:microsoft.com/office/officeart/2005/8/layout/process4"/>
    <dgm:cxn modelId="{0D904A72-0AF0-45D8-94B5-3147766BA183}" type="presParOf" srcId="{FD3B7E56-BB94-49F0-9993-07E9E12BF0F4}" destId="{76D26F29-59E9-423A-929C-01C2A9C30154}" srcOrd="5" destOrd="0" presId="urn:microsoft.com/office/officeart/2005/8/layout/process4"/>
    <dgm:cxn modelId="{5FBA91E8-0827-4231-9D98-6D5079BA7A18}" type="presParOf" srcId="{FD3B7E56-BB94-49F0-9993-07E9E12BF0F4}" destId="{77509480-3B05-4ACE-9CA8-83355584BB32}" srcOrd="6" destOrd="0" presId="urn:microsoft.com/office/officeart/2005/8/layout/process4"/>
    <dgm:cxn modelId="{8C8BE06B-810E-4391-AD8E-19DED6E97F56}" type="presParOf" srcId="{77509480-3B05-4ACE-9CA8-83355584BB32}" destId="{57B5D227-973D-46F8-BA77-5DE5962C9AED}" srcOrd="0" destOrd="0" presId="urn:microsoft.com/office/officeart/2005/8/layout/process4"/>
    <dgm:cxn modelId="{0F5C958B-6FE7-4098-8C02-A94F9D60F538}" type="presParOf" srcId="{FD3B7E56-BB94-49F0-9993-07E9E12BF0F4}" destId="{19A377BD-2371-4EAF-823D-05602F8A50F4}" srcOrd="7" destOrd="0" presId="urn:microsoft.com/office/officeart/2005/8/layout/process4"/>
    <dgm:cxn modelId="{DA0A0F57-EE6C-468A-9D32-ECCBD00A1083}" type="presParOf" srcId="{FD3B7E56-BB94-49F0-9993-07E9E12BF0F4}" destId="{3A03B500-7256-4C97-A380-DA8786659B68}" srcOrd="8" destOrd="0" presId="urn:microsoft.com/office/officeart/2005/8/layout/process4"/>
    <dgm:cxn modelId="{AF9BD0A1-7C73-489F-BFE7-AD7506E8EECD}" type="presParOf" srcId="{3A03B500-7256-4C97-A380-DA8786659B68}" destId="{F2EF8F0A-747E-4163-9B6C-B7D404779E60}" srcOrd="0" destOrd="0" presId="urn:microsoft.com/office/officeart/2005/8/layout/process4"/>
    <dgm:cxn modelId="{43DFD033-81C2-4AAC-B9F2-70469BFAB24F}" type="presParOf" srcId="{FD3B7E56-BB94-49F0-9993-07E9E12BF0F4}" destId="{47DEF01A-6A9E-4E5E-B3E2-31514EAAA82D}" srcOrd="9" destOrd="0" presId="urn:microsoft.com/office/officeart/2005/8/layout/process4"/>
    <dgm:cxn modelId="{FD40814D-3A6D-435A-BF5E-A96A7E7EBB43}" type="presParOf" srcId="{FD3B7E56-BB94-49F0-9993-07E9E12BF0F4}" destId="{BF7538AB-2E23-43D3-85D8-419CE26C9B1A}" srcOrd="10" destOrd="0" presId="urn:microsoft.com/office/officeart/2005/8/layout/process4"/>
    <dgm:cxn modelId="{92474BCC-8372-47D7-A1A1-38A8653A0D52}" type="presParOf" srcId="{BF7538AB-2E23-43D3-85D8-419CE26C9B1A}" destId="{E5481D65-3835-4A15-8377-D630F7558E6F}" srcOrd="0" destOrd="0" presId="urn:microsoft.com/office/officeart/2005/8/layout/process4"/>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1A5200A-406A-4328-8E66-9C23A8166AAB}">
      <dsp:nvSpPr>
        <dsp:cNvPr id="0" name=""/>
        <dsp:cNvSpPr/>
      </dsp:nvSpPr>
      <dsp:spPr>
        <a:xfrm>
          <a:off x="0" y="3191313"/>
          <a:ext cx="6362700" cy="418858"/>
        </a:xfrm>
        <a:prstGeom prst="rect">
          <a:avLst/>
        </a:prstGeom>
        <a:gradFill rotWithShape="0">
          <a:gsLst>
            <a:gs pos="0">
              <a:schemeClr val="accent1">
                <a:shade val="80000"/>
                <a:hueOff val="0"/>
                <a:satOff val="0"/>
                <a:lumOff val="0"/>
                <a:alphaOff val="0"/>
                <a:satMod val="103000"/>
                <a:lumMod val="102000"/>
                <a:tint val="94000"/>
              </a:schemeClr>
            </a:gs>
            <a:gs pos="50000">
              <a:schemeClr val="accent1">
                <a:shade val="80000"/>
                <a:hueOff val="0"/>
                <a:satOff val="0"/>
                <a:lumOff val="0"/>
                <a:alphaOff val="0"/>
                <a:satMod val="110000"/>
                <a:lumMod val="100000"/>
                <a:shade val="100000"/>
              </a:schemeClr>
            </a:gs>
            <a:gs pos="100000">
              <a:schemeClr val="accent1">
                <a:shade val="80000"/>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ro-RO" sz="1000" b="1" i="1" kern="1200">
              <a:solidFill>
                <a:schemeClr val="tx1"/>
              </a:solidFill>
              <a:latin typeface="+mj-lt"/>
            </a:rPr>
            <a:t>Repartizarea</a:t>
          </a:r>
          <a:r>
            <a:rPr lang="ro-RO" sz="1100" b="1" i="1" kern="1200">
              <a:solidFill>
                <a:schemeClr val="tx1"/>
              </a:solidFill>
              <a:latin typeface="+mj-lt"/>
            </a:rPr>
            <a:t> tratamentului de către medicii ftiziopulmonologi </a:t>
          </a:r>
          <a:r>
            <a:rPr lang="ro-RO" sz="1100" b="1" i="1" kern="1200">
              <a:solidFill>
                <a:sysClr val="windowText" lastClr="000000"/>
              </a:solidFill>
              <a:latin typeface="+mj-lt"/>
            </a:rPr>
            <a:t>și medicii de familie către pacienți</a:t>
          </a:r>
        </a:p>
      </dsp:txBody>
      <dsp:txXfrm>
        <a:off x="0" y="3191313"/>
        <a:ext cx="6362700" cy="418858"/>
      </dsp:txXfrm>
    </dsp:sp>
    <dsp:sp modelId="{14B4E719-7609-4B98-AB56-E642C6A7C94C}">
      <dsp:nvSpPr>
        <dsp:cNvPr id="0" name=""/>
        <dsp:cNvSpPr/>
      </dsp:nvSpPr>
      <dsp:spPr>
        <a:xfrm rot="10800000">
          <a:off x="0" y="2530529"/>
          <a:ext cx="6362700" cy="644203"/>
        </a:xfrm>
        <a:prstGeom prst="upArrowCallout">
          <a:avLst/>
        </a:prstGeom>
        <a:gradFill rotWithShape="0">
          <a:gsLst>
            <a:gs pos="0">
              <a:schemeClr val="accent1">
                <a:shade val="80000"/>
                <a:hueOff val="54253"/>
                <a:satOff val="1035"/>
                <a:lumOff val="4571"/>
                <a:alphaOff val="0"/>
                <a:satMod val="103000"/>
                <a:lumMod val="102000"/>
                <a:tint val="94000"/>
              </a:schemeClr>
            </a:gs>
            <a:gs pos="50000">
              <a:schemeClr val="accent1">
                <a:shade val="80000"/>
                <a:hueOff val="54253"/>
                <a:satOff val="1035"/>
                <a:lumOff val="4571"/>
                <a:alphaOff val="0"/>
                <a:satMod val="110000"/>
                <a:lumMod val="100000"/>
                <a:shade val="100000"/>
              </a:schemeClr>
            </a:gs>
            <a:gs pos="100000">
              <a:schemeClr val="accent1">
                <a:shade val="80000"/>
                <a:hueOff val="54253"/>
                <a:satOff val="1035"/>
                <a:lumOff val="4571"/>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ro-RO" sz="1100" b="1" i="1" kern="1200">
              <a:solidFill>
                <a:sysClr val="windowText" lastClr="000000"/>
              </a:solidFill>
              <a:latin typeface="+mj-lt"/>
            </a:rPr>
            <a:t>Distribuirea de la nivelul central și nivel de serviciu de ftiziopneumologie din IMSP</a:t>
          </a:r>
        </a:p>
      </dsp:txBody>
      <dsp:txXfrm rot="10800000">
        <a:off x="0" y="2530529"/>
        <a:ext cx="6362700" cy="418584"/>
      </dsp:txXfrm>
    </dsp:sp>
    <dsp:sp modelId="{B2ED8645-9E58-4992-A004-EF69663B0840}">
      <dsp:nvSpPr>
        <dsp:cNvPr id="0" name=""/>
        <dsp:cNvSpPr/>
      </dsp:nvSpPr>
      <dsp:spPr>
        <a:xfrm rot="10800000">
          <a:off x="0" y="1915471"/>
          <a:ext cx="6362700" cy="644203"/>
        </a:xfrm>
        <a:prstGeom prst="upArrowCallout">
          <a:avLst/>
        </a:prstGeom>
        <a:gradFill rotWithShape="0">
          <a:gsLst>
            <a:gs pos="0">
              <a:schemeClr val="accent1">
                <a:shade val="80000"/>
                <a:hueOff val="108505"/>
                <a:satOff val="2070"/>
                <a:lumOff val="9142"/>
                <a:alphaOff val="0"/>
                <a:satMod val="103000"/>
                <a:lumMod val="102000"/>
                <a:tint val="94000"/>
              </a:schemeClr>
            </a:gs>
            <a:gs pos="50000">
              <a:schemeClr val="accent1">
                <a:shade val="80000"/>
                <a:hueOff val="108505"/>
                <a:satOff val="2070"/>
                <a:lumOff val="9142"/>
                <a:alphaOff val="0"/>
                <a:satMod val="110000"/>
                <a:lumMod val="100000"/>
                <a:shade val="100000"/>
              </a:schemeClr>
            </a:gs>
            <a:gs pos="100000">
              <a:schemeClr val="accent1">
                <a:shade val="80000"/>
                <a:hueOff val="108505"/>
                <a:satOff val="2070"/>
                <a:lumOff val="9142"/>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ro-RO" sz="1000" b="1" i="1" kern="1200">
              <a:solidFill>
                <a:sysClr val="windowText" lastClr="000000"/>
              </a:solidFill>
              <a:latin typeface="+mj-lt"/>
            </a:rPr>
            <a:t>Stocarea</a:t>
          </a:r>
          <a:r>
            <a:rPr lang="ro-RO" sz="1100" b="1" i="1" kern="1200">
              <a:solidFill>
                <a:sysClr val="windowText" lastClr="000000"/>
              </a:solidFill>
              <a:latin typeface="+mj-lt"/>
            </a:rPr>
            <a:t> și gestionarea medicamentelor antituberculoase la nivel central</a:t>
          </a:r>
          <a:endParaRPr lang="en-US" sz="1100" kern="1200">
            <a:solidFill>
              <a:srgbClr val="FFFF00"/>
            </a:solidFill>
            <a:latin typeface="+mj-lt"/>
          </a:endParaRPr>
        </a:p>
      </dsp:txBody>
      <dsp:txXfrm rot="10800000">
        <a:off x="0" y="1915471"/>
        <a:ext cx="6362700" cy="418584"/>
      </dsp:txXfrm>
    </dsp:sp>
    <dsp:sp modelId="{57B5D227-973D-46F8-BA77-5DE5962C9AED}">
      <dsp:nvSpPr>
        <dsp:cNvPr id="0" name=""/>
        <dsp:cNvSpPr/>
      </dsp:nvSpPr>
      <dsp:spPr>
        <a:xfrm rot="10800000">
          <a:off x="0" y="1277550"/>
          <a:ext cx="6362700" cy="644203"/>
        </a:xfrm>
        <a:prstGeom prst="upArrowCallout">
          <a:avLst/>
        </a:prstGeom>
        <a:gradFill rotWithShape="0">
          <a:gsLst>
            <a:gs pos="0">
              <a:schemeClr val="accent1">
                <a:shade val="80000"/>
                <a:hueOff val="162758"/>
                <a:satOff val="3105"/>
                <a:lumOff val="13713"/>
                <a:alphaOff val="0"/>
                <a:satMod val="103000"/>
                <a:lumMod val="102000"/>
                <a:tint val="94000"/>
              </a:schemeClr>
            </a:gs>
            <a:gs pos="50000">
              <a:schemeClr val="accent1">
                <a:shade val="80000"/>
                <a:hueOff val="162758"/>
                <a:satOff val="3105"/>
                <a:lumOff val="13713"/>
                <a:alphaOff val="0"/>
                <a:satMod val="110000"/>
                <a:lumMod val="100000"/>
                <a:shade val="100000"/>
              </a:schemeClr>
            </a:gs>
            <a:gs pos="100000">
              <a:schemeClr val="accent1">
                <a:shade val="80000"/>
                <a:hueOff val="162758"/>
                <a:satOff val="3105"/>
                <a:lumOff val="13713"/>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ro-RO" sz="1000" b="1" i="1" kern="1200">
              <a:solidFill>
                <a:sysClr val="windowText" lastClr="000000"/>
              </a:solidFill>
              <a:latin typeface="+mj-lt"/>
            </a:rPr>
            <a:t>Recepționarea</a:t>
          </a:r>
          <a:r>
            <a:rPr lang="ro-RO" sz="1100" b="1" i="1" kern="1200">
              <a:solidFill>
                <a:sysClr val="windowText" lastClr="000000"/>
              </a:solidFill>
              <a:latin typeface="+mj-lt"/>
            </a:rPr>
            <a:t> medicamentelor antituberculoase la nivel central</a:t>
          </a:r>
          <a:endParaRPr lang="en-US" sz="1100" kern="1200">
            <a:solidFill>
              <a:sysClr val="windowText" lastClr="000000"/>
            </a:solidFill>
            <a:latin typeface="+mj-lt"/>
          </a:endParaRPr>
        </a:p>
      </dsp:txBody>
      <dsp:txXfrm rot="10800000">
        <a:off x="0" y="1277550"/>
        <a:ext cx="6362700" cy="418584"/>
      </dsp:txXfrm>
    </dsp:sp>
    <dsp:sp modelId="{F2EF8F0A-747E-4163-9B6C-B7D404779E60}">
      <dsp:nvSpPr>
        <dsp:cNvPr id="0" name=""/>
        <dsp:cNvSpPr/>
      </dsp:nvSpPr>
      <dsp:spPr>
        <a:xfrm rot="10800000">
          <a:off x="0" y="639629"/>
          <a:ext cx="6362700" cy="644203"/>
        </a:xfrm>
        <a:prstGeom prst="upArrowCallout">
          <a:avLst/>
        </a:prstGeom>
        <a:gradFill rotWithShape="0">
          <a:gsLst>
            <a:gs pos="0">
              <a:schemeClr val="accent1">
                <a:shade val="80000"/>
                <a:hueOff val="217011"/>
                <a:satOff val="4140"/>
                <a:lumOff val="18284"/>
                <a:alphaOff val="0"/>
                <a:satMod val="103000"/>
                <a:lumMod val="102000"/>
                <a:tint val="94000"/>
              </a:schemeClr>
            </a:gs>
            <a:gs pos="50000">
              <a:schemeClr val="accent1">
                <a:shade val="80000"/>
                <a:hueOff val="217011"/>
                <a:satOff val="4140"/>
                <a:lumOff val="18284"/>
                <a:alphaOff val="0"/>
                <a:satMod val="110000"/>
                <a:lumMod val="100000"/>
                <a:shade val="100000"/>
              </a:schemeClr>
            </a:gs>
            <a:gs pos="100000">
              <a:schemeClr val="accent1">
                <a:shade val="80000"/>
                <a:hueOff val="217011"/>
                <a:satOff val="4140"/>
                <a:lumOff val="18284"/>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ro-RO" sz="1000" b="1" i="1" kern="1200">
              <a:solidFill>
                <a:sysClr val="windowText" lastClr="000000"/>
              </a:solidFill>
              <a:latin typeface="+mj-lt"/>
            </a:rPr>
            <a:t>Organizarea</a:t>
          </a:r>
          <a:r>
            <a:rPr lang="ro-RO" sz="1100" b="1" i="1" kern="1200">
              <a:solidFill>
                <a:sysClr val="windowText" lastClr="000000"/>
              </a:solidFill>
              <a:latin typeface="+mj-lt"/>
            </a:rPr>
            <a:t> procedurii de procurare și livrare a medicamentelor TB</a:t>
          </a:r>
          <a:endParaRPr lang="en-US" sz="1100" kern="1200">
            <a:solidFill>
              <a:sysClr val="windowText" lastClr="000000"/>
            </a:solidFill>
            <a:latin typeface="+mj-lt"/>
          </a:endParaRPr>
        </a:p>
      </dsp:txBody>
      <dsp:txXfrm rot="10800000">
        <a:off x="0" y="639629"/>
        <a:ext cx="6362700" cy="418584"/>
      </dsp:txXfrm>
    </dsp:sp>
    <dsp:sp modelId="{E5481D65-3835-4A15-8377-D630F7558E6F}">
      <dsp:nvSpPr>
        <dsp:cNvPr id="0" name=""/>
        <dsp:cNvSpPr/>
      </dsp:nvSpPr>
      <dsp:spPr>
        <a:xfrm rot="10800000">
          <a:off x="0" y="1708"/>
          <a:ext cx="6362700" cy="644203"/>
        </a:xfrm>
        <a:prstGeom prst="upArrowCallout">
          <a:avLst/>
        </a:prstGeom>
        <a:gradFill rotWithShape="0">
          <a:gsLst>
            <a:gs pos="0">
              <a:schemeClr val="accent1">
                <a:shade val="80000"/>
                <a:hueOff val="271263"/>
                <a:satOff val="5175"/>
                <a:lumOff val="22855"/>
                <a:alphaOff val="0"/>
                <a:satMod val="103000"/>
                <a:lumMod val="102000"/>
                <a:tint val="94000"/>
              </a:schemeClr>
            </a:gs>
            <a:gs pos="50000">
              <a:schemeClr val="accent1">
                <a:shade val="80000"/>
                <a:hueOff val="271263"/>
                <a:satOff val="5175"/>
                <a:lumOff val="22855"/>
                <a:alphaOff val="0"/>
                <a:satMod val="110000"/>
                <a:lumMod val="100000"/>
                <a:shade val="100000"/>
              </a:schemeClr>
            </a:gs>
            <a:gs pos="100000">
              <a:schemeClr val="accent1">
                <a:shade val="80000"/>
                <a:hueOff val="271263"/>
                <a:satOff val="5175"/>
                <a:lumOff val="22855"/>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b="1" i="1" kern="1200">
              <a:solidFill>
                <a:sysClr val="windowText" lastClr="000000"/>
              </a:solidFill>
              <a:latin typeface="+mj-lt"/>
            </a:rPr>
            <a:t>Determinarea</a:t>
          </a:r>
          <a:r>
            <a:rPr lang="en-US" sz="1100" b="1" i="1" kern="1200">
              <a:solidFill>
                <a:sysClr val="windowText" lastClr="000000"/>
              </a:solidFill>
              <a:latin typeface="+mj-lt"/>
            </a:rPr>
            <a:t> necesităților și elaborarea comenzii pentru procurare de medicamente TB</a:t>
          </a:r>
          <a:endParaRPr lang="en-US" sz="1100" kern="1200">
            <a:solidFill>
              <a:sysClr val="windowText" lastClr="000000"/>
            </a:solidFill>
            <a:latin typeface="+mj-lt"/>
          </a:endParaRPr>
        </a:p>
      </dsp:txBody>
      <dsp:txXfrm rot="10800000">
        <a:off x="0" y="1708"/>
        <a:ext cx="6362700" cy="41858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79836-C098-4CEC-9B4C-A693FD9E7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74</Pages>
  <Words>30574</Words>
  <Characters>174275</Characters>
  <Application>Microsoft Office Word</Application>
  <DocSecurity>0</DocSecurity>
  <Lines>1452</Lines>
  <Paragraphs>408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Rogaciov Irina</dc:creator>
  <cp:keywords/>
  <dc:description/>
  <cp:lastModifiedBy>Paiu Eugenia</cp:lastModifiedBy>
  <cp:revision>2</cp:revision>
  <dcterms:created xsi:type="dcterms:W3CDTF">2023-12-28T13:09:00Z</dcterms:created>
  <dcterms:modified xsi:type="dcterms:W3CDTF">2023-12-28T13:09:00Z</dcterms:modified>
</cp:coreProperties>
</file>